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tabs>
          <w:tab w:leader="none" w:pos="24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22"/>
          <w:szCs w:val="22"/>
          <w:b w:val="1"/>
          <w:bCs w:val="1"/>
          <w:color w:val="auto"/>
        </w:rPr>
        <w:t>)</w:t>
      </w:r>
    </w:p>
    <w:p>
      <w:pPr>
        <w:spacing w:after="0" w:line="162" w:lineRule="exact"/>
        <w:rPr>
          <w:sz w:val="24"/>
          <w:szCs w:val="24"/>
          <w:color w:val="auto"/>
        </w:rPr>
      </w:pPr>
    </w:p>
    <w:p>
      <w:pPr>
        <w:ind w:left="200"/>
        <w:spacing w:after="0" w:line="253" w:lineRule="exact"/>
        <w:tabs>
          <w:tab w:leader="none" w:pos="3220" w:val="left"/>
        </w:tabs>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Filed by a Party other than the Registrant  </w:t>
      </w:r>
      <w:r>
        <w:rPr>
          <w:rFonts w:ascii="MS PGothic" w:cs="MS PGothic" w:eastAsia="MS PGothic" w:hAnsi="MS PGothic"/>
          <w:sz w:val="19"/>
          <w:szCs w:val="19"/>
          <w:color w:val="auto"/>
        </w:rPr>
        <w:t>☐</w:t>
      </w:r>
    </w:p>
    <w:p>
      <w:pPr>
        <w:spacing w:after="0" w:line="25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1060" w:hanging="42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1060" w:hanging="424"/>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1" w:lineRule="exact"/>
        <w:rPr>
          <w:sz w:val="24"/>
          <w:szCs w:val="24"/>
          <w:color w:val="auto"/>
        </w:rPr>
      </w:pPr>
    </w:p>
    <w:p>
      <w:pPr>
        <w:ind w:left="1060" w:hanging="424"/>
        <w:spacing w:after="0"/>
        <w:tabs>
          <w:tab w:leader="none" w:pos="10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1060" w:hanging="424"/>
        <w:spacing w:after="0"/>
        <w:tabs>
          <w:tab w:leader="none" w:pos="10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1060" w:hanging="424"/>
        <w:spacing w:after="0"/>
        <w:tabs>
          <w:tab w:leader="none" w:pos="10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160655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9"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JPMorgan Chase &amp; Co.</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640" w:hanging="436"/>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640" w:hanging="436"/>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060" w:hanging="424"/>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424"/>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20" w:hanging="424"/>
        <w:spacing w:after="0" w:line="277" w:lineRule="auto"/>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73" w:lineRule="exact"/>
        <w:rPr>
          <w:rFonts w:ascii="Arial" w:cs="Arial" w:eastAsia="Arial" w:hAnsi="Arial"/>
          <w:sz w:val="18"/>
          <w:szCs w:val="18"/>
          <w:color w:val="auto"/>
        </w:rPr>
      </w:pPr>
    </w:p>
    <w:p>
      <w:pPr>
        <w:ind w:left="1060" w:hanging="424"/>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424"/>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640" w:hanging="436"/>
        <w:spacing w:after="0" w:line="308" w:lineRule="auto"/>
        <w:tabs>
          <w:tab w:leader="none" w:pos="6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1060" w:hanging="424"/>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60" w:hanging="424"/>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424"/>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424"/>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-3877945</wp:posOffset>
            </wp:positionV>
            <wp:extent cx="6440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-3466465</wp:posOffset>
            </wp:positionV>
            <wp:extent cx="6508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-2917190</wp:posOffset>
            </wp:positionV>
            <wp:extent cx="6508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-2514600</wp:posOffset>
            </wp:positionV>
            <wp:extent cx="6508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-2102485</wp:posOffset>
            </wp:positionV>
            <wp:extent cx="6508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-1047750</wp:posOffset>
            </wp:positionV>
            <wp:extent cx="6508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-644525</wp:posOffset>
            </wp:positionV>
            <wp:extent cx="6508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-233045</wp:posOffset>
            </wp:positionV>
            <wp:extent cx="6508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177800</wp:posOffset>
            </wp:positionV>
            <wp:extent cx="6508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349250</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392430</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230" w:right="499" w:bottom="491"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220345</wp:posOffset>
            </wp:positionV>
            <wp:extent cx="5385435" cy="7212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5435" cy="721233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JPMorgan Chase &amp; Co.</w:t>
      </w:r>
    </w:p>
    <w:p>
      <w:pPr>
        <w:spacing w:after="0" w:line="1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383 Madison Avenue</w:t>
      </w:r>
    </w:p>
    <w:p>
      <w:pPr>
        <w:spacing w:after="0" w:line="1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New York 10179-0001</w:t>
      </w:r>
    </w:p>
    <w:p>
      <w:pPr>
        <w:spacing w:after="0" w:line="3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April 5, 2019</w:t>
      </w:r>
    </w:p>
    <w:p>
      <w:pPr>
        <w:spacing w:after="0" w:line="1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Dear fellow shareholders:</w:t>
      </w:r>
    </w:p>
    <w:p>
      <w:pPr>
        <w:spacing w:after="0" w:line="9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 are pleased to invite you to attend the annual meeting of</w:t>
      </w:r>
    </w:p>
    <w:p>
      <w:pPr>
        <w:ind w:left="5720"/>
        <w:spacing w:after="0"/>
        <w:rPr>
          <w:sz w:val="20"/>
          <w:szCs w:val="20"/>
          <w:color w:val="auto"/>
        </w:rPr>
      </w:pPr>
      <w:r>
        <w:rPr>
          <w:rFonts w:ascii="Arial" w:cs="Arial" w:eastAsia="Arial" w:hAnsi="Arial"/>
          <w:sz w:val="17"/>
          <w:szCs w:val="17"/>
          <w:color w:val="auto"/>
        </w:rPr>
        <w:t>shareholders to be held on May 21, 2019 at 10:00 a.m., local time, at</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Chase Tower in Chicago, Illinois. This forum provides shareholders</w:t>
      </w:r>
    </w:p>
    <w:p>
      <w:pPr>
        <w:ind w:left="5720"/>
        <w:spacing w:after="0" w:line="234" w:lineRule="auto"/>
        <w:rPr>
          <w:sz w:val="20"/>
          <w:szCs w:val="20"/>
          <w:color w:val="auto"/>
        </w:rPr>
      </w:pPr>
      <w:r>
        <w:rPr>
          <w:rFonts w:ascii="Arial" w:cs="Arial" w:eastAsia="Arial" w:hAnsi="Arial"/>
          <w:sz w:val="18"/>
          <w:szCs w:val="18"/>
          <w:color w:val="auto"/>
        </w:rPr>
        <w:t>with the opportunity to discuss topics of importance to the Firm’s</w:t>
      </w:r>
    </w:p>
    <w:p>
      <w:pPr>
        <w:ind w:left="5720"/>
        <w:spacing w:after="0" w:line="235" w:lineRule="auto"/>
        <w:rPr>
          <w:sz w:val="20"/>
          <w:szCs w:val="20"/>
          <w:color w:val="auto"/>
        </w:rPr>
      </w:pPr>
      <w:r>
        <w:rPr>
          <w:rFonts w:ascii="Arial" w:cs="Arial" w:eastAsia="Arial" w:hAnsi="Arial"/>
          <w:sz w:val="18"/>
          <w:szCs w:val="18"/>
          <w:color w:val="auto"/>
        </w:rPr>
        <w:t>business and affairs, to consider matters described in the proxy</w:t>
      </w:r>
    </w:p>
    <w:p>
      <w:pPr>
        <w:ind w:left="5720"/>
        <w:spacing w:after="0" w:line="235" w:lineRule="auto"/>
        <w:rPr>
          <w:sz w:val="20"/>
          <w:szCs w:val="20"/>
          <w:color w:val="auto"/>
        </w:rPr>
      </w:pPr>
      <w:r>
        <w:rPr>
          <w:rFonts w:ascii="Arial" w:cs="Arial" w:eastAsia="Arial" w:hAnsi="Arial"/>
          <w:sz w:val="18"/>
          <w:szCs w:val="18"/>
          <w:color w:val="auto"/>
        </w:rPr>
        <w:t>statement and to receive an update on the Firm’s activities and</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performance.</w:t>
      </w:r>
    </w:p>
    <w:p>
      <w:pPr>
        <w:spacing w:after="0" w:line="9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 hope that you will attend the meeting in person. We encourage</w:t>
      </w:r>
    </w:p>
    <w:p>
      <w:pPr>
        <w:ind w:left="5720"/>
        <w:spacing w:after="0" w:line="234" w:lineRule="auto"/>
        <w:rPr>
          <w:sz w:val="20"/>
          <w:szCs w:val="20"/>
          <w:color w:val="auto"/>
        </w:rPr>
      </w:pPr>
      <w:r>
        <w:rPr>
          <w:rFonts w:ascii="Arial" w:cs="Arial" w:eastAsia="Arial" w:hAnsi="Arial"/>
          <w:sz w:val="18"/>
          <w:szCs w:val="18"/>
          <w:color w:val="auto"/>
        </w:rPr>
        <w:t>you to designate the persons named as proxies on the proxy card to</w:t>
      </w:r>
    </w:p>
    <w:p>
      <w:pPr>
        <w:ind w:left="5720"/>
        <w:spacing w:after="0" w:line="235" w:lineRule="auto"/>
        <w:rPr>
          <w:sz w:val="20"/>
          <w:szCs w:val="20"/>
          <w:color w:val="auto"/>
        </w:rPr>
      </w:pPr>
      <w:r>
        <w:rPr>
          <w:rFonts w:ascii="Arial" w:cs="Arial" w:eastAsia="Arial" w:hAnsi="Arial"/>
          <w:sz w:val="18"/>
          <w:szCs w:val="18"/>
          <w:color w:val="auto"/>
        </w:rPr>
        <w:t>vote your shares even if you are planning to come. This will ensure</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that your common stock is represented at the meeting.</w:t>
      </w:r>
    </w:p>
    <w:p>
      <w:pPr>
        <w:spacing w:after="0" w:line="1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This proxy statement explains more about the matters to be voted on</w:t>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 the annual meeting and about proxy voting. Please read it</w:t>
      </w:r>
    </w:p>
    <w:p>
      <w:pPr>
        <w:ind w:left="5720"/>
        <w:spacing w:after="0"/>
        <w:rPr>
          <w:sz w:val="20"/>
          <w:szCs w:val="20"/>
          <w:color w:val="auto"/>
        </w:rPr>
      </w:pPr>
      <w:r>
        <w:rPr>
          <w:rFonts w:ascii="Arial" w:cs="Arial" w:eastAsia="Arial" w:hAnsi="Arial"/>
          <w:sz w:val="18"/>
          <w:szCs w:val="18"/>
          <w:color w:val="auto"/>
        </w:rPr>
        <w:t>carefully. We look forward to your participation.</w:t>
      </w:r>
    </w:p>
    <w:p>
      <w:pPr>
        <w:spacing w:after="0" w:line="1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229235</wp:posOffset>
            </wp:positionV>
            <wp:extent cx="1715135" cy="797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513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James Dimon</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709295</wp:posOffset>
            </wp:positionV>
            <wp:extent cx="244411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44115" cy="18034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004876"/>
        </w:rPr>
        <w:t>A LETTER FROM JAMIE DIMON, OUR CHAIRMAN, AND</w:t>
      </w:r>
    </w:p>
    <w:p>
      <w:pPr>
        <w:spacing w:after="0" w:line="50"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004876"/>
        </w:rPr>
        <w:t>LEE R. RAYMOND, OUR LEAD INDEPENDENT DIRECTOR</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5, 2019</w:t>
      </w:r>
    </w:p>
    <w:p>
      <w:pPr>
        <w:ind w:left="200"/>
        <w:spacing w:after="0"/>
        <w:rPr>
          <w:sz w:val="20"/>
          <w:szCs w:val="20"/>
          <w:color w:val="auto"/>
        </w:rPr>
      </w:pPr>
      <w:r>
        <w:rPr>
          <w:rFonts w:ascii="Arial" w:cs="Arial" w:eastAsia="Arial" w:hAnsi="Arial"/>
          <w:sz w:val="18"/>
          <w:szCs w:val="18"/>
          <w:color w:val="auto"/>
        </w:rPr>
        <w:t>Dear fellow shareholders:</w:t>
      </w:r>
    </w:p>
    <w:p>
      <w:pPr>
        <w:sectPr>
          <w:pgSz w:w="11900" w:h="16838" w:orient="portrait"/>
          <w:cols w:equalWidth="0" w:num="1">
            <w:col w:w="11220"/>
          </w:cols>
          <w:pgMar w:left="240" w:top="459" w:right="439" w:bottom="1440" w:gutter="0" w:footer="0" w:header="0"/>
        </w:sectPr>
      </w:pPr>
    </w:p>
    <w:p>
      <w:pPr>
        <w:spacing w:after="0" w:line="171" w:lineRule="exact"/>
        <w:rPr>
          <w:sz w:val="20"/>
          <w:szCs w:val="20"/>
          <w:color w:val="auto"/>
        </w:rPr>
      </w:pPr>
    </w:p>
    <w:p>
      <w:pPr>
        <w:ind w:left="220"/>
        <w:spacing w:after="0" w:line="250" w:lineRule="auto"/>
        <w:rPr>
          <w:sz w:val="20"/>
          <w:szCs w:val="20"/>
          <w:color w:val="auto"/>
        </w:rPr>
      </w:pPr>
      <w:r>
        <w:rPr>
          <w:rFonts w:ascii="Arial" w:cs="Arial" w:eastAsia="Arial" w:hAnsi="Arial"/>
          <w:sz w:val="17"/>
          <w:szCs w:val="17"/>
          <w:color w:val="auto"/>
        </w:rPr>
        <w:t>In connection with the 2019 Annual Meeting, we write to share with you some of the highlights of the work of our Board. We recognize that JPMorgan Chase is an exceptional company with an extraordinary heritage and a promising future. The Firm has continually innovated and evolved, and today we have a proven business model with a breadth, scale and reach that is unparalleled. That presents us with opportunities and challenges to interact with a wide range of clients and customers, employees, regulators, shareholders and communities all over the world. JPMorgan Chase has continually seized its opportunities and met its challenges, resulting in best-in-class long-term performance. We will work tirelessly to continue to outperform in any environment and live up to the Firm’s heritage and promise.</w:t>
      </w:r>
    </w:p>
    <w:p>
      <w:pPr>
        <w:spacing w:after="0" w:line="95"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As for this year specifically, the Board notes that it was another strong year for the Firm, as we generated record earnings per share and added clients and customers while continuing to make significant investments in products, people and technology. At the same time, the Firm maintained its fortress balance sheet and its strong, cohesive culture, which supported sustained shareholder value.</w:t>
      </w:r>
    </w:p>
    <w:p>
      <w:pPr>
        <w:spacing w:after="0" w:line="9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Board also holds management accountable to prepare for the future, overseeing the Firm’s long-term strategic planning. Over the course of the year, the Board met regularly with senior management to discuss how the Firm is focused on investing in exceptional client service today, as well as in innovation that will make us even more valuable to our clients and customers—even when that means disrupting ourselves. We have observed management’s commitment to pursuing the leading technology capabilities and infrastructure necessary to maintain and capitalize on our scale and continuing to invest for the future, while maintaining expense discipline. We have also seen management’s unwavering commitment to an effective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and efficient risk and control environment. This includes being prepared to operate effectively in an evolving financial landscape, regardless of interest rates, credit cycle, balance sheet and capital, liquidity and funding requirements across jurisdictions.</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Having a first-rate management team in place to meet these challenges continues to be one of our highest priorities as a Board. We regularly review succession planning for the CEO and other members of the Operating Committee and take advantage of numerous formal and informal opportunities to meet with members of the Operating Committee and other high potential senior management leaders. The appointment of Daniel Pinto and Gordon Smith as Co-Presidents and Co-Chief Operating Officers of the Company demonstrates the strength of our management team and our commitment to provide ongoing growth opportunities for future generations of leaders to develop the capabilities critical to the Firm’s long-term health and success.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we have long believed that oversight of the Firm’s culture and reputation are key Board responsibilities. In fulfilling this role, we hold management to the highest standards of conduct, respect and personal accountability in everything we do for our clients and customers, employees, shareholders and the communities we serve. This means that when there are issues internally, we expect management to address them. Equally important, we must give back to the communities we serve. The Firm continued to make significant progress this past year, through its commitments to skills training, financial education, inner city advancement, disaster relief and employee development.</w:t>
      </w:r>
    </w:p>
    <w:p>
      <w:pPr>
        <w:spacing w:after="0" w:line="9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Board is also focused on its own succession planning and the need to ensure we have the right mix of skills and expertise and an appropriate balance of experience and fresh perspective. As a result of these</w:t>
      </w:r>
    </w:p>
    <w:p>
      <w:pPr>
        <w:sectPr>
          <w:pgSz w:w="11900" w:h="16838" w:orient="portrait"/>
          <w:cols w:equalWidth="0" w:num="2">
            <w:col w:w="5460" w:space="360"/>
            <w:col w:w="5400"/>
          </w:cols>
          <w:pgMar w:left="240" w:top="459"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220" w:right="4899"/>
        <w:spacing w:after="0" w:line="246" w:lineRule="auto"/>
        <w:rPr>
          <w:sz w:val="20"/>
          <w:szCs w:val="20"/>
          <w:color w:val="auto"/>
        </w:rPr>
      </w:pPr>
      <w:r>
        <w:rPr>
          <w:rFonts w:ascii="Arial" w:cs="Arial" w:eastAsia="Arial" w:hAnsi="Arial"/>
          <w:sz w:val="18"/>
          <w:szCs w:val="18"/>
          <w:color w:val="auto"/>
        </w:rPr>
        <w:t>efforts, four new directors, including two women, have joined the Board in the last six years.</w:t>
      </w:r>
    </w:p>
    <w:p>
      <w:pPr>
        <w:spacing w:after="0" w:line="89" w:lineRule="exact"/>
        <w:rPr>
          <w:sz w:val="20"/>
          <w:szCs w:val="20"/>
          <w:color w:val="auto"/>
        </w:rPr>
      </w:pPr>
    </w:p>
    <w:p>
      <w:pPr>
        <w:ind w:left="220" w:right="4719"/>
        <w:spacing w:after="0" w:line="236" w:lineRule="auto"/>
        <w:rPr>
          <w:sz w:val="20"/>
          <w:szCs w:val="20"/>
          <w:color w:val="auto"/>
        </w:rPr>
      </w:pPr>
      <w:r>
        <w:rPr>
          <w:rFonts w:ascii="Arial" w:cs="Arial" w:eastAsia="Arial" w:hAnsi="Arial"/>
          <w:sz w:val="18"/>
          <w:szCs w:val="18"/>
          <w:color w:val="auto"/>
        </w:rPr>
        <w:t>We would like to take this opportunity to thank our friend and colleague, William Weldon, who will be retiring from our Board immediately prior to our Annual Meeting. We have benefited greatly from Bill’s insights on leadership, management development, governance and international business matters. His service on the Compensation &amp; Management Development Committee and as Chair of the Corporate Governance &amp; Nominating Committee has enhanced our Board and our Firm. We will miss his valuable perspective and commitment.</w:t>
      </w:r>
    </w:p>
    <w:p>
      <w:pPr>
        <w:spacing w:after="0" w:line="99" w:lineRule="exact"/>
        <w:rPr>
          <w:sz w:val="20"/>
          <w:szCs w:val="20"/>
          <w:color w:val="auto"/>
        </w:rPr>
      </w:pPr>
    </w:p>
    <w:p>
      <w:pPr>
        <w:ind w:left="220" w:right="4779"/>
        <w:spacing w:after="0" w:line="239" w:lineRule="auto"/>
        <w:rPr>
          <w:sz w:val="20"/>
          <w:szCs w:val="20"/>
          <w:color w:val="auto"/>
        </w:rPr>
      </w:pPr>
      <w:r>
        <w:rPr>
          <w:rFonts w:ascii="Arial" w:cs="Arial" w:eastAsia="Arial" w:hAnsi="Arial"/>
          <w:sz w:val="18"/>
          <w:szCs w:val="18"/>
          <w:color w:val="auto"/>
        </w:rPr>
        <w:t>We look forward to continuing to deliver value to our customers, shareholders and communities. On behalf of all our colleagues on the Board, we are grateful for your support of our Board and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1715135" cy="797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513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James Dimon</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152400</wp:posOffset>
            </wp:positionV>
            <wp:extent cx="2040890"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4089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Lee R. Raymond</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Lead Independent Director</w:t>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Notice of 2019 Annual Meeting of Shareholders and Proxy Statement</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DATE</w:t>
            </w:r>
          </w:p>
        </w:tc>
        <w:tc>
          <w:tcPr>
            <w:tcW w:w="8820" w:type="dxa"/>
            <w:vAlign w:val="bottom"/>
          </w:tcPr>
          <w:p>
            <w:pPr>
              <w:ind w:left="120"/>
              <w:spacing w:after="0"/>
              <w:rPr>
                <w:sz w:val="20"/>
                <w:szCs w:val="20"/>
                <w:color w:val="auto"/>
              </w:rPr>
            </w:pPr>
            <w:r>
              <w:rPr>
                <w:rFonts w:ascii="Arial" w:cs="Arial" w:eastAsia="Arial" w:hAnsi="Arial"/>
                <w:sz w:val="18"/>
                <w:szCs w:val="18"/>
                <w:color w:val="auto"/>
              </w:rPr>
              <w:t>Tuesday, May 21, 2019</w:t>
            </w:r>
          </w:p>
        </w:tc>
      </w:tr>
      <w:tr>
        <w:trPr>
          <w:trHeight w:val="311"/>
        </w:trPr>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TIME</w:t>
            </w:r>
          </w:p>
        </w:tc>
        <w:tc>
          <w:tcPr>
            <w:tcW w:w="8820" w:type="dxa"/>
            <w:vAlign w:val="bottom"/>
          </w:tcPr>
          <w:p>
            <w:pPr>
              <w:ind w:left="120"/>
              <w:spacing w:after="0"/>
              <w:rPr>
                <w:sz w:val="20"/>
                <w:szCs w:val="20"/>
                <w:color w:val="auto"/>
              </w:rPr>
            </w:pPr>
            <w:r>
              <w:rPr>
                <w:rFonts w:ascii="Arial" w:cs="Arial" w:eastAsia="Arial" w:hAnsi="Arial"/>
                <w:sz w:val="18"/>
                <w:szCs w:val="18"/>
                <w:color w:val="auto"/>
              </w:rPr>
              <w:t>10:00 a.m. Central Time</w:t>
            </w:r>
          </w:p>
        </w:tc>
      </w:tr>
      <w:tr>
        <w:trPr>
          <w:trHeight w:val="294"/>
        </w:trPr>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PLACE</w:t>
            </w:r>
          </w:p>
        </w:tc>
        <w:tc>
          <w:tcPr>
            <w:tcW w:w="8820" w:type="dxa"/>
            <w:vAlign w:val="bottom"/>
          </w:tcPr>
          <w:p>
            <w:pPr>
              <w:ind w:left="120"/>
              <w:spacing w:after="0"/>
              <w:rPr>
                <w:sz w:val="20"/>
                <w:szCs w:val="20"/>
                <w:color w:val="auto"/>
              </w:rPr>
            </w:pPr>
            <w:r>
              <w:rPr>
                <w:rFonts w:ascii="Arial" w:cs="Arial" w:eastAsia="Arial" w:hAnsi="Arial"/>
                <w:sz w:val="18"/>
                <w:szCs w:val="18"/>
                <w:color w:val="auto"/>
              </w:rPr>
              <w:t>Chase Tower</w:t>
            </w:r>
          </w:p>
        </w:tc>
      </w:tr>
      <w:tr>
        <w:trPr>
          <w:trHeight w:val="205"/>
        </w:trPr>
        <w:tc>
          <w:tcPr>
            <w:tcW w:w="1560" w:type="dxa"/>
            <w:vAlign w:val="bottom"/>
          </w:tcPr>
          <w:p>
            <w:pPr>
              <w:spacing w:after="0"/>
              <w:rPr>
                <w:sz w:val="17"/>
                <w:szCs w:val="17"/>
                <w:color w:val="auto"/>
              </w:rPr>
            </w:pPr>
          </w:p>
        </w:tc>
        <w:tc>
          <w:tcPr>
            <w:tcW w:w="8820" w:type="dxa"/>
            <w:vAlign w:val="bottom"/>
          </w:tcPr>
          <w:p>
            <w:pPr>
              <w:ind w:left="120"/>
              <w:spacing w:after="0" w:line="205" w:lineRule="exact"/>
              <w:rPr>
                <w:sz w:val="20"/>
                <w:szCs w:val="20"/>
                <w:color w:val="auto"/>
              </w:rPr>
            </w:pPr>
            <w:r>
              <w:rPr>
                <w:rFonts w:ascii="Arial" w:cs="Arial" w:eastAsia="Arial" w:hAnsi="Arial"/>
                <w:sz w:val="18"/>
                <w:szCs w:val="18"/>
                <w:color w:val="auto"/>
              </w:rPr>
              <w:t>21 South Clark Street, 56</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7"/>
        </w:trPr>
        <w:tc>
          <w:tcPr>
            <w:tcW w:w="156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Chicago, Illinois 60603</w:t>
            </w:r>
          </w:p>
        </w:tc>
      </w:tr>
      <w:tr>
        <w:trPr>
          <w:trHeight w:val="324"/>
        </w:trPr>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RECORD DATE</w:t>
            </w:r>
          </w:p>
        </w:tc>
        <w:tc>
          <w:tcPr>
            <w:tcW w:w="8820" w:type="dxa"/>
            <w:vAlign w:val="bottom"/>
          </w:tcPr>
          <w:p>
            <w:pPr>
              <w:ind w:left="120"/>
              <w:spacing w:after="0"/>
              <w:rPr>
                <w:sz w:val="20"/>
                <w:szCs w:val="20"/>
                <w:color w:val="auto"/>
              </w:rPr>
            </w:pPr>
            <w:r>
              <w:rPr>
                <w:rFonts w:ascii="Arial" w:cs="Arial" w:eastAsia="Arial" w:hAnsi="Arial"/>
                <w:sz w:val="18"/>
                <w:szCs w:val="18"/>
                <w:color w:val="auto"/>
              </w:rPr>
              <w:t>March 22, 2019</w:t>
            </w:r>
          </w:p>
        </w:tc>
      </w:tr>
      <w:tr>
        <w:trPr>
          <w:trHeight w:val="331"/>
        </w:trPr>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MATTERS TO BE</w:t>
            </w:r>
          </w:p>
        </w:tc>
        <w:tc>
          <w:tcPr>
            <w:tcW w:w="8820" w:type="dxa"/>
            <w:vAlign w:val="bottom"/>
          </w:tcPr>
          <w:p>
            <w:pPr>
              <w:ind w:left="120"/>
              <w:spacing w:after="0"/>
              <w:rPr>
                <w:sz w:val="20"/>
                <w:szCs w:val="20"/>
                <w:color w:val="auto"/>
              </w:rPr>
            </w:pPr>
            <w:r>
              <w:rPr>
                <w:rFonts w:ascii="Arial" w:cs="Arial" w:eastAsia="Arial" w:hAnsi="Arial"/>
                <w:sz w:val="18"/>
                <w:szCs w:val="18"/>
                <w:color w:val="auto"/>
              </w:rPr>
              <w:t>Election of directors</w:t>
            </w:r>
          </w:p>
        </w:tc>
      </w:tr>
      <w:tr>
        <w:trPr>
          <w:trHeight w:val="311"/>
        </w:trPr>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VOTED ON</w:t>
            </w:r>
          </w:p>
        </w:tc>
        <w:tc>
          <w:tcPr>
            <w:tcW w:w="8820" w:type="dxa"/>
            <w:vAlign w:val="bottom"/>
          </w:tcPr>
          <w:p>
            <w:pPr>
              <w:ind w:left="120"/>
              <w:spacing w:after="0"/>
              <w:rPr>
                <w:sz w:val="20"/>
                <w:szCs w:val="20"/>
                <w:color w:val="auto"/>
              </w:rPr>
            </w:pPr>
            <w:r>
              <w:rPr>
                <w:rFonts w:ascii="Arial" w:cs="Arial" w:eastAsia="Arial" w:hAnsi="Arial"/>
                <w:sz w:val="18"/>
                <w:szCs w:val="18"/>
                <w:color w:val="auto"/>
              </w:rPr>
              <w:t>Advisory resolution to approve executive compensation</w:t>
            </w:r>
          </w:p>
        </w:tc>
      </w:tr>
      <w:tr>
        <w:trPr>
          <w:trHeight w:val="311"/>
        </w:trPr>
        <w:tc>
          <w:tcPr>
            <w:tcW w:w="1560" w:type="dxa"/>
            <w:vAlign w:val="bottom"/>
          </w:tcPr>
          <w:p>
            <w:pPr>
              <w:spacing w:after="0"/>
              <w:rPr>
                <w:sz w:val="24"/>
                <w:szCs w:val="24"/>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Ratification of PricewaterhouseCoopers LLP as our independent registered public accounting firm for 2019</w:t>
            </w:r>
          </w:p>
        </w:tc>
      </w:tr>
      <w:tr>
        <w:trPr>
          <w:trHeight w:val="311"/>
        </w:trPr>
        <w:tc>
          <w:tcPr>
            <w:tcW w:w="1560" w:type="dxa"/>
            <w:vAlign w:val="bottom"/>
          </w:tcPr>
          <w:p>
            <w:pPr>
              <w:spacing w:after="0"/>
              <w:rPr>
                <w:sz w:val="24"/>
                <w:szCs w:val="24"/>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Shareholder proposals, if they are properly introduced at the meeting</w:t>
            </w:r>
          </w:p>
        </w:tc>
      </w:tr>
      <w:tr>
        <w:trPr>
          <w:trHeight w:val="311"/>
        </w:trPr>
        <w:tc>
          <w:tcPr>
            <w:tcW w:w="1560" w:type="dxa"/>
            <w:vAlign w:val="bottom"/>
          </w:tcPr>
          <w:p>
            <w:pPr>
              <w:spacing w:after="0"/>
              <w:rPr>
                <w:sz w:val="24"/>
                <w:szCs w:val="24"/>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Any other matters that may properly be brought before the meeting</w:t>
            </w:r>
          </w:p>
        </w:tc>
      </w:tr>
      <w:tr>
        <w:trPr>
          <w:trHeight w:val="399"/>
        </w:trPr>
        <w:tc>
          <w:tcPr>
            <w:tcW w:w="1560" w:type="dxa"/>
            <w:vAlign w:val="bottom"/>
          </w:tcPr>
          <w:p>
            <w:pPr>
              <w:spacing w:after="0"/>
              <w:rPr>
                <w:sz w:val="24"/>
                <w:szCs w:val="24"/>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By order of the Board of Directors</w:t>
            </w:r>
          </w:p>
        </w:tc>
      </w:tr>
      <w:tr>
        <w:trPr>
          <w:trHeight w:val="296"/>
        </w:trPr>
        <w:tc>
          <w:tcPr>
            <w:tcW w:w="1560" w:type="dxa"/>
            <w:vAlign w:val="bottom"/>
          </w:tcPr>
          <w:p>
            <w:pPr>
              <w:spacing w:after="0"/>
              <w:rPr>
                <w:sz w:val="24"/>
                <w:szCs w:val="24"/>
                <w:color w:val="auto"/>
              </w:rPr>
            </w:pPr>
          </w:p>
        </w:tc>
        <w:tc>
          <w:tcPr>
            <w:tcW w:w="8820" w:type="dxa"/>
            <w:vAlign w:val="bottom"/>
          </w:tcPr>
          <w:p>
            <w:pPr>
              <w:ind w:left="120"/>
              <w:spacing w:after="0"/>
              <w:rPr>
                <w:sz w:val="20"/>
                <w:szCs w:val="20"/>
                <w:color w:val="auto"/>
              </w:rPr>
            </w:pPr>
            <w:r>
              <w:rPr>
                <w:rFonts w:ascii="Arial" w:cs="Arial" w:eastAsia="Arial" w:hAnsi="Arial"/>
                <w:sz w:val="18"/>
                <w:szCs w:val="18"/>
                <w:b w:val="1"/>
                <w:bCs w:val="1"/>
                <w:color w:val="auto"/>
              </w:rPr>
              <w:t>Molly Carpenter</w:t>
            </w:r>
          </w:p>
        </w:tc>
      </w:tr>
      <w:tr>
        <w:trPr>
          <w:trHeight w:val="217"/>
        </w:trPr>
        <w:tc>
          <w:tcPr>
            <w:tcW w:w="1560" w:type="dxa"/>
            <w:vAlign w:val="bottom"/>
          </w:tcPr>
          <w:p>
            <w:pPr>
              <w:spacing w:after="0"/>
              <w:rPr>
                <w:sz w:val="18"/>
                <w:szCs w:val="18"/>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Secretary</w:t>
            </w:r>
          </w:p>
        </w:tc>
      </w:tr>
      <w:tr>
        <w:trPr>
          <w:trHeight w:val="311"/>
        </w:trPr>
        <w:tc>
          <w:tcPr>
            <w:tcW w:w="1560" w:type="dxa"/>
            <w:vAlign w:val="bottom"/>
          </w:tcPr>
          <w:p>
            <w:pPr>
              <w:spacing w:after="0"/>
              <w:rPr>
                <w:sz w:val="24"/>
                <w:szCs w:val="24"/>
                <w:color w:val="auto"/>
              </w:rPr>
            </w:pPr>
          </w:p>
        </w:tc>
        <w:tc>
          <w:tcPr>
            <w:tcW w:w="8820" w:type="dxa"/>
            <w:vAlign w:val="bottom"/>
          </w:tcPr>
          <w:p>
            <w:pPr>
              <w:ind w:left="120"/>
              <w:spacing w:after="0"/>
              <w:rPr>
                <w:sz w:val="20"/>
                <w:szCs w:val="20"/>
                <w:color w:val="auto"/>
              </w:rPr>
            </w:pPr>
            <w:r>
              <w:rPr>
                <w:rFonts w:ascii="Arial" w:cs="Arial" w:eastAsia="Arial" w:hAnsi="Arial"/>
                <w:sz w:val="18"/>
                <w:szCs w:val="18"/>
                <w:color w:val="auto"/>
              </w:rPr>
              <w:t>April 5,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197485</wp:posOffset>
            </wp:positionV>
            <wp:extent cx="6997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VOTE IS IMPORTANT TO US. PLEASE VOTE PROMPTLY.</w:t>
      </w:r>
    </w:p>
    <w:p>
      <w:pPr>
        <w:spacing w:after="0" w:line="18"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JPMorgan Chase &amp; Co. uses the Securities and Exchange Commission rule permitting companies to furnish proxy materials to their shareholders on the Internet. In accordance with this rule, on or about April 5, 2019, we sent to shareholders of record at the close of business on March 22, 2019, a Notice of Internet Availability of Proxy Materials (“Notice”), which includes instructions on how to access our 2019 Proxy Statement and 2018 Annual Report online, and how to vote online for the 2019 Annual Shareholder Meeting.</w:t>
      </w:r>
    </w:p>
    <w:p>
      <w:pPr>
        <w:spacing w:after="0" w:line="94"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If you received a Notice and would like to receive a printed copy of our proxy materials, please follow the instructions for requesting such materials included in the Notice.</w:t>
      </w:r>
    </w:p>
    <w:p>
      <w:pPr>
        <w:spacing w:after="0" w:line="89"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If you plan to attend the meeting in person, you will be required to present a valid form of government-issued photo identification, such as a driver’s license or passport, and proof of ownership of our common stock as of our record date March 22, 2019. See “Information about the annual shareholder meeting” on page 92 of this proxy statement.</w:t>
      </w:r>
    </w:p>
    <w:p>
      <w:pPr>
        <w:spacing w:after="0" w:line="95"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If you hold your shares through a broker, your shares will not be voted unless (i) you provide voting instructions or (ii) the matter is one for which brokers have discretionary authority to vote. Of the matters to be voted on at the annual meeting, the only one for which brokers have discretionary authority to vote is Proposal 3, the ratification of the independent registered public accounting firm. See “What is the voting requirement to approve each of the proposals?” on page 95 of this proxy statement.</w:t>
      </w:r>
    </w:p>
    <w:p>
      <w:pPr>
        <w:sectPr>
          <w:pgSz w:w="11900" w:h="16838" w:orient="portrait"/>
          <w:cols w:equalWidth="0" w:num="1">
            <w:col w:w="11120"/>
          </w:cols>
          <w:pgMar w:left="240" w:top="459" w:right="5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60"/>
          </w:cols>
          <w:pgMar w:left="240" w:top="459" w:right="499" w:bottom="1440" w:gutter="0" w:footer="0" w:header="0"/>
        </w:sect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42"/>
          <w:szCs w:val="42"/>
          <w:color w:val="004876"/>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311" w:lineRule="exact"/>
        <w:rPr>
          <w:sz w:val="20"/>
          <w:szCs w:val="20"/>
          <w:color w:val="auto"/>
        </w:rPr>
      </w:pPr>
      <w:r>
        <w:rPr>
          <w:rFonts w:ascii="Arial" w:cs="Arial" w:eastAsia="Arial" w:hAnsi="Arial"/>
          <w:sz w:val="19"/>
          <w:szCs w:val="19"/>
          <w:color w:val="004876"/>
        </w:rPr>
        <w:t xml:space="preserve">RECOMMENDATIONS </w:t>
      </w:r>
      <w:r>
        <w:rPr>
          <w:rFonts w:ascii="MS PGothic" w:cs="MS PGothic" w:eastAsia="MS PGothic" w:hAnsi="MS PGothic"/>
          <w:sz w:val="27"/>
          <w:szCs w:val="27"/>
          <w:color w:val="73A95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-86360</wp:posOffset>
            </wp:positionV>
            <wp:extent cx="12001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7760" w:space="720"/>
            <w:col w:w="2680"/>
          </w:cols>
          <w:pgMar w:left="240" w:top="459" w:right="499" w:bottom="1440" w:gutter="0" w:footer="0" w:header="0"/>
          <w:type w:val="continuous"/>
        </w:sectPr>
      </w:pPr>
    </w:p>
    <w:p>
      <w:pPr>
        <w:spacing w:after="0" w:line="93"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3800" w:type="dxa"/>
            <w:vAlign w:val="bottom"/>
            <w:gridSpan w:val="3"/>
          </w:tcPr>
          <w:p>
            <w:pPr>
              <w:spacing w:after="0"/>
              <w:rPr>
                <w:rFonts w:ascii="Arial" w:cs="Arial" w:eastAsia="Arial" w:hAnsi="Arial"/>
                <w:sz w:val="16"/>
                <w:szCs w:val="16"/>
                <w:b w:val="1"/>
                <w:bCs w:val="1"/>
                <w:color w:val="0000EE"/>
              </w:rPr>
            </w:pPr>
            <w:hyperlink w:anchor="page9">
              <w:r>
                <w:rPr>
                  <w:rFonts w:ascii="Arial" w:cs="Arial" w:eastAsia="Arial" w:hAnsi="Arial"/>
                  <w:sz w:val="16"/>
                  <w:szCs w:val="16"/>
                  <w:b w:val="1"/>
                  <w:bCs w:val="1"/>
                  <w:color w:val="0000EE"/>
                </w:rPr>
                <w:t>2019 Proxy summary</w:t>
              </w:r>
            </w:hyperlink>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4600" w:type="dxa"/>
            <w:vAlign w:val="bottom"/>
            <w:gridSpan w:val="4"/>
          </w:tcPr>
          <w:p>
            <w:pPr>
              <w:ind w:left="400"/>
              <w:spacing w:after="0"/>
              <w:rPr>
                <w:sz w:val="20"/>
                <w:szCs w:val="20"/>
                <w:color w:val="auto"/>
              </w:rPr>
            </w:pPr>
            <w:r>
              <w:rPr>
                <w:rFonts w:ascii="Arial" w:cs="Arial" w:eastAsia="Arial" w:hAnsi="Arial"/>
                <w:sz w:val="16"/>
                <w:szCs w:val="16"/>
                <w:b w:val="1"/>
                <w:bCs w:val="1"/>
                <w:color w:val="004876"/>
              </w:rPr>
              <w:t>Proposal 1 (continued)</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gridSpan w:val="3"/>
            <w:vMerge w:val="restart"/>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Compensation &amp; Management Development Committee</w:t>
              </w:r>
            </w:hyperlink>
          </w:p>
        </w:tc>
        <w:tc>
          <w:tcPr>
            <w:tcW w:w="0" w:type="dxa"/>
            <w:vAlign w:val="bottom"/>
          </w:tcPr>
          <w:p>
            <w:pPr>
              <w:spacing w:after="0" w:line="20" w:lineRule="exact"/>
              <w:rPr>
                <w:sz w:val="1"/>
                <w:szCs w:val="1"/>
                <w:color w:val="auto"/>
              </w:rPr>
            </w:pPr>
          </w:p>
        </w:tc>
      </w:tr>
      <w:tr>
        <w:trPr>
          <w:trHeight w:val="215"/>
        </w:trPr>
        <w:tc>
          <w:tcPr>
            <w:tcW w:w="60" w:type="dxa"/>
            <w:vAlign w:val="bottom"/>
          </w:tcPr>
          <w:p>
            <w:pPr>
              <w:spacing w:after="0"/>
              <w:rPr>
                <w:sz w:val="18"/>
                <w:szCs w:val="18"/>
                <w:color w:val="auto"/>
              </w:rPr>
            </w:pPr>
          </w:p>
        </w:tc>
        <w:tc>
          <w:tcPr>
            <w:tcW w:w="3800" w:type="dxa"/>
            <w:vAlign w:val="bottom"/>
            <w:gridSpan w:val="3"/>
            <w:vMerge w:val="restart"/>
          </w:tcPr>
          <w:p>
            <w:pPr>
              <w:spacing w:after="0"/>
              <w:rPr>
                <w:sz w:val="20"/>
                <w:szCs w:val="20"/>
                <w:color w:val="auto"/>
              </w:rPr>
            </w:pPr>
            <w:r>
              <w:rPr>
                <w:rFonts w:ascii="Arial" w:cs="Arial" w:eastAsia="Arial" w:hAnsi="Arial"/>
                <w:sz w:val="23"/>
                <w:szCs w:val="23"/>
                <w:b w:val="1"/>
                <w:bCs w:val="1"/>
                <w:color w:val="004876"/>
              </w:rPr>
              <w:t>Corporate Governance</w:t>
            </w: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60" w:type="dxa"/>
            <w:vAlign w:val="bottom"/>
            <w:tcBorders>
              <w:bottom w:val="single" w:sz="8" w:color="0000EE"/>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800" w:type="dxa"/>
            <w:vAlign w:val="bottom"/>
            <w:gridSpan w:val="3"/>
            <w:vMerge w:val="continue"/>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60" w:type="dxa"/>
            <w:vAlign w:val="bottom"/>
            <w:gridSpan w:val="3"/>
          </w:tcPr>
          <w:p>
            <w:pPr>
              <w:spacing w:after="0" w:line="169" w:lineRule="exact"/>
              <w:rPr>
                <w:rFonts w:ascii="Arial" w:cs="Arial" w:eastAsia="Arial" w:hAnsi="Arial"/>
                <w:sz w:val="16"/>
                <w:szCs w:val="16"/>
                <w:color w:val="0000EE"/>
              </w:rPr>
            </w:pPr>
            <w:hyperlink w:anchor="page42">
              <w:r>
                <w:rPr>
                  <w:rFonts w:ascii="Arial" w:cs="Arial" w:eastAsia="Arial" w:hAnsi="Arial"/>
                  <w:sz w:val="16"/>
                  <w:szCs w:val="16"/>
                  <w:color w:val="0000EE"/>
                </w:rPr>
                <w:t>interlocks and insider participation</w:t>
              </w:r>
            </w:hyperlink>
          </w:p>
        </w:tc>
        <w:tc>
          <w:tcPr>
            <w:tcW w:w="0" w:type="dxa"/>
            <w:vAlign w:val="bottom"/>
          </w:tcPr>
          <w:p>
            <w:pPr>
              <w:spacing w:after="0"/>
              <w:rPr>
                <w:sz w:val="1"/>
                <w:szCs w:val="1"/>
                <w:color w:val="auto"/>
              </w:rPr>
            </w:pPr>
          </w:p>
        </w:tc>
      </w:tr>
      <w:tr>
        <w:trPr>
          <w:trHeight w:val="217"/>
        </w:trPr>
        <w:tc>
          <w:tcPr>
            <w:tcW w:w="60" w:type="dxa"/>
            <w:vAlign w:val="bottom"/>
            <w:tcBorders>
              <w:top w:val="single" w:sz="8" w:color="004876"/>
            </w:tcBorders>
          </w:tcPr>
          <w:p>
            <w:pPr>
              <w:spacing w:after="0"/>
              <w:rPr>
                <w:sz w:val="18"/>
                <w:szCs w:val="18"/>
                <w:color w:val="auto"/>
              </w:rPr>
            </w:pPr>
          </w:p>
        </w:tc>
        <w:tc>
          <w:tcPr>
            <w:tcW w:w="1420" w:type="dxa"/>
            <w:vAlign w:val="bottom"/>
            <w:tcBorders>
              <w:top w:val="single" w:sz="8" w:color="004876"/>
              <w:bottom w:val="single" w:sz="8" w:color="0000EE"/>
            </w:tcBorders>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Executive summary</w:t>
              </w:r>
            </w:hyperlink>
          </w:p>
        </w:tc>
        <w:tc>
          <w:tcPr>
            <w:tcW w:w="2380" w:type="dxa"/>
            <w:vAlign w:val="bottom"/>
            <w:tcBorders>
              <w:top w:val="single" w:sz="8" w:color="004876"/>
            </w:tcBorders>
            <w:gridSpan w:val="2"/>
          </w:tcPr>
          <w:p>
            <w:pPr>
              <w:spacing w:after="0"/>
              <w:rPr>
                <w:sz w:val="18"/>
                <w:szCs w:val="18"/>
                <w:color w:val="auto"/>
              </w:rPr>
            </w:pPr>
          </w:p>
        </w:tc>
        <w:tc>
          <w:tcPr>
            <w:tcW w:w="1420" w:type="dxa"/>
            <w:vAlign w:val="bottom"/>
            <w:tcBorders>
              <w:top w:val="single" w:sz="8" w:color="004876"/>
            </w:tcBorders>
          </w:tcPr>
          <w:p>
            <w:pPr>
              <w:jc w:val="right"/>
              <w:spacing w:after="0"/>
              <w:rPr>
                <w:sz w:val="20"/>
                <w:szCs w:val="20"/>
                <w:color w:val="auto"/>
              </w:rPr>
            </w:pPr>
            <w:r>
              <w:rPr>
                <w:rFonts w:ascii="Arial" w:cs="Arial" w:eastAsia="Arial" w:hAnsi="Arial"/>
                <w:sz w:val="16"/>
                <w:szCs w:val="16"/>
                <w:color w:val="auto"/>
              </w:rPr>
              <w:t>9</w:t>
            </w:r>
          </w:p>
        </w:tc>
        <w:tc>
          <w:tcPr>
            <w:tcW w:w="540" w:type="dxa"/>
            <w:vAlign w:val="bottom"/>
          </w:tcPr>
          <w:p>
            <w:pPr>
              <w:spacing w:after="0"/>
              <w:rPr>
                <w:sz w:val="18"/>
                <w:szCs w:val="18"/>
                <w:color w:val="auto"/>
              </w:rPr>
            </w:pPr>
          </w:p>
        </w:tc>
        <w:tc>
          <w:tcPr>
            <w:tcW w:w="2200" w:type="dxa"/>
            <w:vAlign w:val="bottom"/>
            <w:tcBorders>
              <w:top w:val="single" w:sz="8" w:color="0000EE"/>
              <w:bottom w:val="single" w:sz="8" w:color="0000EE"/>
            </w:tcBorders>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Political activities and lobbying</w:t>
              </w:r>
            </w:hyperlink>
          </w:p>
        </w:tc>
        <w:tc>
          <w:tcPr>
            <w:tcW w:w="240" w:type="dxa"/>
            <w:vAlign w:val="bottom"/>
            <w:tcBorders>
              <w:top w:val="single" w:sz="8" w:color="0000EE"/>
            </w:tcBorders>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520" w:type="dxa"/>
            <w:vAlign w:val="bottom"/>
            <w:gridSpan w:val="16"/>
          </w:tcPr>
          <w:p>
            <w:pPr>
              <w:spacing w:after="0"/>
              <w:rPr>
                <w:rFonts w:ascii="Arial" w:cs="Arial" w:eastAsia="Arial" w:hAnsi="Arial"/>
                <w:sz w:val="16"/>
                <w:szCs w:val="16"/>
                <w:b w:val="1"/>
                <w:bCs w:val="1"/>
                <w:color w:val="0000EE"/>
                <w:w w:val="99"/>
              </w:rPr>
            </w:pPr>
            <w:hyperlink w:anchor="page18">
              <w:r>
                <w:rPr>
                  <w:rFonts w:ascii="Arial" w:cs="Arial" w:eastAsia="Arial" w:hAnsi="Arial"/>
                  <w:sz w:val="16"/>
                  <w:szCs w:val="16"/>
                  <w:b w:val="1"/>
                  <w:bCs w:val="1"/>
                  <w:color w:val="0000EE"/>
                  <w:w w:val="99"/>
                </w:rPr>
                <w:t>Proposal 1: Election of Directors</w:t>
              </w:r>
            </w:hyperlink>
          </w:p>
        </w:tc>
        <w:tc>
          <w:tcPr>
            <w:tcW w:w="2020" w:type="dxa"/>
            <w:vAlign w:val="bottom"/>
            <w:gridSpan w:val="12"/>
          </w:tcPr>
          <w:p>
            <w:pPr>
              <w:spacing w:after="0"/>
              <w:rPr>
                <w:sz w:val="19"/>
                <w:szCs w:val="19"/>
                <w:color w:val="auto"/>
              </w:rPr>
            </w:pPr>
          </w:p>
        </w:tc>
        <w:tc>
          <w:tcPr>
            <w:tcW w:w="1080" w:type="dxa"/>
            <w:vAlign w:val="bottom"/>
          </w:tcPr>
          <w:p>
            <w:pPr>
              <w:jc w:val="right"/>
              <w:ind w:right="398"/>
              <w:spacing w:after="0" w:line="216" w:lineRule="exact"/>
              <w:rPr>
                <w:sz w:val="20"/>
                <w:szCs w:val="20"/>
                <w:color w:val="auto"/>
              </w:rPr>
            </w:pPr>
            <w:r>
              <w:rPr>
                <w:rFonts w:ascii="Arial" w:cs="Arial" w:eastAsia="Arial" w:hAnsi="Arial"/>
                <w:sz w:val="25"/>
                <w:szCs w:val="25"/>
                <w:color w:val="73A950"/>
              </w:rPr>
              <w:t>ü</w:t>
            </w:r>
          </w:p>
        </w:tc>
        <w:tc>
          <w:tcPr>
            <w:tcW w:w="160" w:type="dxa"/>
            <w:vAlign w:val="bottom"/>
          </w:tcPr>
          <w:p>
            <w:pPr>
              <w:spacing w:after="0"/>
              <w:rPr>
                <w:sz w:val="19"/>
                <w:szCs w:val="19"/>
                <w:color w:val="auto"/>
              </w:rPr>
            </w:pPr>
          </w:p>
        </w:tc>
        <w:tc>
          <w:tcPr>
            <w:tcW w:w="4380" w:type="dxa"/>
            <w:vAlign w:val="bottom"/>
            <w:gridSpan w:val="31"/>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Code of Conduct</w:t>
              </w:r>
            </w:hyperlink>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960" w:type="dxa"/>
            <w:vAlign w:val="bottom"/>
            <w:tcBorders>
              <w:right w:val="single" w:sz="8" w:color="0000EE"/>
            </w:tcBorders>
            <w:gridSpan w:val="7"/>
            <w:shd w:val="clear" w:color="auto" w:fill="0000EE"/>
          </w:tcPr>
          <w:p>
            <w:pPr>
              <w:spacing w:after="0" w:line="20" w:lineRule="exact"/>
              <w:rPr>
                <w:sz w:val="1"/>
                <w:szCs w:val="1"/>
                <w:color w:val="auto"/>
              </w:rPr>
            </w:pPr>
          </w:p>
        </w:tc>
        <w:tc>
          <w:tcPr>
            <w:tcW w:w="3260" w:type="dxa"/>
            <w:vAlign w:val="bottom"/>
            <w:tcBorders>
              <w:right w:val="single" w:sz="8" w:color="0000EE"/>
            </w:tcBorders>
            <w:gridSpan w:val="14"/>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18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gridSpan w:val="28"/>
            <w:vMerge w:val="restart"/>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Summary of factors for shareholder consideration</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9"/>
                <w:szCs w:val="19"/>
                <w:color w:val="auto"/>
              </w:rPr>
            </w:pPr>
          </w:p>
        </w:tc>
        <w:tc>
          <w:tcPr>
            <w:tcW w:w="2920" w:type="dxa"/>
            <w:vAlign w:val="bottom"/>
            <w:tcBorders>
              <w:bottom w:val="single" w:sz="8" w:color="0000EE"/>
            </w:tcBorders>
            <w:gridSpan w:val="20"/>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Code of Ethics for Finance Professionals</w:t>
              </w:r>
            </w:hyperlink>
          </w:p>
        </w:tc>
        <w:tc>
          <w:tcPr>
            <w:tcW w:w="146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4540" w:type="dxa"/>
            <w:vAlign w:val="bottom"/>
            <w:gridSpan w:val="28"/>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0" w:type="dxa"/>
            <w:vAlign w:val="bottom"/>
            <w:vMerge w:val="restart"/>
          </w:tcPr>
          <w:p>
            <w:pPr>
              <w:spacing w:after="0"/>
              <w:rPr>
                <w:sz w:val="6"/>
                <w:szCs w:val="6"/>
                <w:color w:val="auto"/>
              </w:rPr>
            </w:pPr>
          </w:p>
        </w:tc>
        <w:tc>
          <w:tcPr>
            <w:tcW w:w="4380" w:type="dxa"/>
            <w:vAlign w:val="bottom"/>
            <w:gridSpan w:val="31"/>
            <w:vMerge w:val="restart"/>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Supplier Code of Conduct</w:t>
              </w:r>
            </w:hyperlink>
          </w:p>
        </w:tc>
        <w:tc>
          <w:tcPr>
            <w:tcW w:w="0" w:type="dxa"/>
            <w:vAlign w:val="bottom"/>
          </w:tcPr>
          <w:p>
            <w:pPr>
              <w:spacing w:after="0"/>
              <w:rPr>
                <w:sz w:val="1"/>
                <w:szCs w:val="1"/>
                <w:color w:val="auto"/>
              </w:rPr>
            </w:pPr>
          </w:p>
        </w:tc>
      </w:tr>
      <w:tr>
        <w:trPr>
          <w:trHeight w:val="129"/>
        </w:trPr>
        <w:tc>
          <w:tcPr>
            <w:tcW w:w="1320" w:type="dxa"/>
            <w:vAlign w:val="bottom"/>
            <w:tcBorders>
              <w:top w:val="single" w:sz="8" w:color="0000EE"/>
            </w:tcBorders>
            <w:gridSpan w:val="7"/>
            <w:vMerge w:val="restart"/>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Director nominees</w:t>
              </w:r>
            </w:hyperlink>
          </w:p>
        </w:tc>
        <w:tc>
          <w:tcPr>
            <w:tcW w:w="2220" w:type="dxa"/>
            <w:vAlign w:val="bottom"/>
            <w:tcBorders>
              <w:top w:val="single" w:sz="8" w:color="0000EE"/>
            </w:tcBorders>
            <w:gridSpan w:val="13"/>
            <w:vMerge w:val="restart"/>
          </w:tcPr>
          <w:p>
            <w:pPr>
              <w:spacing w:after="0"/>
              <w:rPr>
                <w:sz w:val="11"/>
                <w:szCs w:val="11"/>
                <w:color w:val="auto"/>
              </w:rPr>
            </w:pPr>
          </w:p>
        </w:tc>
        <w:tc>
          <w:tcPr>
            <w:tcW w:w="1000" w:type="dxa"/>
            <w:vAlign w:val="bottom"/>
            <w:gridSpan w:val="8"/>
            <w:vMerge w:val="restart"/>
          </w:tcPr>
          <w:p>
            <w:pPr>
              <w:spacing w:after="0"/>
              <w:rPr>
                <w:sz w:val="11"/>
                <w:szCs w:val="11"/>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11</w:t>
            </w:r>
          </w:p>
        </w:tc>
        <w:tc>
          <w:tcPr>
            <w:tcW w:w="160" w:type="dxa"/>
            <w:vAlign w:val="bottom"/>
            <w:vMerge w:val="continue"/>
          </w:tcPr>
          <w:p>
            <w:pPr>
              <w:spacing w:after="0"/>
              <w:rPr>
                <w:sz w:val="11"/>
                <w:szCs w:val="11"/>
                <w:color w:val="auto"/>
              </w:rPr>
            </w:pPr>
          </w:p>
        </w:tc>
        <w:tc>
          <w:tcPr>
            <w:tcW w:w="4380" w:type="dxa"/>
            <w:vAlign w:val="bottom"/>
            <w:gridSpan w:val="3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20" w:type="dxa"/>
            <w:vAlign w:val="bottom"/>
            <w:gridSpan w:val="7"/>
            <w:vMerge w:val="continue"/>
          </w:tcPr>
          <w:p>
            <w:pPr>
              <w:spacing w:after="0" w:line="20" w:lineRule="exact"/>
              <w:rPr>
                <w:sz w:val="1"/>
                <w:szCs w:val="1"/>
                <w:color w:val="auto"/>
              </w:rPr>
            </w:pPr>
          </w:p>
        </w:tc>
        <w:tc>
          <w:tcPr>
            <w:tcW w:w="2220" w:type="dxa"/>
            <w:vAlign w:val="bottom"/>
            <w:gridSpan w:val="13"/>
            <w:vMerge w:val="continue"/>
          </w:tcPr>
          <w:p>
            <w:pPr>
              <w:spacing w:after="0" w:line="20" w:lineRule="exact"/>
              <w:rPr>
                <w:sz w:val="1"/>
                <w:szCs w:val="1"/>
                <w:color w:val="auto"/>
              </w:rPr>
            </w:pPr>
          </w:p>
        </w:tc>
        <w:tc>
          <w:tcPr>
            <w:tcW w:w="1000" w:type="dxa"/>
            <w:vAlign w:val="bottom"/>
            <w:gridSpan w:val="8"/>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320" w:type="dxa"/>
            <w:vAlign w:val="bottom"/>
            <w:tcBorders>
              <w:bottom w:val="single" w:sz="8" w:color="0000EE"/>
            </w:tcBorders>
            <w:gridSpan w:val="7"/>
            <w:vMerge w:val="continue"/>
          </w:tcPr>
          <w:p>
            <w:pPr>
              <w:spacing w:after="0"/>
              <w:rPr>
                <w:sz w:val="5"/>
                <w:szCs w:val="5"/>
                <w:color w:val="auto"/>
              </w:rPr>
            </w:pPr>
          </w:p>
        </w:tc>
        <w:tc>
          <w:tcPr>
            <w:tcW w:w="2220" w:type="dxa"/>
            <w:vAlign w:val="bottom"/>
            <w:gridSpan w:val="13"/>
            <w:vMerge w:val="continue"/>
          </w:tcPr>
          <w:p>
            <w:pPr>
              <w:spacing w:after="0"/>
              <w:rPr>
                <w:sz w:val="5"/>
                <w:szCs w:val="5"/>
                <w:color w:val="auto"/>
              </w:rPr>
            </w:pPr>
          </w:p>
        </w:tc>
        <w:tc>
          <w:tcPr>
            <w:tcW w:w="1000" w:type="dxa"/>
            <w:vAlign w:val="bottom"/>
            <w:gridSpan w:val="8"/>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4060" w:type="dxa"/>
            <w:vAlign w:val="bottom"/>
            <w:gridSpan w:val="28"/>
            <w:vMerge w:val="restart"/>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Section 16(a) beneficial ownership reporting compliance</w:t>
              </w:r>
            </w:hyperlink>
          </w:p>
        </w:tc>
        <w:tc>
          <w:tcPr>
            <w:tcW w:w="320" w:type="dxa"/>
            <w:vAlign w:val="bottom"/>
            <w:gridSpan w:val="3"/>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540" w:type="dxa"/>
            <w:vAlign w:val="bottom"/>
            <w:gridSpan w:val="28"/>
            <w:vMerge w:val="restart"/>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Director independence, recruitment and re-nomination</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18</w:t>
            </w:r>
          </w:p>
        </w:tc>
        <w:tc>
          <w:tcPr>
            <w:tcW w:w="160" w:type="dxa"/>
            <w:vAlign w:val="bottom"/>
            <w:vMerge w:val="continue"/>
          </w:tcPr>
          <w:p>
            <w:pPr>
              <w:spacing w:after="0"/>
              <w:rPr>
                <w:sz w:val="12"/>
                <w:szCs w:val="12"/>
                <w:color w:val="auto"/>
              </w:rPr>
            </w:pPr>
          </w:p>
        </w:tc>
        <w:tc>
          <w:tcPr>
            <w:tcW w:w="4060" w:type="dxa"/>
            <w:vAlign w:val="bottom"/>
            <w:tcBorders>
              <w:bottom w:val="single" w:sz="8" w:color="0000EE"/>
            </w:tcBorders>
            <w:gridSpan w:val="28"/>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540" w:type="dxa"/>
            <w:vAlign w:val="bottom"/>
            <w:gridSpan w:val="28"/>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4540" w:type="dxa"/>
            <w:vAlign w:val="bottom"/>
            <w:gridSpan w:val="32"/>
            <w:vMerge w:val="restart"/>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Director compensation</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40" w:type="dxa"/>
            <w:vAlign w:val="bottom"/>
            <w:gridSpan w:val="3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tcPr>
          <w:p>
            <w:pPr>
              <w:spacing w:after="0"/>
              <w:rPr>
                <w:sz w:val="12"/>
                <w:szCs w:val="12"/>
                <w:color w:val="auto"/>
              </w:rPr>
            </w:pPr>
          </w:p>
        </w:tc>
        <w:tc>
          <w:tcPr>
            <w:tcW w:w="3760" w:type="dxa"/>
            <w:vAlign w:val="bottom"/>
            <w:gridSpan w:val="22"/>
            <w:vMerge w:val="restart"/>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Personal and professional attributes and skills of the</w:t>
              </w:r>
            </w:hyperlink>
          </w:p>
        </w:tc>
        <w:tc>
          <w:tcPr>
            <w:tcW w:w="640" w:type="dxa"/>
            <w:vAlign w:val="bottom"/>
            <w:gridSpan w:val="5"/>
            <w:vMerge w:val="restart"/>
          </w:tcPr>
          <w:p>
            <w:pPr>
              <w:spacing w:after="0"/>
              <w:rPr>
                <w:sz w:val="12"/>
                <w:szCs w:val="12"/>
                <w:color w:val="auto"/>
              </w:rPr>
            </w:pPr>
          </w:p>
        </w:tc>
        <w:tc>
          <w:tcPr>
            <w:tcW w:w="1080" w:type="dxa"/>
            <w:vAlign w:val="bottom"/>
          </w:tcPr>
          <w:p>
            <w:pPr>
              <w:spacing w:after="0"/>
              <w:rPr>
                <w:sz w:val="12"/>
                <w:szCs w:val="12"/>
                <w:color w:val="auto"/>
              </w:rPr>
            </w:pPr>
          </w:p>
        </w:tc>
        <w:tc>
          <w:tcPr>
            <w:tcW w:w="4540" w:type="dxa"/>
            <w:vAlign w:val="bottom"/>
            <w:gridSpan w:val="3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40" w:type="dxa"/>
            <w:vAlign w:val="bottom"/>
          </w:tcPr>
          <w:p>
            <w:pPr>
              <w:spacing w:after="0"/>
              <w:rPr>
                <w:sz w:val="5"/>
                <w:szCs w:val="5"/>
                <w:color w:val="auto"/>
              </w:rPr>
            </w:pPr>
          </w:p>
        </w:tc>
        <w:tc>
          <w:tcPr>
            <w:tcW w:w="3760" w:type="dxa"/>
            <w:vAlign w:val="bottom"/>
            <w:tcBorders>
              <w:bottom w:val="single" w:sz="8" w:color="0000EE"/>
            </w:tcBorders>
            <w:gridSpan w:val="22"/>
            <w:vMerge w:val="continue"/>
          </w:tcPr>
          <w:p>
            <w:pPr>
              <w:spacing w:after="0"/>
              <w:rPr>
                <w:sz w:val="5"/>
                <w:szCs w:val="5"/>
                <w:color w:val="auto"/>
              </w:rPr>
            </w:pPr>
          </w:p>
        </w:tc>
        <w:tc>
          <w:tcPr>
            <w:tcW w:w="640" w:type="dxa"/>
            <w:vAlign w:val="bottom"/>
            <w:gridSpan w:val="5"/>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400" w:type="dxa"/>
            <w:vAlign w:val="bottom"/>
            <w:gridSpan w:val="27"/>
          </w:tcPr>
          <w:p>
            <w:pPr>
              <w:spacing w:after="0" w:line="169" w:lineRule="exact"/>
              <w:rPr>
                <w:rFonts w:ascii="Arial" w:cs="Arial" w:eastAsia="Arial" w:hAnsi="Arial"/>
                <w:sz w:val="16"/>
                <w:szCs w:val="16"/>
                <w:color w:val="0000EE"/>
              </w:rPr>
            </w:pPr>
            <w:hyperlink w:anchor="page26">
              <w:r>
                <w:rPr>
                  <w:rFonts w:ascii="Arial" w:cs="Arial" w:eastAsia="Arial" w:hAnsi="Arial"/>
                  <w:sz w:val="16"/>
                  <w:szCs w:val="16"/>
                  <w:color w:val="0000EE"/>
                </w:rPr>
                <w:t>nominees</w:t>
              </w:r>
            </w:hyperlink>
          </w:p>
        </w:tc>
        <w:tc>
          <w:tcPr>
            <w:tcW w:w="1080" w:type="dxa"/>
            <w:vAlign w:val="bottom"/>
          </w:tcPr>
          <w:p>
            <w:pPr>
              <w:jc w:val="right"/>
              <w:ind w:right="398"/>
              <w:spacing w:after="0" w:line="169" w:lineRule="exact"/>
              <w:rPr>
                <w:sz w:val="20"/>
                <w:szCs w:val="20"/>
                <w:color w:val="auto"/>
              </w:rPr>
            </w:pPr>
            <w:r>
              <w:rPr>
                <w:rFonts w:ascii="Arial" w:cs="Arial" w:eastAsia="Arial" w:hAnsi="Arial"/>
                <w:sz w:val="16"/>
                <w:szCs w:val="16"/>
                <w:color w:val="auto"/>
              </w:rPr>
              <w:t>18</w:t>
            </w:r>
          </w:p>
        </w:tc>
        <w:tc>
          <w:tcPr>
            <w:tcW w:w="4540" w:type="dxa"/>
            <w:vAlign w:val="bottom"/>
            <w:gridSpan w:val="32"/>
            <w:vMerge w:val="restart"/>
          </w:tcPr>
          <w:p>
            <w:pPr>
              <w:spacing w:after="0"/>
              <w:rPr>
                <w:sz w:val="20"/>
                <w:szCs w:val="20"/>
                <w:color w:val="auto"/>
              </w:rPr>
            </w:pPr>
            <w:r>
              <w:rPr>
                <w:rFonts w:ascii="Arial" w:cs="Arial" w:eastAsia="Arial" w:hAnsi="Arial"/>
                <w:sz w:val="23"/>
                <w:szCs w:val="23"/>
                <w:b w:val="1"/>
                <w:bCs w:val="1"/>
                <w:color w:val="004876"/>
              </w:rPr>
              <w:t>Executive Compensation</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40" w:type="dxa"/>
            <w:vAlign w:val="bottom"/>
            <w:gridSpan w:val="3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40" w:type="dxa"/>
            <w:vAlign w:val="bottom"/>
          </w:tcPr>
          <w:p>
            <w:pPr>
              <w:spacing w:after="0"/>
              <w:rPr>
                <w:sz w:val="12"/>
                <w:szCs w:val="12"/>
                <w:color w:val="auto"/>
              </w:rPr>
            </w:pPr>
          </w:p>
        </w:tc>
        <w:tc>
          <w:tcPr>
            <w:tcW w:w="1040" w:type="dxa"/>
            <w:vAlign w:val="bottom"/>
            <w:gridSpan w:val="4"/>
            <w:vMerge w:val="restart"/>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Independence</w:t>
              </w:r>
            </w:hyperlink>
          </w:p>
        </w:tc>
        <w:tc>
          <w:tcPr>
            <w:tcW w:w="3360" w:type="dxa"/>
            <w:vAlign w:val="bottom"/>
            <w:gridSpan w:val="23"/>
            <w:vMerge w:val="restart"/>
          </w:tcPr>
          <w:p>
            <w:pPr>
              <w:spacing w:after="0"/>
              <w:rPr>
                <w:sz w:val="12"/>
                <w:szCs w:val="12"/>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19</w:t>
            </w:r>
          </w:p>
        </w:tc>
        <w:tc>
          <w:tcPr>
            <w:tcW w:w="4540" w:type="dxa"/>
            <w:vAlign w:val="bottom"/>
            <w:gridSpan w:val="3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40" w:type="dxa"/>
            <w:vAlign w:val="bottom"/>
          </w:tcPr>
          <w:p>
            <w:pPr>
              <w:spacing w:after="0"/>
              <w:rPr>
                <w:sz w:val="6"/>
                <w:szCs w:val="6"/>
                <w:color w:val="auto"/>
              </w:rPr>
            </w:pPr>
          </w:p>
        </w:tc>
        <w:tc>
          <w:tcPr>
            <w:tcW w:w="1040" w:type="dxa"/>
            <w:vAlign w:val="bottom"/>
            <w:tcBorders>
              <w:bottom w:val="single" w:sz="8" w:color="0000EE"/>
            </w:tcBorders>
            <w:gridSpan w:val="4"/>
            <w:vMerge w:val="continue"/>
          </w:tcPr>
          <w:p>
            <w:pPr>
              <w:spacing w:after="0"/>
              <w:rPr>
                <w:sz w:val="6"/>
                <w:szCs w:val="6"/>
                <w:color w:val="auto"/>
              </w:rPr>
            </w:pPr>
          </w:p>
        </w:tc>
        <w:tc>
          <w:tcPr>
            <w:tcW w:w="3360" w:type="dxa"/>
            <w:vAlign w:val="bottom"/>
            <w:gridSpan w:val="23"/>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420" w:type="dxa"/>
            <w:vAlign w:val="bottom"/>
            <w:gridSpan w:val="9"/>
            <w:vMerge w:val="restart"/>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Executive summary</w:t>
              </w:r>
            </w:hyperlink>
          </w:p>
        </w:tc>
        <w:tc>
          <w:tcPr>
            <w:tcW w:w="3120" w:type="dxa"/>
            <w:vAlign w:val="bottom"/>
            <w:gridSpan w:val="23"/>
            <w:vMerge w:val="restart"/>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4400" w:type="dxa"/>
            <w:vAlign w:val="bottom"/>
            <w:gridSpan w:val="27"/>
            <w:vMerge w:val="restart"/>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Director recruitment</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20</w:t>
            </w:r>
          </w:p>
        </w:tc>
        <w:tc>
          <w:tcPr>
            <w:tcW w:w="1420" w:type="dxa"/>
            <w:vAlign w:val="bottom"/>
            <w:tcBorders>
              <w:bottom w:val="single" w:sz="8" w:color="0000EE"/>
            </w:tcBorders>
            <w:gridSpan w:val="9"/>
            <w:vMerge w:val="continue"/>
          </w:tcPr>
          <w:p>
            <w:pPr>
              <w:spacing w:after="0"/>
              <w:rPr>
                <w:sz w:val="11"/>
                <w:szCs w:val="11"/>
                <w:color w:val="auto"/>
              </w:rPr>
            </w:pPr>
          </w:p>
        </w:tc>
        <w:tc>
          <w:tcPr>
            <w:tcW w:w="3120" w:type="dxa"/>
            <w:vAlign w:val="bottom"/>
            <w:gridSpan w:val="2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4400" w:type="dxa"/>
            <w:vAlign w:val="bottom"/>
            <w:gridSpan w:val="27"/>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540" w:type="dxa"/>
            <w:vAlign w:val="bottom"/>
            <w:gridSpan w:val="32"/>
            <w:vMerge w:val="restart"/>
          </w:tcPr>
          <w:p>
            <w:pPr>
              <w:spacing w:after="0"/>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Proposal 2: Advisory resolution to approve executive</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40" w:type="dxa"/>
            <w:vAlign w:val="bottom"/>
            <w:gridSpan w:val="3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400" w:type="dxa"/>
            <w:vAlign w:val="bottom"/>
            <w:gridSpan w:val="27"/>
            <w:vMerge w:val="restart"/>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Director re-nomination</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20</w:t>
            </w:r>
          </w:p>
        </w:tc>
        <w:tc>
          <w:tcPr>
            <w:tcW w:w="4540" w:type="dxa"/>
            <w:vAlign w:val="bottom"/>
            <w:gridSpan w:val="3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4400" w:type="dxa"/>
            <w:vAlign w:val="bottom"/>
            <w:gridSpan w:val="27"/>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100" w:type="dxa"/>
            <w:vAlign w:val="bottom"/>
            <w:tcBorders>
              <w:top w:val="single" w:sz="8" w:color="0000EE"/>
            </w:tcBorders>
            <w:gridSpan w:val="5"/>
            <w:vMerge w:val="restart"/>
          </w:tcPr>
          <w:p>
            <w:pPr>
              <w:spacing w:after="0" w:line="169" w:lineRule="exact"/>
              <w:rPr>
                <w:rFonts w:ascii="Arial" w:cs="Arial" w:eastAsia="Arial" w:hAnsi="Arial"/>
                <w:sz w:val="16"/>
                <w:szCs w:val="16"/>
                <w:b w:val="1"/>
                <w:bCs w:val="1"/>
                <w:color w:val="0000EE"/>
                <w:w w:val="99"/>
              </w:rPr>
            </w:pPr>
            <w:hyperlink w:anchor="page48">
              <w:r>
                <w:rPr>
                  <w:rFonts w:ascii="Arial" w:cs="Arial" w:eastAsia="Arial" w:hAnsi="Arial"/>
                  <w:sz w:val="16"/>
                  <w:szCs w:val="16"/>
                  <w:b w:val="1"/>
                  <w:bCs w:val="1"/>
                  <w:color w:val="0000EE"/>
                  <w:w w:val="99"/>
                </w:rPr>
                <w:t>compensation</w:t>
              </w:r>
            </w:hyperlink>
          </w:p>
        </w:tc>
        <w:tc>
          <w:tcPr>
            <w:tcW w:w="3000" w:type="dxa"/>
            <w:vAlign w:val="bottom"/>
            <w:tcBorders>
              <w:top w:val="single" w:sz="8" w:color="0000EE"/>
            </w:tcBorders>
            <w:gridSpan w:val="23"/>
            <w:vMerge w:val="restart"/>
          </w:tcPr>
          <w:p>
            <w:pPr>
              <w:spacing w:after="0" w:line="20" w:lineRule="exact"/>
              <w:rPr>
                <w:sz w:val="1"/>
                <w:szCs w:val="1"/>
                <w:color w:val="auto"/>
              </w:rPr>
            </w:pPr>
          </w:p>
        </w:tc>
        <w:tc>
          <w:tcPr>
            <w:tcW w:w="44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gridSpan w:val="5"/>
            <w:vMerge w:val="continue"/>
          </w:tcPr>
          <w:p>
            <w:pPr>
              <w:spacing w:after="0" w:line="20" w:lineRule="exact"/>
              <w:rPr>
                <w:sz w:val="1"/>
                <w:szCs w:val="1"/>
                <w:color w:val="auto"/>
              </w:rPr>
            </w:pPr>
          </w:p>
        </w:tc>
        <w:tc>
          <w:tcPr>
            <w:tcW w:w="3000" w:type="dxa"/>
            <w:vAlign w:val="bottom"/>
            <w:gridSpan w:val="23"/>
            <w:vMerge w:val="continue"/>
          </w:tcPr>
          <w:p>
            <w:pPr>
              <w:spacing w:after="0" w:line="20" w:lineRule="exact"/>
              <w:rPr>
                <w:sz w:val="1"/>
                <w:szCs w:val="1"/>
                <w:color w:val="auto"/>
              </w:rPr>
            </w:pPr>
          </w:p>
        </w:tc>
        <w:tc>
          <w:tcPr>
            <w:tcW w:w="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540" w:type="dxa"/>
            <w:vAlign w:val="bottom"/>
            <w:gridSpan w:val="28"/>
            <w:vMerge w:val="restart"/>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How our Board conducts its business</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21</w:t>
            </w:r>
          </w:p>
        </w:tc>
        <w:tc>
          <w:tcPr>
            <w:tcW w:w="1100" w:type="dxa"/>
            <w:vAlign w:val="bottom"/>
            <w:tcBorders>
              <w:bottom w:val="single" w:sz="8" w:color="0000EE"/>
            </w:tcBorders>
            <w:gridSpan w:val="5"/>
            <w:vMerge w:val="continue"/>
          </w:tcPr>
          <w:p>
            <w:pPr>
              <w:spacing w:after="0"/>
              <w:rPr>
                <w:sz w:val="11"/>
                <w:szCs w:val="11"/>
                <w:color w:val="auto"/>
              </w:rPr>
            </w:pPr>
          </w:p>
        </w:tc>
        <w:tc>
          <w:tcPr>
            <w:tcW w:w="3000" w:type="dxa"/>
            <w:vAlign w:val="bottom"/>
            <w:gridSpan w:val="23"/>
            <w:vMerge w:val="continue"/>
          </w:tcPr>
          <w:p>
            <w:pPr>
              <w:spacing w:after="0"/>
              <w:rPr>
                <w:sz w:val="11"/>
                <w:szCs w:val="11"/>
                <w:color w:val="auto"/>
              </w:rPr>
            </w:pPr>
          </w:p>
        </w:tc>
        <w:tc>
          <w:tcPr>
            <w:tcW w:w="4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540" w:type="dxa"/>
            <w:vAlign w:val="bottom"/>
            <w:gridSpan w:val="28"/>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800" w:type="dxa"/>
            <w:vAlign w:val="bottom"/>
            <w:gridSpan w:val="19"/>
            <w:vMerge w:val="restart"/>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Compensation discussion and analysis</w:t>
              </w:r>
            </w:hyperlink>
          </w:p>
        </w:tc>
        <w:tc>
          <w:tcPr>
            <w:tcW w:w="1740" w:type="dxa"/>
            <w:vAlign w:val="bottom"/>
            <w:gridSpan w:val="13"/>
            <w:vMerge w:val="restart"/>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0" w:type="dxa"/>
            <w:vAlign w:val="bottom"/>
            <w:tcBorders>
              <w:top w:val="single" w:sz="8" w:color="0000EE"/>
            </w:tcBorders>
          </w:tcPr>
          <w:p>
            <w:pPr>
              <w:spacing w:after="0"/>
              <w:rPr>
                <w:sz w:val="11"/>
                <w:szCs w:val="11"/>
                <w:color w:val="auto"/>
              </w:rPr>
            </w:pPr>
          </w:p>
        </w:tc>
        <w:tc>
          <w:tcPr>
            <w:tcW w:w="2060" w:type="dxa"/>
            <w:vAlign w:val="bottom"/>
            <w:tcBorders>
              <w:top w:val="single" w:sz="8" w:color="0000EE"/>
              <w:bottom w:val="single" w:sz="8" w:color="0000EE"/>
            </w:tcBorders>
            <w:gridSpan w:val="12"/>
            <w:vMerge w:val="restart"/>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Sound governance practices</w:t>
              </w:r>
            </w:hyperlink>
          </w:p>
        </w:tc>
        <w:tc>
          <w:tcPr>
            <w:tcW w:w="460" w:type="dxa"/>
            <w:vAlign w:val="bottom"/>
            <w:tcBorders>
              <w:top w:val="single" w:sz="8" w:color="0000EE"/>
              <w:bottom w:val="single" w:sz="8" w:color="0000EE"/>
            </w:tcBorders>
            <w:gridSpan w:val="4"/>
            <w:vMerge w:val="restart"/>
          </w:tcPr>
          <w:p>
            <w:pPr>
              <w:spacing w:after="0"/>
              <w:rPr>
                <w:sz w:val="11"/>
                <w:szCs w:val="11"/>
                <w:color w:val="auto"/>
              </w:rPr>
            </w:pPr>
          </w:p>
        </w:tc>
        <w:tc>
          <w:tcPr>
            <w:tcW w:w="1880" w:type="dxa"/>
            <w:vAlign w:val="bottom"/>
            <w:gridSpan w:val="11"/>
            <w:vMerge w:val="restart"/>
          </w:tcPr>
          <w:p>
            <w:pPr>
              <w:spacing w:after="0"/>
              <w:rPr>
                <w:sz w:val="11"/>
                <w:szCs w:val="11"/>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21</w:t>
            </w:r>
          </w:p>
        </w:tc>
        <w:tc>
          <w:tcPr>
            <w:tcW w:w="2800" w:type="dxa"/>
            <w:vAlign w:val="bottom"/>
            <w:tcBorders>
              <w:bottom w:val="single" w:sz="8" w:color="0000EE"/>
            </w:tcBorders>
            <w:gridSpan w:val="19"/>
            <w:vMerge w:val="continue"/>
          </w:tcPr>
          <w:p>
            <w:pPr>
              <w:spacing w:after="0"/>
              <w:rPr>
                <w:sz w:val="11"/>
                <w:szCs w:val="11"/>
                <w:color w:val="auto"/>
              </w:rPr>
            </w:pPr>
          </w:p>
        </w:tc>
        <w:tc>
          <w:tcPr>
            <w:tcW w:w="174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2060" w:type="dxa"/>
            <w:vAlign w:val="bottom"/>
            <w:tcBorders>
              <w:bottom w:val="single" w:sz="8" w:color="0000EE"/>
            </w:tcBorders>
            <w:gridSpan w:val="12"/>
            <w:vMerge w:val="continue"/>
          </w:tcPr>
          <w:p>
            <w:pPr>
              <w:spacing w:after="0"/>
              <w:rPr>
                <w:sz w:val="6"/>
                <w:szCs w:val="6"/>
                <w:color w:val="auto"/>
              </w:rPr>
            </w:pPr>
          </w:p>
        </w:tc>
        <w:tc>
          <w:tcPr>
            <w:tcW w:w="460" w:type="dxa"/>
            <w:vAlign w:val="bottom"/>
            <w:gridSpan w:val="4"/>
            <w:vMerge w:val="continue"/>
          </w:tcPr>
          <w:p>
            <w:pPr>
              <w:spacing w:after="0"/>
              <w:rPr>
                <w:sz w:val="6"/>
                <w:szCs w:val="6"/>
                <w:color w:val="auto"/>
              </w:rPr>
            </w:pPr>
          </w:p>
        </w:tc>
        <w:tc>
          <w:tcPr>
            <w:tcW w:w="1880" w:type="dxa"/>
            <w:vAlign w:val="bottom"/>
            <w:gridSpan w:val="11"/>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0" w:type="dxa"/>
            <w:vAlign w:val="bottom"/>
            <w:vMerge w:val="restart"/>
          </w:tcPr>
          <w:p>
            <w:pPr>
              <w:spacing w:after="0"/>
              <w:rPr>
                <w:sz w:val="6"/>
                <w:szCs w:val="6"/>
                <w:color w:val="auto"/>
              </w:rPr>
            </w:pPr>
          </w:p>
        </w:tc>
        <w:tc>
          <w:tcPr>
            <w:tcW w:w="740" w:type="dxa"/>
            <w:vAlign w:val="bottom"/>
            <w:gridSpan w:val="3"/>
            <w:vMerge w:val="restart"/>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Summary</w:t>
              </w:r>
            </w:hyperlink>
          </w:p>
        </w:tc>
        <w:tc>
          <w:tcPr>
            <w:tcW w:w="3640" w:type="dxa"/>
            <w:vAlign w:val="bottom"/>
            <w:gridSpan w:val="28"/>
            <w:vMerge w:val="restart"/>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2380" w:type="dxa"/>
            <w:vAlign w:val="bottom"/>
            <w:gridSpan w:val="15"/>
            <w:vMerge w:val="restart"/>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Our Board’s leadership structure</w:t>
              </w:r>
            </w:hyperlink>
          </w:p>
        </w:tc>
        <w:tc>
          <w:tcPr>
            <w:tcW w:w="2020" w:type="dxa"/>
            <w:vAlign w:val="bottom"/>
            <w:gridSpan w:val="12"/>
            <w:vMerge w:val="restart"/>
          </w:tcPr>
          <w:p>
            <w:pPr>
              <w:spacing w:after="0"/>
              <w:rPr>
                <w:sz w:val="11"/>
                <w:szCs w:val="11"/>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21</w:t>
            </w:r>
          </w:p>
        </w:tc>
        <w:tc>
          <w:tcPr>
            <w:tcW w:w="160" w:type="dxa"/>
            <w:vAlign w:val="bottom"/>
            <w:vMerge w:val="continue"/>
          </w:tcPr>
          <w:p>
            <w:pPr>
              <w:spacing w:after="0"/>
              <w:rPr>
                <w:sz w:val="11"/>
                <w:szCs w:val="11"/>
                <w:color w:val="auto"/>
              </w:rPr>
            </w:pPr>
          </w:p>
        </w:tc>
        <w:tc>
          <w:tcPr>
            <w:tcW w:w="740" w:type="dxa"/>
            <w:vAlign w:val="bottom"/>
            <w:tcBorders>
              <w:bottom w:val="single" w:sz="8" w:color="0000EE"/>
            </w:tcBorders>
            <w:gridSpan w:val="3"/>
            <w:vMerge w:val="continue"/>
          </w:tcPr>
          <w:p>
            <w:pPr>
              <w:spacing w:after="0"/>
              <w:rPr>
                <w:sz w:val="11"/>
                <w:szCs w:val="11"/>
                <w:color w:val="auto"/>
              </w:rPr>
            </w:pPr>
          </w:p>
        </w:tc>
        <w:tc>
          <w:tcPr>
            <w:tcW w:w="3640" w:type="dxa"/>
            <w:vAlign w:val="bottom"/>
            <w:gridSpan w:val="2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0" w:type="dxa"/>
            <w:vAlign w:val="bottom"/>
          </w:tcPr>
          <w:p>
            <w:pPr>
              <w:spacing w:after="0"/>
              <w:rPr>
                <w:sz w:val="6"/>
                <w:szCs w:val="6"/>
                <w:color w:val="auto"/>
              </w:rPr>
            </w:pPr>
          </w:p>
        </w:tc>
        <w:tc>
          <w:tcPr>
            <w:tcW w:w="2380" w:type="dxa"/>
            <w:vAlign w:val="bottom"/>
            <w:tcBorders>
              <w:bottom w:val="single" w:sz="8" w:color="0000EE"/>
            </w:tcBorders>
            <w:gridSpan w:val="15"/>
            <w:vMerge w:val="continue"/>
          </w:tcPr>
          <w:p>
            <w:pPr>
              <w:spacing w:after="0"/>
              <w:rPr>
                <w:sz w:val="6"/>
                <w:szCs w:val="6"/>
                <w:color w:val="auto"/>
              </w:rPr>
            </w:pPr>
          </w:p>
        </w:tc>
        <w:tc>
          <w:tcPr>
            <w:tcW w:w="2020" w:type="dxa"/>
            <w:vAlign w:val="bottom"/>
            <w:gridSpan w:val="1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0" w:type="dxa"/>
            <w:vAlign w:val="bottom"/>
            <w:vMerge w:val="restart"/>
          </w:tcPr>
          <w:p>
            <w:pPr>
              <w:spacing w:after="0"/>
              <w:rPr>
                <w:sz w:val="6"/>
                <w:szCs w:val="6"/>
                <w:color w:val="auto"/>
              </w:rPr>
            </w:pPr>
          </w:p>
        </w:tc>
        <w:tc>
          <w:tcPr>
            <w:tcW w:w="1300" w:type="dxa"/>
            <w:vAlign w:val="bottom"/>
            <w:gridSpan w:val="9"/>
            <w:vMerge w:val="restart"/>
          </w:tcPr>
          <w:p>
            <w:pPr>
              <w:spacing w:after="0"/>
              <w:rPr>
                <w:rFonts w:ascii="Arial" w:cs="Arial" w:eastAsia="Arial" w:hAnsi="Arial"/>
                <w:sz w:val="16"/>
                <w:szCs w:val="16"/>
                <w:color w:val="0000EE"/>
                <w:w w:val="98"/>
              </w:rPr>
            </w:pPr>
            <w:hyperlink w:anchor="page50">
              <w:r>
                <w:rPr>
                  <w:rFonts w:ascii="Arial" w:cs="Arial" w:eastAsia="Arial" w:hAnsi="Arial"/>
                  <w:sz w:val="16"/>
                  <w:szCs w:val="16"/>
                  <w:color w:val="0000EE"/>
                  <w:w w:val="98"/>
                </w:rPr>
                <w:t>2018 performance</w:t>
              </w:r>
            </w:hyperlink>
          </w:p>
        </w:tc>
        <w:tc>
          <w:tcPr>
            <w:tcW w:w="3080" w:type="dxa"/>
            <w:vAlign w:val="bottom"/>
            <w:gridSpan w:val="22"/>
            <w:vMerge w:val="restart"/>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3940" w:type="dxa"/>
            <w:vAlign w:val="bottom"/>
            <w:gridSpan w:val="25"/>
            <w:vMerge w:val="restart"/>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Factors the Board considers in reviewing its leadership</w:t>
              </w:r>
            </w:hyperlink>
          </w:p>
        </w:tc>
        <w:tc>
          <w:tcPr>
            <w:tcW w:w="460" w:type="dxa"/>
            <w:vAlign w:val="bottom"/>
            <w:gridSpan w:val="2"/>
            <w:vMerge w:val="restart"/>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300" w:type="dxa"/>
            <w:vAlign w:val="bottom"/>
            <w:tcBorders>
              <w:bottom w:val="single" w:sz="8" w:color="0000EE"/>
            </w:tcBorders>
            <w:gridSpan w:val="9"/>
            <w:vMerge w:val="continue"/>
          </w:tcPr>
          <w:p>
            <w:pPr>
              <w:spacing w:after="0"/>
              <w:rPr>
                <w:sz w:val="11"/>
                <w:szCs w:val="11"/>
                <w:color w:val="auto"/>
              </w:rPr>
            </w:pPr>
          </w:p>
        </w:tc>
        <w:tc>
          <w:tcPr>
            <w:tcW w:w="3080" w:type="dxa"/>
            <w:vAlign w:val="bottom"/>
            <w:gridSpan w:val="2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0" w:type="dxa"/>
            <w:vAlign w:val="bottom"/>
          </w:tcPr>
          <w:p>
            <w:pPr>
              <w:spacing w:after="0"/>
              <w:rPr>
                <w:sz w:val="6"/>
                <w:szCs w:val="6"/>
                <w:color w:val="auto"/>
              </w:rPr>
            </w:pPr>
          </w:p>
        </w:tc>
        <w:tc>
          <w:tcPr>
            <w:tcW w:w="3940" w:type="dxa"/>
            <w:vAlign w:val="bottom"/>
            <w:tcBorders>
              <w:bottom w:val="single" w:sz="8" w:color="0000EE"/>
            </w:tcBorders>
            <w:gridSpan w:val="25"/>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80" w:type="dxa"/>
            <w:vAlign w:val="bottom"/>
            <w:gridSpan w:val="16"/>
            <w:vMerge w:val="restart"/>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Pay-for-performance framework</w:t>
              </w:r>
            </w:hyperlink>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700" w:type="dxa"/>
            <w:vAlign w:val="bottom"/>
            <w:gridSpan w:val="2"/>
            <w:vMerge w:val="restart"/>
          </w:tcPr>
          <w:p>
            <w:pPr>
              <w:spacing w:after="0" w:line="155" w:lineRule="exact"/>
              <w:rPr>
                <w:rFonts w:ascii="Arial" w:cs="Arial" w:eastAsia="Arial" w:hAnsi="Arial"/>
                <w:sz w:val="16"/>
                <w:szCs w:val="16"/>
                <w:color w:val="0000EE"/>
              </w:rPr>
            </w:pPr>
            <w:hyperlink w:anchor="page30">
              <w:r>
                <w:rPr>
                  <w:rFonts w:ascii="Arial" w:cs="Arial" w:eastAsia="Arial" w:hAnsi="Arial"/>
                  <w:sz w:val="16"/>
                  <w:szCs w:val="16"/>
                  <w:color w:val="0000EE"/>
                </w:rPr>
                <w:t>structure</w:t>
              </w:r>
            </w:hyperlink>
          </w:p>
        </w:tc>
        <w:tc>
          <w:tcPr>
            <w:tcW w:w="3700" w:type="dxa"/>
            <w:vAlign w:val="bottom"/>
            <w:gridSpan w:val="25"/>
            <w:vMerge w:val="restart"/>
          </w:tcPr>
          <w:p>
            <w:pPr>
              <w:spacing w:after="0"/>
              <w:rPr>
                <w:sz w:val="11"/>
                <w:szCs w:val="11"/>
                <w:color w:val="auto"/>
              </w:rPr>
            </w:pPr>
          </w:p>
        </w:tc>
        <w:tc>
          <w:tcPr>
            <w:tcW w:w="1080" w:type="dxa"/>
            <w:vAlign w:val="bottom"/>
            <w:vMerge w:val="restart"/>
          </w:tcPr>
          <w:p>
            <w:pPr>
              <w:jc w:val="right"/>
              <w:ind w:right="398"/>
              <w:spacing w:after="0" w:line="155" w:lineRule="exact"/>
              <w:rPr>
                <w:sz w:val="20"/>
                <w:szCs w:val="20"/>
                <w:color w:val="auto"/>
              </w:rPr>
            </w:pPr>
            <w:r>
              <w:rPr>
                <w:rFonts w:ascii="Arial" w:cs="Arial" w:eastAsia="Arial" w:hAnsi="Arial"/>
                <w:sz w:val="16"/>
                <w:szCs w:val="16"/>
                <w:color w:val="auto"/>
              </w:rPr>
              <w:t>22</w:t>
            </w:r>
          </w:p>
        </w:tc>
        <w:tc>
          <w:tcPr>
            <w:tcW w:w="160" w:type="dxa"/>
            <w:vAlign w:val="bottom"/>
            <w:vMerge w:val="restart"/>
          </w:tcPr>
          <w:p>
            <w:pPr>
              <w:spacing w:after="0"/>
              <w:rPr>
                <w:sz w:val="11"/>
                <w:szCs w:val="11"/>
                <w:color w:val="auto"/>
              </w:rPr>
            </w:pPr>
          </w:p>
        </w:tc>
        <w:tc>
          <w:tcPr>
            <w:tcW w:w="2280" w:type="dxa"/>
            <w:vAlign w:val="bottom"/>
            <w:tcBorders>
              <w:bottom w:val="single" w:sz="8" w:color="0000EE"/>
            </w:tcBorders>
            <w:gridSpan w:val="16"/>
            <w:vMerge w:val="continue"/>
          </w:tcPr>
          <w:p>
            <w:pPr>
              <w:spacing w:after="0"/>
              <w:rPr>
                <w:sz w:val="11"/>
                <w:szCs w:val="11"/>
                <w:color w:val="auto"/>
              </w:rPr>
            </w:pPr>
          </w:p>
        </w:tc>
        <w:tc>
          <w:tcPr>
            <w:tcW w:w="120" w:type="dxa"/>
            <w:vAlign w:val="bottom"/>
            <w:vMerge w:val="restart"/>
          </w:tcPr>
          <w:p>
            <w:pPr>
              <w:spacing w:after="0"/>
              <w:rPr>
                <w:sz w:val="11"/>
                <w:szCs w:val="11"/>
                <w:color w:val="auto"/>
              </w:rPr>
            </w:pPr>
          </w:p>
        </w:tc>
        <w:tc>
          <w:tcPr>
            <w:tcW w:w="340" w:type="dxa"/>
            <w:vAlign w:val="bottom"/>
            <w:gridSpan w:val="2"/>
            <w:vMerge w:val="restart"/>
          </w:tcPr>
          <w:p>
            <w:pPr>
              <w:spacing w:after="0"/>
              <w:rPr>
                <w:sz w:val="11"/>
                <w:szCs w:val="11"/>
                <w:color w:val="auto"/>
              </w:rPr>
            </w:pPr>
          </w:p>
        </w:tc>
        <w:tc>
          <w:tcPr>
            <w:tcW w:w="58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00" w:type="dxa"/>
            <w:vAlign w:val="bottom"/>
            <w:gridSpan w:val="3"/>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40" w:type="dxa"/>
            <w:vAlign w:val="bottom"/>
          </w:tcPr>
          <w:p>
            <w:pPr>
              <w:spacing w:after="0" w:line="20" w:lineRule="exact"/>
              <w:rPr>
                <w:sz w:val="1"/>
                <w:szCs w:val="1"/>
                <w:color w:val="auto"/>
              </w:rPr>
            </w:pPr>
          </w:p>
        </w:tc>
        <w:tc>
          <w:tcPr>
            <w:tcW w:w="700" w:type="dxa"/>
            <w:vAlign w:val="bottom"/>
            <w:tcBorders>
              <w:bottom w:val="single" w:sz="8" w:color="0000EE"/>
            </w:tcBorders>
            <w:gridSpan w:val="2"/>
            <w:vMerge w:val="continue"/>
          </w:tcPr>
          <w:p>
            <w:pPr>
              <w:spacing w:after="0" w:line="20" w:lineRule="exact"/>
              <w:rPr>
                <w:sz w:val="1"/>
                <w:szCs w:val="1"/>
                <w:color w:val="auto"/>
              </w:rPr>
            </w:pPr>
          </w:p>
        </w:tc>
        <w:tc>
          <w:tcPr>
            <w:tcW w:w="3700" w:type="dxa"/>
            <w:vAlign w:val="bottom"/>
            <w:gridSpan w:val="25"/>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960" w:type="dxa"/>
            <w:vAlign w:val="bottom"/>
            <w:gridSpan w:val="5"/>
            <w:vMerge w:val="restart"/>
          </w:tcPr>
          <w:p>
            <w:pPr>
              <w:spacing w:after="0"/>
              <w:rPr>
                <w:rFonts w:ascii="Arial" w:cs="Arial" w:eastAsia="Arial" w:hAnsi="Arial"/>
                <w:sz w:val="16"/>
                <w:szCs w:val="16"/>
                <w:color w:val="0000EE"/>
                <w:w w:val="97"/>
              </w:rPr>
            </w:pPr>
            <w:hyperlink w:anchor="page63">
              <w:r>
                <w:rPr>
                  <w:rFonts w:ascii="Arial" w:cs="Arial" w:eastAsia="Arial" w:hAnsi="Arial"/>
                  <w:sz w:val="16"/>
                  <w:szCs w:val="16"/>
                  <w:color w:val="0000EE"/>
                  <w:w w:val="97"/>
                </w:rPr>
                <w:t>Pay practices</w:t>
              </w:r>
            </w:hyperlink>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15"/>
                <w:szCs w:val="15"/>
                <w:color w:val="auto"/>
              </w:rPr>
            </w:pPr>
          </w:p>
        </w:tc>
        <w:tc>
          <w:tcPr>
            <w:tcW w:w="1140" w:type="dxa"/>
            <w:vAlign w:val="bottom"/>
            <w:gridSpan w:val="5"/>
            <w:vMerge w:val="restart"/>
          </w:tcPr>
          <w:p>
            <w:pPr>
              <w:spacing w:after="0"/>
              <w:rPr>
                <w:rFonts w:ascii="Arial" w:cs="Arial" w:eastAsia="Arial" w:hAnsi="Arial"/>
                <w:sz w:val="16"/>
                <w:szCs w:val="16"/>
                <w:color w:val="0000EE"/>
                <w:w w:val="99"/>
              </w:rPr>
            </w:pPr>
            <w:hyperlink w:anchor="page31">
              <w:r>
                <w:rPr>
                  <w:rFonts w:ascii="Arial" w:cs="Arial" w:eastAsia="Arial" w:hAnsi="Arial"/>
                  <w:sz w:val="16"/>
                  <w:szCs w:val="16"/>
                  <w:color w:val="0000EE"/>
                  <w:w w:val="99"/>
                </w:rPr>
                <w:t>Board meetings</w:t>
              </w:r>
            </w:hyperlink>
          </w:p>
        </w:tc>
        <w:tc>
          <w:tcPr>
            <w:tcW w:w="3260" w:type="dxa"/>
            <w:vAlign w:val="bottom"/>
            <w:gridSpan w:val="22"/>
            <w:vMerge w:val="restart"/>
          </w:tcPr>
          <w:p>
            <w:pPr>
              <w:spacing w:after="0"/>
              <w:rPr>
                <w:sz w:val="15"/>
                <w:szCs w:val="15"/>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23</w:t>
            </w:r>
          </w:p>
        </w:tc>
        <w:tc>
          <w:tcPr>
            <w:tcW w:w="160" w:type="dxa"/>
            <w:vAlign w:val="bottom"/>
            <w:vMerge w:val="restart"/>
          </w:tcPr>
          <w:p>
            <w:pPr>
              <w:spacing w:after="0"/>
              <w:rPr>
                <w:sz w:val="15"/>
                <w:szCs w:val="15"/>
                <w:color w:val="auto"/>
              </w:rPr>
            </w:pPr>
          </w:p>
        </w:tc>
        <w:tc>
          <w:tcPr>
            <w:tcW w:w="960" w:type="dxa"/>
            <w:vAlign w:val="bottom"/>
            <w:tcBorders>
              <w:bottom w:val="single" w:sz="8" w:color="0000EE"/>
            </w:tcBorders>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340" w:type="dxa"/>
            <w:vAlign w:val="bottom"/>
            <w:gridSpan w:val="2"/>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3"/>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40" w:type="dxa"/>
            <w:vAlign w:val="bottom"/>
          </w:tcPr>
          <w:p>
            <w:pPr>
              <w:spacing w:after="0" w:line="20" w:lineRule="exact"/>
              <w:rPr>
                <w:sz w:val="1"/>
                <w:szCs w:val="1"/>
                <w:color w:val="auto"/>
              </w:rPr>
            </w:pPr>
          </w:p>
        </w:tc>
        <w:tc>
          <w:tcPr>
            <w:tcW w:w="1140" w:type="dxa"/>
            <w:vAlign w:val="bottom"/>
            <w:tcBorders>
              <w:bottom w:val="single" w:sz="8" w:color="0000EE"/>
            </w:tcBorders>
            <w:gridSpan w:val="5"/>
            <w:vMerge w:val="continue"/>
          </w:tcPr>
          <w:p>
            <w:pPr>
              <w:spacing w:after="0" w:line="20" w:lineRule="exact"/>
              <w:rPr>
                <w:sz w:val="1"/>
                <w:szCs w:val="1"/>
                <w:color w:val="auto"/>
              </w:rPr>
            </w:pPr>
          </w:p>
        </w:tc>
        <w:tc>
          <w:tcPr>
            <w:tcW w:w="3260" w:type="dxa"/>
            <w:vAlign w:val="bottom"/>
            <w:gridSpan w:val="2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3900" w:type="dxa"/>
            <w:vAlign w:val="bottom"/>
            <w:gridSpan w:val="26"/>
            <w:vMerge w:val="restart"/>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Compensation decisions for Named Executive Officers</w:t>
              </w:r>
            </w:hyperlink>
          </w:p>
        </w:tc>
        <w:tc>
          <w:tcPr>
            <w:tcW w:w="3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15"/>
                <w:szCs w:val="15"/>
                <w:color w:val="auto"/>
              </w:rPr>
            </w:pPr>
          </w:p>
        </w:tc>
        <w:tc>
          <w:tcPr>
            <w:tcW w:w="1800" w:type="dxa"/>
            <w:vAlign w:val="bottom"/>
            <w:gridSpan w:val="10"/>
            <w:vMerge w:val="restart"/>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Committees of the Board</w:t>
              </w:r>
            </w:hyperlink>
          </w:p>
        </w:tc>
        <w:tc>
          <w:tcPr>
            <w:tcW w:w="2600" w:type="dxa"/>
            <w:vAlign w:val="bottom"/>
            <w:gridSpan w:val="17"/>
            <w:vMerge w:val="restart"/>
          </w:tcPr>
          <w:p>
            <w:pPr>
              <w:spacing w:after="0"/>
              <w:rPr>
                <w:sz w:val="15"/>
                <w:szCs w:val="15"/>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23</w:t>
            </w:r>
          </w:p>
        </w:tc>
        <w:tc>
          <w:tcPr>
            <w:tcW w:w="160" w:type="dxa"/>
            <w:vAlign w:val="bottom"/>
            <w:vMerge w:val="restart"/>
          </w:tcPr>
          <w:p>
            <w:pPr>
              <w:spacing w:after="0"/>
              <w:rPr>
                <w:sz w:val="15"/>
                <w:szCs w:val="15"/>
                <w:color w:val="auto"/>
              </w:rPr>
            </w:pPr>
          </w:p>
        </w:tc>
        <w:tc>
          <w:tcPr>
            <w:tcW w:w="3900" w:type="dxa"/>
            <w:vAlign w:val="bottom"/>
            <w:tcBorders>
              <w:bottom w:val="single" w:sz="8" w:color="0000EE"/>
            </w:tcBorders>
            <w:gridSpan w:val="26"/>
            <w:vMerge w:val="continue"/>
          </w:tcPr>
          <w:p>
            <w:pPr>
              <w:spacing w:after="0"/>
              <w:rPr>
                <w:sz w:val="15"/>
                <w:szCs w:val="15"/>
                <w:color w:val="auto"/>
              </w:rPr>
            </w:pPr>
          </w:p>
        </w:tc>
        <w:tc>
          <w:tcPr>
            <w:tcW w:w="300" w:type="dxa"/>
            <w:vAlign w:val="bottom"/>
            <w:gridSpan w:val="3"/>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40" w:type="dxa"/>
            <w:vAlign w:val="bottom"/>
          </w:tcPr>
          <w:p>
            <w:pPr>
              <w:spacing w:after="0" w:line="20" w:lineRule="exact"/>
              <w:rPr>
                <w:sz w:val="1"/>
                <w:szCs w:val="1"/>
                <w:color w:val="auto"/>
              </w:rPr>
            </w:pPr>
          </w:p>
        </w:tc>
        <w:tc>
          <w:tcPr>
            <w:tcW w:w="1800" w:type="dxa"/>
            <w:vAlign w:val="bottom"/>
            <w:tcBorders>
              <w:bottom w:val="single" w:sz="8" w:color="0000EE"/>
            </w:tcBorders>
            <w:gridSpan w:val="10"/>
            <w:vMerge w:val="continue"/>
          </w:tcPr>
          <w:p>
            <w:pPr>
              <w:spacing w:after="0" w:line="20" w:lineRule="exact"/>
              <w:rPr>
                <w:sz w:val="1"/>
                <w:szCs w:val="1"/>
                <w:color w:val="auto"/>
              </w:rPr>
            </w:pPr>
          </w:p>
        </w:tc>
        <w:tc>
          <w:tcPr>
            <w:tcW w:w="2600" w:type="dxa"/>
            <w:vAlign w:val="bottom"/>
            <w:gridSpan w:val="17"/>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200" w:type="dxa"/>
            <w:vAlign w:val="bottom"/>
            <w:gridSpan w:val="7"/>
            <w:vMerge w:val="restart"/>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Risk and control</w:t>
              </w:r>
            </w:hyperlink>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15"/>
                <w:szCs w:val="15"/>
                <w:color w:val="auto"/>
              </w:rPr>
            </w:pPr>
          </w:p>
        </w:tc>
        <w:tc>
          <w:tcPr>
            <w:tcW w:w="2760" w:type="dxa"/>
            <w:vAlign w:val="bottom"/>
            <w:gridSpan w:val="18"/>
            <w:vMerge w:val="restart"/>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Board and committee self-assessment</w:t>
              </w:r>
            </w:hyperlink>
          </w:p>
        </w:tc>
        <w:tc>
          <w:tcPr>
            <w:tcW w:w="1640" w:type="dxa"/>
            <w:vAlign w:val="bottom"/>
            <w:gridSpan w:val="9"/>
            <w:vMerge w:val="restart"/>
          </w:tcPr>
          <w:p>
            <w:pPr>
              <w:spacing w:after="0"/>
              <w:rPr>
                <w:sz w:val="15"/>
                <w:szCs w:val="15"/>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5"/>
                <w:szCs w:val="15"/>
                <w:color w:val="auto"/>
              </w:rPr>
            </w:pPr>
          </w:p>
        </w:tc>
        <w:tc>
          <w:tcPr>
            <w:tcW w:w="1200" w:type="dxa"/>
            <w:vAlign w:val="bottom"/>
            <w:tcBorders>
              <w:bottom w:val="single" w:sz="8" w:color="0000EE"/>
            </w:tcBorders>
            <w:gridSpan w:val="7"/>
            <w:vMerge w:val="continue"/>
          </w:tcPr>
          <w:p>
            <w:pPr>
              <w:spacing w:after="0"/>
              <w:rPr>
                <w:sz w:val="15"/>
                <w:szCs w:val="15"/>
                <w:color w:val="auto"/>
              </w:rPr>
            </w:pPr>
          </w:p>
        </w:tc>
        <w:tc>
          <w:tcPr>
            <w:tcW w:w="30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340" w:type="dxa"/>
            <w:vAlign w:val="bottom"/>
            <w:gridSpan w:val="2"/>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40" w:type="dxa"/>
            <w:vAlign w:val="bottom"/>
          </w:tcPr>
          <w:p>
            <w:pPr>
              <w:spacing w:after="0" w:line="20" w:lineRule="exact"/>
              <w:rPr>
                <w:sz w:val="1"/>
                <w:szCs w:val="1"/>
                <w:color w:val="auto"/>
              </w:rPr>
            </w:pPr>
          </w:p>
        </w:tc>
        <w:tc>
          <w:tcPr>
            <w:tcW w:w="2760" w:type="dxa"/>
            <w:vAlign w:val="bottom"/>
            <w:tcBorders>
              <w:bottom w:val="single" w:sz="8" w:color="0000EE"/>
            </w:tcBorders>
            <w:gridSpan w:val="18"/>
            <w:vMerge w:val="continue"/>
          </w:tcPr>
          <w:p>
            <w:pPr>
              <w:spacing w:after="0" w:line="20" w:lineRule="exact"/>
              <w:rPr>
                <w:sz w:val="1"/>
                <w:szCs w:val="1"/>
                <w:color w:val="auto"/>
              </w:rPr>
            </w:pPr>
          </w:p>
        </w:tc>
        <w:tc>
          <w:tcPr>
            <w:tcW w:w="1640" w:type="dxa"/>
            <w:vAlign w:val="bottom"/>
            <w:gridSpan w:val="9"/>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4540" w:type="dxa"/>
            <w:vAlign w:val="bottom"/>
            <w:gridSpan w:val="32"/>
            <w:vMerge w:val="restart"/>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Compensation &amp; Management Development Committee report</w:t>
              </w:r>
            </w:hyperlink>
          </w:p>
        </w:tc>
        <w:tc>
          <w:tcPr>
            <w:tcW w:w="0" w:type="dxa"/>
            <w:vAlign w:val="bottom"/>
          </w:tcPr>
          <w:p>
            <w:pPr>
              <w:spacing w:after="0"/>
              <w:rPr>
                <w:sz w:val="1"/>
                <w:szCs w:val="1"/>
                <w:color w:val="auto"/>
              </w:rPr>
            </w:pPr>
          </w:p>
        </w:tc>
      </w:tr>
      <w:tr>
        <w:trPr>
          <w:trHeight w:val="188"/>
        </w:trPr>
        <w:tc>
          <w:tcPr>
            <w:tcW w:w="140" w:type="dxa"/>
            <w:vAlign w:val="bottom"/>
          </w:tcPr>
          <w:p>
            <w:pPr>
              <w:spacing w:after="0"/>
              <w:rPr>
                <w:sz w:val="15"/>
                <w:szCs w:val="15"/>
                <w:color w:val="auto"/>
              </w:rPr>
            </w:pPr>
          </w:p>
        </w:tc>
        <w:tc>
          <w:tcPr>
            <w:tcW w:w="1320" w:type="dxa"/>
            <w:vAlign w:val="bottom"/>
            <w:gridSpan w:val="7"/>
            <w:vMerge w:val="restart"/>
          </w:tcPr>
          <w:p>
            <w:pPr>
              <w:spacing w:after="0"/>
              <w:rPr>
                <w:rFonts w:ascii="Arial" w:cs="Arial" w:eastAsia="Arial" w:hAnsi="Arial"/>
                <w:sz w:val="16"/>
                <w:szCs w:val="16"/>
                <w:color w:val="0000EE"/>
                <w:w w:val="98"/>
              </w:rPr>
            </w:pPr>
            <w:hyperlink w:anchor="page36">
              <w:r>
                <w:rPr>
                  <w:rFonts w:ascii="Arial" w:cs="Arial" w:eastAsia="Arial" w:hAnsi="Arial"/>
                  <w:sz w:val="16"/>
                  <w:szCs w:val="16"/>
                  <w:color w:val="0000EE"/>
                  <w:w w:val="98"/>
                </w:rPr>
                <w:t>Director education</w:t>
              </w:r>
            </w:hyperlink>
          </w:p>
        </w:tc>
        <w:tc>
          <w:tcPr>
            <w:tcW w:w="3080" w:type="dxa"/>
            <w:vAlign w:val="bottom"/>
            <w:gridSpan w:val="20"/>
            <w:vMerge w:val="restart"/>
          </w:tcPr>
          <w:p>
            <w:pPr>
              <w:spacing w:after="0"/>
              <w:rPr>
                <w:sz w:val="15"/>
                <w:szCs w:val="15"/>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28</w:t>
            </w:r>
          </w:p>
        </w:tc>
        <w:tc>
          <w:tcPr>
            <w:tcW w:w="4540" w:type="dxa"/>
            <w:vAlign w:val="bottom"/>
            <w:tcBorders>
              <w:bottom w:val="single" w:sz="8" w:color="0000EE"/>
            </w:tcBorders>
            <w:gridSpan w:val="3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40" w:type="dxa"/>
            <w:vAlign w:val="bottom"/>
          </w:tcPr>
          <w:p>
            <w:pPr>
              <w:spacing w:after="0" w:line="20" w:lineRule="exact"/>
              <w:rPr>
                <w:sz w:val="1"/>
                <w:szCs w:val="1"/>
                <w:color w:val="auto"/>
              </w:rPr>
            </w:pPr>
          </w:p>
        </w:tc>
        <w:tc>
          <w:tcPr>
            <w:tcW w:w="1320" w:type="dxa"/>
            <w:vAlign w:val="bottom"/>
            <w:tcBorders>
              <w:bottom w:val="single" w:sz="8" w:color="0000EE"/>
            </w:tcBorders>
            <w:gridSpan w:val="7"/>
            <w:vMerge w:val="continue"/>
          </w:tcPr>
          <w:p>
            <w:pPr>
              <w:spacing w:after="0" w:line="20" w:lineRule="exact"/>
              <w:rPr>
                <w:sz w:val="1"/>
                <w:szCs w:val="1"/>
                <w:color w:val="auto"/>
              </w:rPr>
            </w:pPr>
          </w:p>
        </w:tc>
        <w:tc>
          <w:tcPr>
            <w:tcW w:w="3080" w:type="dxa"/>
            <w:vAlign w:val="bottom"/>
            <w:gridSpan w:val="20"/>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240" w:type="dxa"/>
            <w:vAlign w:val="bottom"/>
            <w:gridSpan w:val="16"/>
            <w:vMerge w:val="restart"/>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Executive compensation tables</w:t>
              </w:r>
            </w:hyperlink>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540" w:type="dxa"/>
            <w:vAlign w:val="bottom"/>
            <w:gridSpan w:val="28"/>
            <w:vMerge w:val="restart"/>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Board oversight of the business and affairs of the Firm</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28</w:t>
            </w:r>
          </w:p>
        </w:tc>
        <w:tc>
          <w:tcPr>
            <w:tcW w:w="2240" w:type="dxa"/>
            <w:vAlign w:val="bottom"/>
            <w:tcBorders>
              <w:bottom w:val="single" w:sz="8" w:color="0000EE"/>
            </w:tcBorders>
            <w:gridSpan w:val="16"/>
            <w:vMerge w:val="continue"/>
          </w:tcPr>
          <w:p>
            <w:pPr>
              <w:spacing w:after="0"/>
              <w:rPr>
                <w:sz w:val="15"/>
                <w:szCs w:val="15"/>
                <w:color w:val="auto"/>
              </w:rPr>
            </w:pPr>
          </w:p>
        </w:tc>
        <w:tc>
          <w:tcPr>
            <w:tcW w:w="320" w:type="dxa"/>
            <w:vAlign w:val="bottom"/>
            <w:gridSpan w:val="2"/>
            <w:vMerge w:val="restart"/>
          </w:tcPr>
          <w:p>
            <w:pPr>
              <w:spacing w:after="0"/>
              <w:rPr>
                <w:sz w:val="15"/>
                <w:szCs w:val="15"/>
                <w:color w:val="auto"/>
              </w:rPr>
            </w:pPr>
          </w:p>
        </w:tc>
        <w:tc>
          <w:tcPr>
            <w:tcW w:w="340" w:type="dxa"/>
            <w:vAlign w:val="bottom"/>
            <w:gridSpan w:val="2"/>
            <w:vMerge w:val="restart"/>
          </w:tcPr>
          <w:p>
            <w:pPr>
              <w:spacing w:after="0"/>
              <w:rPr>
                <w:sz w:val="15"/>
                <w:szCs w:val="15"/>
                <w:color w:val="auto"/>
              </w:rPr>
            </w:pPr>
          </w:p>
        </w:tc>
        <w:tc>
          <w:tcPr>
            <w:tcW w:w="58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8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340" w:type="dxa"/>
            <w:vAlign w:val="bottom"/>
            <w:gridSpan w:val="4"/>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540" w:type="dxa"/>
            <w:vAlign w:val="bottom"/>
            <w:gridSpan w:val="28"/>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4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0" w:type="dxa"/>
            <w:vAlign w:val="bottom"/>
            <w:tcBorders>
              <w:top w:val="single" w:sz="8" w:color="0000EE"/>
            </w:tcBorders>
          </w:tcPr>
          <w:p>
            <w:pPr>
              <w:spacing w:after="0"/>
              <w:rPr>
                <w:sz w:val="15"/>
                <w:szCs w:val="15"/>
                <w:color w:val="auto"/>
              </w:rPr>
            </w:pPr>
          </w:p>
        </w:tc>
        <w:tc>
          <w:tcPr>
            <w:tcW w:w="1140" w:type="dxa"/>
            <w:vAlign w:val="bottom"/>
            <w:tcBorders>
              <w:top w:val="single" w:sz="8" w:color="0000EE"/>
              <w:bottom w:val="single" w:sz="8" w:color="0000EE"/>
            </w:tcBorders>
            <w:gridSpan w:val="5"/>
            <w:vMerge w:val="restart"/>
          </w:tcPr>
          <w:p>
            <w:pPr>
              <w:spacing w:after="0"/>
              <w:rPr>
                <w:rFonts w:ascii="Arial" w:cs="Arial" w:eastAsia="Arial" w:hAnsi="Arial"/>
                <w:sz w:val="16"/>
                <w:szCs w:val="16"/>
                <w:color w:val="0000EE"/>
                <w:w w:val="99"/>
              </w:rPr>
            </w:pPr>
            <w:hyperlink w:anchor="page36">
              <w:r>
                <w:rPr>
                  <w:rFonts w:ascii="Arial" w:cs="Arial" w:eastAsia="Arial" w:hAnsi="Arial"/>
                  <w:sz w:val="16"/>
                  <w:szCs w:val="16"/>
                  <w:color w:val="0000EE"/>
                  <w:w w:val="99"/>
                </w:rPr>
                <w:t>Board oversight</w:t>
              </w:r>
            </w:hyperlink>
          </w:p>
        </w:tc>
        <w:tc>
          <w:tcPr>
            <w:tcW w:w="2600" w:type="dxa"/>
            <w:vAlign w:val="bottom"/>
            <w:tcBorders>
              <w:top w:val="single" w:sz="8" w:color="0000EE"/>
              <w:bottom w:val="single" w:sz="8" w:color="0000EE"/>
            </w:tcBorders>
            <w:gridSpan w:val="16"/>
            <w:vMerge w:val="restart"/>
          </w:tcPr>
          <w:p>
            <w:pPr>
              <w:spacing w:after="0"/>
              <w:rPr>
                <w:sz w:val="15"/>
                <w:szCs w:val="15"/>
                <w:color w:val="auto"/>
              </w:rPr>
            </w:pPr>
          </w:p>
        </w:tc>
        <w:tc>
          <w:tcPr>
            <w:tcW w:w="660" w:type="dxa"/>
            <w:vAlign w:val="bottom"/>
            <w:gridSpan w:val="6"/>
            <w:vMerge w:val="restart"/>
          </w:tcPr>
          <w:p>
            <w:pPr>
              <w:spacing w:after="0"/>
              <w:rPr>
                <w:sz w:val="15"/>
                <w:szCs w:val="15"/>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5"/>
                <w:szCs w:val="15"/>
                <w:color w:val="auto"/>
              </w:rPr>
            </w:pPr>
          </w:p>
        </w:tc>
        <w:tc>
          <w:tcPr>
            <w:tcW w:w="200" w:type="dxa"/>
            <w:vAlign w:val="bottom"/>
            <w:tcBorders>
              <w:bottom w:val="single" w:sz="8" w:color="0000EE"/>
            </w:tcBorders>
          </w:tcPr>
          <w:p>
            <w:pPr>
              <w:spacing w:after="0" w:line="163" w:lineRule="exact"/>
              <w:rPr>
                <w:rFonts w:ascii="Arial" w:cs="Arial" w:eastAsia="Arial" w:hAnsi="Arial"/>
                <w:sz w:val="16"/>
                <w:szCs w:val="16"/>
                <w:color w:val="0000EE"/>
              </w:rPr>
            </w:pPr>
            <w:hyperlink w:anchor="page73">
              <w:r>
                <w:rPr>
                  <w:rFonts w:ascii="Arial" w:cs="Arial" w:eastAsia="Arial" w:hAnsi="Arial"/>
                  <w:sz w:val="16"/>
                  <w:szCs w:val="16"/>
                  <w:color w:val="0000EE"/>
                </w:rPr>
                <w:t>I.</w:t>
              </w:r>
            </w:hyperlink>
          </w:p>
        </w:tc>
        <w:tc>
          <w:tcPr>
            <w:tcW w:w="2200" w:type="dxa"/>
            <w:vAlign w:val="bottom"/>
            <w:tcBorders>
              <w:bottom w:val="single" w:sz="8" w:color="0000EE"/>
            </w:tcBorders>
            <w:gridSpan w:val="16"/>
          </w:tcPr>
          <w:p>
            <w:pPr>
              <w:ind w:left="60"/>
              <w:spacing w:after="0" w:line="163" w:lineRule="exact"/>
              <w:rPr>
                <w:rFonts w:ascii="Arial" w:cs="Arial" w:eastAsia="Arial" w:hAnsi="Arial"/>
                <w:sz w:val="16"/>
                <w:szCs w:val="16"/>
                <w:color w:val="0000EE"/>
              </w:rPr>
            </w:pPr>
            <w:hyperlink w:anchor="page73">
              <w:r>
                <w:rPr>
                  <w:rFonts w:ascii="Arial" w:cs="Arial" w:eastAsia="Arial" w:hAnsi="Arial"/>
                  <w:sz w:val="16"/>
                  <w:szCs w:val="16"/>
                  <w:color w:val="0000EE"/>
                </w:rPr>
                <w:t>Summary compensation table</w:t>
              </w:r>
            </w:hyperlink>
          </w:p>
        </w:tc>
        <w:tc>
          <w:tcPr>
            <w:tcW w:w="340" w:type="dxa"/>
            <w:vAlign w:val="bottom"/>
            <w:gridSpan w:val="2"/>
          </w:tcPr>
          <w:p>
            <w:pPr>
              <w:spacing w:after="0"/>
              <w:rPr>
                <w:sz w:val="15"/>
                <w:szCs w:val="15"/>
                <w:color w:val="auto"/>
              </w:rPr>
            </w:pPr>
          </w:p>
        </w:tc>
        <w:tc>
          <w:tcPr>
            <w:tcW w:w="58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8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340" w:type="dxa"/>
            <w:vAlign w:val="bottom"/>
            <w:gridSpan w:val="4"/>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140" w:type="dxa"/>
            <w:vAlign w:val="bottom"/>
            <w:tcBorders>
              <w:bottom w:val="single" w:sz="8" w:color="0000EE"/>
            </w:tcBorders>
            <w:gridSpan w:val="5"/>
            <w:vMerge w:val="continue"/>
          </w:tcPr>
          <w:p>
            <w:pPr>
              <w:spacing w:after="0" w:line="20" w:lineRule="exact"/>
              <w:rPr>
                <w:sz w:val="1"/>
                <w:szCs w:val="1"/>
                <w:color w:val="auto"/>
              </w:rPr>
            </w:pPr>
          </w:p>
        </w:tc>
        <w:tc>
          <w:tcPr>
            <w:tcW w:w="2600" w:type="dxa"/>
            <w:vAlign w:val="bottom"/>
            <w:gridSpan w:val="16"/>
            <w:vMerge w:val="continue"/>
          </w:tcPr>
          <w:p>
            <w:pPr>
              <w:spacing w:after="0" w:line="20" w:lineRule="exact"/>
              <w:rPr>
                <w:sz w:val="1"/>
                <w:szCs w:val="1"/>
                <w:color w:val="auto"/>
              </w:rPr>
            </w:pPr>
          </w:p>
        </w:tc>
        <w:tc>
          <w:tcPr>
            <w:tcW w:w="660" w:type="dxa"/>
            <w:vAlign w:val="bottom"/>
            <w:gridSpan w:val="6"/>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gridSpan w:val="19"/>
            <w:vMerge w:val="restart"/>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II.  2018 Grants of plan-based awards</w:t>
              </w:r>
            </w:hyperlink>
          </w:p>
        </w:tc>
        <w:tc>
          <w:tcPr>
            <w:tcW w:w="5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4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15"/>
                <w:szCs w:val="15"/>
                <w:color w:val="auto"/>
              </w:rPr>
            </w:pPr>
          </w:p>
        </w:tc>
        <w:tc>
          <w:tcPr>
            <w:tcW w:w="4400" w:type="dxa"/>
            <w:vAlign w:val="bottom"/>
            <w:gridSpan w:val="27"/>
            <w:vMerge w:val="restart"/>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Strategic oversight</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5"/>
                <w:szCs w:val="15"/>
                <w:color w:val="auto"/>
              </w:rPr>
            </w:pPr>
          </w:p>
        </w:tc>
        <w:tc>
          <w:tcPr>
            <w:tcW w:w="2740" w:type="dxa"/>
            <w:vAlign w:val="bottom"/>
            <w:tcBorders>
              <w:bottom w:val="single" w:sz="8" w:color="0000EE"/>
            </w:tcBorders>
            <w:gridSpan w:val="19"/>
            <w:vMerge w:val="continue"/>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4400" w:type="dxa"/>
            <w:vAlign w:val="bottom"/>
            <w:gridSpan w:val="27"/>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60" w:type="dxa"/>
            <w:vAlign w:val="bottom"/>
            <w:gridSpan w:val="25"/>
            <w:vMerge w:val="restart"/>
          </w:tcPr>
          <w:p>
            <w:pPr>
              <w:spacing w:after="0" w:line="183" w:lineRule="exact"/>
              <w:rPr>
                <w:rFonts w:ascii="Arial" w:cs="Arial" w:eastAsia="Arial" w:hAnsi="Arial"/>
                <w:sz w:val="16"/>
                <w:szCs w:val="16"/>
                <w:color w:val="0000EE"/>
              </w:rPr>
            </w:pPr>
            <w:hyperlink w:anchor="page76">
              <w:r>
                <w:rPr>
                  <w:rFonts w:ascii="Arial" w:cs="Arial" w:eastAsia="Arial" w:hAnsi="Arial"/>
                  <w:sz w:val="16"/>
                  <w:szCs w:val="16"/>
                  <w:color w:val="0000EE"/>
                </w:rPr>
                <w:t>III. Outstanding equity awards at fiscal year-end 2018</w:t>
              </w:r>
            </w:hyperlink>
          </w:p>
        </w:tc>
        <w:tc>
          <w:tcPr>
            <w:tcW w:w="52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60" w:type="dxa"/>
            <w:vAlign w:val="bottom"/>
            <w:gridSpan w:val="25"/>
            <w:vMerge w:val="continue"/>
          </w:tcPr>
          <w:p>
            <w:pPr>
              <w:spacing w:after="0" w:line="20" w:lineRule="exact"/>
              <w:rPr>
                <w:sz w:val="1"/>
                <w:szCs w:val="1"/>
                <w:color w:val="auto"/>
              </w:rPr>
            </w:pPr>
          </w:p>
        </w:tc>
        <w:tc>
          <w:tcPr>
            <w:tcW w:w="52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40" w:type="dxa"/>
            <w:vAlign w:val="bottom"/>
          </w:tcPr>
          <w:p>
            <w:pPr>
              <w:spacing w:after="0"/>
              <w:rPr>
                <w:sz w:val="12"/>
                <w:szCs w:val="12"/>
                <w:color w:val="auto"/>
              </w:rPr>
            </w:pPr>
          </w:p>
        </w:tc>
        <w:tc>
          <w:tcPr>
            <w:tcW w:w="4400" w:type="dxa"/>
            <w:vAlign w:val="bottom"/>
            <w:gridSpan w:val="27"/>
            <w:vMerge w:val="restart"/>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Executive performance and talent management</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28</w:t>
            </w:r>
          </w:p>
        </w:tc>
        <w:tc>
          <w:tcPr>
            <w:tcW w:w="160" w:type="dxa"/>
            <w:vAlign w:val="bottom"/>
            <w:vMerge w:val="continue"/>
          </w:tcPr>
          <w:p>
            <w:pPr>
              <w:spacing w:after="0"/>
              <w:rPr>
                <w:sz w:val="12"/>
                <w:szCs w:val="12"/>
                <w:color w:val="auto"/>
              </w:rPr>
            </w:pPr>
          </w:p>
        </w:tc>
        <w:tc>
          <w:tcPr>
            <w:tcW w:w="3860" w:type="dxa"/>
            <w:vAlign w:val="bottom"/>
            <w:tcBorders>
              <w:bottom w:val="single" w:sz="8" w:color="0000EE"/>
            </w:tcBorders>
            <w:gridSpan w:val="25"/>
            <w:vMerge w:val="continue"/>
          </w:tcPr>
          <w:p>
            <w:pPr>
              <w:spacing w:after="0"/>
              <w:rPr>
                <w:sz w:val="12"/>
                <w:szCs w:val="12"/>
                <w:color w:val="auto"/>
              </w:rPr>
            </w:pPr>
          </w:p>
        </w:tc>
        <w:tc>
          <w:tcPr>
            <w:tcW w:w="5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40" w:type="dxa"/>
            <w:vAlign w:val="bottom"/>
          </w:tcPr>
          <w:p>
            <w:pPr>
              <w:spacing w:after="0"/>
              <w:rPr>
                <w:sz w:val="5"/>
                <w:szCs w:val="5"/>
                <w:color w:val="auto"/>
              </w:rPr>
            </w:pPr>
          </w:p>
        </w:tc>
        <w:tc>
          <w:tcPr>
            <w:tcW w:w="4400" w:type="dxa"/>
            <w:vAlign w:val="bottom"/>
            <w:gridSpan w:val="27"/>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380" w:type="dxa"/>
            <w:vAlign w:val="bottom"/>
            <w:gridSpan w:val="31"/>
            <w:vMerge w:val="restart"/>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IV. 2018 Option exercises and stock vested table</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380" w:type="dxa"/>
            <w:vAlign w:val="bottom"/>
            <w:gridSpan w:val="3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0" w:type="dxa"/>
            <w:vAlign w:val="bottom"/>
          </w:tcPr>
          <w:p>
            <w:pPr>
              <w:spacing w:after="0"/>
              <w:rPr>
                <w:sz w:val="11"/>
                <w:szCs w:val="11"/>
                <w:color w:val="auto"/>
              </w:rPr>
            </w:pPr>
          </w:p>
        </w:tc>
        <w:tc>
          <w:tcPr>
            <w:tcW w:w="4400" w:type="dxa"/>
            <w:vAlign w:val="bottom"/>
            <w:gridSpan w:val="27"/>
            <w:vMerge w:val="restart"/>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Oversight of financial performance and condition</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28</w:t>
            </w:r>
          </w:p>
        </w:tc>
        <w:tc>
          <w:tcPr>
            <w:tcW w:w="160" w:type="dxa"/>
            <w:vAlign w:val="bottom"/>
            <w:vMerge w:val="continue"/>
          </w:tcPr>
          <w:p>
            <w:pPr>
              <w:spacing w:after="0"/>
              <w:rPr>
                <w:sz w:val="11"/>
                <w:szCs w:val="11"/>
                <w:color w:val="auto"/>
              </w:rPr>
            </w:pPr>
          </w:p>
        </w:tc>
        <w:tc>
          <w:tcPr>
            <w:tcW w:w="4380" w:type="dxa"/>
            <w:vAlign w:val="bottom"/>
            <w:gridSpan w:val="3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4400" w:type="dxa"/>
            <w:vAlign w:val="bottom"/>
            <w:gridSpan w:val="27"/>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top w:val="single" w:sz="8" w:color="0000EE"/>
            </w:tcBorders>
            <w:vMerge w:val="restart"/>
          </w:tcPr>
          <w:p>
            <w:pPr>
              <w:spacing w:after="0"/>
              <w:rPr>
                <w:rFonts w:ascii="Arial" w:cs="Arial" w:eastAsia="Arial" w:hAnsi="Arial"/>
                <w:sz w:val="16"/>
                <w:szCs w:val="16"/>
                <w:color w:val="0000EE"/>
              </w:rPr>
            </w:pPr>
            <w:hyperlink w:anchor="page78">
              <w:r>
                <w:rPr>
                  <w:rFonts w:ascii="Arial" w:cs="Arial" w:eastAsia="Arial" w:hAnsi="Arial"/>
                  <w:sz w:val="16"/>
                  <w:szCs w:val="16"/>
                  <w:color w:val="0000EE"/>
                </w:rPr>
                <w:t>V.</w:t>
              </w:r>
            </w:hyperlink>
          </w:p>
        </w:tc>
        <w:tc>
          <w:tcPr>
            <w:tcW w:w="1660" w:type="dxa"/>
            <w:vAlign w:val="bottom"/>
            <w:tcBorders>
              <w:top w:val="single" w:sz="8" w:color="0000EE"/>
            </w:tcBorders>
            <w:gridSpan w:val="13"/>
            <w:vMerge w:val="restart"/>
          </w:tcPr>
          <w:p>
            <w:pPr>
              <w:ind w:left="60"/>
              <w:spacing w:after="0"/>
              <w:rPr>
                <w:rFonts w:ascii="Arial" w:cs="Arial" w:eastAsia="Arial" w:hAnsi="Arial"/>
                <w:sz w:val="16"/>
                <w:szCs w:val="16"/>
                <w:color w:val="0000EE"/>
                <w:w w:val="99"/>
              </w:rPr>
            </w:pPr>
            <w:hyperlink w:anchor="page78">
              <w:r>
                <w:rPr>
                  <w:rFonts w:ascii="Arial" w:cs="Arial" w:eastAsia="Arial" w:hAnsi="Arial"/>
                  <w:sz w:val="16"/>
                  <w:szCs w:val="16"/>
                  <w:color w:val="0000EE"/>
                  <w:w w:val="99"/>
                </w:rPr>
                <w:t>2018 Pension benefits</w:t>
              </w:r>
            </w:hyperlink>
          </w:p>
        </w:tc>
        <w:tc>
          <w:tcPr>
            <w:tcW w:w="1660" w:type="dxa"/>
            <w:vAlign w:val="bottom"/>
            <w:tcBorders>
              <w:top w:val="single" w:sz="8" w:color="0000EE"/>
            </w:tcBorders>
            <w:gridSpan w:val="9"/>
            <w:vMerge w:val="restart"/>
          </w:tcPr>
          <w:p>
            <w:pPr>
              <w:spacing w:after="0"/>
              <w:rPr>
                <w:sz w:val="6"/>
                <w:szCs w:val="6"/>
                <w:color w:val="auto"/>
              </w:rPr>
            </w:pPr>
          </w:p>
        </w:tc>
        <w:tc>
          <w:tcPr>
            <w:tcW w:w="860" w:type="dxa"/>
            <w:vAlign w:val="bottom"/>
            <w:gridSpan w:val="8"/>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660" w:type="dxa"/>
            <w:vAlign w:val="bottom"/>
            <w:gridSpan w:val="13"/>
            <w:vMerge w:val="continue"/>
          </w:tcPr>
          <w:p>
            <w:pPr>
              <w:spacing w:after="0" w:line="20" w:lineRule="exact"/>
              <w:rPr>
                <w:sz w:val="1"/>
                <w:szCs w:val="1"/>
                <w:color w:val="auto"/>
              </w:rPr>
            </w:pPr>
          </w:p>
        </w:tc>
        <w:tc>
          <w:tcPr>
            <w:tcW w:w="1660" w:type="dxa"/>
            <w:vAlign w:val="bottom"/>
            <w:gridSpan w:val="9"/>
            <w:vMerge w:val="continue"/>
          </w:tcPr>
          <w:p>
            <w:pPr>
              <w:spacing w:after="0" w:line="20" w:lineRule="exact"/>
              <w:rPr>
                <w:sz w:val="1"/>
                <w:szCs w:val="1"/>
                <w:color w:val="auto"/>
              </w:rPr>
            </w:pPr>
          </w:p>
        </w:tc>
        <w:tc>
          <w:tcPr>
            <w:tcW w:w="8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40" w:type="dxa"/>
            <w:vAlign w:val="bottom"/>
          </w:tcPr>
          <w:p>
            <w:pPr>
              <w:spacing w:after="0"/>
              <w:rPr>
                <w:sz w:val="11"/>
                <w:szCs w:val="11"/>
                <w:color w:val="auto"/>
              </w:rPr>
            </w:pPr>
          </w:p>
        </w:tc>
        <w:tc>
          <w:tcPr>
            <w:tcW w:w="4400" w:type="dxa"/>
            <w:vAlign w:val="bottom"/>
            <w:gridSpan w:val="27"/>
            <w:vMerge w:val="restart"/>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Oversight of risk management and internal control framework</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29</w:t>
            </w:r>
          </w:p>
        </w:tc>
        <w:tc>
          <w:tcPr>
            <w:tcW w:w="160" w:type="dxa"/>
            <w:vAlign w:val="bottom"/>
            <w:vMerge w:val="continue"/>
          </w:tcPr>
          <w:p>
            <w:pPr>
              <w:spacing w:after="0"/>
              <w:rPr>
                <w:sz w:val="11"/>
                <w:szCs w:val="11"/>
                <w:color w:val="auto"/>
              </w:rPr>
            </w:pPr>
          </w:p>
        </w:tc>
        <w:tc>
          <w:tcPr>
            <w:tcW w:w="200" w:type="dxa"/>
            <w:vAlign w:val="bottom"/>
            <w:tcBorders>
              <w:bottom w:val="single" w:sz="8" w:color="0000EE"/>
            </w:tcBorders>
            <w:vMerge w:val="continue"/>
          </w:tcPr>
          <w:p>
            <w:pPr>
              <w:spacing w:after="0"/>
              <w:rPr>
                <w:sz w:val="11"/>
                <w:szCs w:val="11"/>
                <w:color w:val="auto"/>
              </w:rPr>
            </w:pPr>
          </w:p>
        </w:tc>
        <w:tc>
          <w:tcPr>
            <w:tcW w:w="1660" w:type="dxa"/>
            <w:vAlign w:val="bottom"/>
            <w:tcBorders>
              <w:bottom w:val="single" w:sz="8" w:color="0000EE"/>
            </w:tcBorders>
            <w:gridSpan w:val="13"/>
            <w:vMerge w:val="continue"/>
          </w:tcPr>
          <w:p>
            <w:pPr>
              <w:spacing w:after="0"/>
              <w:rPr>
                <w:sz w:val="11"/>
                <w:szCs w:val="11"/>
                <w:color w:val="auto"/>
              </w:rPr>
            </w:pPr>
          </w:p>
        </w:tc>
        <w:tc>
          <w:tcPr>
            <w:tcW w:w="1660" w:type="dxa"/>
            <w:vAlign w:val="bottom"/>
            <w:gridSpan w:val="9"/>
            <w:vMerge w:val="continue"/>
          </w:tcPr>
          <w:p>
            <w:pPr>
              <w:spacing w:after="0"/>
              <w:rPr>
                <w:sz w:val="11"/>
                <w:szCs w:val="11"/>
                <w:color w:val="auto"/>
              </w:rPr>
            </w:pPr>
          </w:p>
        </w:tc>
        <w:tc>
          <w:tcPr>
            <w:tcW w:w="8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0" w:type="dxa"/>
            <w:vAlign w:val="bottom"/>
          </w:tcPr>
          <w:p>
            <w:pPr>
              <w:spacing w:after="0"/>
              <w:rPr>
                <w:sz w:val="6"/>
                <w:szCs w:val="6"/>
                <w:color w:val="auto"/>
              </w:rPr>
            </w:pPr>
          </w:p>
        </w:tc>
        <w:tc>
          <w:tcPr>
            <w:tcW w:w="4400" w:type="dxa"/>
            <w:vAlign w:val="bottom"/>
            <w:tcBorders>
              <w:bottom w:val="single" w:sz="8" w:color="0000EE"/>
            </w:tcBorders>
            <w:gridSpan w:val="27"/>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380" w:type="dxa"/>
            <w:vAlign w:val="bottom"/>
            <w:gridSpan w:val="31"/>
            <w:vMerge w:val="restart"/>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VI. 2018 Non-qualified deferred compensation</w:t>
              </w:r>
            </w:hyperlink>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4260" w:type="dxa"/>
            <w:vAlign w:val="bottom"/>
            <w:gridSpan w:val="26"/>
            <w:vMerge w:val="restart"/>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Oversight of environmental, social and governance (“ESG”)</w:t>
              </w:r>
            </w:hyperlink>
          </w:p>
        </w:tc>
        <w:tc>
          <w:tcPr>
            <w:tcW w:w="140" w:type="dxa"/>
            <w:vAlign w:val="bottom"/>
            <w:vMerge w:val="restart"/>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380" w:type="dxa"/>
            <w:vAlign w:val="bottom"/>
            <w:gridSpan w:val="3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60" w:type="dxa"/>
            <w:vAlign w:val="bottom"/>
            <w:gridSpan w:val="26"/>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40" w:type="dxa"/>
            <w:vAlign w:val="bottom"/>
          </w:tcPr>
          <w:p>
            <w:pPr>
              <w:spacing w:after="0"/>
              <w:rPr>
                <w:sz w:val="6"/>
                <w:szCs w:val="6"/>
                <w:color w:val="auto"/>
              </w:rPr>
            </w:pPr>
          </w:p>
        </w:tc>
        <w:tc>
          <w:tcPr>
            <w:tcW w:w="4260" w:type="dxa"/>
            <w:vAlign w:val="bottom"/>
            <w:tcBorders>
              <w:bottom w:val="single" w:sz="8" w:color="0000EE"/>
            </w:tcBorders>
            <w:gridSpan w:val="26"/>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20" w:type="dxa"/>
            <w:vAlign w:val="bottom"/>
            <w:gridSpan w:val="30"/>
            <w:vMerge w:val="restart"/>
          </w:tcPr>
          <w:p>
            <w:pPr>
              <w:spacing w:after="0"/>
              <w:rPr>
                <w:rFonts w:ascii="Arial" w:cs="Arial" w:eastAsia="Arial" w:hAnsi="Arial"/>
                <w:sz w:val="16"/>
                <w:szCs w:val="16"/>
                <w:color w:val="0000EE"/>
                <w:w w:val="99"/>
              </w:rPr>
            </w:pPr>
            <w:hyperlink w:anchor="page80">
              <w:r>
                <w:rPr>
                  <w:rFonts w:ascii="Arial" w:cs="Arial" w:eastAsia="Arial" w:hAnsi="Arial"/>
                  <w:sz w:val="16"/>
                  <w:szCs w:val="16"/>
                  <w:color w:val="0000EE"/>
                  <w:w w:val="99"/>
                </w:rPr>
                <w:t>VII. 2018 Potential payments upon termination or change in</w:t>
              </w:r>
            </w:hyperlink>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4400" w:type="dxa"/>
            <w:vAlign w:val="bottom"/>
            <w:gridSpan w:val="27"/>
            <w:vMerge w:val="restart"/>
          </w:tcPr>
          <w:p>
            <w:pPr>
              <w:spacing w:after="0" w:line="164" w:lineRule="exact"/>
              <w:rPr>
                <w:rFonts w:ascii="Arial" w:cs="Arial" w:eastAsia="Arial" w:hAnsi="Arial"/>
                <w:sz w:val="16"/>
                <w:szCs w:val="16"/>
                <w:color w:val="0000EE"/>
              </w:rPr>
            </w:pPr>
            <w:hyperlink w:anchor="page39">
              <w:r>
                <w:rPr>
                  <w:rFonts w:ascii="Arial" w:cs="Arial" w:eastAsia="Arial" w:hAnsi="Arial"/>
                  <w:sz w:val="16"/>
                  <w:szCs w:val="16"/>
                  <w:color w:val="0000EE"/>
                </w:rPr>
                <w:t>matters</w:t>
              </w:r>
            </w:hyperlink>
          </w:p>
        </w:tc>
        <w:tc>
          <w:tcPr>
            <w:tcW w:w="1080" w:type="dxa"/>
            <w:vAlign w:val="bottom"/>
            <w:vMerge w:val="restart"/>
          </w:tcPr>
          <w:p>
            <w:pPr>
              <w:jc w:val="right"/>
              <w:ind w:right="398"/>
              <w:spacing w:after="0" w:line="164" w:lineRule="exact"/>
              <w:rPr>
                <w:sz w:val="20"/>
                <w:szCs w:val="20"/>
                <w:color w:val="auto"/>
              </w:rPr>
            </w:pPr>
            <w:r>
              <w:rPr>
                <w:rFonts w:ascii="Arial" w:cs="Arial" w:eastAsia="Arial" w:hAnsi="Arial"/>
                <w:sz w:val="16"/>
                <w:szCs w:val="16"/>
                <w:color w:val="auto"/>
              </w:rPr>
              <w:t>31</w:t>
            </w:r>
          </w:p>
        </w:tc>
        <w:tc>
          <w:tcPr>
            <w:tcW w:w="160" w:type="dxa"/>
            <w:vAlign w:val="bottom"/>
          </w:tcPr>
          <w:p>
            <w:pPr>
              <w:spacing w:after="0"/>
              <w:rPr>
                <w:sz w:val="11"/>
                <w:szCs w:val="11"/>
                <w:color w:val="auto"/>
              </w:rPr>
            </w:pPr>
          </w:p>
        </w:tc>
        <w:tc>
          <w:tcPr>
            <w:tcW w:w="4220" w:type="dxa"/>
            <w:vAlign w:val="bottom"/>
            <w:tcBorders>
              <w:bottom w:val="single" w:sz="8" w:color="0000EE"/>
            </w:tcBorders>
            <w:gridSpan w:val="30"/>
            <w:vMerge w:val="continue"/>
          </w:tcPr>
          <w:p>
            <w:pPr>
              <w:spacing w:after="0"/>
              <w:rPr>
                <w:sz w:val="11"/>
                <w:szCs w:val="11"/>
                <w:color w:val="auto"/>
              </w:rPr>
            </w:pPr>
          </w:p>
        </w:tc>
        <w:tc>
          <w:tcPr>
            <w:tcW w:w="1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400" w:type="dxa"/>
            <w:vAlign w:val="bottom"/>
            <w:gridSpan w:val="27"/>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1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80" w:type="dxa"/>
            <w:vAlign w:val="bottom"/>
            <w:gridSpan w:val="30"/>
            <w:vMerge w:val="restart"/>
          </w:tcPr>
          <w:p>
            <w:pPr>
              <w:ind w:left="60"/>
              <w:spacing w:after="0" w:line="149" w:lineRule="exact"/>
              <w:rPr>
                <w:rFonts w:ascii="Arial" w:cs="Arial" w:eastAsia="Arial" w:hAnsi="Arial"/>
                <w:sz w:val="16"/>
                <w:szCs w:val="16"/>
                <w:color w:val="0000EE"/>
              </w:rPr>
            </w:pPr>
            <w:hyperlink w:anchor="page80">
              <w:r>
                <w:rPr>
                  <w:rFonts w:ascii="Arial" w:cs="Arial" w:eastAsia="Arial" w:hAnsi="Arial"/>
                  <w:sz w:val="16"/>
                  <w:szCs w:val="16"/>
                  <w:color w:val="0000EE"/>
                </w:rPr>
                <w:t>control</w:t>
              </w:r>
            </w:hyperlink>
          </w:p>
        </w:tc>
        <w:tc>
          <w:tcPr>
            <w:tcW w:w="0" w:type="dxa"/>
            <w:vAlign w:val="bottom"/>
          </w:tcPr>
          <w:p>
            <w:pPr>
              <w:spacing w:after="0" w:line="20" w:lineRule="exact"/>
              <w:rPr>
                <w:sz w:val="1"/>
                <w:szCs w:val="1"/>
                <w:color w:val="auto"/>
              </w:rPr>
            </w:pPr>
          </w:p>
        </w:tc>
      </w:tr>
      <w:tr>
        <w:trPr>
          <w:trHeight w:val="129"/>
        </w:trPr>
        <w:tc>
          <w:tcPr>
            <w:tcW w:w="3920" w:type="dxa"/>
            <w:vAlign w:val="bottom"/>
            <w:gridSpan w:val="24"/>
            <w:vMerge w:val="restart"/>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Active Board engagement with the Firm’s stakeholders</w:t>
              </w:r>
            </w:hyperlink>
          </w:p>
        </w:tc>
        <w:tc>
          <w:tcPr>
            <w:tcW w:w="620" w:type="dxa"/>
            <w:vAlign w:val="bottom"/>
            <w:gridSpan w:val="4"/>
            <w:vMerge w:val="restart"/>
          </w:tcPr>
          <w:p>
            <w:pPr>
              <w:spacing w:after="0"/>
              <w:rPr>
                <w:sz w:val="11"/>
                <w:szCs w:val="11"/>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180" w:type="dxa"/>
            <w:vAlign w:val="bottom"/>
            <w:gridSpan w:val="3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20" w:type="dxa"/>
            <w:vAlign w:val="bottom"/>
            <w:gridSpan w:val="24"/>
            <w:vMerge w:val="continue"/>
          </w:tcPr>
          <w:p>
            <w:pPr>
              <w:spacing w:after="0" w:line="20" w:lineRule="exact"/>
              <w:rPr>
                <w:sz w:val="1"/>
                <w:szCs w:val="1"/>
                <w:color w:val="auto"/>
              </w:rPr>
            </w:pPr>
          </w:p>
        </w:tc>
        <w:tc>
          <w:tcPr>
            <w:tcW w:w="620" w:type="dxa"/>
            <w:vAlign w:val="bottom"/>
            <w:gridSpan w:val="4"/>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920" w:type="dxa"/>
            <w:vAlign w:val="bottom"/>
            <w:tcBorders>
              <w:bottom w:val="single" w:sz="8" w:color="0000EE"/>
            </w:tcBorders>
            <w:gridSpan w:val="24"/>
            <w:vMerge w:val="continue"/>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800" w:type="dxa"/>
            <w:vAlign w:val="bottom"/>
            <w:gridSpan w:val="13"/>
            <w:vMerge w:val="restart"/>
          </w:tcPr>
          <w:p>
            <w:pPr>
              <w:spacing w:after="0"/>
              <w:rPr>
                <w:rFonts w:ascii="Arial" w:cs="Arial" w:eastAsia="Arial" w:hAnsi="Arial"/>
                <w:sz w:val="16"/>
                <w:szCs w:val="16"/>
                <w:color w:val="0000EE"/>
              </w:rPr>
            </w:pPr>
            <w:hyperlink w:anchor="page83">
              <w:r>
                <w:rPr>
                  <w:rFonts w:ascii="Arial" w:cs="Arial" w:eastAsia="Arial" w:hAnsi="Arial"/>
                  <w:sz w:val="16"/>
                  <w:szCs w:val="16"/>
                  <w:color w:val="0000EE"/>
                </w:rPr>
                <w:t>CEO pay ratio disclosure</w:t>
              </w:r>
            </w:hyperlink>
          </w:p>
        </w:tc>
        <w:tc>
          <w:tcPr>
            <w:tcW w:w="2740" w:type="dxa"/>
            <w:vAlign w:val="bottom"/>
            <w:gridSpan w:val="19"/>
            <w:vMerge w:val="restart"/>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1420" w:type="dxa"/>
            <w:vAlign w:val="bottom"/>
            <w:gridSpan w:val="8"/>
            <w:vMerge w:val="restart"/>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Active engagement</w:t>
              </w:r>
            </w:hyperlink>
          </w:p>
        </w:tc>
        <w:tc>
          <w:tcPr>
            <w:tcW w:w="2980" w:type="dxa"/>
            <w:vAlign w:val="bottom"/>
            <w:gridSpan w:val="19"/>
            <w:vMerge w:val="restart"/>
          </w:tcPr>
          <w:p>
            <w:pPr>
              <w:spacing w:after="0"/>
              <w:rPr>
                <w:sz w:val="11"/>
                <w:szCs w:val="11"/>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31</w:t>
            </w:r>
          </w:p>
        </w:tc>
        <w:tc>
          <w:tcPr>
            <w:tcW w:w="1800" w:type="dxa"/>
            <w:vAlign w:val="bottom"/>
            <w:tcBorders>
              <w:bottom w:val="single" w:sz="8" w:color="0000EE"/>
            </w:tcBorders>
            <w:gridSpan w:val="13"/>
            <w:vMerge w:val="continue"/>
          </w:tcPr>
          <w:p>
            <w:pPr>
              <w:spacing w:after="0"/>
              <w:rPr>
                <w:sz w:val="11"/>
                <w:szCs w:val="11"/>
                <w:color w:val="auto"/>
              </w:rPr>
            </w:pPr>
          </w:p>
        </w:tc>
        <w:tc>
          <w:tcPr>
            <w:tcW w:w="2740" w:type="dxa"/>
            <w:vAlign w:val="bottom"/>
            <w:gridSpan w:val="1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0" w:type="dxa"/>
            <w:vAlign w:val="bottom"/>
          </w:tcPr>
          <w:p>
            <w:pPr>
              <w:spacing w:after="0"/>
              <w:rPr>
                <w:sz w:val="6"/>
                <w:szCs w:val="6"/>
                <w:color w:val="auto"/>
              </w:rPr>
            </w:pPr>
          </w:p>
        </w:tc>
        <w:tc>
          <w:tcPr>
            <w:tcW w:w="1420" w:type="dxa"/>
            <w:vAlign w:val="bottom"/>
            <w:tcBorders>
              <w:bottom w:val="single" w:sz="8" w:color="0000EE"/>
            </w:tcBorders>
            <w:gridSpan w:val="8"/>
            <w:vMerge w:val="continue"/>
          </w:tcPr>
          <w:p>
            <w:pPr>
              <w:spacing w:after="0"/>
              <w:rPr>
                <w:sz w:val="6"/>
                <w:szCs w:val="6"/>
                <w:color w:val="auto"/>
              </w:rPr>
            </w:pPr>
          </w:p>
        </w:tc>
        <w:tc>
          <w:tcPr>
            <w:tcW w:w="2980" w:type="dxa"/>
            <w:vAlign w:val="bottom"/>
            <w:gridSpan w:val="19"/>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540" w:type="dxa"/>
            <w:vAlign w:val="bottom"/>
            <w:gridSpan w:val="32"/>
            <w:vMerge w:val="restart"/>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Security ownership of directors and executive officers</w:t>
              </w:r>
            </w:hyperlink>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240" w:type="dxa"/>
            <w:vAlign w:val="bottom"/>
            <w:gridSpan w:val="14"/>
            <w:vMerge w:val="restart"/>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Engagement with shareholders</w:t>
              </w:r>
            </w:hyperlink>
          </w:p>
        </w:tc>
        <w:tc>
          <w:tcPr>
            <w:tcW w:w="2160" w:type="dxa"/>
            <w:vAlign w:val="bottom"/>
            <w:gridSpan w:val="13"/>
            <w:vMerge w:val="restart"/>
          </w:tcPr>
          <w:p>
            <w:pPr>
              <w:spacing w:after="0"/>
              <w:rPr>
                <w:sz w:val="11"/>
                <w:szCs w:val="11"/>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31</w:t>
            </w:r>
          </w:p>
        </w:tc>
        <w:tc>
          <w:tcPr>
            <w:tcW w:w="4540" w:type="dxa"/>
            <w:vAlign w:val="bottom"/>
            <w:gridSpan w:val="3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0" w:type="dxa"/>
            <w:vAlign w:val="bottom"/>
          </w:tcPr>
          <w:p>
            <w:pPr>
              <w:spacing w:after="0"/>
              <w:rPr>
                <w:sz w:val="6"/>
                <w:szCs w:val="6"/>
                <w:color w:val="auto"/>
              </w:rPr>
            </w:pPr>
          </w:p>
        </w:tc>
        <w:tc>
          <w:tcPr>
            <w:tcW w:w="2240" w:type="dxa"/>
            <w:vAlign w:val="bottom"/>
            <w:tcBorders>
              <w:bottom w:val="single" w:sz="8" w:color="0000EE"/>
            </w:tcBorders>
            <w:gridSpan w:val="14"/>
            <w:vMerge w:val="continue"/>
          </w:tcPr>
          <w:p>
            <w:pPr>
              <w:spacing w:after="0"/>
              <w:rPr>
                <w:sz w:val="6"/>
                <w:szCs w:val="6"/>
                <w:color w:val="auto"/>
              </w:rPr>
            </w:pPr>
          </w:p>
        </w:tc>
        <w:tc>
          <w:tcPr>
            <w:tcW w:w="2160" w:type="dxa"/>
            <w:vAlign w:val="bottom"/>
            <w:gridSpan w:val="13"/>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3820" w:type="dxa"/>
            <w:vAlign w:val="bottom"/>
            <w:tcBorders>
              <w:top w:val="single" w:sz="8" w:color="0000EE"/>
              <w:bottom w:val="single" w:sz="8" w:color="0000EE"/>
            </w:tcBorders>
            <w:gridSpan w:val="25"/>
            <w:vMerge w:val="restart"/>
          </w:tcPr>
          <w:p>
            <w:pPr>
              <w:spacing w:after="0"/>
              <w:rPr>
                <w:sz w:val="20"/>
                <w:szCs w:val="20"/>
                <w:color w:val="auto"/>
              </w:rPr>
            </w:pPr>
            <w:r>
              <w:rPr>
                <w:rFonts w:ascii="Arial" w:cs="Arial" w:eastAsia="Arial" w:hAnsi="Arial"/>
                <w:sz w:val="23"/>
                <w:szCs w:val="23"/>
                <w:b w:val="1"/>
                <w:bCs w:val="1"/>
                <w:color w:val="004876"/>
              </w:rPr>
              <w:t>Audit Matters</w:t>
            </w:r>
          </w:p>
        </w:tc>
        <w:tc>
          <w:tcPr>
            <w:tcW w:w="720" w:type="dxa"/>
            <w:vAlign w:val="bottom"/>
            <w:gridSpan w:val="7"/>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2080" w:type="dxa"/>
            <w:vAlign w:val="bottom"/>
            <w:tcBorders>
              <w:bottom w:val="single" w:sz="8" w:color="0000EE"/>
            </w:tcBorders>
            <w:gridSpan w:val="13"/>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Engagement with employees</w:t>
              </w:r>
            </w:hyperlink>
          </w:p>
        </w:tc>
        <w:tc>
          <w:tcPr>
            <w:tcW w:w="520" w:type="dxa"/>
            <w:vAlign w:val="bottom"/>
            <w:gridSpan w:val="4"/>
          </w:tcPr>
          <w:p>
            <w:pPr>
              <w:spacing w:after="0"/>
              <w:rPr>
                <w:sz w:val="19"/>
                <w:szCs w:val="19"/>
                <w:color w:val="auto"/>
              </w:rPr>
            </w:pPr>
          </w:p>
        </w:tc>
        <w:tc>
          <w:tcPr>
            <w:tcW w:w="880" w:type="dxa"/>
            <w:vAlign w:val="bottom"/>
            <w:gridSpan w:val="3"/>
          </w:tcPr>
          <w:p>
            <w:pPr>
              <w:spacing w:after="0"/>
              <w:rPr>
                <w:sz w:val="19"/>
                <w:szCs w:val="19"/>
                <w:color w:val="auto"/>
              </w:rPr>
            </w:pPr>
          </w:p>
        </w:tc>
        <w:tc>
          <w:tcPr>
            <w:tcW w:w="28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540" w:type="dxa"/>
            <w:vAlign w:val="bottom"/>
            <w:gridSpan w:val="3"/>
          </w:tcPr>
          <w:p>
            <w:pPr>
              <w:spacing w:after="0"/>
              <w:rPr>
                <w:sz w:val="19"/>
                <w:szCs w:val="19"/>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32</w:t>
            </w:r>
          </w:p>
        </w:tc>
        <w:tc>
          <w:tcPr>
            <w:tcW w:w="3820" w:type="dxa"/>
            <w:vAlign w:val="bottom"/>
            <w:tcBorders>
              <w:bottom w:val="single" w:sz="8" w:color="0000EE"/>
            </w:tcBorders>
            <w:gridSpan w:val="25"/>
            <w:vMerge w:val="continue"/>
          </w:tcPr>
          <w:p>
            <w:pPr>
              <w:spacing w:after="0"/>
              <w:rPr>
                <w:sz w:val="19"/>
                <w:szCs w:val="19"/>
                <w:color w:val="auto"/>
              </w:rPr>
            </w:pPr>
          </w:p>
        </w:tc>
        <w:tc>
          <w:tcPr>
            <w:tcW w:w="72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140" w:type="dxa"/>
            <w:vAlign w:val="bottom"/>
          </w:tcPr>
          <w:p>
            <w:pPr>
              <w:spacing w:after="0"/>
              <w:rPr>
                <w:sz w:val="6"/>
                <w:szCs w:val="6"/>
                <w:color w:val="auto"/>
              </w:rPr>
            </w:pPr>
          </w:p>
        </w:tc>
        <w:tc>
          <w:tcPr>
            <w:tcW w:w="4400" w:type="dxa"/>
            <w:vAlign w:val="bottom"/>
            <w:gridSpan w:val="27"/>
            <w:vMerge w:val="restart"/>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Engagement with regulators</w:t>
              </w:r>
            </w:hyperlink>
          </w:p>
        </w:tc>
        <w:tc>
          <w:tcPr>
            <w:tcW w:w="1080" w:type="dxa"/>
            <w:vAlign w:val="bottom"/>
            <w:vMerge w:val="continue"/>
          </w:tcPr>
          <w:p>
            <w:pPr>
              <w:spacing w:after="0"/>
              <w:rPr>
                <w:sz w:val="6"/>
                <w:szCs w:val="6"/>
                <w:color w:val="auto"/>
              </w:rPr>
            </w:pPr>
          </w:p>
        </w:tc>
        <w:tc>
          <w:tcPr>
            <w:tcW w:w="3820" w:type="dxa"/>
            <w:vAlign w:val="bottom"/>
            <w:gridSpan w:val="25"/>
            <w:vMerge w:val="continue"/>
          </w:tcPr>
          <w:p>
            <w:pPr>
              <w:spacing w:after="0"/>
              <w:rPr>
                <w:sz w:val="6"/>
                <w:szCs w:val="6"/>
                <w:color w:val="auto"/>
              </w:rPr>
            </w:pPr>
          </w:p>
        </w:tc>
        <w:tc>
          <w:tcPr>
            <w:tcW w:w="7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4400" w:type="dxa"/>
            <w:vAlign w:val="bottom"/>
            <w:gridSpan w:val="27"/>
            <w:vMerge w:val="continue"/>
          </w:tcPr>
          <w:p>
            <w:pPr>
              <w:spacing w:after="0"/>
              <w:rPr>
                <w:sz w:val="12"/>
                <w:szCs w:val="12"/>
                <w:color w:val="auto"/>
              </w:rPr>
            </w:pPr>
          </w:p>
        </w:tc>
        <w:tc>
          <w:tcPr>
            <w:tcW w:w="1080" w:type="dxa"/>
            <w:vAlign w:val="bottom"/>
          </w:tcPr>
          <w:p>
            <w:pPr>
              <w:jc w:val="right"/>
              <w:ind w:right="398"/>
              <w:spacing w:after="0" w:line="147" w:lineRule="exact"/>
              <w:rPr>
                <w:sz w:val="20"/>
                <w:szCs w:val="20"/>
                <w:color w:val="auto"/>
              </w:rPr>
            </w:pPr>
            <w:r>
              <w:rPr>
                <w:rFonts w:ascii="Arial" w:cs="Arial" w:eastAsia="Arial" w:hAnsi="Arial"/>
                <w:sz w:val="16"/>
                <w:szCs w:val="16"/>
                <w:color w:val="auto"/>
              </w:rPr>
              <w:t>32</w:t>
            </w:r>
          </w:p>
        </w:tc>
        <w:tc>
          <w:tcPr>
            <w:tcW w:w="1420" w:type="dxa"/>
            <w:vAlign w:val="bottom"/>
            <w:gridSpan w:val="9"/>
            <w:vMerge w:val="restart"/>
          </w:tcPr>
          <w:p>
            <w:pPr>
              <w:spacing w:after="0"/>
              <w:rPr>
                <w:rFonts w:ascii="Arial" w:cs="Arial" w:eastAsia="Arial" w:hAnsi="Arial"/>
                <w:sz w:val="16"/>
                <w:szCs w:val="16"/>
                <w:color w:val="0000EE"/>
              </w:rPr>
            </w:pPr>
            <w:hyperlink w:anchor="page87">
              <w:r>
                <w:rPr>
                  <w:rFonts w:ascii="Arial" w:cs="Arial" w:eastAsia="Arial" w:hAnsi="Arial"/>
                  <w:sz w:val="16"/>
                  <w:szCs w:val="16"/>
                  <w:color w:val="0000EE"/>
                </w:rPr>
                <w:t>Executive summary</w:t>
              </w:r>
            </w:hyperlink>
          </w:p>
        </w:tc>
        <w:tc>
          <w:tcPr>
            <w:tcW w:w="3120" w:type="dxa"/>
            <w:vAlign w:val="bottom"/>
            <w:gridSpan w:val="2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gridSpan w:val="9"/>
            <w:vMerge w:val="continue"/>
          </w:tcPr>
          <w:p>
            <w:pPr>
              <w:spacing w:after="0" w:line="20" w:lineRule="exact"/>
              <w:rPr>
                <w:sz w:val="1"/>
                <w:szCs w:val="1"/>
                <w:color w:val="auto"/>
              </w:rPr>
            </w:pPr>
          </w:p>
        </w:tc>
        <w:tc>
          <w:tcPr>
            <w:tcW w:w="3120" w:type="dxa"/>
            <w:vAlign w:val="bottom"/>
            <w:gridSpan w:val="2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40" w:type="dxa"/>
            <w:vAlign w:val="bottom"/>
          </w:tcPr>
          <w:p>
            <w:pPr>
              <w:spacing w:after="0"/>
              <w:rPr>
                <w:sz w:val="5"/>
                <w:szCs w:val="5"/>
                <w:color w:val="auto"/>
              </w:rPr>
            </w:pPr>
          </w:p>
        </w:tc>
        <w:tc>
          <w:tcPr>
            <w:tcW w:w="4400" w:type="dxa"/>
            <w:vAlign w:val="bottom"/>
            <w:gridSpan w:val="27"/>
            <w:vMerge w:val="restart"/>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Engagement with ESG stakeholders</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32</w:t>
            </w:r>
          </w:p>
        </w:tc>
        <w:tc>
          <w:tcPr>
            <w:tcW w:w="1420" w:type="dxa"/>
            <w:vAlign w:val="bottom"/>
            <w:tcBorders>
              <w:bottom w:val="single" w:sz="8" w:color="0000EE"/>
            </w:tcBorders>
            <w:gridSpan w:val="9"/>
            <w:vMerge w:val="continue"/>
          </w:tcPr>
          <w:p>
            <w:pPr>
              <w:spacing w:after="0"/>
              <w:rPr>
                <w:sz w:val="5"/>
                <w:szCs w:val="5"/>
                <w:color w:val="auto"/>
              </w:rPr>
            </w:pPr>
          </w:p>
        </w:tc>
        <w:tc>
          <w:tcPr>
            <w:tcW w:w="312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400" w:type="dxa"/>
            <w:vAlign w:val="bottom"/>
            <w:gridSpan w:val="27"/>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4540" w:type="dxa"/>
            <w:vAlign w:val="bottom"/>
            <w:gridSpan w:val="32"/>
            <w:vMerge w:val="restart"/>
          </w:tcPr>
          <w:p>
            <w:pPr>
              <w:spacing w:after="0"/>
              <w:rPr>
                <w:rFonts w:ascii="Arial" w:cs="Arial" w:eastAsia="Arial" w:hAnsi="Arial"/>
                <w:sz w:val="16"/>
                <w:szCs w:val="16"/>
                <w:b w:val="1"/>
                <w:bCs w:val="1"/>
                <w:color w:val="0000EE"/>
              </w:rPr>
            </w:pPr>
            <w:hyperlink w:anchor="page88">
              <w:r>
                <w:rPr>
                  <w:rFonts w:ascii="Arial" w:cs="Arial" w:eastAsia="Arial" w:hAnsi="Arial"/>
                  <w:sz w:val="16"/>
                  <w:szCs w:val="16"/>
                  <w:b w:val="1"/>
                  <w:bCs w:val="1"/>
                  <w:color w:val="0000EE"/>
                </w:rPr>
                <w:t>Proposal 3: Ratification of independent registered public</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40" w:type="dxa"/>
            <w:vAlign w:val="bottom"/>
            <w:gridSpan w:val="3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540" w:type="dxa"/>
            <w:vAlign w:val="bottom"/>
            <w:gridSpan w:val="28"/>
            <w:vMerge w:val="restart"/>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Other corporate governance policies and practices</w:t>
              </w:r>
            </w:hyperlink>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32</w:t>
            </w:r>
          </w:p>
        </w:tc>
        <w:tc>
          <w:tcPr>
            <w:tcW w:w="4540" w:type="dxa"/>
            <w:vAlign w:val="bottom"/>
            <w:gridSpan w:val="3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540" w:type="dxa"/>
            <w:vAlign w:val="bottom"/>
            <w:gridSpan w:val="28"/>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20" w:type="dxa"/>
            <w:vAlign w:val="bottom"/>
            <w:tcBorders>
              <w:top w:val="single" w:sz="8" w:color="0000EE"/>
            </w:tcBorders>
            <w:gridSpan w:val="7"/>
            <w:vMerge w:val="restart"/>
          </w:tcPr>
          <w:p>
            <w:pPr>
              <w:spacing w:after="0" w:line="169" w:lineRule="exact"/>
              <w:rPr>
                <w:rFonts w:ascii="Arial" w:cs="Arial" w:eastAsia="Arial" w:hAnsi="Arial"/>
                <w:sz w:val="16"/>
                <w:szCs w:val="16"/>
                <w:b w:val="1"/>
                <w:bCs w:val="1"/>
                <w:color w:val="0000EE"/>
                <w:w w:val="99"/>
              </w:rPr>
            </w:pPr>
            <w:hyperlink w:anchor="page88">
              <w:r>
                <w:rPr>
                  <w:rFonts w:ascii="Arial" w:cs="Arial" w:eastAsia="Arial" w:hAnsi="Arial"/>
                  <w:sz w:val="16"/>
                  <w:szCs w:val="16"/>
                  <w:b w:val="1"/>
                  <w:bCs w:val="1"/>
                  <w:color w:val="0000EE"/>
                  <w:w w:val="99"/>
                </w:rPr>
                <w:t>accounting firm</w:t>
              </w:r>
            </w:hyperlink>
          </w:p>
        </w:tc>
        <w:tc>
          <w:tcPr>
            <w:tcW w:w="3140" w:type="dxa"/>
            <w:vAlign w:val="bottom"/>
            <w:tcBorders>
              <w:top w:val="single" w:sz="8" w:color="0000EE"/>
            </w:tcBorders>
            <w:gridSpan w:val="23"/>
            <w:vMerge w:val="restart"/>
          </w:tcPr>
          <w:p>
            <w:pPr>
              <w:spacing w:after="0"/>
              <w:rPr>
                <w:sz w:val="7"/>
                <w:szCs w:val="7"/>
                <w:color w:val="auto"/>
              </w:rPr>
            </w:pPr>
          </w:p>
        </w:tc>
        <w:tc>
          <w:tcPr>
            <w:tcW w:w="18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40" w:type="dxa"/>
            <w:vAlign w:val="bottom"/>
            <w:tcBorders>
              <w:top w:val="single" w:sz="8" w:color="0000EE"/>
            </w:tcBorders>
          </w:tcPr>
          <w:p>
            <w:pPr>
              <w:spacing w:after="0"/>
              <w:rPr>
                <w:sz w:val="5"/>
                <w:szCs w:val="5"/>
                <w:color w:val="auto"/>
              </w:rPr>
            </w:pPr>
          </w:p>
        </w:tc>
        <w:tc>
          <w:tcPr>
            <w:tcW w:w="3480" w:type="dxa"/>
            <w:vAlign w:val="bottom"/>
            <w:tcBorders>
              <w:top w:val="single" w:sz="8" w:color="0000EE"/>
              <w:bottom w:val="single" w:sz="8" w:color="0000EE"/>
            </w:tcBorders>
            <w:gridSpan w:val="20"/>
            <w:vMerge w:val="restart"/>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Shareholder rights</w:t>
              </w:r>
            </w:hyperlink>
          </w:p>
        </w:tc>
        <w:tc>
          <w:tcPr>
            <w:tcW w:w="920" w:type="dxa"/>
            <w:vAlign w:val="bottom"/>
            <w:gridSpan w:val="7"/>
            <w:vMerge w:val="restart"/>
          </w:tcPr>
          <w:p>
            <w:pPr>
              <w:spacing w:after="0"/>
              <w:rPr>
                <w:sz w:val="5"/>
                <w:szCs w:val="5"/>
                <w:color w:val="auto"/>
              </w:rPr>
            </w:pPr>
          </w:p>
        </w:tc>
        <w:tc>
          <w:tcPr>
            <w:tcW w:w="1080" w:type="dxa"/>
            <w:vAlign w:val="bottom"/>
            <w:vMerge w:val="restart"/>
          </w:tcPr>
          <w:p>
            <w:pPr>
              <w:jc w:val="right"/>
              <w:ind w:right="398"/>
              <w:spacing w:after="0"/>
              <w:rPr>
                <w:sz w:val="20"/>
                <w:szCs w:val="20"/>
                <w:color w:val="auto"/>
              </w:rPr>
            </w:pPr>
            <w:r>
              <w:rPr>
                <w:rFonts w:ascii="Arial" w:cs="Arial" w:eastAsia="Arial" w:hAnsi="Arial"/>
                <w:sz w:val="16"/>
                <w:szCs w:val="16"/>
                <w:color w:val="auto"/>
              </w:rPr>
              <w:t>32</w:t>
            </w:r>
          </w:p>
        </w:tc>
        <w:tc>
          <w:tcPr>
            <w:tcW w:w="1220" w:type="dxa"/>
            <w:vAlign w:val="bottom"/>
            <w:tcBorders>
              <w:top w:val="single" w:sz="8" w:color="0000EE"/>
              <w:bottom w:val="single" w:sz="8" w:color="0000EE"/>
            </w:tcBorders>
            <w:gridSpan w:val="7"/>
            <w:vMerge w:val="continue"/>
          </w:tcPr>
          <w:p>
            <w:pPr>
              <w:spacing w:after="0"/>
              <w:rPr>
                <w:sz w:val="5"/>
                <w:szCs w:val="5"/>
                <w:color w:val="auto"/>
              </w:rPr>
            </w:pPr>
          </w:p>
        </w:tc>
        <w:tc>
          <w:tcPr>
            <w:tcW w:w="3140" w:type="dxa"/>
            <w:vAlign w:val="bottom"/>
            <w:tcBorders>
              <w:top w:val="single" w:sz="8" w:color="0000EE"/>
            </w:tcBorders>
            <w:gridSpan w:val="23"/>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3480" w:type="dxa"/>
            <w:vAlign w:val="bottom"/>
            <w:gridSpan w:val="20"/>
            <w:vMerge w:val="continue"/>
          </w:tcPr>
          <w:p>
            <w:pPr>
              <w:spacing w:after="0"/>
              <w:rPr>
                <w:sz w:val="12"/>
                <w:szCs w:val="12"/>
                <w:color w:val="auto"/>
              </w:rPr>
            </w:pPr>
          </w:p>
        </w:tc>
        <w:tc>
          <w:tcPr>
            <w:tcW w:w="920" w:type="dxa"/>
            <w:vAlign w:val="bottom"/>
            <w:gridSpan w:val="7"/>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500" w:type="dxa"/>
            <w:vAlign w:val="bottom"/>
            <w:gridSpan w:val="23"/>
            <w:vMerge w:val="restart"/>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Audit Committee approval policy and procedures</w:t>
              </w:r>
            </w:hyperlink>
          </w:p>
        </w:tc>
        <w:tc>
          <w:tcPr>
            <w:tcW w:w="1040" w:type="dxa"/>
            <w:vAlign w:val="bottom"/>
            <w:gridSpan w:val="9"/>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00" w:type="dxa"/>
            <w:vAlign w:val="bottom"/>
            <w:gridSpan w:val="23"/>
            <w:vMerge w:val="continue"/>
          </w:tcPr>
          <w:p>
            <w:pPr>
              <w:spacing w:after="0" w:line="20" w:lineRule="exact"/>
              <w:rPr>
                <w:sz w:val="1"/>
                <w:szCs w:val="1"/>
                <w:color w:val="auto"/>
              </w:rPr>
            </w:pPr>
          </w:p>
        </w:tc>
        <w:tc>
          <w:tcPr>
            <w:tcW w:w="10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40" w:type="dxa"/>
            <w:vAlign w:val="bottom"/>
          </w:tcPr>
          <w:p>
            <w:pPr>
              <w:spacing w:after="0"/>
              <w:rPr>
                <w:sz w:val="5"/>
                <w:szCs w:val="5"/>
                <w:color w:val="auto"/>
              </w:rPr>
            </w:pPr>
          </w:p>
        </w:tc>
        <w:tc>
          <w:tcPr>
            <w:tcW w:w="3760" w:type="dxa"/>
            <w:vAlign w:val="bottom"/>
            <w:gridSpan w:val="22"/>
            <w:vMerge w:val="restart"/>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Policies and procedures for approval of related party</w:t>
              </w:r>
            </w:hyperlink>
          </w:p>
        </w:tc>
        <w:tc>
          <w:tcPr>
            <w:tcW w:w="640" w:type="dxa"/>
            <w:vAlign w:val="bottom"/>
            <w:gridSpan w:val="5"/>
            <w:vMerge w:val="restart"/>
          </w:tcPr>
          <w:p>
            <w:pPr>
              <w:spacing w:after="0"/>
              <w:rPr>
                <w:sz w:val="5"/>
                <w:szCs w:val="5"/>
                <w:color w:val="auto"/>
              </w:rPr>
            </w:pPr>
          </w:p>
        </w:tc>
        <w:tc>
          <w:tcPr>
            <w:tcW w:w="1080" w:type="dxa"/>
            <w:vAlign w:val="bottom"/>
          </w:tcPr>
          <w:p>
            <w:pPr>
              <w:spacing w:after="0"/>
              <w:rPr>
                <w:sz w:val="5"/>
                <w:szCs w:val="5"/>
                <w:color w:val="auto"/>
              </w:rPr>
            </w:pPr>
          </w:p>
        </w:tc>
        <w:tc>
          <w:tcPr>
            <w:tcW w:w="3500" w:type="dxa"/>
            <w:vAlign w:val="bottom"/>
            <w:tcBorders>
              <w:bottom w:val="single" w:sz="8" w:color="0000EE"/>
            </w:tcBorders>
            <w:gridSpan w:val="23"/>
            <w:vMerge w:val="continue"/>
          </w:tcPr>
          <w:p>
            <w:pPr>
              <w:spacing w:after="0"/>
              <w:rPr>
                <w:sz w:val="5"/>
                <w:szCs w:val="5"/>
                <w:color w:val="auto"/>
              </w:rPr>
            </w:pPr>
          </w:p>
        </w:tc>
        <w:tc>
          <w:tcPr>
            <w:tcW w:w="10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40" w:type="dxa"/>
            <w:vAlign w:val="bottom"/>
          </w:tcPr>
          <w:p>
            <w:pPr>
              <w:spacing w:after="0"/>
              <w:rPr>
                <w:sz w:val="12"/>
                <w:szCs w:val="12"/>
                <w:color w:val="auto"/>
              </w:rPr>
            </w:pPr>
          </w:p>
        </w:tc>
        <w:tc>
          <w:tcPr>
            <w:tcW w:w="3760" w:type="dxa"/>
            <w:vAlign w:val="bottom"/>
            <w:tcBorders>
              <w:bottom w:val="single" w:sz="8" w:color="0000EE"/>
            </w:tcBorders>
            <w:gridSpan w:val="22"/>
            <w:vMerge w:val="continue"/>
          </w:tcPr>
          <w:p>
            <w:pPr>
              <w:spacing w:after="0"/>
              <w:rPr>
                <w:sz w:val="12"/>
                <w:szCs w:val="12"/>
                <w:color w:val="auto"/>
              </w:rPr>
            </w:pPr>
          </w:p>
        </w:tc>
        <w:tc>
          <w:tcPr>
            <w:tcW w:w="640" w:type="dxa"/>
            <w:vAlign w:val="bottom"/>
            <w:gridSpan w:val="5"/>
            <w:vMerge w:val="continue"/>
          </w:tcPr>
          <w:p>
            <w:pPr>
              <w:spacing w:after="0"/>
              <w:rPr>
                <w:sz w:val="12"/>
                <w:szCs w:val="12"/>
                <w:color w:val="auto"/>
              </w:rPr>
            </w:pPr>
          </w:p>
        </w:tc>
        <w:tc>
          <w:tcPr>
            <w:tcW w:w="1080" w:type="dxa"/>
            <w:vAlign w:val="bottom"/>
          </w:tcPr>
          <w:p>
            <w:pPr>
              <w:spacing w:after="0"/>
              <w:rPr>
                <w:sz w:val="12"/>
                <w:szCs w:val="12"/>
                <w:color w:val="auto"/>
              </w:rPr>
            </w:pPr>
          </w:p>
        </w:tc>
        <w:tc>
          <w:tcPr>
            <w:tcW w:w="4540" w:type="dxa"/>
            <w:vAlign w:val="bottom"/>
            <w:gridSpan w:val="32"/>
            <w:vMerge w:val="restart"/>
          </w:tcPr>
          <w:p>
            <w:pPr>
              <w:spacing w:after="0"/>
              <w:rPr>
                <w:rFonts w:ascii="Arial" w:cs="Arial" w:eastAsia="Arial" w:hAnsi="Arial"/>
                <w:sz w:val="16"/>
                <w:szCs w:val="16"/>
                <w:color w:val="0000EE"/>
              </w:rPr>
            </w:pPr>
            <w:hyperlink w:anchor="page90">
              <w:r>
                <w:rPr>
                  <w:rFonts w:ascii="Arial" w:cs="Arial" w:eastAsia="Arial" w:hAnsi="Arial"/>
                  <w:sz w:val="16"/>
                  <w:szCs w:val="16"/>
                  <w:color w:val="0000EE"/>
                </w:rPr>
                <w:t>Audit Committee report</w:t>
              </w:r>
            </w:hyperlink>
          </w:p>
        </w:tc>
        <w:tc>
          <w:tcPr>
            <w:tcW w:w="0" w:type="dxa"/>
            <w:vAlign w:val="bottom"/>
          </w:tcPr>
          <w:p>
            <w:pPr>
              <w:spacing w:after="0"/>
              <w:rPr>
                <w:sz w:val="1"/>
                <w:szCs w:val="1"/>
                <w:color w:val="auto"/>
              </w:rPr>
            </w:pPr>
          </w:p>
        </w:tc>
      </w:tr>
      <w:tr>
        <w:trPr>
          <w:trHeight w:val="61"/>
        </w:trPr>
        <w:tc>
          <w:tcPr>
            <w:tcW w:w="140" w:type="dxa"/>
            <w:vAlign w:val="bottom"/>
          </w:tcPr>
          <w:p>
            <w:pPr>
              <w:spacing w:after="0"/>
              <w:rPr>
                <w:sz w:val="5"/>
                <w:szCs w:val="5"/>
                <w:color w:val="auto"/>
              </w:rPr>
            </w:pPr>
          </w:p>
        </w:tc>
        <w:tc>
          <w:tcPr>
            <w:tcW w:w="940" w:type="dxa"/>
            <w:vAlign w:val="bottom"/>
            <w:gridSpan w:val="3"/>
            <w:vMerge w:val="restart"/>
          </w:tcPr>
          <w:p>
            <w:pPr>
              <w:spacing w:after="0" w:line="155" w:lineRule="exact"/>
              <w:rPr>
                <w:rFonts w:ascii="Arial" w:cs="Arial" w:eastAsia="Arial" w:hAnsi="Arial"/>
                <w:sz w:val="16"/>
                <w:szCs w:val="16"/>
                <w:color w:val="0000EE"/>
              </w:rPr>
            </w:pPr>
            <w:hyperlink w:anchor="page40">
              <w:r>
                <w:rPr>
                  <w:rFonts w:ascii="Arial" w:cs="Arial" w:eastAsia="Arial" w:hAnsi="Arial"/>
                  <w:sz w:val="16"/>
                  <w:szCs w:val="16"/>
                  <w:color w:val="0000EE"/>
                </w:rPr>
                <w:t>transactions</w:t>
              </w:r>
            </w:hyperlink>
          </w:p>
        </w:tc>
        <w:tc>
          <w:tcPr>
            <w:tcW w:w="3460" w:type="dxa"/>
            <w:vAlign w:val="bottom"/>
            <w:gridSpan w:val="24"/>
            <w:vMerge w:val="restart"/>
          </w:tcPr>
          <w:p>
            <w:pPr>
              <w:spacing w:after="0"/>
              <w:rPr>
                <w:sz w:val="5"/>
                <w:szCs w:val="5"/>
                <w:color w:val="auto"/>
              </w:rPr>
            </w:pPr>
          </w:p>
        </w:tc>
        <w:tc>
          <w:tcPr>
            <w:tcW w:w="1080" w:type="dxa"/>
            <w:vAlign w:val="bottom"/>
            <w:vMerge w:val="restart"/>
          </w:tcPr>
          <w:p>
            <w:pPr>
              <w:jc w:val="right"/>
              <w:ind w:right="398"/>
              <w:spacing w:after="0" w:line="155" w:lineRule="exact"/>
              <w:rPr>
                <w:sz w:val="20"/>
                <w:szCs w:val="20"/>
                <w:color w:val="auto"/>
              </w:rPr>
            </w:pPr>
            <w:r>
              <w:rPr>
                <w:rFonts w:ascii="Arial" w:cs="Arial" w:eastAsia="Arial" w:hAnsi="Arial"/>
                <w:sz w:val="16"/>
                <w:szCs w:val="16"/>
                <w:color w:val="auto"/>
              </w:rPr>
              <w:t>32</w:t>
            </w:r>
          </w:p>
        </w:tc>
        <w:tc>
          <w:tcPr>
            <w:tcW w:w="4540" w:type="dxa"/>
            <w:vAlign w:val="bottom"/>
            <w:gridSpan w:val="3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40" w:type="dxa"/>
            <w:vAlign w:val="bottom"/>
          </w:tcPr>
          <w:p>
            <w:pPr>
              <w:spacing w:after="0"/>
              <w:rPr>
                <w:sz w:val="7"/>
                <w:szCs w:val="7"/>
                <w:color w:val="auto"/>
              </w:rPr>
            </w:pPr>
          </w:p>
        </w:tc>
        <w:tc>
          <w:tcPr>
            <w:tcW w:w="940" w:type="dxa"/>
            <w:vAlign w:val="bottom"/>
            <w:tcBorders>
              <w:bottom w:val="single" w:sz="8" w:color="0000EE"/>
            </w:tcBorders>
            <w:gridSpan w:val="3"/>
            <w:vMerge w:val="continue"/>
          </w:tcPr>
          <w:p>
            <w:pPr>
              <w:spacing w:after="0"/>
              <w:rPr>
                <w:sz w:val="7"/>
                <w:szCs w:val="7"/>
                <w:color w:val="auto"/>
              </w:rPr>
            </w:pPr>
          </w:p>
        </w:tc>
        <w:tc>
          <w:tcPr>
            <w:tcW w:w="3460" w:type="dxa"/>
            <w:vAlign w:val="bottom"/>
            <w:gridSpan w:val="24"/>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3860" w:type="dxa"/>
            <w:vAlign w:val="bottom"/>
            <w:tcBorders>
              <w:bottom w:val="single" w:sz="8" w:color="0000EE"/>
            </w:tcBorders>
            <w:gridSpan w:val="24"/>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Transactions with directors, executive officers and 5%</w:t>
              </w:r>
            </w:hyperlink>
          </w:p>
        </w:tc>
        <w:tc>
          <w:tcPr>
            <w:tcW w:w="540" w:type="dxa"/>
            <w:vAlign w:val="bottom"/>
            <w:gridSpan w:val="3"/>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400" w:type="dxa"/>
            <w:vAlign w:val="bottom"/>
            <w:gridSpan w:val="27"/>
          </w:tcPr>
          <w:p>
            <w:pPr>
              <w:spacing w:after="0" w:line="155" w:lineRule="exact"/>
              <w:rPr>
                <w:rFonts w:ascii="Arial" w:cs="Arial" w:eastAsia="Arial" w:hAnsi="Arial"/>
                <w:sz w:val="16"/>
                <w:szCs w:val="16"/>
                <w:color w:val="0000EE"/>
              </w:rPr>
            </w:pPr>
            <w:hyperlink w:anchor="page41">
              <w:r>
                <w:rPr>
                  <w:rFonts w:ascii="Arial" w:cs="Arial" w:eastAsia="Arial" w:hAnsi="Arial"/>
                  <w:sz w:val="16"/>
                  <w:szCs w:val="16"/>
                  <w:color w:val="0000EE"/>
                </w:rPr>
                <w:t>shareholders</w:t>
              </w:r>
            </w:hyperlink>
          </w:p>
        </w:tc>
        <w:tc>
          <w:tcPr>
            <w:tcW w:w="1080" w:type="dxa"/>
            <w:vAlign w:val="bottom"/>
          </w:tcPr>
          <w:p>
            <w:pPr>
              <w:jc w:val="right"/>
              <w:ind w:right="398"/>
              <w:spacing w:after="0" w:line="155" w:lineRule="exact"/>
              <w:rPr>
                <w:sz w:val="20"/>
                <w:szCs w:val="20"/>
                <w:color w:val="auto"/>
              </w:rPr>
            </w:pPr>
            <w:r>
              <w:rPr>
                <w:rFonts w:ascii="Arial" w:cs="Arial" w:eastAsia="Arial" w:hAnsi="Arial"/>
                <w:sz w:val="16"/>
                <w:szCs w:val="16"/>
                <w:color w:val="auto"/>
              </w:rPr>
              <w:t>33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Borders>
              <w:right w:val="single" w:sz="8" w:color="0000EE"/>
            </w:tcBorders>
            <w:gridSpan w:val="3"/>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908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-1114425</wp:posOffset>
            </wp:positionV>
            <wp:extent cx="34220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-4707255</wp:posOffset>
            </wp:positionV>
            <wp:extent cx="34220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29"/>
          <w:szCs w:val="29"/>
          <w:color w:val="73A950"/>
        </w:rPr>
        <w:t>ü</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29"/>
          <w:szCs w:val="29"/>
          <w:color w:val="73A950"/>
        </w:rPr>
        <w:t>ü</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ectPr>
          <w:pgSz w:w="11900" w:h="16838" w:orient="portrait"/>
          <w:cols w:equalWidth="0" w:num="2">
            <w:col w:w="10440" w:space="540"/>
            <w:col w:w="180"/>
          </w:cols>
          <w:pgMar w:left="240" w:top="459" w:right="4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280"/>
        <w:spacing w:after="0"/>
        <w:rPr>
          <w:sz w:val="20"/>
          <w:szCs w:val="20"/>
          <w:color w:val="auto"/>
        </w:rPr>
      </w:pPr>
      <w:r>
        <w:rPr>
          <w:rFonts w:ascii="Arial" w:cs="Arial" w:eastAsia="Arial" w:hAnsi="Arial"/>
          <w:sz w:val="23"/>
          <w:szCs w:val="23"/>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27305</wp:posOffset>
            </wp:positionV>
            <wp:extent cx="3353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92" w:lineRule="exact"/>
        <w:rPr>
          <w:sz w:val="20"/>
          <w:szCs w:val="20"/>
          <w:color w:val="auto"/>
        </w:rPr>
      </w:pPr>
    </w:p>
    <w:p>
      <w:pPr>
        <w:ind w:left="640" w:hanging="215"/>
        <w:spacing w:after="0"/>
        <w:tabs>
          <w:tab w:leader="none" w:pos="640" w:val="left"/>
        </w:tabs>
        <w:numPr>
          <w:ilvl w:val="0"/>
          <w:numId w:val="6"/>
        </w:numPr>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Gender pay equity report</w:t>
        </w:r>
      </w:hyperlink>
    </w:p>
    <w:p>
      <w:pPr>
        <w:spacing w:after="0" w:line="45" w:lineRule="exact"/>
        <w:rPr>
          <w:rFonts w:ascii="Arial" w:cs="Arial" w:eastAsia="Arial" w:hAnsi="Arial"/>
          <w:sz w:val="16"/>
          <w:szCs w:val="16"/>
          <w:u w:val="single" w:color="auto"/>
          <w:color w:val="0000EE"/>
        </w:rPr>
      </w:pPr>
    </w:p>
    <w:p>
      <w:pPr>
        <w:ind w:left="660" w:hanging="235"/>
        <w:spacing w:after="0"/>
        <w:tabs>
          <w:tab w:leader="none" w:pos="660" w:val="left"/>
        </w:tabs>
        <w:numPr>
          <w:ilvl w:val="0"/>
          <w:numId w:val="6"/>
        </w:numPr>
        <w:rPr>
          <w:rFonts w:ascii="Arial" w:cs="Arial" w:eastAsia="Arial" w:hAnsi="Arial"/>
          <w:sz w:val="16"/>
          <w:szCs w:val="16"/>
          <w:u w:val="single" w:color="auto"/>
          <w:color w:val="0000EE"/>
        </w:rPr>
      </w:pPr>
      <w:hyperlink w:anchor="page96">
        <w:r>
          <w:rPr>
            <w:rFonts w:ascii="Arial" w:cs="Arial" w:eastAsia="Arial" w:hAnsi="Arial"/>
            <w:sz w:val="16"/>
            <w:szCs w:val="16"/>
            <w:u w:val="single" w:color="auto"/>
            <w:color w:val="0000EE"/>
          </w:rPr>
          <w:t>Enhance shareholder proxy access</w:t>
        </w:r>
      </w:hyperlink>
    </w:p>
    <w:p>
      <w:pPr>
        <w:spacing w:after="0" w:line="59" w:lineRule="exact"/>
        <w:rPr>
          <w:rFonts w:ascii="Arial" w:cs="Arial" w:eastAsia="Arial" w:hAnsi="Arial"/>
          <w:sz w:val="16"/>
          <w:szCs w:val="16"/>
          <w:u w:val="single" w:color="auto"/>
          <w:color w:val="0000EE"/>
        </w:rPr>
      </w:pPr>
    </w:p>
    <w:p>
      <w:pPr>
        <w:ind w:left="640" w:hanging="215"/>
        <w:spacing w:after="0"/>
        <w:tabs>
          <w:tab w:leader="none" w:pos="640" w:val="left"/>
        </w:tabs>
        <w:numPr>
          <w:ilvl w:val="0"/>
          <w:numId w:val="6"/>
        </w:numPr>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Cumulative voting</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26"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85</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120015"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spacing w:after="0" w:line="3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88</w:t>
      </w:r>
    </w:p>
    <w:p>
      <w:pPr>
        <w:spacing w:after="0" w:line="5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90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11"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84"/>
        </w:trPr>
        <w:tc>
          <w:tcPr>
            <w:tcW w:w="3880" w:type="dxa"/>
            <w:vAlign w:val="bottom"/>
            <w:tcBorders>
              <w:bottom w:val="single" w:sz="8" w:color="0000EE"/>
            </w:tcBorders>
            <w:gridSpan w:val="5"/>
          </w:tcPr>
          <w:p>
            <w:pPr>
              <w:spacing w:after="0"/>
              <w:rPr>
                <w:rFonts w:ascii="Arial" w:cs="Arial" w:eastAsia="Arial" w:hAnsi="Arial"/>
                <w:sz w:val="16"/>
                <w:szCs w:val="16"/>
                <w:b w:val="1"/>
                <w:bCs w:val="1"/>
                <w:color w:val="0000EE"/>
              </w:rPr>
            </w:pPr>
            <w:hyperlink w:anchor="page100">
              <w:r>
                <w:rPr>
                  <w:rFonts w:ascii="Arial" w:cs="Arial" w:eastAsia="Arial" w:hAnsi="Arial"/>
                  <w:sz w:val="16"/>
                  <w:szCs w:val="16"/>
                  <w:b w:val="1"/>
                  <w:bCs w:val="1"/>
                  <w:color w:val="0000EE"/>
                </w:rPr>
                <w:t>Information about the annual shareholder meeting</w:t>
              </w:r>
            </w:hyperlink>
          </w:p>
        </w:tc>
        <w:tc>
          <w:tcPr>
            <w:tcW w:w="640" w:type="dxa"/>
            <w:vAlign w:val="bottom"/>
            <w:gridSpan w:val="2"/>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77"/>
        </w:trPr>
        <w:tc>
          <w:tcPr>
            <w:tcW w:w="4520" w:type="dxa"/>
            <w:vAlign w:val="bottom"/>
            <w:gridSpan w:val="7"/>
          </w:tcPr>
          <w:p>
            <w:pPr>
              <w:spacing w:after="0"/>
              <w:rPr>
                <w:rFonts w:ascii="Arial" w:cs="Arial" w:eastAsia="Arial" w:hAnsi="Arial"/>
                <w:sz w:val="16"/>
                <w:szCs w:val="16"/>
                <w:b w:val="1"/>
                <w:bCs w:val="1"/>
                <w:color w:val="0000EE"/>
              </w:rPr>
            </w:pPr>
            <w:hyperlink w:anchor="page106">
              <w:r>
                <w:rPr>
                  <w:rFonts w:ascii="Arial" w:cs="Arial" w:eastAsia="Arial" w:hAnsi="Arial"/>
                  <w:sz w:val="16"/>
                  <w:szCs w:val="16"/>
                  <w:b w:val="1"/>
                  <w:bCs w:val="1"/>
                  <w:color w:val="0000EE"/>
                </w:rPr>
                <w:t>Shareholder proposals and nominations for the 2020</w:t>
              </w:r>
            </w:hyperlink>
          </w:p>
        </w:tc>
        <w:tc>
          <w:tcPr>
            <w:tcW w:w="740" w:type="dxa"/>
            <w:vAlign w:val="bottom"/>
          </w:tcPr>
          <w:p>
            <w:pPr>
              <w:spacing w:after="0"/>
              <w:rPr>
                <w:sz w:val="24"/>
                <w:szCs w:val="24"/>
                <w:color w:val="auto"/>
              </w:rPr>
            </w:pPr>
          </w:p>
        </w:tc>
      </w:tr>
      <w:tr>
        <w:trPr>
          <w:trHeight w:val="169"/>
        </w:trPr>
        <w:tc>
          <w:tcPr>
            <w:tcW w:w="4060" w:type="dxa"/>
            <w:vAlign w:val="bottom"/>
            <w:tcBorders>
              <w:top w:val="single" w:sz="8" w:color="0000EE"/>
            </w:tcBorders>
            <w:gridSpan w:val="6"/>
          </w:tcPr>
          <w:p>
            <w:pPr>
              <w:spacing w:after="0" w:line="155" w:lineRule="exact"/>
              <w:rPr>
                <w:rFonts w:ascii="Arial" w:cs="Arial" w:eastAsia="Arial" w:hAnsi="Arial"/>
                <w:sz w:val="16"/>
                <w:szCs w:val="16"/>
                <w:b w:val="1"/>
                <w:bCs w:val="1"/>
                <w:color w:val="0000EE"/>
              </w:rPr>
            </w:pPr>
            <w:hyperlink w:anchor="page106">
              <w:r>
                <w:rPr>
                  <w:rFonts w:ascii="Arial" w:cs="Arial" w:eastAsia="Arial" w:hAnsi="Arial"/>
                  <w:sz w:val="16"/>
                  <w:szCs w:val="16"/>
                  <w:b w:val="1"/>
                  <w:bCs w:val="1"/>
                  <w:color w:val="0000EE"/>
                </w:rPr>
                <w:t>annual meeting</w:t>
              </w:r>
            </w:hyperlink>
          </w:p>
        </w:tc>
        <w:tc>
          <w:tcPr>
            <w:tcW w:w="46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6"/>
                <w:szCs w:val="16"/>
                <w:color w:val="auto"/>
              </w:rPr>
              <w:t>98</w:t>
            </w:r>
          </w:p>
        </w:tc>
      </w:tr>
      <w:tr>
        <w:trPr>
          <w:trHeight w:val="20"/>
        </w:trPr>
        <w:tc>
          <w:tcPr>
            <w:tcW w:w="11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91"/>
        </w:trPr>
        <w:tc>
          <w:tcPr>
            <w:tcW w:w="3080" w:type="dxa"/>
            <w:vAlign w:val="bottom"/>
            <w:tcBorders>
              <w:bottom w:val="single" w:sz="8" w:color="0000EE"/>
            </w:tcBorders>
            <w:gridSpan w:val="3"/>
          </w:tcPr>
          <w:p>
            <w:pPr>
              <w:spacing w:after="0"/>
              <w:rPr>
                <w:rFonts w:ascii="Arial" w:cs="Arial" w:eastAsia="Arial" w:hAnsi="Arial"/>
                <w:sz w:val="16"/>
                <w:szCs w:val="16"/>
                <w:b w:val="1"/>
                <w:bCs w:val="1"/>
                <w:color w:val="0000EE"/>
              </w:rPr>
            </w:pPr>
            <w:hyperlink w:anchor="page107">
              <w:r>
                <w:rPr>
                  <w:rFonts w:ascii="Arial" w:cs="Arial" w:eastAsia="Arial" w:hAnsi="Arial"/>
                  <w:sz w:val="16"/>
                  <w:szCs w:val="16"/>
                  <w:b w:val="1"/>
                  <w:bCs w:val="1"/>
                  <w:color w:val="0000EE"/>
                </w:rPr>
                <w:t>Notes on Non-GAAP financial measures</w:t>
              </w:r>
            </w:hyperlink>
          </w:p>
        </w:tc>
        <w:tc>
          <w:tcPr>
            <w:tcW w:w="144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91"/>
        </w:trPr>
        <w:tc>
          <w:tcPr>
            <w:tcW w:w="3220" w:type="dxa"/>
            <w:vAlign w:val="bottom"/>
            <w:tcBorders>
              <w:bottom w:val="single" w:sz="8" w:color="0000EE"/>
            </w:tcBorders>
            <w:gridSpan w:val="4"/>
          </w:tcPr>
          <w:p>
            <w:pPr>
              <w:spacing w:after="0"/>
              <w:rPr>
                <w:rFonts w:ascii="Arial" w:cs="Arial" w:eastAsia="Arial" w:hAnsi="Arial"/>
                <w:sz w:val="16"/>
                <w:szCs w:val="16"/>
                <w:b w:val="1"/>
                <w:bCs w:val="1"/>
                <w:color w:val="0000EE"/>
              </w:rPr>
            </w:pPr>
            <w:hyperlink w:anchor="page111">
              <w:r>
                <w:rPr>
                  <w:rFonts w:ascii="Arial" w:cs="Arial" w:eastAsia="Arial" w:hAnsi="Arial"/>
                  <w:sz w:val="16"/>
                  <w:szCs w:val="16"/>
                  <w:b w:val="1"/>
                  <w:bCs w:val="1"/>
                  <w:color w:val="0000EE"/>
                </w:rPr>
                <w:t>Glossary of selected terms and acronyms</w:t>
              </w:r>
            </w:hyperlink>
          </w:p>
        </w:tc>
        <w:tc>
          <w:tcPr>
            <w:tcW w:w="130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91"/>
        </w:trPr>
        <w:tc>
          <w:tcPr>
            <w:tcW w:w="4520" w:type="dxa"/>
            <w:vAlign w:val="bottom"/>
            <w:gridSpan w:val="7"/>
          </w:tcPr>
          <w:p>
            <w:pPr>
              <w:spacing w:after="0"/>
              <w:rPr>
                <w:rFonts w:ascii="Arial" w:cs="Arial" w:eastAsia="Arial" w:hAnsi="Arial"/>
                <w:sz w:val="16"/>
                <w:szCs w:val="16"/>
                <w:b w:val="1"/>
                <w:bCs w:val="1"/>
                <w:color w:val="0000EE"/>
              </w:rPr>
            </w:pPr>
            <w:hyperlink w:anchor="page113">
              <w:r>
                <w:rPr>
                  <w:rFonts w:ascii="Arial" w:cs="Arial" w:eastAsia="Arial" w:hAnsi="Arial"/>
                  <w:sz w:val="16"/>
                  <w:szCs w:val="16"/>
                  <w:b w:val="1"/>
                  <w:bCs w:val="1"/>
                  <w:color w:val="0000EE"/>
                </w:rPr>
                <w:t>Chase Tower – map and directions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1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-1628775</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520" w:space="720"/>
            <w:col w:w="180" w:space="480"/>
            <w:col w:w="52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i w:val="1"/>
          <w:iCs w:val="1"/>
          <w:color w:val="auto"/>
        </w:rPr>
        <w:t>This proxy statement contains forward-looking statements. These statements can be identified by the fact that they do not relate strictly to historical or current facts. Forward-looking statements often use words such as “anticipate,” “target,” “expect,” “estimate,” “intend,” “plan,” “goal,” “believe” or other words of similar meaning. Forward-looking statements provide JPMorgan Chase &amp; Co.’s (“JPMorgan Chase” or the “Firm”) current expectations or forecasts of future events, circumstances, results or aspirations, and are subject to significant risks and uncertainties. These risks and uncertainties could cause the Firm’s actual results to differ materially from those set forth in such forward-looking statements. Certain of such risks and uncertainties are described in JPMorgan Chase’s Annual Report on Form 10-K for the year ended December 31, 2018. JPMorgan Chase does not undertake to update the forward-looking statements included in this proxy statement to reflect the impact of circumstances or events that may arise after the date the forward-looking statements were made.</w:t>
      </w:r>
    </w:p>
    <w:p>
      <w:pPr>
        <w:sectPr>
          <w:pgSz w:w="11900" w:h="16838" w:orient="portrait"/>
          <w:cols w:equalWidth="0" w:num="1">
            <w:col w:w="11160"/>
          </w:cols>
          <w:pgMar w:left="240" w:top="459"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9780"/>
        <w:spacing w:after="0"/>
        <w:rPr>
          <w:sz w:val="20"/>
          <w:szCs w:val="20"/>
          <w:color w:val="auto"/>
        </w:rPr>
      </w:pPr>
      <w:r>
        <w:rPr>
          <w:rFonts w:ascii="Arial" w:cs="Arial" w:eastAsia="Arial" w:hAnsi="Arial"/>
          <w:sz w:val="16"/>
          <w:szCs w:val="16"/>
          <w:color w:val="333333"/>
        </w:rPr>
        <w:t>PROXY SUMMARY</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2019 Proxy summary</w:t>
      </w:r>
    </w:p>
    <w:p>
      <w:pPr>
        <w:spacing w:after="0" w:line="97" w:lineRule="exact"/>
        <w:rPr>
          <w:sz w:val="20"/>
          <w:szCs w:val="20"/>
          <w:color w:val="auto"/>
        </w:rPr>
      </w:pPr>
    </w:p>
    <w:p>
      <w:pPr>
        <w:ind w:left="200" w:right="200"/>
        <w:spacing w:after="0" w:line="251"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the information you should consider, and you should read the entire proxy statement carefully before voting. Terms not defined in the text of this proxy statement can be found in the “Glossary of selected terms and acronyms” on page 103.</w:t>
      </w:r>
    </w:p>
    <w:p>
      <w:pPr>
        <w:spacing w:after="0" w:line="84"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Your vote is important. For more information on voting and attending the annual meeting, see “Information about the annual shareholder meeting” on page 92 of this proxy statement. This proxy statement has been prepared by our management and approved by the Board of Directors, and is being sent or made available to our shareholders on or about April 5, 2019.</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Annual meeting overview: 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8" w:lineRule="exact"/>
        <w:rPr>
          <w:sz w:val="20"/>
          <w:szCs w:val="20"/>
          <w:color w:val="auto"/>
        </w:rPr>
      </w:pPr>
    </w:p>
    <w:p>
      <w:pPr>
        <w:ind w:left="540" w:hanging="336"/>
        <w:spacing w:after="0"/>
        <w:tabs>
          <w:tab w:leader="none" w:pos="540" w:val="left"/>
        </w:tabs>
        <w:numPr>
          <w:ilvl w:val="0"/>
          <w:numId w:val="7"/>
        </w:numPr>
        <w:rPr>
          <w:rFonts w:ascii="MS PGothic" w:cs="MS PGothic" w:eastAsia="MS PGothic" w:hAnsi="MS PGothic"/>
          <w:sz w:val="29"/>
          <w:szCs w:val="29"/>
          <w:color w:val="auto"/>
          <w:shd w:val="clear" w:color="auto" w:fill="73A950"/>
        </w:rPr>
      </w:pPr>
      <w:r>
        <w:rPr>
          <w:rFonts w:ascii="Arial" w:cs="Arial" w:eastAsia="Arial" w:hAnsi="Arial"/>
          <w:sz w:val="18"/>
          <w:szCs w:val="18"/>
          <w:b w:val="1"/>
          <w:bCs w:val="1"/>
          <w:color w:val="auto"/>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368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368935"/>
                    </a:xfrm>
                    <a:prstGeom prst="rect">
                      <a:avLst/>
                    </a:prstGeom>
                    <a:noFill/>
                  </pic:spPr>
                </pic:pic>
              </a:graphicData>
            </a:graphic>
          </wp:anchor>
        </w:drawing>
      </w:r>
    </w:p>
    <w:p>
      <w:pPr>
        <w:spacing w:after="0" w:line="106" w:lineRule="exact"/>
        <w:rPr>
          <w:sz w:val="20"/>
          <w:szCs w:val="20"/>
          <w:color w:val="auto"/>
        </w:rPr>
      </w:pPr>
    </w:p>
    <w:p>
      <w:pPr>
        <w:ind w:left="460" w:right="1600"/>
        <w:spacing w:after="0" w:line="271" w:lineRule="auto"/>
        <w:rPr>
          <w:sz w:val="20"/>
          <w:szCs w:val="20"/>
          <w:color w:val="auto"/>
        </w:rPr>
      </w:pPr>
      <w:r>
        <w:rPr>
          <w:rFonts w:ascii="Arial" w:cs="Arial" w:eastAsia="Arial" w:hAnsi="Arial"/>
          <w:sz w:val="18"/>
          <w:szCs w:val="18"/>
          <w:b w:val="1"/>
          <w:bCs w:val="1"/>
          <w:color w:val="004876"/>
        </w:rPr>
        <w:t xml:space="preserve">The Board of Directors recommends you vote </w:t>
      </w:r>
      <w:r>
        <w:rPr>
          <w:rFonts w:ascii="Arial" w:cs="Arial" w:eastAsia="Arial" w:hAnsi="Arial"/>
          <w:sz w:val="18"/>
          <w:szCs w:val="18"/>
          <w:b w:val="1"/>
          <w:bCs w:val="1"/>
          <w:u w:val="single" w:color="auto"/>
          <w:color w:val="004876"/>
        </w:rPr>
        <w:t>FOR</w:t>
      </w:r>
      <w:r>
        <w:rPr>
          <w:rFonts w:ascii="Arial" w:cs="Arial" w:eastAsia="Arial" w:hAnsi="Arial"/>
          <w:sz w:val="18"/>
          <w:szCs w:val="18"/>
          <w:b w:val="1"/>
          <w:bCs w:val="1"/>
          <w:color w:val="004876"/>
        </w:rPr>
        <w:t xml:space="preserve"> each director nominee and </w:t>
      </w:r>
      <w:r>
        <w:rPr>
          <w:rFonts w:ascii="Arial" w:cs="Arial" w:eastAsia="Arial" w:hAnsi="Arial"/>
          <w:sz w:val="18"/>
          <w:szCs w:val="18"/>
          <w:b w:val="1"/>
          <w:bCs w:val="1"/>
          <w:u w:val="single" w:color="auto"/>
          <w:color w:val="004876"/>
        </w:rPr>
        <w:t>FOR</w:t>
      </w:r>
      <w:r>
        <w:rPr>
          <w:rFonts w:ascii="Arial" w:cs="Arial" w:eastAsia="Arial" w:hAnsi="Arial"/>
          <w:sz w:val="18"/>
          <w:szCs w:val="18"/>
          <w:b w:val="1"/>
          <w:bCs w:val="1"/>
          <w:color w:val="004876"/>
        </w:rPr>
        <w:t xml:space="preserve"> the following proposals </w:t>
      </w:r>
      <w:r>
        <w:rPr>
          <w:rFonts w:ascii="Arial" w:cs="Arial" w:eastAsia="Arial" w:hAnsi="Arial"/>
          <w:sz w:val="18"/>
          <w:szCs w:val="18"/>
          <w:color w:val="004876"/>
        </w:rPr>
        <w:t>(for more information see page referenced):</w:t>
      </w:r>
    </w:p>
    <w:p>
      <w:pPr>
        <w:spacing w:after="0" w:line="9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gridSpan w:val="1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Election of directors</w:t>
              </w:r>
            </w:hyperlink>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8</w:t>
            </w:r>
          </w:p>
        </w:tc>
      </w:tr>
      <w:tr>
        <w:trPr>
          <w:trHeight w:val="20"/>
        </w:trPr>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7"/>
        </w:trPr>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60" w:type="dxa"/>
            <w:vAlign w:val="bottom"/>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Advisory resolution to approve executive compensation</w:t>
              </w:r>
            </w:hyperlink>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38</w:t>
            </w:r>
          </w:p>
        </w:tc>
      </w:tr>
      <w:tr>
        <w:trPr>
          <w:trHeight w:val="20"/>
        </w:trPr>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7"/>
        </w:trPr>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60" w:type="dxa"/>
            <w:vAlign w:val="bottom"/>
            <w:gridSpan w:val="1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Ratification of independent registered public accounting firm</w:t>
              </w:r>
            </w:hyperlink>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78</w:t>
            </w:r>
          </w:p>
        </w:tc>
      </w:tr>
      <w:tr>
        <w:trPr>
          <w:trHeight w:val="223"/>
        </w:trPr>
        <w:tc>
          <w:tcPr>
            <w:tcW w:w="240" w:type="dxa"/>
            <w:vAlign w:val="bottom"/>
            <w:tcBorders>
              <w:bottom w:val="single" w:sz="8" w:color="004876"/>
            </w:tcBorders>
          </w:tcPr>
          <w:p>
            <w:pPr>
              <w:spacing w:after="0"/>
              <w:rPr>
                <w:sz w:val="19"/>
                <w:szCs w:val="19"/>
                <w:color w:val="auto"/>
              </w:rPr>
            </w:pPr>
          </w:p>
        </w:tc>
        <w:tc>
          <w:tcPr>
            <w:tcW w:w="240" w:type="dxa"/>
            <w:vAlign w:val="bottom"/>
            <w:tcBorders>
              <w:bottom w:val="single" w:sz="8" w:color="004876"/>
            </w:tcBorders>
          </w:tcPr>
          <w:p>
            <w:pPr>
              <w:spacing w:after="0"/>
              <w:rPr>
                <w:sz w:val="19"/>
                <w:szCs w:val="19"/>
                <w:color w:val="auto"/>
              </w:rPr>
            </w:pPr>
          </w:p>
        </w:tc>
        <w:tc>
          <w:tcPr>
            <w:tcW w:w="100" w:type="dxa"/>
            <w:vAlign w:val="bottom"/>
            <w:tcBorders>
              <w:bottom w:val="single" w:sz="8" w:color="004876"/>
            </w:tcBorders>
          </w:tcPr>
          <w:p>
            <w:pPr>
              <w:spacing w:after="0"/>
              <w:rPr>
                <w:sz w:val="19"/>
                <w:szCs w:val="19"/>
                <w:color w:val="auto"/>
              </w:rPr>
            </w:pPr>
          </w:p>
        </w:tc>
        <w:tc>
          <w:tcPr>
            <w:tcW w:w="1320" w:type="dxa"/>
            <w:vAlign w:val="bottom"/>
            <w:tcBorders>
              <w:top w:val="single" w:sz="8" w:color="0000EE"/>
              <w:bottom w:val="single" w:sz="8" w:color="004876"/>
            </w:tcBorders>
          </w:tcPr>
          <w:p>
            <w:pPr>
              <w:spacing w:after="0"/>
              <w:rPr>
                <w:sz w:val="19"/>
                <w:szCs w:val="19"/>
                <w:color w:val="auto"/>
              </w:rPr>
            </w:pPr>
          </w:p>
        </w:tc>
        <w:tc>
          <w:tcPr>
            <w:tcW w:w="260" w:type="dxa"/>
            <w:vAlign w:val="bottom"/>
            <w:tcBorders>
              <w:top w:val="single" w:sz="8" w:color="0000EE"/>
              <w:bottom w:val="single" w:sz="8" w:color="004876"/>
            </w:tcBorders>
          </w:tcPr>
          <w:p>
            <w:pPr>
              <w:spacing w:after="0"/>
              <w:rPr>
                <w:sz w:val="19"/>
                <w:szCs w:val="19"/>
                <w:color w:val="auto"/>
              </w:rPr>
            </w:pPr>
          </w:p>
        </w:tc>
        <w:tc>
          <w:tcPr>
            <w:tcW w:w="300" w:type="dxa"/>
            <w:vAlign w:val="bottom"/>
            <w:tcBorders>
              <w:top w:val="single" w:sz="8" w:color="0000EE"/>
              <w:bottom w:val="single" w:sz="8" w:color="004876"/>
            </w:tcBorders>
          </w:tcPr>
          <w:p>
            <w:pPr>
              <w:spacing w:after="0"/>
              <w:rPr>
                <w:sz w:val="19"/>
                <w:szCs w:val="19"/>
                <w:color w:val="auto"/>
              </w:rPr>
            </w:pPr>
          </w:p>
        </w:tc>
        <w:tc>
          <w:tcPr>
            <w:tcW w:w="820" w:type="dxa"/>
            <w:vAlign w:val="bottom"/>
            <w:tcBorders>
              <w:top w:val="single" w:sz="8" w:color="0000EE"/>
              <w:bottom w:val="single" w:sz="8" w:color="004876"/>
            </w:tcBorders>
          </w:tcPr>
          <w:p>
            <w:pPr>
              <w:spacing w:after="0"/>
              <w:rPr>
                <w:sz w:val="19"/>
                <w:szCs w:val="19"/>
                <w:color w:val="auto"/>
              </w:rPr>
            </w:pPr>
          </w:p>
        </w:tc>
        <w:tc>
          <w:tcPr>
            <w:tcW w:w="920" w:type="dxa"/>
            <w:vAlign w:val="bottom"/>
            <w:tcBorders>
              <w:top w:val="single" w:sz="8" w:color="0000EE"/>
              <w:bottom w:val="single" w:sz="8" w:color="004876"/>
            </w:tcBorders>
          </w:tcPr>
          <w:p>
            <w:pPr>
              <w:spacing w:after="0"/>
              <w:rPr>
                <w:sz w:val="19"/>
                <w:szCs w:val="19"/>
                <w:color w:val="auto"/>
              </w:rPr>
            </w:pPr>
          </w:p>
        </w:tc>
        <w:tc>
          <w:tcPr>
            <w:tcW w:w="780" w:type="dxa"/>
            <w:vAlign w:val="bottom"/>
            <w:tcBorders>
              <w:top w:val="single" w:sz="8" w:color="0000EE"/>
              <w:bottom w:val="single" w:sz="8" w:color="004876"/>
            </w:tcBorders>
          </w:tcPr>
          <w:p>
            <w:pPr>
              <w:spacing w:after="0"/>
              <w:rPr>
                <w:sz w:val="19"/>
                <w:szCs w:val="19"/>
                <w:color w:val="auto"/>
              </w:rPr>
            </w:pPr>
          </w:p>
        </w:tc>
        <w:tc>
          <w:tcPr>
            <w:tcW w:w="20" w:type="dxa"/>
            <w:vAlign w:val="bottom"/>
            <w:tcBorders>
              <w:top w:val="single" w:sz="8" w:color="0000EE"/>
              <w:bottom w:val="single" w:sz="8" w:color="004876"/>
            </w:tcBorders>
          </w:tcPr>
          <w:p>
            <w:pPr>
              <w:spacing w:after="0"/>
              <w:rPr>
                <w:sz w:val="19"/>
                <w:szCs w:val="19"/>
                <w:color w:val="auto"/>
              </w:rPr>
            </w:pPr>
          </w:p>
        </w:tc>
        <w:tc>
          <w:tcPr>
            <w:tcW w:w="360" w:type="dxa"/>
            <w:vAlign w:val="bottom"/>
            <w:tcBorders>
              <w:top w:val="single" w:sz="8" w:color="0000EE"/>
              <w:bottom w:val="single" w:sz="8" w:color="004876"/>
            </w:tcBorders>
          </w:tcPr>
          <w:p>
            <w:pPr>
              <w:spacing w:after="0"/>
              <w:rPr>
                <w:sz w:val="19"/>
                <w:szCs w:val="19"/>
                <w:color w:val="auto"/>
              </w:rPr>
            </w:pPr>
          </w:p>
        </w:tc>
        <w:tc>
          <w:tcPr>
            <w:tcW w:w="4920" w:type="dxa"/>
            <w:vAlign w:val="bottom"/>
            <w:tcBorders>
              <w:bottom w:val="single" w:sz="8" w:color="004876"/>
            </w:tcBorders>
          </w:tcPr>
          <w:p>
            <w:pPr>
              <w:spacing w:after="0"/>
              <w:rPr>
                <w:sz w:val="19"/>
                <w:szCs w:val="19"/>
                <w:color w:val="auto"/>
              </w:rPr>
            </w:pPr>
          </w:p>
        </w:tc>
        <w:tc>
          <w:tcPr>
            <w:tcW w:w="260" w:type="dxa"/>
            <w:vAlign w:val="bottom"/>
            <w:tcBorders>
              <w:bottom w:val="single" w:sz="8" w:color="004876"/>
            </w:tcBorders>
          </w:tcPr>
          <w:p>
            <w:pPr>
              <w:spacing w:after="0"/>
              <w:rPr>
                <w:sz w:val="19"/>
                <w:szCs w:val="19"/>
                <w:color w:val="auto"/>
              </w:rPr>
            </w:pPr>
          </w:p>
        </w:tc>
        <w:tc>
          <w:tcPr>
            <w:tcW w:w="480" w:type="dxa"/>
            <w:vAlign w:val="bottom"/>
            <w:tcBorders>
              <w:bottom w:val="single" w:sz="8" w:color="004876"/>
            </w:tcBorders>
          </w:tcPr>
          <w:p>
            <w:pPr>
              <w:spacing w:after="0"/>
              <w:rPr>
                <w:sz w:val="19"/>
                <w:szCs w:val="19"/>
                <w:color w:val="auto"/>
              </w:rPr>
            </w:pPr>
          </w:p>
        </w:tc>
      </w:tr>
      <w:tr>
        <w:trPr>
          <w:trHeight w:val="412"/>
        </w:trPr>
        <w:tc>
          <w:tcPr>
            <w:tcW w:w="240" w:type="dxa"/>
            <w:vAlign w:val="bottom"/>
          </w:tcPr>
          <w:p>
            <w:pPr>
              <w:spacing w:after="0"/>
              <w:rPr>
                <w:sz w:val="24"/>
                <w:szCs w:val="24"/>
                <w:color w:val="auto"/>
              </w:rPr>
            </w:pPr>
          </w:p>
        </w:tc>
        <w:tc>
          <w:tcPr>
            <w:tcW w:w="10300" w:type="dxa"/>
            <w:vAlign w:val="bottom"/>
            <w:gridSpan w:val="12"/>
          </w:tcPr>
          <w:p>
            <w:pPr>
              <w:ind w:left="160"/>
              <w:spacing w:after="0"/>
              <w:rPr>
                <w:sz w:val="20"/>
                <w:szCs w:val="20"/>
                <w:color w:val="auto"/>
              </w:rPr>
            </w:pPr>
            <w:r>
              <w:rPr>
                <w:rFonts w:ascii="Arial" w:cs="Arial" w:eastAsia="Arial" w:hAnsi="Arial"/>
                <w:sz w:val="18"/>
                <w:szCs w:val="18"/>
                <w:b w:val="1"/>
                <w:bCs w:val="1"/>
                <w:color w:val="auto"/>
              </w:rPr>
              <w:t xml:space="preserve">SHAREHOLDER PROPOSALS </w:t>
            </w:r>
            <w:r>
              <w:rPr>
                <w:rFonts w:ascii="Arial" w:cs="Arial" w:eastAsia="Arial" w:hAnsi="Arial"/>
                <w:sz w:val="18"/>
                <w:szCs w:val="18"/>
                <w:color w:val="auto"/>
              </w:rPr>
              <w:t>(if they are properly introduced at the meeting)</w:t>
            </w:r>
          </w:p>
        </w:tc>
        <w:tc>
          <w:tcPr>
            <w:tcW w:w="480" w:type="dxa"/>
            <w:vAlign w:val="bottom"/>
          </w:tcPr>
          <w:p>
            <w:pPr>
              <w:spacing w:after="0"/>
              <w:rPr>
                <w:sz w:val="24"/>
                <w:szCs w:val="24"/>
                <w:color w:val="auto"/>
              </w:rPr>
            </w:pPr>
          </w:p>
        </w:tc>
      </w:tr>
      <w:tr>
        <w:trPr>
          <w:trHeight w:val="41"/>
        </w:trPr>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57"/>
        </w:trPr>
        <w:tc>
          <w:tcPr>
            <w:tcW w:w="240" w:type="dxa"/>
            <w:vAlign w:val="bottom"/>
            <w:shd w:val="clear" w:color="auto" w:fill="E5E5E5"/>
          </w:tcPr>
          <w:p>
            <w:pPr>
              <w:spacing w:after="0"/>
              <w:rPr>
                <w:sz w:val="22"/>
                <w:szCs w:val="22"/>
                <w:color w:val="auto"/>
              </w:rPr>
            </w:pPr>
          </w:p>
        </w:tc>
        <w:tc>
          <w:tcPr>
            <w:tcW w:w="10300" w:type="dxa"/>
            <w:vAlign w:val="bottom"/>
            <w:gridSpan w:val="12"/>
            <w:shd w:val="clear" w:color="auto" w:fill="E5E5E5"/>
          </w:tcPr>
          <w:p>
            <w:pPr>
              <w:spacing w:after="0"/>
              <w:rPr>
                <w:sz w:val="20"/>
                <w:szCs w:val="20"/>
                <w:color w:val="auto"/>
              </w:rPr>
            </w:pPr>
            <w:r>
              <w:rPr>
                <w:rFonts w:ascii="Arial" w:cs="Arial" w:eastAsia="Arial" w:hAnsi="Arial"/>
                <w:sz w:val="18"/>
                <w:szCs w:val="18"/>
                <w:b w:val="1"/>
                <w:bCs w:val="1"/>
                <w:color w:val="004876"/>
              </w:rPr>
              <w:t>The Board of Directors recommends you vote AGAINST each of the following shareholder proposals</w:t>
            </w:r>
          </w:p>
        </w:tc>
        <w:tc>
          <w:tcPr>
            <w:tcW w:w="480" w:type="dxa"/>
            <w:vAlign w:val="bottom"/>
            <w:shd w:val="clear" w:color="auto" w:fill="E5E5E5"/>
          </w:tcPr>
          <w:p>
            <w:pPr>
              <w:spacing w:after="0"/>
              <w:rPr>
                <w:sz w:val="22"/>
                <w:szCs w:val="22"/>
                <w:color w:val="auto"/>
              </w:rPr>
            </w:pPr>
          </w:p>
        </w:tc>
      </w:tr>
      <w:tr>
        <w:trPr>
          <w:trHeight w:val="223"/>
        </w:trPr>
        <w:tc>
          <w:tcPr>
            <w:tcW w:w="240" w:type="dxa"/>
            <w:vAlign w:val="bottom"/>
            <w:tcBorders>
              <w:top w:val="single" w:sz="8" w:color="E5E5E5"/>
            </w:tcBorders>
            <w:shd w:val="clear" w:color="auto" w:fill="E5E5E5"/>
          </w:tcPr>
          <w:p>
            <w:pPr>
              <w:spacing w:after="0"/>
              <w:rPr>
                <w:sz w:val="19"/>
                <w:szCs w:val="19"/>
                <w:color w:val="auto"/>
              </w:rPr>
            </w:pPr>
          </w:p>
        </w:tc>
        <w:tc>
          <w:tcPr>
            <w:tcW w:w="3960" w:type="dxa"/>
            <w:vAlign w:val="bottom"/>
            <w:tcBorders>
              <w:top w:val="single" w:sz="8" w:color="E5E5E5"/>
            </w:tcBorders>
            <w:gridSpan w:val="7"/>
            <w:shd w:val="clear" w:color="auto" w:fill="E5E5E5"/>
          </w:tcPr>
          <w:p>
            <w:pPr>
              <w:spacing w:after="0"/>
              <w:rPr>
                <w:sz w:val="20"/>
                <w:szCs w:val="20"/>
                <w:color w:val="auto"/>
              </w:rPr>
            </w:pPr>
            <w:r>
              <w:rPr>
                <w:rFonts w:ascii="Arial" w:cs="Arial" w:eastAsia="Arial" w:hAnsi="Arial"/>
                <w:sz w:val="18"/>
                <w:szCs w:val="18"/>
                <w:color w:val="004876"/>
              </w:rPr>
              <w:t>(for more information see page referenced):</w:t>
            </w:r>
          </w:p>
        </w:tc>
        <w:tc>
          <w:tcPr>
            <w:tcW w:w="800" w:type="dxa"/>
            <w:vAlign w:val="bottom"/>
            <w:tcBorders>
              <w:top w:val="single" w:sz="8" w:color="004876"/>
            </w:tcBorders>
            <w:gridSpan w:val="2"/>
            <w:shd w:val="clear" w:color="auto" w:fill="E5E5E5"/>
          </w:tcPr>
          <w:p>
            <w:pPr>
              <w:spacing w:after="0"/>
              <w:rPr>
                <w:sz w:val="19"/>
                <w:szCs w:val="19"/>
                <w:color w:val="auto"/>
              </w:rPr>
            </w:pPr>
          </w:p>
        </w:tc>
        <w:tc>
          <w:tcPr>
            <w:tcW w:w="5540" w:type="dxa"/>
            <w:vAlign w:val="bottom"/>
            <w:tcBorders>
              <w:top w:val="single" w:sz="8" w:color="E5E5E5"/>
            </w:tcBorders>
            <w:gridSpan w:val="3"/>
            <w:shd w:val="clear" w:color="auto" w:fill="E5E5E5"/>
          </w:tcPr>
          <w:p>
            <w:pPr>
              <w:spacing w:after="0"/>
              <w:rPr>
                <w:sz w:val="19"/>
                <w:szCs w:val="19"/>
                <w:color w:val="auto"/>
              </w:rPr>
            </w:pPr>
          </w:p>
        </w:tc>
        <w:tc>
          <w:tcPr>
            <w:tcW w:w="480" w:type="dxa"/>
            <w:vAlign w:val="bottom"/>
            <w:tcBorders>
              <w:top w:val="single" w:sz="8" w:color="E5E5E5"/>
            </w:tcBorders>
            <w:shd w:val="clear" w:color="auto" w:fill="E5E5E5"/>
          </w:tcPr>
          <w:p>
            <w:pPr>
              <w:spacing w:after="0"/>
              <w:rPr>
                <w:sz w:val="19"/>
                <w:szCs w:val="19"/>
                <w:color w:val="auto"/>
              </w:rPr>
            </w:pPr>
          </w:p>
        </w:tc>
      </w:tr>
      <w:tr>
        <w:trPr>
          <w:trHeight w:val="81"/>
        </w:trPr>
        <w:tc>
          <w:tcPr>
            <w:tcW w:w="240" w:type="dxa"/>
            <w:vAlign w:val="bottom"/>
            <w:shd w:val="clear" w:color="auto" w:fill="E5E5E5"/>
          </w:tcPr>
          <w:p>
            <w:pPr>
              <w:spacing w:after="0"/>
              <w:rPr>
                <w:sz w:val="7"/>
                <w:szCs w:val="7"/>
                <w:color w:val="auto"/>
              </w:rPr>
            </w:pPr>
          </w:p>
        </w:tc>
        <w:tc>
          <w:tcPr>
            <w:tcW w:w="24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1320" w:type="dxa"/>
            <w:vAlign w:val="bottom"/>
            <w:shd w:val="clear" w:color="auto" w:fill="E5E5E5"/>
          </w:tcPr>
          <w:p>
            <w:pPr>
              <w:spacing w:after="0"/>
              <w:rPr>
                <w:sz w:val="7"/>
                <w:szCs w:val="7"/>
                <w:color w:val="auto"/>
              </w:rPr>
            </w:pPr>
          </w:p>
        </w:tc>
        <w:tc>
          <w:tcPr>
            <w:tcW w:w="260" w:type="dxa"/>
            <w:vAlign w:val="bottom"/>
            <w:shd w:val="clear" w:color="auto" w:fill="E5E5E5"/>
          </w:tcPr>
          <w:p>
            <w:pPr>
              <w:spacing w:after="0"/>
              <w:rPr>
                <w:sz w:val="7"/>
                <w:szCs w:val="7"/>
                <w:color w:val="auto"/>
              </w:rPr>
            </w:pPr>
          </w:p>
        </w:tc>
        <w:tc>
          <w:tcPr>
            <w:tcW w:w="300" w:type="dxa"/>
            <w:vAlign w:val="bottom"/>
            <w:shd w:val="clear" w:color="auto" w:fill="E5E5E5"/>
          </w:tcPr>
          <w:p>
            <w:pPr>
              <w:spacing w:after="0"/>
              <w:rPr>
                <w:sz w:val="7"/>
                <w:szCs w:val="7"/>
                <w:color w:val="auto"/>
              </w:rPr>
            </w:pPr>
          </w:p>
        </w:tc>
        <w:tc>
          <w:tcPr>
            <w:tcW w:w="820" w:type="dxa"/>
            <w:vAlign w:val="bottom"/>
            <w:shd w:val="clear" w:color="auto" w:fill="E5E5E5"/>
          </w:tcPr>
          <w:p>
            <w:pPr>
              <w:spacing w:after="0"/>
              <w:rPr>
                <w:sz w:val="7"/>
                <w:szCs w:val="7"/>
                <w:color w:val="auto"/>
              </w:rPr>
            </w:pPr>
          </w:p>
        </w:tc>
        <w:tc>
          <w:tcPr>
            <w:tcW w:w="920" w:type="dxa"/>
            <w:vAlign w:val="bottom"/>
            <w:shd w:val="clear" w:color="auto" w:fill="E5E5E5"/>
          </w:tcPr>
          <w:p>
            <w:pPr>
              <w:spacing w:after="0"/>
              <w:rPr>
                <w:sz w:val="7"/>
                <w:szCs w:val="7"/>
                <w:color w:val="auto"/>
              </w:rPr>
            </w:pPr>
          </w:p>
        </w:tc>
        <w:tc>
          <w:tcPr>
            <w:tcW w:w="780" w:type="dxa"/>
            <w:vAlign w:val="bottom"/>
            <w:shd w:val="clear" w:color="auto" w:fill="E5E5E5"/>
          </w:tcPr>
          <w:p>
            <w:pPr>
              <w:spacing w:after="0"/>
              <w:rPr>
                <w:sz w:val="7"/>
                <w:szCs w:val="7"/>
                <w:color w:val="auto"/>
              </w:rPr>
            </w:pPr>
          </w:p>
        </w:tc>
        <w:tc>
          <w:tcPr>
            <w:tcW w:w="20" w:type="dxa"/>
            <w:vAlign w:val="bottom"/>
            <w:shd w:val="clear" w:color="auto" w:fill="E5E5E5"/>
          </w:tcPr>
          <w:p>
            <w:pPr>
              <w:spacing w:after="0"/>
              <w:rPr>
                <w:sz w:val="7"/>
                <w:szCs w:val="7"/>
                <w:color w:val="auto"/>
              </w:rPr>
            </w:pPr>
          </w:p>
        </w:tc>
        <w:tc>
          <w:tcPr>
            <w:tcW w:w="360" w:type="dxa"/>
            <w:vAlign w:val="bottom"/>
            <w:shd w:val="clear" w:color="auto" w:fill="E5E5E5"/>
          </w:tcPr>
          <w:p>
            <w:pPr>
              <w:spacing w:after="0"/>
              <w:rPr>
                <w:sz w:val="7"/>
                <w:szCs w:val="7"/>
                <w:color w:val="auto"/>
              </w:rPr>
            </w:pPr>
          </w:p>
        </w:tc>
        <w:tc>
          <w:tcPr>
            <w:tcW w:w="4920" w:type="dxa"/>
            <w:vAlign w:val="bottom"/>
            <w:shd w:val="clear" w:color="auto" w:fill="E5E5E5"/>
          </w:tcPr>
          <w:p>
            <w:pPr>
              <w:spacing w:after="0"/>
              <w:rPr>
                <w:sz w:val="7"/>
                <w:szCs w:val="7"/>
                <w:color w:val="auto"/>
              </w:rPr>
            </w:pPr>
          </w:p>
        </w:tc>
        <w:tc>
          <w:tcPr>
            <w:tcW w:w="260" w:type="dxa"/>
            <w:vAlign w:val="bottom"/>
            <w:shd w:val="clear" w:color="auto" w:fill="E5E5E5"/>
          </w:tcPr>
          <w:p>
            <w:pPr>
              <w:spacing w:after="0"/>
              <w:rPr>
                <w:sz w:val="7"/>
                <w:szCs w:val="7"/>
                <w:color w:val="auto"/>
              </w:rPr>
            </w:pPr>
          </w:p>
        </w:tc>
        <w:tc>
          <w:tcPr>
            <w:tcW w:w="480" w:type="dxa"/>
            <w:vAlign w:val="bottom"/>
            <w:shd w:val="clear" w:color="auto" w:fill="E5E5E5"/>
          </w:tcPr>
          <w:p>
            <w:pPr>
              <w:spacing w:after="0"/>
              <w:rPr>
                <w:sz w:val="7"/>
                <w:szCs w:val="7"/>
                <w:color w:val="auto"/>
              </w:rPr>
            </w:pPr>
          </w:p>
        </w:tc>
      </w:tr>
      <w:tr>
        <w:trPr>
          <w:trHeight w:val="243"/>
        </w:trPr>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0060" w:type="dxa"/>
            <w:vAlign w:val="bottom"/>
            <w:gridSpan w:val="1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Gender pay equity report</w:t>
              </w:r>
            </w:hyperlink>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85</w:t>
            </w:r>
          </w:p>
        </w:tc>
      </w:tr>
      <w:tr>
        <w:trPr>
          <w:trHeight w:val="20"/>
        </w:trPr>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7"/>
        </w:trPr>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10060" w:type="dxa"/>
            <w:vAlign w:val="bottom"/>
            <w:gridSpan w:val="1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Enhance shareholder proxy access</w:t>
              </w:r>
            </w:hyperlink>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88</w:t>
            </w:r>
          </w:p>
        </w:tc>
      </w:tr>
      <w:tr>
        <w:trPr>
          <w:trHeight w:val="277"/>
        </w:trPr>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2800" w:type="dxa"/>
            <w:vAlign w:val="bottom"/>
            <w:tcBorders>
              <w:top w:val="single" w:sz="8" w:color="0000EE"/>
            </w:tcBorders>
            <w:gridSpan w:val="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Cumulative voting</w:t>
              </w:r>
            </w:hyperlink>
          </w:p>
        </w:tc>
        <w:tc>
          <w:tcPr>
            <w:tcW w:w="7260" w:type="dxa"/>
            <w:vAlign w:val="bottom"/>
            <w:gridSpan w:val="6"/>
          </w:tcPr>
          <w:p>
            <w:pPr>
              <w:spacing w:after="0"/>
              <w:rPr>
                <w:sz w:val="24"/>
                <w:szCs w:val="24"/>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90</w:t>
            </w:r>
          </w:p>
        </w:tc>
      </w:tr>
      <w:tr>
        <w:trPr>
          <w:trHeight w:val="20"/>
        </w:trPr>
        <w:tc>
          <w:tcPr>
            <w:tcW w:w="48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6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18"/>
        </w:trPr>
        <w:tc>
          <w:tcPr>
            <w:tcW w:w="10280" w:type="dxa"/>
            <w:vAlign w:val="bottom"/>
            <w:tcBorders>
              <w:bottom w:val="single" w:sz="8" w:color="004876"/>
            </w:tcBorders>
            <w:gridSpan w:val="12"/>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24"/>
                <w:szCs w:val="24"/>
                <w:color w:val="auto"/>
              </w:rPr>
            </w:pPr>
          </w:p>
        </w:tc>
        <w:tc>
          <w:tcPr>
            <w:tcW w:w="480" w:type="dxa"/>
            <w:vAlign w:val="bottom"/>
            <w:tcBorders>
              <w:bottom w:val="single" w:sz="8" w:color="004876"/>
            </w:tcBorders>
          </w:tcPr>
          <w:p>
            <w:pPr>
              <w:jc w:val="right"/>
              <w:ind w:right="34"/>
              <w:spacing w:after="0"/>
              <w:rPr>
                <w:sz w:val="20"/>
                <w:szCs w:val="20"/>
                <w:color w:val="auto"/>
              </w:rPr>
            </w:pPr>
            <w:r>
              <w:rPr>
                <w:rFonts w:ascii="Arial" w:cs="Arial" w:eastAsia="Arial" w:hAnsi="Arial"/>
                <w:sz w:val="13"/>
                <w:szCs w:val="13"/>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-1285875</wp:posOffset>
            </wp:positionV>
            <wp:extent cx="120015"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327660</wp:posOffset>
            </wp:positionV>
            <wp:extent cx="699770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2228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4876"/>
        </w:rPr>
        <w:t>We demonstrated strong financial performance in 2018</w:t>
      </w:r>
    </w:p>
    <w:p>
      <w:pPr>
        <w:spacing w:after="0" w:line="130"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In 2018, the Firm delivered record net income of $32.5 billion, record earnings per share (“EPS”) of $9.00, return on common equity (“ROE”) of 13% and return on tangible common equity (“ROTCE”)</w:t>
      </w:r>
      <w:r>
        <w:rPr>
          <w:rFonts w:ascii="Arial" w:cs="Arial" w:eastAsia="Arial" w:hAnsi="Arial"/>
          <w:sz w:val="15"/>
          <w:szCs w:val="15"/>
          <w:color w:val="auto"/>
        </w:rPr>
        <w:t>1</w:t>
      </w:r>
      <w:r>
        <w:rPr>
          <w:rFonts w:ascii="Arial" w:cs="Arial" w:eastAsia="Arial" w:hAnsi="Arial"/>
          <w:sz w:val="18"/>
          <w:szCs w:val="18"/>
          <w:color w:val="auto"/>
        </w:rPr>
        <w:t xml:space="preserve"> of 17%. We returned $28.5 billion of net capital</w:t>
      </w:r>
      <w:r>
        <w:rPr>
          <w:rFonts w:ascii="Arial" w:cs="Arial" w:eastAsia="Arial" w:hAnsi="Arial"/>
          <w:sz w:val="15"/>
          <w:szCs w:val="15"/>
          <w:color w:val="auto"/>
        </w:rPr>
        <w:t>2</w:t>
      </w:r>
      <w:r>
        <w:rPr>
          <w:rFonts w:ascii="Arial" w:cs="Arial" w:eastAsia="Arial" w:hAnsi="Arial"/>
          <w:sz w:val="18"/>
          <w:szCs w:val="18"/>
          <w:color w:val="auto"/>
        </w:rPr>
        <w:t xml:space="preserve"> to shareholders. We maintained or gained market share across our businesses, demonstrated strong expense discipline, continued to achieve high customer satisfaction scores and maintained a fortress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146050</wp:posOffset>
            </wp:positionV>
            <wp:extent cx="43180" cy="634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63436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146050</wp:posOffset>
            </wp:positionV>
            <wp:extent cx="43180" cy="634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180" cy="63436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146050</wp:posOffset>
            </wp:positionV>
            <wp:extent cx="43180" cy="634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63436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146050</wp:posOffset>
            </wp:positionV>
            <wp:extent cx="43180" cy="634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634365"/>
                    </a:xfrm>
                    <a:prstGeom prst="rect">
                      <a:avLst/>
                    </a:prstGeom>
                    <a:noFill/>
                  </pic:spPr>
                </pic:pic>
              </a:graphicData>
            </a:graphic>
          </wp:anchor>
        </w:drawing>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320"/>
        </w:trPr>
        <w:tc>
          <w:tcPr>
            <w:tcW w:w="186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Record</w:t>
            </w:r>
          </w:p>
        </w:tc>
        <w:tc>
          <w:tcPr>
            <w:tcW w:w="1960" w:type="dxa"/>
            <w:vAlign w:val="bottom"/>
            <w:vMerge w:val="restart"/>
            <w:shd w:val="clear" w:color="auto" w:fill="E5E5E5"/>
          </w:tcPr>
          <w:p>
            <w:pPr>
              <w:jc w:val="center"/>
              <w:ind w:left="119"/>
              <w:spacing w:after="0"/>
              <w:rPr>
                <w:sz w:val="20"/>
                <w:szCs w:val="20"/>
                <w:color w:val="auto"/>
              </w:rPr>
            </w:pPr>
            <w:r>
              <w:rPr>
                <w:rFonts w:ascii="Arial" w:cs="Arial" w:eastAsia="Arial" w:hAnsi="Arial"/>
                <w:sz w:val="16"/>
                <w:szCs w:val="16"/>
                <w:color w:val="auto"/>
              </w:rPr>
              <w:t>Record</w:t>
            </w:r>
          </w:p>
        </w:tc>
        <w:tc>
          <w:tcPr>
            <w:tcW w:w="2200" w:type="dxa"/>
            <w:vAlign w:val="bottom"/>
            <w:vMerge w:val="restart"/>
            <w:shd w:val="clear" w:color="auto" w:fill="E5E5E5"/>
          </w:tcPr>
          <w:p>
            <w:pPr>
              <w:jc w:val="center"/>
              <w:ind w:left="139"/>
              <w:spacing w:after="0"/>
              <w:rPr>
                <w:sz w:val="20"/>
                <w:szCs w:val="20"/>
                <w:color w:val="auto"/>
              </w:rPr>
            </w:pPr>
            <w:r>
              <w:rPr>
                <w:rFonts w:ascii="Arial" w:cs="Arial" w:eastAsia="Arial" w:hAnsi="Arial"/>
                <w:sz w:val="16"/>
                <w:szCs w:val="16"/>
                <w:color w:val="auto"/>
              </w:rPr>
              <w:t xml:space="preserve">ROE of </w:t>
            </w:r>
            <w:r>
              <w:rPr>
                <w:rFonts w:ascii="Arial" w:cs="Arial" w:eastAsia="Arial" w:hAnsi="Arial"/>
                <w:sz w:val="16"/>
                <w:szCs w:val="16"/>
                <w:b w:val="1"/>
                <w:bCs w:val="1"/>
                <w:color w:val="auto"/>
              </w:rPr>
              <w:t>13%</w:t>
            </w:r>
          </w:p>
        </w:tc>
        <w:tc>
          <w:tcPr>
            <w:tcW w:w="3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Book value per share (“BVPS”)</w:t>
            </w:r>
          </w:p>
        </w:tc>
        <w:tc>
          <w:tcPr>
            <w:tcW w:w="196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9"/>
              </w:rPr>
              <w:t>Distributed</w:t>
            </w:r>
          </w:p>
        </w:tc>
        <w:tc>
          <w:tcPr>
            <w:tcW w:w="0" w:type="dxa"/>
            <w:vAlign w:val="bottom"/>
          </w:tcPr>
          <w:p>
            <w:pPr>
              <w:spacing w:after="0"/>
              <w:rPr>
                <w:sz w:val="1"/>
                <w:szCs w:val="1"/>
                <w:color w:val="auto"/>
              </w:rPr>
            </w:pPr>
          </w:p>
        </w:tc>
      </w:tr>
      <w:tr>
        <w:trPr>
          <w:trHeight w:val="74"/>
        </w:trPr>
        <w:tc>
          <w:tcPr>
            <w:tcW w:w="1860" w:type="dxa"/>
            <w:vAlign w:val="bottom"/>
            <w:vMerge w:val="continue"/>
            <w:shd w:val="clear" w:color="auto" w:fill="E5E5E5"/>
          </w:tcPr>
          <w:p>
            <w:pPr>
              <w:spacing w:after="0"/>
              <w:rPr>
                <w:sz w:val="6"/>
                <w:szCs w:val="6"/>
                <w:color w:val="auto"/>
              </w:rPr>
            </w:pPr>
          </w:p>
        </w:tc>
        <w:tc>
          <w:tcPr>
            <w:tcW w:w="1960" w:type="dxa"/>
            <w:vAlign w:val="bottom"/>
            <w:vMerge w:val="continue"/>
            <w:shd w:val="clear" w:color="auto" w:fill="E5E5E5"/>
          </w:tcPr>
          <w:p>
            <w:pPr>
              <w:spacing w:after="0"/>
              <w:rPr>
                <w:sz w:val="6"/>
                <w:szCs w:val="6"/>
                <w:color w:val="auto"/>
              </w:rPr>
            </w:pPr>
          </w:p>
        </w:tc>
        <w:tc>
          <w:tcPr>
            <w:tcW w:w="2200" w:type="dxa"/>
            <w:vAlign w:val="bottom"/>
            <w:vMerge w:val="continue"/>
            <w:shd w:val="clear" w:color="auto" w:fill="E5E5E5"/>
          </w:tcPr>
          <w:p>
            <w:pPr>
              <w:spacing w:after="0"/>
              <w:rPr>
                <w:sz w:val="6"/>
                <w:szCs w:val="6"/>
                <w:color w:val="auto"/>
              </w:rPr>
            </w:pPr>
          </w:p>
        </w:tc>
        <w:tc>
          <w:tcPr>
            <w:tcW w:w="3040" w:type="dxa"/>
            <w:vAlign w:val="bottom"/>
            <w:vMerge w:val="restart"/>
            <w:shd w:val="clear" w:color="auto" w:fill="E5E5E5"/>
          </w:tcPr>
          <w:p>
            <w:pPr>
              <w:jc w:val="center"/>
              <w:spacing w:after="0" w:line="167" w:lineRule="exact"/>
              <w:rPr>
                <w:sz w:val="20"/>
                <w:szCs w:val="20"/>
                <w:color w:val="auto"/>
              </w:rPr>
            </w:pPr>
            <w:r>
              <w:rPr>
                <w:rFonts w:ascii="Arial" w:cs="Arial" w:eastAsia="Arial" w:hAnsi="Arial"/>
                <w:sz w:val="16"/>
                <w:szCs w:val="16"/>
                <w:color w:val="auto"/>
              </w:rPr>
              <w:t xml:space="preserve">of </w:t>
            </w:r>
            <w:r>
              <w:rPr>
                <w:rFonts w:ascii="Arial" w:cs="Arial" w:eastAsia="Arial" w:hAnsi="Arial"/>
                <w:sz w:val="16"/>
                <w:szCs w:val="16"/>
                <w:b w:val="1"/>
                <w:bCs w:val="1"/>
                <w:color w:val="auto"/>
              </w:rPr>
              <w:t>$70.35</w:t>
            </w:r>
          </w:p>
        </w:tc>
        <w:tc>
          <w:tcPr>
            <w:tcW w:w="196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860" w:type="dxa"/>
            <w:vAlign w:val="bottom"/>
            <w:vMerge w:val="restart"/>
            <w:shd w:val="clear" w:color="auto" w:fill="E5E5E5"/>
          </w:tcPr>
          <w:p>
            <w:pPr>
              <w:jc w:val="center"/>
              <w:spacing w:after="0" w:line="174" w:lineRule="exact"/>
              <w:rPr>
                <w:sz w:val="20"/>
                <w:szCs w:val="20"/>
                <w:color w:val="auto"/>
              </w:rPr>
            </w:pPr>
            <w:r>
              <w:rPr>
                <w:rFonts w:ascii="Arial" w:cs="Arial" w:eastAsia="Arial" w:hAnsi="Arial"/>
                <w:sz w:val="16"/>
                <w:szCs w:val="16"/>
                <w:color w:val="auto"/>
                <w:w w:val="99"/>
              </w:rPr>
              <w:t>net income of</w:t>
            </w:r>
          </w:p>
        </w:tc>
        <w:tc>
          <w:tcPr>
            <w:tcW w:w="1960" w:type="dxa"/>
            <w:vAlign w:val="bottom"/>
            <w:vMerge w:val="restart"/>
            <w:shd w:val="clear" w:color="auto" w:fill="E5E5E5"/>
          </w:tcPr>
          <w:p>
            <w:pPr>
              <w:jc w:val="center"/>
              <w:ind w:left="119"/>
              <w:spacing w:after="0" w:line="174" w:lineRule="exact"/>
              <w:rPr>
                <w:sz w:val="20"/>
                <w:szCs w:val="20"/>
                <w:color w:val="auto"/>
              </w:rPr>
            </w:pPr>
            <w:r>
              <w:rPr>
                <w:rFonts w:ascii="Arial" w:cs="Arial" w:eastAsia="Arial" w:hAnsi="Arial"/>
                <w:sz w:val="16"/>
                <w:szCs w:val="16"/>
                <w:color w:val="auto"/>
              </w:rPr>
              <w:t>EPS of</w:t>
            </w:r>
          </w:p>
        </w:tc>
        <w:tc>
          <w:tcPr>
            <w:tcW w:w="2200" w:type="dxa"/>
            <w:vAlign w:val="bottom"/>
            <w:vMerge w:val="continue"/>
            <w:shd w:val="clear" w:color="auto" w:fill="E5E5E5"/>
          </w:tcPr>
          <w:p>
            <w:pPr>
              <w:spacing w:after="0"/>
              <w:rPr>
                <w:sz w:val="8"/>
                <w:szCs w:val="8"/>
                <w:color w:val="auto"/>
              </w:rPr>
            </w:pPr>
          </w:p>
        </w:tc>
        <w:tc>
          <w:tcPr>
            <w:tcW w:w="3040" w:type="dxa"/>
            <w:vAlign w:val="bottom"/>
            <w:vMerge w:val="continue"/>
            <w:shd w:val="clear" w:color="auto" w:fill="E5E5E5"/>
          </w:tcPr>
          <w:p>
            <w:pPr>
              <w:spacing w:after="0"/>
              <w:rPr>
                <w:sz w:val="8"/>
                <w:szCs w:val="8"/>
                <w:color w:val="auto"/>
              </w:rPr>
            </w:pPr>
          </w:p>
        </w:tc>
        <w:tc>
          <w:tcPr>
            <w:tcW w:w="1960" w:type="dxa"/>
            <w:vAlign w:val="bottom"/>
            <w:vMerge w:val="restart"/>
            <w:shd w:val="clear" w:color="auto" w:fill="E5E5E5"/>
          </w:tcPr>
          <w:p>
            <w:pPr>
              <w:jc w:val="center"/>
              <w:spacing w:after="0" w:line="174" w:lineRule="exact"/>
              <w:rPr>
                <w:sz w:val="20"/>
                <w:szCs w:val="20"/>
                <w:color w:val="auto"/>
              </w:rPr>
            </w:pPr>
            <w:r>
              <w:rPr>
                <w:rFonts w:ascii="Arial" w:cs="Arial" w:eastAsia="Arial" w:hAnsi="Arial"/>
                <w:sz w:val="16"/>
                <w:szCs w:val="16"/>
                <w:b w:val="1"/>
                <w:bCs w:val="1"/>
                <w:color w:val="auto"/>
              </w:rPr>
              <w:t>$28.5 BILLION</w:t>
            </w:r>
          </w:p>
        </w:tc>
        <w:tc>
          <w:tcPr>
            <w:tcW w:w="0" w:type="dxa"/>
            <w:vAlign w:val="bottom"/>
          </w:tcPr>
          <w:p>
            <w:pPr>
              <w:spacing w:after="0"/>
              <w:rPr>
                <w:sz w:val="1"/>
                <w:szCs w:val="1"/>
                <w:color w:val="auto"/>
              </w:rPr>
            </w:pPr>
          </w:p>
        </w:tc>
      </w:tr>
      <w:tr>
        <w:trPr>
          <w:trHeight w:val="81"/>
        </w:trPr>
        <w:tc>
          <w:tcPr>
            <w:tcW w:w="1860" w:type="dxa"/>
            <w:vAlign w:val="bottom"/>
            <w:vMerge w:val="continue"/>
            <w:shd w:val="clear" w:color="auto" w:fill="E5E5E5"/>
          </w:tcPr>
          <w:p>
            <w:pPr>
              <w:spacing w:after="0"/>
              <w:rPr>
                <w:sz w:val="7"/>
                <w:szCs w:val="7"/>
                <w:color w:val="auto"/>
              </w:rPr>
            </w:pPr>
          </w:p>
        </w:tc>
        <w:tc>
          <w:tcPr>
            <w:tcW w:w="1960" w:type="dxa"/>
            <w:vAlign w:val="bottom"/>
            <w:vMerge w:val="continue"/>
            <w:shd w:val="clear" w:color="auto" w:fill="E5E5E5"/>
          </w:tcPr>
          <w:p>
            <w:pPr>
              <w:spacing w:after="0"/>
              <w:rPr>
                <w:sz w:val="7"/>
                <w:szCs w:val="7"/>
                <w:color w:val="auto"/>
              </w:rPr>
            </w:pPr>
          </w:p>
        </w:tc>
        <w:tc>
          <w:tcPr>
            <w:tcW w:w="2200" w:type="dxa"/>
            <w:vAlign w:val="bottom"/>
            <w:vMerge w:val="restart"/>
            <w:shd w:val="clear" w:color="auto" w:fill="E5E5E5"/>
          </w:tcPr>
          <w:p>
            <w:pPr>
              <w:jc w:val="center"/>
              <w:ind w:left="159"/>
              <w:spacing w:after="0" w:line="270" w:lineRule="exact"/>
              <w:rPr>
                <w:sz w:val="20"/>
                <w:szCs w:val="20"/>
                <w:color w:val="auto"/>
              </w:rPr>
            </w:pPr>
            <w:r>
              <w:rPr>
                <w:rFonts w:ascii="Arial" w:cs="Arial" w:eastAsia="Arial" w:hAnsi="Arial"/>
                <w:sz w:val="16"/>
                <w:szCs w:val="16"/>
                <w:color w:val="auto"/>
                <w:w w:val="99"/>
              </w:rPr>
              <w:t>ROTCE</w:t>
            </w:r>
            <w:r>
              <w:rPr>
                <w:rFonts w:ascii="Arial" w:cs="Arial" w:eastAsia="Arial" w:hAnsi="Arial"/>
                <w:sz w:val="27"/>
                <w:szCs w:val="27"/>
                <w:color w:val="auto"/>
                <w:w w:val="99"/>
                <w:vertAlign w:val="superscript"/>
              </w:rPr>
              <w:t>1</w:t>
            </w:r>
            <w:r>
              <w:rPr>
                <w:rFonts w:ascii="Arial" w:cs="Arial" w:eastAsia="Arial" w:hAnsi="Arial"/>
                <w:sz w:val="16"/>
                <w:szCs w:val="16"/>
                <w:color w:val="auto"/>
                <w:w w:val="99"/>
              </w:rPr>
              <w:t xml:space="preserve"> of </w:t>
            </w:r>
            <w:r>
              <w:rPr>
                <w:rFonts w:ascii="Arial" w:cs="Arial" w:eastAsia="Arial" w:hAnsi="Arial"/>
                <w:sz w:val="16"/>
                <w:szCs w:val="16"/>
                <w:b w:val="1"/>
                <w:bCs w:val="1"/>
                <w:color w:val="auto"/>
                <w:w w:val="99"/>
              </w:rPr>
              <w:t>17%</w:t>
            </w:r>
          </w:p>
        </w:tc>
        <w:tc>
          <w:tcPr>
            <w:tcW w:w="30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Tangible book value per share</w:t>
            </w:r>
          </w:p>
        </w:tc>
        <w:tc>
          <w:tcPr>
            <w:tcW w:w="196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860" w:type="dxa"/>
            <w:vAlign w:val="bottom"/>
            <w:shd w:val="clear" w:color="auto" w:fill="E5E5E5"/>
          </w:tcPr>
          <w:p>
            <w:pPr>
              <w:jc w:val="center"/>
              <w:spacing w:after="0"/>
              <w:rPr>
                <w:sz w:val="20"/>
                <w:szCs w:val="20"/>
                <w:color w:val="auto"/>
              </w:rPr>
            </w:pPr>
            <w:r>
              <w:rPr>
                <w:rFonts w:ascii="Arial" w:cs="Arial" w:eastAsia="Arial" w:hAnsi="Arial"/>
                <w:sz w:val="16"/>
                <w:szCs w:val="16"/>
                <w:b w:val="1"/>
                <w:bCs w:val="1"/>
                <w:color w:val="auto"/>
              </w:rPr>
              <w:t>$32.5 BILLION</w:t>
            </w:r>
          </w:p>
        </w:tc>
        <w:tc>
          <w:tcPr>
            <w:tcW w:w="1960" w:type="dxa"/>
            <w:vAlign w:val="bottom"/>
            <w:shd w:val="clear" w:color="auto" w:fill="E5E5E5"/>
          </w:tcPr>
          <w:p>
            <w:pPr>
              <w:jc w:val="center"/>
              <w:ind w:left="119"/>
              <w:spacing w:after="0"/>
              <w:rPr>
                <w:sz w:val="20"/>
                <w:szCs w:val="20"/>
                <w:color w:val="auto"/>
              </w:rPr>
            </w:pPr>
            <w:r>
              <w:rPr>
                <w:rFonts w:ascii="Arial" w:cs="Arial" w:eastAsia="Arial" w:hAnsi="Arial"/>
                <w:sz w:val="16"/>
                <w:szCs w:val="16"/>
                <w:b w:val="1"/>
                <w:bCs w:val="1"/>
                <w:color w:val="auto"/>
                <w:w w:val="99"/>
              </w:rPr>
              <w:t>$9.00</w:t>
            </w:r>
          </w:p>
        </w:tc>
        <w:tc>
          <w:tcPr>
            <w:tcW w:w="2200" w:type="dxa"/>
            <w:vAlign w:val="bottom"/>
            <w:vMerge w:val="continue"/>
            <w:shd w:val="clear" w:color="auto" w:fill="E5E5E5"/>
          </w:tcPr>
          <w:p>
            <w:pPr>
              <w:spacing w:after="0"/>
              <w:rPr>
                <w:sz w:val="16"/>
                <w:szCs w:val="16"/>
                <w:color w:val="auto"/>
              </w:rPr>
            </w:pPr>
          </w:p>
        </w:tc>
        <w:tc>
          <w:tcPr>
            <w:tcW w:w="3040" w:type="dxa"/>
            <w:vAlign w:val="bottom"/>
            <w:vMerge w:val="continue"/>
            <w:shd w:val="clear" w:color="auto" w:fill="E5E5E5"/>
          </w:tcPr>
          <w:p>
            <w:pPr>
              <w:spacing w:after="0"/>
              <w:rPr>
                <w:sz w:val="16"/>
                <w:szCs w:val="16"/>
                <w:color w:val="auto"/>
              </w:rPr>
            </w:pPr>
          </w:p>
        </w:tc>
        <w:tc>
          <w:tcPr>
            <w:tcW w:w="19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to shareholders</w:t>
            </w:r>
          </w:p>
        </w:tc>
        <w:tc>
          <w:tcPr>
            <w:tcW w:w="0" w:type="dxa"/>
            <w:vAlign w:val="bottom"/>
          </w:tcPr>
          <w:p>
            <w:pPr>
              <w:spacing w:after="0"/>
              <w:rPr>
                <w:sz w:val="1"/>
                <w:szCs w:val="1"/>
                <w:color w:val="auto"/>
              </w:rPr>
            </w:pPr>
          </w:p>
        </w:tc>
      </w:tr>
      <w:tr>
        <w:trPr>
          <w:trHeight w:val="243"/>
        </w:trPr>
        <w:tc>
          <w:tcPr>
            <w:tcW w:w="1860" w:type="dxa"/>
            <w:vAlign w:val="bottom"/>
            <w:shd w:val="clear" w:color="auto" w:fill="E5E5E5"/>
          </w:tcPr>
          <w:p>
            <w:pPr>
              <w:spacing w:after="0"/>
              <w:rPr>
                <w:sz w:val="21"/>
                <w:szCs w:val="21"/>
                <w:color w:val="auto"/>
              </w:rPr>
            </w:pPr>
          </w:p>
        </w:tc>
        <w:tc>
          <w:tcPr>
            <w:tcW w:w="1960" w:type="dxa"/>
            <w:vAlign w:val="bottom"/>
            <w:shd w:val="clear" w:color="auto" w:fill="E5E5E5"/>
          </w:tcPr>
          <w:p>
            <w:pPr>
              <w:spacing w:after="0"/>
              <w:rPr>
                <w:sz w:val="21"/>
                <w:szCs w:val="21"/>
                <w:color w:val="auto"/>
              </w:rPr>
            </w:pPr>
          </w:p>
        </w:tc>
        <w:tc>
          <w:tcPr>
            <w:tcW w:w="2200" w:type="dxa"/>
            <w:vAlign w:val="bottom"/>
            <w:shd w:val="clear" w:color="auto" w:fill="E5E5E5"/>
          </w:tcPr>
          <w:p>
            <w:pPr>
              <w:spacing w:after="0"/>
              <w:rPr>
                <w:sz w:val="21"/>
                <w:szCs w:val="21"/>
                <w:color w:val="auto"/>
              </w:rPr>
            </w:pPr>
          </w:p>
        </w:tc>
        <w:tc>
          <w:tcPr>
            <w:tcW w:w="3040" w:type="dxa"/>
            <w:vAlign w:val="bottom"/>
            <w:shd w:val="clear" w:color="auto" w:fill="E5E5E5"/>
          </w:tcPr>
          <w:p>
            <w:pPr>
              <w:jc w:val="center"/>
              <w:spacing w:after="0" w:line="242" w:lineRule="exact"/>
              <w:rPr>
                <w:sz w:val="20"/>
                <w:szCs w:val="20"/>
                <w:color w:val="auto"/>
              </w:rPr>
            </w:pPr>
            <w:r>
              <w:rPr>
                <w:rFonts w:ascii="Arial" w:cs="Arial" w:eastAsia="Arial" w:hAnsi="Arial"/>
                <w:sz w:val="16"/>
                <w:szCs w:val="16"/>
                <w:color w:val="auto"/>
              </w:rPr>
              <w:t>(“TBVPS”)</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$56.33</w:t>
            </w:r>
          </w:p>
        </w:tc>
        <w:tc>
          <w:tcPr>
            <w:tcW w:w="196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231775</wp:posOffset>
            </wp:positionV>
            <wp:extent cx="6997700" cy="231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231775"/>
                    </a:xfrm>
                    <a:prstGeom prst="rect">
                      <a:avLst/>
                    </a:prstGeom>
                    <a:noFill/>
                  </pic:spPr>
                </pic:pic>
              </a:graphicData>
            </a:graphic>
          </wp:anchor>
        </w:drawing>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4876"/>
        </w:rPr>
        <w:t>The Firm has demonstrated sustained, strong financial performance</w:t>
      </w:r>
    </w:p>
    <w:p>
      <w:pPr>
        <w:spacing w:after="0" w:line="143"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We have generated strong ROE and ROTCE over the past 10 years, while growing average common equity by over 50% from $146 billion to $229 billion and almost doubling average tangible common equity (“TCE”)</w:t>
      </w:r>
      <w:r>
        <w:rPr>
          <w:rFonts w:ascii="Arial" w:cs="Arial" w:eastAsia="Arial" w:hAnsi="Arial"/>
          <w:sz w:val="15"/>
          <w:szCs w:val="15"/>
          <w:color w:val="auto"/>
        </w:rPr>
        <w:t>1</w:t>
      </w:r>
      <w:r>
        <w:rPr>
          <w:rFonts w:ascii="Arial" w:cs="Arial" w:eastAsia="Arial" w:hAnsi="Arial"/>
          <w:sz w:val="18"/>
          <w:szCs w:val="18"/>
          <w:color w:val="auto"/>
        </w:rPr>
        <w:t xml:space="preserve"> from $95 billion to $183 billion, reflecting a compound annual growth rate of 5% and 8%, respectively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7031990" cy="2032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199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120"/>
        <w:spacing w:after="0" w:line="249" w:lineRule="auto"/>
        <w:rPr>
          <w:sz w:val="20"/>
          <w:szCs w:val="20"/>
          <w:color w:val="auto"/>
        </w:rPr>
      </w:pPr>
      <w:r>
        <w:rPr>
          <w:rFonts w:ascii="Arial" w:cs="Arial" w:eastAsia="Arial" w:hAnsi="Arial"/>
          <w:sz w:val="18"/>
          <w:szCs w:val="18"/>
          <w:color w:val="auto"/>
        </w:rPr>
        <w:t>We have also delivered sustained growth in EPS, BVPS and TBVPS</w:t>
      </w:r>
      <w:r>
        <w:rPr>
          <w:rFonts w:ascii="Arial" w:cs="Arial" w:eastAsia="Arial" w:hAnsi="Arial"/>
          <w:sz w:val="15"/>
          <w:szCs w:val="15"/>
          <w:color w:val="auto"/>
        </w:rPr>
        <w:t>1</w:t>
      </w:r>
      <w:r>
        <w:rPr>
          <w:rFonts w:ascii="Arial" w:cs="Arial" w:eastAsia="Arial" w:hAnsi="Arial"/>
          <w:sz w:val="18"/>
          <w:szCs w:val="18"/>
          <w:color w:val="auto"/>
        </w:rPr>
        <w:t xml:space="preserve"> over the past 10 years, reflecting compound annual growth rates of 17%, 7% and 8%, respectively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140970</wp:posOffset>
            </wp:positionV>
            <wp:extent cx="7031990" cy="24701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199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202"/>
        <w:spacing w:after="0"/>
        <w:tabs>
          <w:tab w:leader="none" w:pos="420" w:val="left"/>
        </w:tabs>
        <w:numPr>
          <w:ilvl w:val="0"/>
          <w:numId w:val="8"/>
        </w:numPr>
        <w:rPr>
          <w:rFonts w:ascii="Arial" w:cs="Arial" w:eastAsia="Arial" w:hAnsi="Arial"/>
          <w:sz w:val="11"/>
          <w:szCs w:val="11"/>
          <w:color w:val="auto"/>
        </w:rPr>
      </w:pPr>
      <w:r>
        <w:rPr>
          <w:rFonts w:ascii="Arial" w:cs="Arial" w:eastAsia="Arial" w:hAnsi="Arial"/>
          <w:sz w:val="13"/>
          <w:szCs w:val="13"/>
          <w:color w:val="auto"/>
        </w:rPr>
        <w:t>ROTCE, TBVPS and average TCE are each non-GAAP financial measures; for a reconciliation and further explanation, see page 99.</w:t>
      </w:r>
    </w:p>
    <w:p>
      <w:pPr>
        <w:spacing w:after="0" w:line="12"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Refer to note 2 on page 41 of this proxy statement.</w:t>
      </w:r>
    </w:p>
    <w:p>
      <w:pPr>
        <w:spacing w:after="0" w:line="24" w:lineRule="exact"/>
        <w:rPr>
          <w:rFonts w:ascii="Arial" w:cs="Arial" w:eastAsia="Arial" w:hAnsi="Arial"/>
          <w:sz w:val="11"/>
          <w:szCs w:val="11"/>
          <w:color w:val="auto"/>
        </w:rPr>
      </w:pPr>
    </w:p>
    <w:p>
      <w:pPr>
        <w:ind w:left="420" w:right="180" w:hanging="202"/>
        <w:spacing w:after="0" w:line="259" w:lineRule="auto"/>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Excluding the impact of the enactment of the Tax Cuts and Jobs Act (“TCJA”) of $(2.4) billion and a legal benefit of $406 million (after-tax) in 2017, adjusted ROTCE would have been 13% and</w:t>
      </w:r>
      <w:r>
        <w:rPr>
          <w:rFonts w:ascii="Arial" w:cs="Arial" w:eastAsia="Arial" w:hAnsi="Arial"/>
          <w:sz w:val="11"/>
          <w:szCs w:val="11"/>
          <w:color w:val="auto"/>
        </w:rPr>
        <w:t xml:space="preserve"> </w:t>
      </w:r>
      <w:r>
        <w:rPr>
          <w:rFonts w:ascii="Arial" w:cs="Arial" w:eastAsia="Arial" w:hAnsi="Arial"/>
          <w:sz w:val="12"/>
          <w:szCs w:val="12"/>
          <w:color w:val="auto"/>
        </w:rPr>
        <w:t>adjusted EPS would have been $6.87. Adjusted ROTCE and adjusted EPS are each non-GAAP financial measures; for further explanation, see page 99 of this proxy statement.</w:t>
      </w:r>
    </w:p>
    <w:p>
      <w:pPr>
        <w:spacing w:after="0" w:line="121"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327660</wp:posOffset>
            </wp:positionV>
            <wp:extent cx="699770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22288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4876"/>
        </w:rPr>
        <w:t>Total shareholder return (“TSR”)</w:t>
      </w:r>
    </w:p>
    <w:p>
      <w:pPr>
        <w:spacing w:after="0" w:line="127" w:lineRule="exact"/>
        <w:rPr>
          <w:sz w:val="20"/>
          <w:szCs w:val="20"/>
          <w:color w:val="auto"/>
        </w:rPr>
      </w:pPr>
    </w:p>
    <w:p>
      <w:pPr>
        <w:ind w:left="200" w:right="480"/>
        <w:spacing w:after="0" w:line="239" w:lineRule="auto"/>
        <w:rPr>
          <w:sz w:val="20"/>
          <w:szCs w:val="20"/>
          <w:color w:val="auto"/>
        </w:rPr>
      </w:pPr>
      <w:r>
        <w:rPr>
          <w:rFonts w:ascii="Arial" w:cs="Arial" w:eastAsia="Arial" w:hAnsi="Arial"/>
          <w:sz w:val="18"/>
          <w:szCs w:val="18"/>
          <w:color w:val="auto"/>
        </w:rPr>
        <w:t>TSR</w:t>
      </w:r>
      <w:r>
        <w:rPr>
          <w:rFonts w:ascii="Arial" w:cs="Arial" w:eastAsia="Arial" w:hAnsi="Arial"/>
          <w:sz w:val="15"/>
          <w:szCs w:val="15"/>
          <w:color w:val="auto"/>
        </w:rPr>
        <w:t>1</w:t>
      </w:r>
      <w:r>
        <w:rPr>
          <w:rFonts w:ascii="Arial" w:cs="Arial" w:eastAsia="Arial" w:hAnsi="Arial"/>
          <w:sz w:val="18"/>
          <w:szCs w:val="18"/>
          <w:color w:val="auto"/>
        </w:rPr>
        <w:t xml:space="preserve"> was (7)% in 2018, following a TSR of 27% in 2017 and 35% in 2016, for a combined three-year TSR of 59%. The graph below shows our TSR expressed as cumulative return to shareholders over the past decade. As illustrated, a $100 investment in JPMorgan Chase on December 31, 2008 would be valued at $388 as of December 31, 2018, significantly outperforming the financial services industry over the period, as measured by the S&amp;P Financials Index and the KBW Bank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147320</wp:posOffset>
            </wp:positionV>
            <wp:extent cx="7031990" cy="3747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1990"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hanging="167"/>
        <w:spacing w:after="0"/>
        <w:tabs>
          <w:tab w:leader="none" w:pos="420" w:val="left"/>
        </w:tabs>
        <w:numPr>
          <w:ilvl w:val="0"/>
          <w:numId w:val="9"/>
        </w:numPr>
        <w:rPr>
          <w:rFonts w:ascii="Arial" w:cs="Arial" w:eastAsia="Arial" w:hAnsi="Arial"/>
          <w:sz w:val="11"/>
          <w:szCs w:val="11"/>
          <w:color w:val="auto"/>
        </w:rPr>
      </w:pPr>
      <w:r>
        <w:rPr>
          <w:rFonts w:ascii="Arial" w:cs="Arial" w:eastAsia="Arial" w:hAnsi="Arial"/>
          <w:sz w:val="13"/>
          <w:szCs w:val="13"/>
          <w:color w:val="auto"/>
        </w:rPr>
        <w:t>TSR shows the actual return of the stock price, with dividends reinvested.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8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48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3</w:t>
            </w: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327660</wp:posOffset>
            </wp:positionV>
            <wp:extent cx="699770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004876"/>
        </w:rPr>
        <w:t>We are committed to commonsense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125730</wp:posOffset>
            </wp:positionV>
            <wp:extent cx="699770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Our Board reviews its composition for the right mix of experience, refreshment, skills and diversity</w:t>
      </w:r>
    </w:p>
    <w:p>
      <w:pPr>
        <w:spacing w:after="0" w:line="98" w:lineRule="exact"/>
        <w:rPr>
          <w:sz w:val="20"/>
          <w:szCs w:val="20"/>
          <w:color w:val="auto"/>
        </w:rPr>
      </w:pPr>
    </w:p>
    <w:p>
      <w:pPr>
        <w:ind w:left="440" w:right="140"/>
        <w:spacing w:after="0" w:line="260" w:lineRule="auto"/>
        <w:rPr>
          <w:sz w:val="20"/>
          <w:szCs w:val="20"/>
          <w:color w:val="auto"/>
        </w:rPr>
      </w:pPr>
      <w:r>
        <w:rPr>
          <w:rFonts w:ascii="Arial" w:cs="Arial" w:eastAsia="Arial" w:hAnsi="Arial"/>
          <w:sz w:val="16"/>
          <w:szCs w:val="16"/>
          <w:color w:val="auto"/>
        </w:rPr>
        <w:t>We seek directors with experience and demonstrated success in executive fields relevant to the Firm’s businesses and operations who contribute to the Board’s collegial dynamic and its diversity across a full spectrum of attributes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Four new directors, including two women, have joined the Board in the last six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171450"/>
                    </a:xfrm>
                    <a:prstGeom prst="rect">
                      <a:avLst/>
                    </a:prstGeom>
                    <a:noFill/>
                  </pic:spPr>
                </pic:pic>
              </a:graphicData>
            </a:graphic>
          </wp:anchor>
        </w:drawing>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A strong Lead Independent Director role facilitates independent board oversight of management</w:t>
      </w:r>
    </w:p>
    <w:p>
      <w:pPr>
        <w:spacing w:after="0" w:line="98" w:lineRule="exact"/>
        <w:rPr>
          <w:sz w:val="20"/>
          <w:szCs w:val="20"/>
          <w:color w:val="auto"/>
        </w:rPr>
      </w:pPr>
    </w:p>
    <w:p>
      <w:pPr>
        <w:ind w:left="440" w:right="160"/>
        <w:spacing w:after="0" w:line="260" w:lineRule="auto"/>
        <w:rPr>
          <w:sz w:val="20"/>
          <w:szCs w:val="20"/>
          <w:color w:val="auto"/>
        </w:rPr>
      </w:pPr>
      <w:r>
        <w:rPr>
          <w:rFonts w:ascii="Arial" w:cs="Arial" w:eastAsia="Arial" w:hAnsi="Arial"/>
          <w:sz w:val="16"/>
          <w:szCs w:val="16"/>
          <w:color w:val="auto"/>
        </w:rPr>
        <w:t>The Firm’s Corporate Governance Principles require the independent directors to appoint a Lead Independent Director if the role of the Chairman is combined with that of the CEO</w:t>
      </w:r>
    </w:p>
    <w:p>
      <w:pPr>
        <w:spacing w:after="0" w:line="47" w:lineRule="exact"/>
        <w:rPr>
          <w:sz w:val="20"/>
          <w:szCs w:val="20"/>
          <w:color w:val="auto"/>
        </w:rPr>
      </w:pPr>
    </w:p>
    <w:p>
      <w:pPr>
        <w:ind w:left="440" w:right="4280"/>
        <w:spacing w:after="0" w:line="383" w:lineRule="auto"/>
        <w:rPr>
          <w:sz w:val="20"/>
          <w:szCs w:val="20"/>
          <w:color w:val="auto"/>
        </w:rPr>
      </w:pPr>
      <w:r>
        <w:rPr>
          <w:rFonts w:ascii="Arial" w:cs="Arial" w:eastAsia="Arial" w:hAnsi="Arial"/>
          <w:sz w:val="16"/>
          <w:szCs w:val="16"/>
          <w:color w:val="auto"/>
        </w:rPr>
        <w:t>The Board reviews its leadership structure annually as part of its self-assessment process Responsibilities of the Lead Independent Director include: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54"/>
        </w:trPr>
        <w:tc>
          <w:tcPr>
            <w:tcW w:w="240" w:type="dxa"/>
            <w:vAlign w:val="bottom"/>
          </w:tcPr>
          <w:p>
            <w:pPr>
              <w:spacing w:after="0" w:line="161" w:lineRule="exact"/>
              <w:rPr>
                <w:sz w:val="20"/>
                <w:szCs w:val="20"/>
                <w:color w:val="auto"/>
              </w:rPr>
            </w:pPr>
            <w:r>
              <w:rPr>
                <w:rFonts w:ascii="MS PGothic" w:cs="MS PGothic" w:eastAsia="MS PGothic" w:hAnsi="MS PGothic"/>
                <w:sz w:val="16"/>
                <w:szCs w:val="16"/>
                <w:color w:val="73A950"/>
              </w:rPr>
              <w:t>✓</w:t>
            </w:r>
          </w:p>
        </w:tc>
        <w:tc>
          <w:tcPr>
            <w:tcW w:w="4840" w:type="dxa"/>
            <w:vAlign w:val="bottom"/>
          </w:tcPr>
          <w:p>
            <w:pPr>
              <w:ind w:left="120"/>
              <w:spacing w:after="0"/>
              <w:rPr>
                <w:sz w:val="20"/>
                <w:szCs w:val="20"/>
                <w:color w:val="auto"/>
              </w:rPr>
            </w:pPr>
            <w:r>
              <w:rPr>
                <w:rFonts w:ascii="Arial" w:cs="Arial" w:eastAsia="Arial" w:hAnsi="Arial"/>
                <w:sz w:val="16"/>
                <w:szCs w:val="16"/>
                <w:color w:val="auto"/>
              </w:rPr>
              <w:t>acts as liaison between independent directors and the CEO</w:t>
            </w:r>
          </w:p>
        </w:tc>
        <w:tc>
          <w:tcPr>
            <w:tcW w:w="680" w:type="dxa"/>
            <w:vAlign w:val="bottom"/>
          </w:tcPr>
          <w:p>
            <w:pPr>
              <w:ind w:left="440"/>
              <w:spacing w:after="0" w:line="161" w:lineRule="exact"/>
              <w:rPr>
                <w:sz w:val="20"/>
                <w:szCs w:val="20"/>
                <w:color w:val="auto"/>
              </w:rPr>
            </w:pPr>
            <w:r>
              <w:rPr>
                <w:rFonts w:ascii="MS PGothic" w:cs="MS PGothic" w:eastAsia="MS PGothic" w:hAnsi="MS PGothic"/>
                <w:sz w:val="16"/>
                <w:szCs w:val="16"/>
                <w:color w:val="73A950"/>
              </w:rPr>
              <w:t>✓</w:t>
            </w:r>
          </w:p>
        </w:tc>
        <w:tc>
          <w:tcPr>
            <w:tcW w:w="4260" w:type="dxa"/>
            <w:vAlign w:val="bottom"/>
          </w:tcPr>
          <w:p>
            <w:pPr>
              <w:ind w:left="100"/>
              <w:spacing w:after="0"/>
              <w:rPr>
                <w:sz w:val="20"/>
                <w:szCs w:val="20"/>
                <w:color w:val="auto"/>
              </w:rPr>
            </w:pPr>
            <w:r>
              <w:rPr>
                <w:rFonts w:ascii="Arial" w:cs="Arial" w:eastAsia="Arial" w:hAnsi="Arial"/>
                <w:sz w:val="16"/>
                <w:szCs w:val="16"/>
                <w:color w:val="auto"/>
              </w:rPr>
              <w:t>presides over executive sessions of independent directors</w:t>
            </w:r>
          </w:p>
        </w:tc>
      </w:tr>
      <w:tr>
        <w:trPr>
          <w:trHeight w:val="285"/>
        </w:trPr>
        <w:tc>
          <w:tcPr>
            <w:tcW w:w="240" w:type="dxa"/>
            <w:vAlign w:val="bottom"/>
          </w:tcPr>
          <w:p>
            <w:pPr>
              <w:spacing w:after="0" w:line="161" w:lineRule="exact"/>
              <w:rPr>
                <w:sz w:val="20"/>
                <w:szCs w:val="20"/>
                <w:color w:val="auto"/>
              </w:rPr>
            </w:pPr>
            <w:r>
              <w:rPr>
                <w:rFonts w:ascii="MS PGothic" w:cs="MS PGothic" w:eastAsia="MS PGothic" w:hAnsi="MS PGothic"/>
                <w:sz w:val="16"/>
                <w:szCs w:val="16"/>
                <w:color w:val="73A950"/>
              </w:rPr>
              <w:t>✓</w:t>
            </w:r>
          </w:p>
        </w:tc>
        <w:tc>
          <w:tcPr>
            <w:tcW w:w="4840" w:type="dxa"/>
            <w:vAlign w:val="bottom"/>
          </w:tcPr>
          <w:p>
            <w:pPr>
              <w:ind w:left="120"/>
              <w:spacing w:after="0"/>
              <w:rPr>
                <w:sz w:val="20"/>
                <w:szCs w:val="20"/>
                <w:color w:val="auto"/>
              </w:rPr>
            </w:pPr>
            <w:r>
              <w:rPr>
                <w:rFonts w:ascii="Arial" w:cs="Arial" w:eastAsia="Arial" w:hAnsi="Arial"/>
                <w:sz w:val="16"/>
                <w:szCs w:val="16"/>
                <w:color w:val="auto"/>
              </w:rPr>
              <w:t>acts as a sounding board to the CEO</w:t>
            </w:r>
          </w:p>
        </w:tc>
        <w:tc>
          <w:tcPr>
            <w:tcW w:w="680" w:type="dxa"/>
            <w:vAlign w:val="bottom"/>
          </w:tcPr>
          <w:p>
            <w:pPr>
              <w:ind w:left="440"/>
              <w:spacing w:after="0" w:line="161" w:lineRule="exact"/>
              <w:rPr>
                <w:sz w:val="20"/>
                <w:szCs w:val="20"/>
                <w:color w:val="auto"/>
              </w:rPr>
            </w:pPr>
            <w:r>
              <w:rPr>
                <w:rFonts w:ascii="MS PGothic" w:cs="MS PGothic" w:eastAsia="MS PGothic" w:hAnsi="MS PGothic"/>
                <w:sz w:val="16"/>
                <w:szCs w:val="16"/>
                <w:color w:val="73A950"/>
              </w:rPr>
              <w:t>✓</w:t>
            </w:r>
          </w:p>
        </w:tc>
        <w:tc>
          <w:tcPr>
            <w:tcW w:w="4260" w:type="dxa"/>
            <w:vAlign w:val="bottom"/>
          </w:tcPr>
          <w:p>
            <w:pPr>
              <w:ind w:left="100"/>
              <w:spacing w:after="0"/>
              <w:rPr>
                <w:sz w:val="20"/>
                <w:szCs w:val="20"/>
                <w:color w:val="auto"/>
              </w:rPr>
            </w:pPr>
            <w:r>
              <w:rPr>
                <w:rFonts w:ascii="Arial" w:cs="Arial" w:eastAsia="Arial" w:hAnsi="Arial"/>
                <w:sz w:val="16"/>
                <w:szCs w:val="16"/>
                <w:color w:val="auto"/>
              </w:rPr>
              <w:t>engages and consults with major shareholders and other</w:t>
            </w:r>
          </w:p>
        </w:tc>
      </w:tr>
      <w:tr>
        <w:trPr>
          <w:trHeight w:val="187"/>
        </w:trPr>
        <w:tc>
          <w:tcPr>
            <w:tcW w:w="2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60" w:type="dxa"/>
            <w:vAlign w:val="bottom"/>
          </w:tcPr>
          <w:p>
            <w:pPr>
              <w:ind w:left="100"/>
              <w:spacing w:after="0"/>
              <w:rPr>
                <w:sz w:val="20"/>
                <w:szCs w:val="20"/>
                <w:color w:val="auto"/>
              </w:rPr>
            </w:pPr>
            <w:r>
              <w:rPr>
                <w:rFonts w:ascii="Arial" w:cs="Arial" w:eastAsia="Arial" w:hAnsi="Arial"/>
                <w:sz w:val="16"/>
                <w:szCs w:val="16"/>
                <w:color w:val="auto"/>
              </w:rPr>
              <w:t>constituencies, where appropriate</w:t>
            </w:r>
          </w:p>
        </w:tc>
      </w:tr>
    </w:tbl>
    <w:p>
      <w:pPr>
        <w:spacing w:after="0" w:line="4" w:lineRule="exact"/>
        <w:rPr>
          <w:sz w:val="20"/>
          <w:szCs w:val="20"/>
          <w:color w:val="auto"/>
        </w:rPr>
      </w:pPr>
    </w:p>
    <w:p>
      <w:pPr>
        <w:sectPr>
          <w:pgSz w:w="11900" w:h="16838" w:orient="portrait"/>
          <w:cols w:equalWidth="0" w:num="1">
            <w:col w:w="11160"/>
          </w:cols>
          <w:pgMar w:left="240" w:top="459" w:right="499" w:bottom="1440" w:gutter="0" w:footer="0" w:header="0"/>
        </w:sectPr>
      </w:pPr>
    </w:p>
    <w:p>
      <w:pPr>
        <w:ind w:left="560" w:right="100" w:hanging="356"/>
        <w:spacing w:after="0" w:line="260" w:lineRule="auto"/>
        <w:tabs>
          <w:tab w:leader="none" w:pos="560" w:val="left"/>
        </w:tabs>
        <w:numPr>
          <w:ilvl w:val="0"/>
          <w:numId w:val="12"/>
        </w:numPr>
        <w:rPr>
          <w:rFonts w:ascii="MS PGothic" w:cs="MS PGothic" w:eastAsia="MS PGothic" w:hAnsi="MS PGothic"/>
          <w:sz w:val="16"/>
          <w:szCs w:val="16"/>
          <w:color w:val="73A950"/>
        </w:rPr>
      </w:pPr>
      <w:r>
        <w:rPr>
          <w:rFonts w:ascii="Arial" w:cs="Arial" w:eastAsia="Arial" w:hAnsi="Arial"/>
          <w:sz w:val="16"/>
          <w:szCs w:val="16"/>
          <w:color w:val="auto"/>
        </w:rPr>
        <w:t>provides advice and guidance to the CEO on executing long-term strategy</w:t>
      </w:r>
    </w:p>
    <w:p>
      <w:pPr>
        <w:spacing w:after="0" w:line="87" w:lineRule="exact"/>
        <w:rPr>
          <w:rFonts w:ascii="MS PGothic" w:cs="MS PGothic" w:eastAsia="MS PGothic" w:hAnsi="MS PGothic"/>
          <w:sz w:val="16"/>
          <w:szCs w:val="16"/>
          <w:color w:val="73A950"/>
        </w:rPr>
      </w:pPr>
    </w:p>
    <w:p>
      <w:pPr>
        <w:ind w:left="560" w:hanging="356"/>
        <w:spacing w:after="0"/>
        <w:tabs>
          <w:tab w:leader="none" w:pos="560" w:val="left"/>
        </w:tabs>
        <w:numPr>
          <w:ilvl w:val="0"/>
          <w:numId w:val="12"/>
        </w:numPr>
        <w:rPr>
          <w:rFonts w:ascii="MS PGothic" w:cs="MS PGothic" w:eastAsia="MS PGothic" w:hAnsi="MS PGothic"/>
          <w:sz w:val="16"/>
          <w:szCs w:val="16"/>
          <w:color w:val="73A950"/>
        </w:rPr>
      </w:pPr>
      <w:r>
        <w:rPr>
          <w:rFonts w:ascii="Arial" w:cs="Arial" w:eastAsia="Arial" w:hAnsi="Arial"/>
          <w:sz w:val="16"/>
          <w:szCs w:val="16"/>
          <w:color w:val="auto"/>
        </w:rPr>
        <w:t>advises the CEO of the Board’s information needs</w:t>
      </w:r>
    </w:p>
    <w:p>
      <w:pPr>
        <w:spacing w:after="0" w:line="113" w:lineRule="exact"/>
        <w:rPr>
          <w:rFonts w:ascii="MS PGothic" w:cs="MS PGothic" w:eastAsia="MS PGothic" w:hAnsi="MS PGothic"/>
          <w:sz w:val="16"/>
          <w:szCs w:val="16"/>
          <w:color w:val="73A950"/>
        </w:rPr>
      </w:pPr>
    </w:p>
    <w:p>
      <w:pPr>
        <w:ind w:left="560" w:right="200" w:hanging="356"/>
        <w:spacing w:after="0" w:line="250" w:lineRule="auto"/>
        <w:tabs>
          <w:tab w:leader="none" w:pos="560" w:val="left"/>
        </w:tabs>
        <w:numPr>
          <w:ilvl w:val="0"/>
          <w:numId w:val="12"/>
        </w:numPr>
        <w:rPr>
          <w:rFonts w:ascii="MS PGothic" w:cs="MS PGothic" w:eastAsia="MS PGothic" w:hAnsi="MS PGothic"/>
          <w:sz w:val="16"/>
          <w:szCs w:val="16"/>
          <w:color w:val="73A950"/>
        </w:rPr>
      </w:pPr>
      <w:r>
        <w:rPr>
          <w:rFonts w:ascii="Arial" w:cs="Arial" w:eastAsia="Arial" w:hAnsi="Arial"/>
          <w:sz w:val="16"/>
          <w:szCs w:val="16"/>
          <w:color w:val="auto"/>
        </w:rPr>
        <w:t>meets one-on-one with the CEO following executive sessions of independent directors</w:t>
      </w:r>
    </w:p>
    <w:p>
      <w:pPr>
        <w:spacing w:after="0" w:line="8" w:lineRule="exact"/>
        <w:rPr>
          <w:rFonts w:ascii="MS PGothic" w:cs="MS PGothic" w:eastAsia="MS PGothic" w:hAnsi="MS PGothic"/>
          <w:sz w:val="16"/>
          <w:szCs w:val="16"/>
          <w:color w:val="73A950"/>
        </w:rPr>
      </w:pPr>
    </w:p>
    <w:p>
      <w:pPr>
        <w:ind w:left="560" w:right="520" w:hanging="356"/>
        <w:spacing w:after="0" w:line="250" w:lineRule="auto"/>
        <w:tabs>
          <w:tab w:leader="none" w:pos="560" w:val="left"/>
        </w:tabs>
        <w:numPr>
          <w:ilvl w:val="0"/>
          <w:numId w:val="12"/>
        </w:numPr>
        <w:rPr>
          <w:rFonts w:ascii="MS PGothic" w:cs="MS PGothic" w:eastAsia="MS PGothic" w:hAnsi="MS PGothic"/>
          <w:sz w:val="16"/>
          <w:szCs w:val="16"/>
          <w:color w:val="73A950"/>
        </w:rPr>
      </w:pPr>
      <w:r>
        <w:rPr>
          <w:rFonts w:ascii="Arial" w:cs="Arial" w:eastAsia="Arial" w:hAnsi="Arial"/>
          <w:sz w:val="16"/>
          <w:szCs w:val="16"/>
          <w:color w:val="auto"/>
        </w:rPr>
        <w:t>has the authority to call for a Board meeting or a meeting of independent directors</w:t>
      </w:r>
    </w:p>
    <w:p>
      <w:pPr>
        <w:spacing w:after="0" w:line="8" w:lineRule="exact"/>
        <w:rPr>
          <w:rFonts w:ascii="MS PGothic" w:cs="MS PGothic" w:eastAsia="MS PGothic" w:hAnsi="MS PGothic"/>
          <w:sz w:val="16"/>
          <w:szCs w:val="16"/>
          <w:color w:val="73A950"/>
        </w:rPr>
      </w:pPr>
    </w:p>
    <w:p>
      <w:pPr>
        <w:ind w:left="560" w:hanging="356"/>
        <w:spacing w:after="0" w:line="260" w:lineRule="auto"/>
        <w:tabs>
          <w:tab w:leader="none" w:pos="560" w:val="left"/>
        </w:tabs>
        <w:numPr>
          <w:ilvl w:val="0"/>
          <w:numId w:val="12"/>
        </w:numPr>
        <w:rPr>
          <w:rFonts w:ascii="MS PGothic" w:cs="MS PGothic" w:eastAsia="MS PGothic" w:hAnsi="MS PGothic"/>
          <w:sz w:val="16"/>
          <w:szCs w:val="16"/>
          <w:color w:val="73A950"/>
        </w:rPr>
      </w:pPr>
      <w:r>
        <w:rPr>
          <w:rFonts w:ascii="Arial" w:cs="Arial" w:eastAsia="Arial" w:hAnsi="Arial"/>
          <w:sz w:val="16"/>
          <w:szCs w:val="16"/>
          <w:color w:val="auto"/>
        </w:rPr>
        <w:t>approves agendas and adds agenda items for Board meetings and meetings of independent directors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32" w:hanging="332"/>
        <w:spacing w:after="0"/>
        <w:tabs>
          <w:tab w:leader="none" w:pos="332" w:val="left"/>
        </w:tabs>
        <w:numPr>
          <w:ilvl w:val="0"/>
          <w:numId w:val="13"/>
        </w:numPr>
        <w:rPr>
          <w:rFonts w:ascii="MS PGothic" w:cs="MS PGothic" w:eastAsia="MS PGothic" w:hAnsi="MS PGothic"/>
          <w:sz w:val="16"/>
          <w:szCs w:val="16"/>
          <w:color w:val="73A950"/>
        </w:rPr>
      </w:pPr>
      <w:r>
        <w:rPr>
          <w:rFonts w:ascii="Arial" w:cs="Arial" w:eastAsia="Arial" w:hAnsi="Arial"/>
          <w:sz w:val="16"/>
          <w:szCs w:val="16"/>
          <w:color w:val="auto"/>
        </w:rPr>
        <w:t>guides annual performance review of the CEO</w:t>
      </w:r>
    </w:p>
    <w:p>
      <w:pPr>
        <w:spacing w:after="0" w:line="113" w:lineRule="exact"/>
        <w:rPr>
          <w:rFonts w:ascii="MS PGothic" w:cs="MS PGothic" w:eastAsia="MS PGothic" w:hAnsi="MS PGothic"/>
          <w:sz w:val="16"/>
          <w:szCs w:val="16"/>
          <w:color w:val="73A950"/>
        </w:rPr>
      </w:pPr>
    </w:p>
    <w:p>
      <w:pPr>
        <w:ind w:left="332" w:right="720" w:hanging="332"/>
        <w:spacing w:after="0" w:line="260" w:lineRule="auto"/>
        <w:tabs>
          <w:tab w:leader="none" w:pos="332" w:val="left"/>
        </w:tabs>
        <w:numPr>
          <w:ilvl w:val="0"/>
          <w:numId w:val="13"/>
        </w:numPr>
        <w:rPr>
          <w:rFonts w:ascii="MS PGothic" w:cs="MS PGothic" w:eastAsia="MS PGothic" w:hAnsi="MS PGothic"/>
          <w:sz w:val="16"/>
          <w:szCs w:val="16"/>
          <w:color w:val="73A950"/>
        </w:rPr>
      </w:pPr>
      <w:r>
        <w:rPr>
          <w:rFonts w:ascii="Arial" w:cs="Arial" w:eastAsia="Arial" w:hAnsi="Arial"/>
          <w:sz w:val="16"/>
          <w:szCs w:val="16"/>
          <w:color w:val="auto"/>
        </w:rPr>
        <w:t>guides the annual independent director consideration of CEO compensation</w:t>
      </w:r>
    </w:p>
    <w:p>
      <w:pPr>
        <w:spacing w:after="0" w:line="87" w:lineRule="exact"/>
        <w:rPr>
          <w:rFonts w:ascii="MS PGothic" w:cs="MS PGothic" w:eastAsia="MS PGothic" w:hAnsi="MS PGothic"/>
          <w:sz w:val="16"/>
          <w:szCs w:val="16"/>
          <w:color w:val="73A950"/>
        </w:rPr>
      </w:pPr>
    </w:p>
    <w:p>
      <w:pPr>
        <w:ind w:left="332" w:hanging="332"/>
        <w:spacing w:after="0"/>
        <w:tabs>
          <w:tab w:leader="none" w:pos="332" w:val="left"/>
        </w:tabs>
        <w:numPr>
          <w:ilvl w:val="0"/>
          <w:numId w:val="13"/>
        </w:numPr>
        <w:rPr>
          <w:rFonts w:ascii="MS PGothic" w:cs="MS PGothic" w:eastAsia="MS PGothic" w:hAnsi="MS PGothic"/>
          <w:sz w:val="16"/>
          <w:szCs w:val="16"/>
          <w:color w:val="73A950"/>
        </w:rPr>
      </w:pPr>
      <w:r>
        <w:rPr>
          <w:rFonts w:ascii="Arial" w:cs="Arial" w:eastAsia="Arial" w:hAnsi="Arial"/>
          <w:sz w:val="16"/>
          <w:szCs w:val="16"/>
          <w:color w:val="auto"/>
        </w:rPr>
        <w:t>guides full Board consideration of CEO succession</w:t>
      </w:r>
    </w:p>
    <w:p>
      <w:pPr>
        <w:spacing w:after="0" w:line="207" w:lineRule="exact"/>
        <w:rPr>
          <w:rFonts w:ascii="MS PGothic" w:cs="MS PGothic" w:eastAsia="MS PGothic" w:hAnsi="MS PGothic"/>
          <w:sz w:val="16"/>
          <w:szCs w:val="16"/>
          <w:color w:val="73A950"/>
        </w:rPr>
      </w:pPr>
    </w:p>
    <w:p>
      <w:pPr>
        <w:ind w:left="332" w:hanging="332"/>
        <w:spacing w:after="0"/>
        <w:tabs>
          <w:tab w:leader="none" w:pos="332" w:val="left"/>
        </w:tabs>
        <w:numPr>
          <w:ilvl w:val="0"/>
          <w:numId w:val="13"/>
        </w:numPr>
        <w:rPr>
          <w:rFonts w:ascii="MS PGothic" w:cs="MS PGothic" w:eastAsia="MS PGothic" w:hAnsi="MS PGothic"/>
          <w:sz w:val="16"/>
          <w:szCs w:val="16"/>
          <w:color w:val="73A950"/>
        </w:rPr>
      </w:pPr>
      <w:r>
        <w:rPr>
          <w:rFonts w:ascii="Arial" w:cs="Arial" w:eastAsia="Arial" w:hAnsi="Arial"/>
          <w:sz w:val="16"/>
          <w:szCs w:val="16"/>
          <w:color w:val="auto"/>
        </w:rPr>
        <w:t>guides the self-assessment of the full Board</w:t>
      </w:r>
    </w:p>
    <w:p>
      <w:pPr>
        <w:spacing w:after="0" w:line="113" w:lineRule="exact"/>
        <w:rPr>
          <w:rFonts w:ascii="MS PGothic" w:cs="MS PGothic" w:eastAsia="MS PGothic" w:hAnsi="MS PGothic"/>
          <w:sz w:val="16"/>
          <w:szCs w:val="16"/>
          <w:color w:val="73A950"/>
        </w:rPr>
      </w:pPr>
    </w:p>
    <w:p>
      <w:pPr>
        <w:ind w:left="332" w:right="160" w:hanging="332"/>
        <w:spacing w:after="0" w:line="182" w:lineRule="auto"/>
        <w:tabs>
          <w:tab w:leader="none" w:pos="332" w:val="left"/>
        </w:tabs>
        <w:numPr>
          <w:ilvl w:val="0"/>
          <w:numId w:val="13"/>
        </w:numPr>
        <w:rPr>
          <w:rFonts w:ascii="MS PGothic" w:cs="MS PGothic" w:eastAsia="MS PGothic" w:hAnsi="MS PGothic"/>
          <w:sz w:val="32"/>
          <w:szCs w:val="32"/>
          <w:color w:val="73A950"/>
          <w:vertAlign w:val="subscript"/>
        </w:rPr>
      </w:pPr>
      <w:r>
        <w:rPr>
          <w:rFonts w:ascii="Arial" w:cs="Arial" w:eastAsia="Arial" w:hAnsi="Arial"/>
          <w:sz w:val="16"/>
          <w:szCs w:val="16"/>
          <w:color w:val="auto"/>
        </w:rPr>
        <w:t>presides at Board meetings in the CEO’s absence or when otherwise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73660</wp:posOffset>
            </wp:positionV>
            <wp:extent cx="699770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5340" w:space="388"/>
            <w:col w:w="5432"/>
          </w:cols>
          <w:pgMar w:left="240" w:top="459" w:right="499" w:bottom="1440" w:gutter="0" w:footer="0" w:header="0"/>
          <w:type w:val="continuous"/>
        </w:sectPr>
      </w:pPr>
    </w:p>
    <w:p>
      <w:pPr>
        <w:ind w:left="240"/>
        <w:spacing w:after="0"/>
        <w:rPr>
          <w:sz w:val="20"/>
          <w:szCs w:val="20"/>
          <w:color w:val="auto"/>
        </w:rPr>
      </w:pPr>
      <w:r>
        <w:rPr>
          <w:rFonts w:ascii="Arial" w:cs="Arial" w:eastAsia="Arial" w:hAnsi="Arial"/>
          <w:sz w:val="16"/>
          <w:szCs w:val="16"/>
          <w:b w:val="1"/>
          <w:bCs w:val="1"/>
          <w:color w:val="auto"/>
        </w:rPr>
        <w:t>Our Board provides independent oversight of the Firm’s business and affairs</w:t>
      </w:r>
    </w:p>
    <w:p>
      <w:pPr>
        <w:sectPr>
          <w:pgSz w:w="11900" w:h="16838" w:orient="portrait"/>
          <w:cols w:equalWidth="0" w:num="1">
            <w:col w:w="11160"/>
          </w:cols>
          <w:pgMar w:left="240" w:top="459" w:right="499" w:bottom="1440" w:gutter="0" w:footer="0" w:header="0"/>
          <w:type w:val="continuous"/>
        </w:sectPr>
      </w:pPr>
    </w:p>
    <w:p>
      <w:pPr>
        <w:spacing w:after="0" w:line="1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Reviews the Firm’s strategic objectives and plans</w:t>
      </w:r>
    </w:p>
    <w:p>
      <w:pPr>
        <w:spacing w:after="0" w:line="99" w:lineRule="exact"/>
        <w:rPr>
          <w:sz w:val="20"/>
          <w:szCs w:val="20"/>
          <w:color w:val="auto"/>
        </w:rPr>
      </w:pPr>
    </w:p>
    <w:p>
      <w:pPr>
        <w:ind w:left="400"/>
        <w:spacing w:after="0" w:line="260" w:lineRule="auto"/>
        <w:rPr>
          <w:sz w:val="20"/>
          <w:szCs w:val="20"/>
          <w:color w:val="auto"/>
        </w:rPr>
      </w:pPr>
      <w:r>
        <w:rPr>
          <w:rFonts w:ascii="Arial" w:cs="Arial" w:eastAsia="Arial" w:hAnsi="Arial"/>
          <w:sz w:val="16"/>
          <w:szCs w:val="16"/>
          <w:color w:val="auto"/>
        </w:rPr>
        <w:t>Evaluates the CEO’s performance and provides talent management for other senior executives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Oversees the Firm’s financial performance and condition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left="200" w:right="20"/>
        <w:spacing w:after="0" w:line="340" w:lineRule="auto"/>
        <w:rPr>
          <w:sz w:val="20"/>
          <w:szCs w:val="20"/>
          <w:color w:val="auto"/>
        </w:rPr>
      </w:pPr>
      <w:r>
        <w:rPr>
          <w:rFonts w:ascii="Arial" w:cs="Arial" w:eastAsia="Arial" w:hAnsi="Arial"/>
          <w:sz w:val="16"/>
          <w:szCs w:val="16"/>
          <w:color w:val="auto"/>
        </w:rPr>
        <w:t>Oversees the Firm’s risk management and internal control frameworks Oversees the Firm’s approach to environmental, social and governance</w:t>
      </w:r>
    </w:p>
    <w:p>
      <w:pPr>
        <w:ind w:left="200"/>
        <w:spacing w:after="0"/>
        <w:rPr>
          <w:sz w:val="20"/>
          <w:szCs w:val="20"/>
          <w:color w:val="auto"/>
        </w:rPr>
      </w:pPr>
      <w:r>
        <w:rPr>
          <w:rFonts w:ascii="Arial" w:cs="Arial" w:eastAsia="Arial" w:hAnsi="Arial"/>
          <w:sz w:val="16"/>
          <w:szCs w:val="16"/>
          <w:color w:val="auto"/>
        </w:rPr>
        <w:t>(“ESG”) matters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Sets the cultural “tone at the 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264795</wp:posOffset>
            </wp:positionV>
            <wp:extent cx="699770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340"/>
          </w:cols>
          <w:pgMar w:left="240" w:top="459" w:right="499" w:bottom="1440" w:gutter="0" w:footer="0" w:header="0"/>
          <w:type w:val="continuous"/>
        </w:sectPr>
      </w:pPr>
    </w:p>
    <w:p>
      <w:pPr>
        <w:spacing w:after="0" w:line="22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We actively engage with shareholders</w:t>
      </w:r>
    </w:p>
    <w:p>
      <w:pPr>
        <w:spacing w:after="0" w:line="98" w:lineRule="exact"/>
        <w:rPr>
          <w:sz w:val="20"/>
          <w:szCs w:val="20"/>
          <w:color w:val="auto"/>
        </w:rPr>
      </w:pPr>
    </w:p>
    <w:p>
      <w:pPr>
        <w:ind w:left="440" w:right="80"/>
        <w:spacing w:after="0" w:line="260" w:lineRule="auto"/>
        <w:rPr>
          <w:sz w:val="20"/>
          <w:szCs w:val="20"/>
          <w:color w:val="auto"/>
        </w:rPr>
      </w:pPr>
      <w:r>
        <w:rPr>
          <w:rFonts w:ascii="Arial" w:cs="Arial" w:eastAsia="Arial" w:hAnsi="Arial"/>
          <w:sz w:val="16"/>
          <w:szCs w:val="16"/>
          <w:color w:val="auto"/>
        </w:rPr>
        <w:t>We have regular and ongoing discussions with shareholders throughout the year on a wide variety of topics, such as financial performance, strategy, competitive environment, regulatory landscape and ESG matters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2018, our shareholder engagement initiatives included:</w:t>
      </w:r>
    </w:p>
    <w:p>
      <w:pPr>
        <w:spacing w:after="0" w:line="128" w:lineRule="exact"/>
        <w:rPr>
          <w:sz w:val="20"/>
          <w:szCs w:val="20"/>
          <w:color w:val="auto"/>
        </w:rPr>
      </w:pPr>
    </w:p>
    <w:p>
      <w:pPr>
        <w:ind w:left="600" w:right="760" w:hanging="153"/>
        <w:spacing w:after="0" w:line="286" w:lineRule="auto"/>
        <w:tabs>
          <w:tab w:leader="none" w:pos="600" w:val="left"/>
        </w:tabs>
        <w:numPr>
          <w:ilvl w:val="1"/>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Shareholder Outreach: </w:t>
      </w:r>
      <w:r>
        <w:rPr>
          <w:rFonts w:ascii="Arial" w:cs="Arial" w:eastAsia="Arial" w:hAnsi="Arial"/>
          <w:sz w:val="16"/>
          <w:szCs w:val="16"/>
          <w:color w:val="auto"/>
        </w:rPr>
        <w:t>Hosted more than 60 discussions on strategy, financial performance, governance, executive compensation,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and social matters, among others, with shareholders representing &gt;45% of our outstanding common stock</w:t>
      </w:r>
    </w:p>
    <w:p>
      <w:pPr>
        <w:spacing w:after="0" w:line="7" w:lineRule="exact"/>
        <w:rPr>
          <w:rFonts w:ascii="Arial" w:cs="Arial" w:eastAsia="Arial" w:hAnsi="Arial"/>
          <w:sz w:val="16"/>
          <w:szCs w:val="16"/>
          <w:color w:val="auto"/>
        </w:rPr>
      </w:pPr>
    </w:p>
    <w:p>
      <w:pPr>
        <w:ind w:left="600" w:hanging="153"/>
        <w:spacing w:after="0"/>
        <w:tabs>
          <w:tab w:leader="none" w:pos="600" w:val="left"/>
        </w:tabs>
        <w:numPr>
          <w:ilvl w:val="1"/>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Annual Investor Day: </w:t>
      </w:r>
      <w:r>
        <w:rPr>
          <w:rFonts w:ascii="Arial" w:cs="Arial" w:eastAsia="Arial" w:hAnsi="Arial"/>
          <w:sz w:val="16"/>
          <w:szCs w:val="16"/>
          <w:color w:val="auto"/>
        </w:rPr>
        <w:t>Senior management presented on the Firm’s strategy and financial performance at our annual Investor Day</w:t>
      </w:r>
    </w:p>
    <w:p>
      <w:pPr>
        <w:spacing w:after="0" w:line="72" w:lineRule="exact"/>
        <w:rPr>
          <w:rFonts w:ascii="Arial" w:cs="Arial" w:eastAsia="Arial" w:hAnsi="Arial"/>
          <w:sz w:val="16"/>
          <w:szCs w:val="16"/>
          <w:color w:val="auto"/>
        </w:rPr>
      </w:pPr>
    </w:p>
    <w:p>
      <w:pPr>
        <w:ind w:left="600" w:hanging="153"/>
        <w:spacing w:after="0"/>
        <w:tabs>
          <w:tab w:leader="none" w:pos="600" w:val="left"/>
        </w:tabs>
        <w:numPr>
          <w:ilvl w:val="1"/>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Meetings/Conferences: </w:t>
      </w:r>
      <w:r>
        <w:rPr>
          <w:rFonts w:ascii="Arial" w:cs="Arial" w:eastAsia="Arial" w:hAnsi="Arial"/>
          <w:sz w:val="16"/>
          <w:szCs w:val="16"/>
          <w:color w:val="auto"/>
        </w:rPr>
        <w:t>Senior management hosted more than 50 investor meetings and presented at 12 investor conferences</w:t>
      </w:r>
    </w:p>
    <w:p>
      <w:pPr>
        <w:spacing w:after="0" w:line="72" w:lineRule="exact"/>
        <w:rPr>
          <w:rFonts w:ascii="Arial" w:cs="Arial" w:eastAsia="Arial" w:hAnsi="Arial"/>
          <w:sz w:val="16"/>
          <w:szCs w:val="16"/>
          <w:color w:val="auto"/>
        </w:rPr>
      </w:pPr>
    </w:p>
    <w:p>
      <w:pPr>
        <w:ind w:left="600" w:hanging="153"/>
        <w:spacing w:after="0"/>
        <w:tabs>
          <w:tab w:leader="none" w:pos="600" w:val="left"/>
        </w:tabs>
        <w:numPr>
          <w:ilvl w:val="1"/>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Annual Shareholder Meeting: </w:t>
      </w:r>
      <w:r>
        <w:rPr>
          <w:rFonts w:ascii="Arial" w:cs="Arial" w:eastAsia="Arial" w:hAnsi="Arial"/>
          <w:sz w:val="16"/>
          <w:szCs w:val="16"/>
          <w:color w:val="auto"/>
        </w:rPr>
        <w:t>Our CEO and Lead Independent Director presented to shareholders at the Firm’s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Our governance practices promote Board effectiveness and shareholder interests</w:t>
      </w:r>
    </w:p>
    <w:p>
      <w:pPr>
        <w:sectPr>
          <w:pgSz w:w="11900" w:h="16838" w:orient="portrait"/>
          <w:cols w:equalWidth="0" w:num="1">
            <w:col w:w="11160"/>
          </w:cols>
          <w:pgMar w:left="240" w:top="459" w:right="499" w:bottom="1440" w:gutter="0" w:footer="0" w:header="0"/>
          <w:type w:val="continuous"/>
        </w:sectPr>
      </w:pPr>
    </w:p>
    <w:p>
      <w:pPr>
        <w:spacing w:after="0" w:line="152" w:lineRule="exact"/>
        <w:rPr>
          <w:sz w:val="20"/>
          <w:szCs w:val="20"/>
          <w:color w:val="auto"/>
        </w:rPr>
      </w:pPr>
    </w:p>
    <w:p>
      <w:pPr>
        <w:ind w:left="400" w:right="1700"/>
        <w:spacing w:after="0" w:line="383" w:lineRule="auto"/>
        <w:rPr>
          <w:sz w:val="20"/>
          <w:szCs w:val="20"/>
          <w:color w:val="auto"/>
        </w:rPr>
      </w:pPr>
      <w:r>
        <w:rPr>
          <w:rFonts w:ascii="Arial" w:cs="Arial" w:eastAsia="Arial" w:hAnsi="Arial"/>
          <w:sz w:val="16"/>
          <w:szCs w:val="16"/>
          <w:color w:val="auto"/>
        </w:rPr>
        <w:t>Annual Board and committee assessment Robust shareholder rights:</w:t>
      </w:r>
    </w:p>
    <w:p>
      <w:pPr>
        <w:spacing w:after="0" w:line="28" w:lineRule="exact"/>
        <w:rPr>
          <w:sz w:val="20"/>
          <w:szCs w:val="20"/>
          <w:color w:val="auto"/>
        </w:rPr>
      </w:pPr>
    </w:p>
    <w:p>
      <w:pPr>
        <w:ind w:left="580" w:hanging="196"/>
        <w:spacing w:after="0"/>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proxy access</w:t>
      </w:r>
    </w:p>
    <w:p>
      <w:pPr>
        <w:spacing w:after="0" w:line="72" w:lineRule="exact"/>
        <w:rPr>
          <w:rFonts w:ascii="Arial" w:cs="Arial" w:eastAsia="Arial" w:hAnsi="Arial"/>
          <w:sz w:val="16"/>
          <w:szCs w:val="16"/>
          <w:color w:val="auto"/>
        </w:rPr>
      </w:pPr>
    </w:p>
    <w:p>
      <w:pPr>
        <w:ind w:left="580" w:hanging="196"/>
        <w:spacing w:after="0"/>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right to call a special meeting</w:t>
      </w:r>
    </w:p>
    <w:p>
      <w:pPr>
        <w:spacing w:after="0" w:line="72" w:lineRule="exact"/>
        <w:rPr>
          <w:rFonts w:ascii="Arial" w:cs="Arial" w:eastAsia="Arial" w:hAnsi="Arial"/>
          <w:sz w:val="16"/>
          <w:szCs w:val="16"/>
          <w:color w:val="auto"/>
        </w:rPr>
      </w:pPr>
    </w:p>
    <w:p>
      <w:pPr>
        <w:ind w:left="580" w:hanging="196"/>
        <w:spacing w:after="0"/>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right to act by written consent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Majority voting for all director elections</w:t>
      </w:r>
    </w:p>
    <w:p>
      <w:pPr>
        <w:spacing w:after="0" w:line="99" w:lineRule="exact"/>
        <w:rPr>
          <w:sz w:val="20"/>
          <w:szCs w:val="20"/>
          <w:color w:val="auto"/>
        </w:rPr>
      </w:pPr>
    </w:p>
    <w:p>
      <w:pPr>
        <w:ind w:left="200" w:right="2060"/>
        <w:spacing w:after="0" w:line="369" w:lineRule="auto"/>
        <w:rPr>
          <w:sz w:val="20"/>
          <w:szCs w:val="20"/>
          <w:color w:val="auto"/>
        </w:rPr>
      </w:pPr>
      <w:r>
        <w:rPr>
          <w:rFonts w:ascii="Arial" w:cs="Arial" w:eastAsia="Arial" w:hAnsi="Arial"/>
          <w:sz w:val="16"/>
          <w:szCs w:val="16"/>
          <w:color w:val="auto"/>
        </w:rPr>
        <w:t>Stock ownership requirements for directors 100% committee independence</w:t>
      </w:r>
    </w:p>
    <w:p>
      <w:pPr>
        <w:spacing w:after="0" w:line="1" w:lineRule="exact"/>
        <w:rPr>
          <w:sz w:val="20"/>
          <w:szCs w:val="20"/>
          <w:color w:val="auto"/>
        </w:rPr>
      </w:pPr>
    </w:p>
    <w:p>
      <w:pPr>
        <w:ind w:left="200" w:right="380"/>
        <w:spacing w:after="0" w:line="260" w:lineRule="auto"/>
        <w:rPr>
          <w:sz w:val="20"/>
          <w:szCs w:val="20"/>
          <w:color w:val="auto"/>
        </w:rPr>
      </w:pPr>
      <w:r>
        <w:rPr>
          <w:rFonts w:ascii="Arial" w:cs="Arial" w:eastAsia="Arial" w:hAnsi="Arial"/>
          <w:sz w:val="16"/>
          <w:szCs w:val="16"/>
          <w:color w:val="auto"/>
        </w:rPr>
        <w:t>Executive sessions of independent directors at each regular Board meeting</w:t>
      </w:r>
    </w:p>
    <w:p>
      <w:pPr>
        <w:spacing w:after="0" w:line="263" w:lineRule="exact"/>
        <w:rPr>
          <w:sz w:val="20"/>
          <w:szCs w:val="20"/>
          <w:color w:val="auto"/>
        </w:rPr>
      </w:pPr>
    </w:p>
    <w:p>
      <w:pPr>
        <w:sectPr>
          <w:pgSz w:w="11900" w:h="16838" w:orient="portrait"/>
          <w:cols w:equalWidth="0" w:num="2">
            <w:col w:w="5100" w:space="720"/>
            <w:col w:w="5340"/>
          </w:cols>
          <w:pgMar w:left="240" w:top="459" w:right="499" w:bottom="1440" w:gutter="0" w:footer="0" w:header="0"/>
          <w:type w:val="continuous"/>
        </w:sectPr>
      </w:pPr>
    </w:p>
    <w:p>
      <w:pPr>
        <w:spacing w:after="0" w:line="94"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4</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9780"/>
        <w:spacing w:after="0"/>
        <w:rPr>
          <w:sz w:val="20"/>
          <w:szCs w:val="20"/>
          <w:color w:val="auto"/>
        </w:rPr>
      </w:pPr>
      <w:r>
        <w:rPr>
          <w:rFonts w:ascii="Arial" w:cs="Arial" w:eastAsia="Arial" w:hAnsi="Arial"/>
          <w:sz w:val="16"/>
          <w:szCs w:val="16"/>
          <w:color w:val="333333"/>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250825</wp:posOffset>
            </wp:positionV>
            <wp:extent cx="699770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383"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4876"/>
        </w:rPr>
        <w:t>Proposal 1: Election of Directors – page 8</w:t>
      </w:r>
    </w:p>
    <w:p>
      <w:pPr>
        <w:spacing w:after="0" w:line="211"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Board of Directors has nominated the 11 individuals listed below. All are independent other than our CEO. If elected at our annual meeting, all nominees are expected to serve until next year’s annual meeting. William Weldon, who has served as a director of the Firm since 2005, has decided to retire from the Board and is not standing for re-election when his term expires on the eve of this year’s annual meeting.</w:t>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640" w:type="dxa"/>
            <w:vAlign w:val="bottom"/>
          </w:tcPr>
          <w:p>
            <w:pPr>
              <w:ind w:left="60"/>
              <w:spacing w:after="0"/>
              <w:rPr>
                <w:sz w:val="20"/>
                <w:szCs w:val="20"/>
                <w:color w:val="auto"/>
              </w:rPr>
            </w:pPr>
            <w:r>
              <w:rPr>
                <w:rFonts w:ascii="Arial" w:cs="Arial" w:eastAsia="Arial" w:hAnsi="Arial"/>
                <w:sz w:val="14"/>
                <w:szCs w:val="14"/>
                <w:b w:val="1"/>
                <w:bCs w:val="1"/>
                <w:color w:val="auto"/>
              </w:rPr>
              <w:t>NOMINEE/DIRECTOR OF</w:t>
            </w:r>
          </w:p>
        </w:tc>
        <w:tc>
          <w:tcPr>
            <w:tcW w:w="10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Arial" w:cs="Arial" w:eastAsia="Arial" w:hAnsi="Arial"/>
                <w:sz w:val="14"/>
                <w:szCs w:val="14"/>
                <w:b w:val="1"/>
                <w:bCs w:val="1"/>
                <w:color w:val="auto"/>
              </w:rPr>
              <w:t>OTHER PUBLIC</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40" w:type="dxa"/>
            <w:vAlign w:val="bottom"/>
            <w:tcBorders>
              <w:bottom w:val="single" w:sz="8" w:color="004876"/>
            </w:tcBorders>
          </w:tcPr>
          <w:p>
            <w:pPr>
              <w:ind w:left="60"/>
              <w:spacing w:after="0" w:line="192" w:lineRule="exact"/>
              <w:rPr>
                <w:sz w:val="20"/>
                <w:szCs w:val="20"/>
                <w:color w:val="auto"/>
              </w:rPr>
            </w:pPr>
            <w:r>
              <w:rPr>
                <w:rFonts w:ascii="Arial" w:cs="Arial" w:eastAsia="Arial" w:hAnsi="Arial"/>
                <w:sz w:val="13"/>
                <w:szCs w:val="13"/>
                <w:b w:val="1"/>
                <w:bCs w:val="1"/>
                <w:color w:val="auto"/>
              </w:rPr>
              <w:t>JPMORGAN CHASE SINCE</w:t>
            </w:r>
            <w:r>
              <w:rPr>
                <w:rFonts w:ascii="Arial" w:cs="Arial" w:eastAsia="Arial" w:hAnsi="Arial"/>
                <w:sz w:val="22"/>
                <w:szCs w:val="22"/>
                <w:b w:val="1"/>
                <w:bCs w:val="1"/>
                <w:color w:val="auto"/>
                <w:vertAlign w:val="superscript"/>
              </w:rPr>
              <w:t>1</w:t>
            </w:r>
          </w:p>
        </w:tc>
        <w:tc>
          <w:tcPr>
            <w:tcW w:w="1040" w:type="dxa"/>
            <w:vAlign w:val="bottom"/>
            <w:tcBorders>
              <w:bottom w:val="single" w:sz="8" w:color="004876"/>
            </w:tcBorders>
          </w:tcPr>
          <w:p>
            <w:pPr>
              <w:jc w:val="center"/>
              <w:ind w:left="328"/>
              <w:spacing w:after="0"/>
              <w:rPr>
                <w:sz w:val="20"/>
                <w:szCs w:val="20"/>
                <w:color w:val="auto"/>
              </w:rPr>
            </w:pPr>
            <w:r>
              <w:rPr>
                <w:rFonts w:ascii="Arial" w:cs="Arial" w:eastAsia="Arial" w:hAnsi="Arial"/>
                <w:sz w:val="14"/>
                <w:szCs w:val="14"/>
                <w:b w:val="1"/>
                <w:bCs w:val="1"/>
                <w:color w:val="auto"/>
              </w:rPr>
              <w:t>AGE</w:t>
            </w:r>
          </w:p>
        </w:tc>
        <w:tc>
          <w:tcPr>
            <w:tcW w:w="2780" w:type="dxa"/>
            <w:vAlign w:val="bottom"/>
            <w:tcBorders>
              <w:bottom w:val="single" w:sz="8" w:color="004876"/>
            </w:tcBorders>
          </w:tcPr>
          <w:p>
            <w:pPr>
              <w:ind w:left="160"/>
              <w:spacing w:after="0"/>
              <w:rPr>
                <w:sz w:val="20"/>
                <w:szCs w:val="20"/>
                <w:color w:val="auto"/>
              </w:rPr>
            </w:pPr>
            <w:r>
              <w:rPr>
                <w:rFonts w:ascii="Arial" w:cs="Arial" w:eastAsia="Arial" w:hAnsi="Arial"/>
                <w:sz w:val="14"/>
                <w:szCs w:val="14"/>
                <w:b w:val="1"/>
                <w:bCs w:val="1"/>
                <w:color w:val="auto"/>
              </w:rPr>
              <w:t>PRINCIPAL OCCUPATION</w:t>
            </w:r>
          </w:p>
        </w:tc>
        <w:tc>
          <w:tcPr>
            <w:tcW w:w="1920" w:type="dxa"/>
            <w:vAlign w:val="bottom"/>
            <w:tcBorders>
              <w:bottom w:val="single" w:sz="8" w:color="004876"/>
            </w:tcBorders>
          </w:tcPr>
          <w:p>
            <w:pPr>
              <w:jc w:val="center"/>
              <w:spacing w:after="0"/>
              <w:rPr>
                <w:sz w:val="20"/>
                <w:szCs w:val="20"/>
                <w:color w:val="auto"/>
              </w:rPr>
            </w:pPr>
            <w:r>
              <w:rPr>
                <w:rFonts w:ascii="Arial" w:cs="Arial" w:eastAsia="Arial" w:hAnsi="Arial"/>
                <w:sz w:val="14"/>
                <w:szCs w:val="14"/>
                <w:b w:val="1"/>
                <w:bCs w:val="1"/>
                <w:color w:val="auto"/>
              </w:rPr>
              <w:t>COMPANY BOARDS (#)</w:t>
            </w:r>
          </w:p>
        </w:tc>
        <w:tc>
          <w:tcPr>
            <w:tcW w:w="2640" w:type="dxa"/>
            <w:vAlign w:val="bottom"/>
            <w:tcBorders>
              <w:bottom w:val="single" w:sz="8" w:color="004876"/>
            </w:tcBorders>
          </w:tcPr>
          <w:p>
            <w:pPr>
              <w:ind w:left="160"/>
              <w:spacing w:after="0" w:line="192" w:lineRule="exact"/>
              <w:rPr>
                <w:sz w:val="20"/>
                <w:szCs w:val="20"/>
                <w:color w:val="auto"/>
              </w:rPr>
            </w:pPr>
            <w:r>
              <w:rPr>
                <w:rFonts w:ascii="Arial" w:cs="Arial" w:eastAsia="Arial" w:hAnsi="Arial"/>
                <w:sz w:val="13"/>
                <w:szCs w:val="13"/>
                <w:b w:val="1"/>
                <w:bCs w:val="1"/>
                <w:color w:val="auto"/>
              </w:rPr>
              <w:t>COMMITTEE MEMBERSHIP</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01"/>
        </w:trPr>
        <w:tc>
          <w:tcPr>
            <w:tcW w:w="2640" w:type="dxa"/>
            <w:vAlign w:val="bottom"/>
          </w:tcPr>
          <w:p>
            <w:pPr>
              <w:ind w:left="620"/>
              <w:spacing w:after="0"/>
              <w:rPr>
                <w:sz w:val="20"/>
                <w:szCs w:val="20"/>
                <w:color w:val="auto"/>
              </w:rPr>
            </w:pPr>
            <w:r>
              <w:rPr>
                <w:rFonts w:ascii="Arial" w:cs="Arial" w:eastAsia="Arial" w:hAnsi="Arial"/>
                <w:sz w:val="14"/>
                <w:szCs w:val="14"/>
                <w:b w:val="1"/>
                <w:bCs w:val="1"/>
                <w:color w:val="auto"/>
              </w:rPr>
              <w:t>Linda B. Bammann</w:t>
            </w:r>
          </w:p>
        </w:tc>
        <w:tc>
          <w:tcPr>
            <w:tcW w:w="1040" w:type="dxa"/>
            <w:vAlign w:val="bottom"/>
          </w:tcPr>
          <w:p>
            <w:pPr>
              <w:jc w:val="center"/>
              <w:ind w:left="328"/>
              <w:spacing w:after="0"/>
              <w:rPr>
                <w:sz w:val="20"/>
                <w:szCs w:val="20"/>
                <w:color w:val="auto"/>
              </w:rPr>
            </w:pPr>
            <w:r>
              <w:rPr>
                <w:rFonts w:ascii="Arial" w:cs="Arial" w:eastAsia="Arial" w:hAnsi="Arial"/>
                <w:sz w:val="14"/>
                <w:szCs w:val="14"/>
                <w:color w:val="auto"/>
              </w:rPr>
              <w:t>63</w:t>
            </w:r>
          </w:p>
        </w:tc>
        <w:tc>
          <w:tcPr>
            <w:tcW w:w="2780" w:type="dxa"/>
            <w:vAlign w:val="bottom"/>
          </w:tcPr>
          <w:p>
            <w:pPr>
              <w:ind w:left="160"/>
              <w:spacing w:after="0"/>
              <w:rPr>
                <w:sz w:val="20"/>
                <w:szCs w:val="20"/>
                <w:color w:val="auto"/>
              </w:rPr>
            </w:pPr>
            <w:r>
              <w:rPr>
                <w:rFonts w:ascii="Arial" w:cs="Arial" w:eastAsia="Arial" w:hAnsi="Arial"/>
                <w:sz w:val="14"/>
                <w:szCs w:val="14"/>
                <w:color w:val="auto"/>
              </w:rPr>
              <w:t>Retired Deputy Head of Risk</w:t>
            </w:r>
          </w:p>
        </w:tc>
        <w:tc>
          <w:tcPr>
            <w:tcW w:w="1920" w:type="dxa"/>
            <w:vAlign w:val="bottom"/>
          </w:tcPr>
          <w:p>
            <w:pPr>
              <w:jc w:val="center"/>
              <w:spacing w:after="0"/>
              <w:rPr>
                <w:sz w:val="20"/>
                <w:szCs w:val="20"/>
                <w:color w:val="auto"/>
              </w:rPr>
            </w:pPr>
            <w:r>
              <w:rPr>
                <w:rFonts w:ascii="Arial" w:cs="Arial" w:eastAsia="Arial" w:hAnsi="Arial"/>
                <w:sz w:val="14"/>
                <w:szCs w:val="14"/>
                <w:color w:val="auto"/>
              </w:rPr>
              <w:t>0</w:t>
            </w:r>
          </w:p>
        </w:tc>
        <w:tc>
          <w:tcPr>
            <w:tcW w:w="2640" w:type="dxa"/>
            <w:vAlign w:val="bottom"/>
          </w:tcPr>
          <w:p>
            <w:pPr>
              <w:ind w:left="160"/>
              <w:spacing w:after="0"/>
              <w:rPr>
                <w:sz w:val="20"/>
                <w:szCs w:val="20"/>
                <w:color w:val="auto"/>
              </w:rPr>
            </w:pPr>
            <w:r>
              <w:rPr>
                <w:rFonts w:ascii="Arial" w:cs="Arial" w:eastAsia="Arial" w:hAnsi="Arial"/>
                <w:sz w:val="14"/>
                <w:szCs w:val="14"/>
                <w:color w:val="auto"/>
              </w:rPr>
              <w:t>Directors’ Risk Policy (Chair)</w:t>
            </w:r>
          </w:p>
        </w:tc>
        <w:tc>
          <w:tcPr>
            <w:tcW w:w="0" w:type="dxa"/>
            <w:vAlign w:val="bottom"/>
          </w:tcPr>
          <w:p>
            <w:pPr>
              <w:spacing w:after="0"/>
              <w:rPr>
                <w:sz w:val="1"/>
                <w:szCs w:val="1"/>
                <w:color w:val="auto"/>
              </w:rPr>
            </w:pPr>
          </w:p>
        </w:tc>
      </w:tr>
      <w:tr>
        <w:trPr>
          <w:trHeight w:val="155"/>
        </w:trPr>
        <w:tc>
          <w:tcPr>
            <w:tcW w:w="2640" w:type="dxa"/>
            <w:vAlign w:val="bottom"/>
          </w:tcPr>
          <w:p>
            <w:pPr>
              <w:ind w:left="620"/>
              <w:spacing w:after="0" w:line="155" w:lineRule="exact"/>
              <w:rPr>
                <w:sz w:val="20"/>
                <w:szCs w:val="20"/>
                <w:color w:val="auto"/>
              </w:rPr>
            </w:pPr>
            <w:r>
              <w:rPr>
                <w:rFonts w:ascii="Arial" w:cs="Arial" w:eastAsia="Arial" w:hAnsi="Arial"/>
                <w:sz w:val="14"/>
                <w:szCs w:val="14"/>
                <w:color w:val="auto"/>
              </w:rPr>
              <w:t>Director since 2013</w:t>
            </w:r>
          </w:p>
        </w:tc>
        <w:tc>
          <w:tcPr>
            <w:tcW w:w="1040" w:type="dxa"/>
            <w:vAlign w:val="bottom"/>
          </w:tcPr>
          <w:p>
            <w:pPr>
              <w:spacing w:after="0"/>
              <w:rPr>
                <w:sz w:val="13"/>
                <w:szCs w:val="13"/>
                <w:color w:val="auto"/>
              </w:rPr>
            </w:pPr>
          </w:p>
        </w:tc>
        <w:tc>
          <w:tcPr>
            <w:tcW w:w="2780" w:type="dxa"/>
            <w:vAlign w:val="bottom"/>
          </w:tcPr>
          <w:p>
            <w:pPr>
              <w:ind w:left="160"/>
              <w:spacing w:after="0" w:line="155" w:lineRule="exact"/>
              <w:rPr>
                <w:sz w:val="20"/>
                <w:szCs w:val="20"/>
                <w:color w:val="auto"/>
              </w:rPr>
            </w:pPr>
            <w:r>
              <w:rPr>
                <w:rFonts w:ascii="Arial" w:cs="Arial" w:eastAsia="Arial" w:hAnsi="Arial"/>
                <w:sz w:val="14"/>
                <w:szCs w:val="14"/>
                <w:color w:val="auto"/>
              </w:rPr>
              <w:t>Management of JPMorgan Chase &amp;</w:t>
            </w:r>
          </w:p>
        </w:tc>
        <w:tc>
          <w:tcPr>
            <w:tcW w:w="19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2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ind w:left="160"/>
              <w:spacing w:after="0"/>
              <w:rPr>
                <w:sz w:val="20"/>
                <w:szCs w:val="20"/>
                <w:color w:val="auto"/>
              </w:rPr>
            </w:pPr>
            <w:r>
              <w:rPr>
                <w:rFonts w:ascii="Arial" w:cs="Arial" w:eastAsia="Arial" w:hAnsi="Arial"/>
                <w:sz w:val="14"/>
                <w:szCs w:val="14"/>
                <w:color w:val="auto"/>
              </w:rPr>
              <w:t>Co.</w:t>
            </w:r>
            <w:r>
              <w:rPr>
                <w:rFonts w:ascii="Arial" w:cs="Arial" w:eastAsia="Arial" w:hAnsi="Arial"/>
                <w:sz w:val="24"/>
                <w:szCs w:val="24"/>
                <w:color w:val="auto"/>
                <w:vertAlign w:val="superscript"/>
              </w:rPr>
              <w:t>3</w:t>
            </w:r>
          </w:p>
        </w:tc>
        <w:tc>
          <w:tcPr>
            <w:tcW w:w="19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640" w:type="dxa"/>
            <w:vAlign w:val="bottom"/>
            <w:shd w:val="clear" w:color="auto" w:fill="E5E5E5"/>
          </w:tcPr>
          <w:p>
            <w:pPr>
              <w:ind w:left="620"/>
              <w:spacing w:after="0"/>
              <w:rPr>
                <w:sz w:val="20"/>
                <w:szCs w:val="20"/>
                <w:color w:val="auto"/>
              </w:rPr>
            </w:pPr>
            <w:r>
              <w:rPr>
                <w:rFonts w:ascii="Arial" w:cs="Arial" w:eastAsia="Arial" w:hAnsi="Arial"/>
                <w:sz w:val="14"/>
                <w:szCs w:val="14"/>
                <w:b w:val="1"/>
                <w:bCs w:val="1"/>
                <w:color w:val="auto"/>
              </w:rPr>
              <w:t>James A. Bell</w:t>
            </w:r>
          </w:p>
        </w:tc>
        <w:tc>
          <w:tcPr>
            <w:tcW w:w="1040" w:type="dxa"/>
            <w:vAlign w:val="bottom"/>
            <w:shd w:val="clear" w:color="auto" w:fill="E5E5E5"/>
          </w:tcPr>
          <w:p>
            <w:pPr>
              <w:jc w:val="center"/>
              <w:ind w:left="328"/>
              <w:spacing w:after="0"/>
              <w:rPr>
                <w:sz w:val="20"/>
                <w:szCs w:val="20"/>
                <w:color w:val="auto"/>
              </w:rPr>
            </w:pPr>
            <w:r>
              <w:rPr>
                <w:rFonts w:ascii="Arial" w:cs="Arial" w:eastAsia="Arial" w:hAnsi="Arial"/>
                <w:sz w:val="14"/>
                <w:szCs w:val="14"/>
                <w:color w:val="auto"/>
              </w:rPr>
              <w:t>70</w:t>
            </w:r>
          </w:p>
        </w:tc>
        <w:tc>
          <w:tcPr>
            <w:tcW w:w="2780" w:type="dxa"/>
            <w:vAlign w:val="bottom"/>
            <w:shd w:val="clear" w:color="auto" w:fill="E5E5E5"/>
          </w:tcPr>
          <w:p>
            <w:pPr>
              <w:ind w:left="160"/>
              <w:spacing w:after="0"/>
              <w:rPr>
                <w:sz w:val="20"/>
                <w:szCs w:val="20"/>
                <w:color w:val="auto"/>
              </w:rPr>
            </w:pPr>
            <w:r>
              <w:rPr>
                <w:rFonts w:ascii="Arial" w:cs="Arial" w:eastAsia="Arial" w:hAnsi="Arial"/>
                <w:sz w:val="14"/>
                <w:szCs w:val="14"/>
                <w:color w:val="auto"/>
              </w:rPr>
              <w:t>Retired Executive Vice President of</w:t>
            </w:r>
          </w:p>
        </w:tc>
        <w:tc>
          <w:tcPr>
            <w:tcW w:w="19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w:t>
            </w:r>
          </w:p>
        </w:tc>
        <w:tc>
          <w:tcPr>
            <w:tcW w:w="2640" w:type="dxa"/>
            <w:vAlign w:val="bottom"/>
            <w:shd w:val="clear" w:color="auto" w:fill="E5E5E5"/>
          </w:tcPr>
          <w:p>
            <w:pPr>
              <w:ind w:left="160"/>
              <w:spacing w:after="0"/>
              <w:rPr>
                <w:sz w:val="20"/>
                <w:szCs w:val="20"/>
                <w:color w:val="auto"/>
              </w:rPr>
            </w:pPr>
            <w:r>
              <w:rPr>
                <w:rFonts w:ascii="Arial" w:cs="Arial" w:eastAsia="Arial" w:hAnsi="Arial"/>
                <w:sz w:val="14"/>
                <w:szCs w:val="14"/>
                <w:color w:val="auto"/>
              </w:rPr>
              <w:t>Audit (Chair)</w:t>
            </w:r>
          </w:p>
        </w:tc>
        <w:tc>
          <w:tcPr>
            <w:tcW w:w="0" w:type="dxa"/>
            <w:vAlign w:val="bottom"/>
          </w:tcPr>
          <w:p>
            <w:pPr>
              <w:spacing w:after="0"/>
              <w:rPr>
                <w:sz w:val="1"/>
                <w:szCs w:val="1"/>
                <w:color w:val="auto"/>
              </w:rPr>
            </w:pPr>
          </w:p>
        </w:tc>
      </w:tr>
      <w:tr>
        <w:trPr>
          <w:trHeight w:val="172"/>
        </w:trPr>
        <w:tc>
          <w:tcPr>
            <w:tcW w:w="2640" w:type="dxa"/>
            <w:vAlign w:val="bottom"/>
            <w:shd w:val="clear" w:color="auto" w:fill="E5E5E5"/>
          </w:tcPr>
          <w:p>
            <w:pPr>
              <w:ind w:left="620"/>
              <w:spacing w:after="0"/>
              <w:rPr>
                <w:sz w:val="20"/>
                <w:szCs w:val="20"/>
                <w:color w:val="auto"/>
              </w:rPr>
            </w:pPr>
            <w:r>
              <w:rPr>
                <w:rFonts w:ascii="Arial" w:cs="Arial" w:eastAsia="Arial" w:hAnsi="Arial"/>
                <w:sz w:val="14"/>
                <w:szCs w:val="14"/>
                <w:color w:val="auto"/>
              </w:rPr>
              <w:t>Director since 2011</w:t>
            </w:r>
          </w:p>
        </w:tc>
        <w:tc>
          <w:tcPr>
            <w:tcW w:w="1040" w:type="dxa"/>
            <w:vAlign w:val="bottom"/>
            <w:shd w:val="clear" w:color="auto" w:fill="E5E5E5"/>
          </w:tcPr>
          <w:p>
            <w:pPr>
              <w:spacing w:after="0"/>
              <w:rPr>
                <w:sz w:val="14"/>
                <w:szCs w:val="14"/>
                <w:color w:val="auto"/>
              </w:rPr>
            </w:pPr>
          </w:p>
        </w:tc>
        <w:tc>
          <w:tcPr>
            <w:tcW w:w="278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The Boeing Company</w:t>
            </w:r>
          </w:p>
        </w:tc>
        <w:tc>
          <w:tcPr>
            <w:tcW w:w="1920" w:type="dxa"/>
            <w:vAlign w:val="bottom"/>
            <w:shd w:val="clear" w:color="auto" w:fill="E5E5E5"/>
          </w:tcPr>
          <w:p>
            <w:pPr>
              <w:spacing w:after="0"/>
              <w:rPr>
                <w:sz w:val="14"/>
                <w:szCs w:val="14"/>
                <w:color w:val="auto"/>
              </w:rPr>
            </w:pPr>
          </w:p>
        </w:tc>
        <w:tc>
          <w:tcPr>
            <w:tcW w:w="26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640" w:type="dxa"/>
            <w:vAlign w:val="bottom"/>
            <w:shd w:val="clear" w:color="auto" w:fill="E5E5E5"/>
          </w:tcPr>
          <w:p>
            <w:pPr>
              <w:spacing w:after="0"/>
              <w:rPr>
                <w:sz w:val="24"/>
                <w:szCs w:val="24"/>
                <w:color w:val="auto"/>
              </w:rPr>
            </w:pPr>
          </w:p>
        </w:tc>
        <w:tc>
          <w:tcPr>
            <w:tcW w:w="1040" w:type="dxa"/>
            <w:vAlign w:val="bottom"/>
            <w:shd w:val="clear" w:color="auto" w:fill="E5E5E5"/>
          </w:tcPr>
          <w:p>
            <w:pPr>
              <w:spacing w:after="0"/>
              <w:rPr>
                <w:sz w:val="24"/>
                <w:szCs w:val="24"/>
                <w:color w:val="auto"/>
              </w:rPr>
            </w:pPr>
          </w:p>
        </w:tc>
        <w:tc>
          <w:tcPr>
            <w:tcW w:w="2780" w:type="dxa"/>
            <w:vAlign w:val="bottom"/>
            <w:shd w:val="clear" w:color="auto" w:fill="E5E5E5"/>
          </w:tcPr>
          <w:p>
            <w:pPr>
              <w:spacing w:after="0"/>
              <w:rPr>
                <w:sz w:val="24"/>
                <w:szCs w:val="24"/>
                <w:color w:val="auto"/>
              </w:rPr>
            </w:pPr>
          </w:p>
        </w:tc>
        <w:tc>
          <w:tcPr>
            <w:tcW w:w="1920" w:type="dxa"/>
            <w:vAlign w:val="bottom"/>
            <w:shd w:val="clear" w:color="auto" w:fill="E5E5E5"/>
          </w:tcPr>
          <w:p>
            <w:pPr>
              <w:spacing w:after="0"/>
              <w:rPr>
                <w:sz w:val="24"/>
                <w:szCs w:val="24"/>
                <w:color w:val="auto"/>
              </w:rPr>
            </w:pPr>
          </w:p>
        </w:tc>
        <w:tc>
          <w:tcPr>
            <w:tcW w:w="264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6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Stephen B. Burke</w:t>
            </w:r>
          </w:p>
        </w:tc>
        <w:tc>
          <w:tcPr>
            <w:tcW w:w="1040" w:type="dxa"/>
            <w:vAlign w:val="bottom"/>
            <w:vMerge w:val="restart"/>
          </w:tcPr>
          <w:p>
            <w:pPr>
              <w:jc w:val="center"/>
              <w:ind w:left="328"/>
              <w:spacing w:after="0"/>
              <w:rPr>
                <w:sz w:val="20"/>
                <w:szCs w:val="20"/>
                <w:color w:val="auto"/>
              </w:rPr>
            </w:pPr>
            <w:r>
              <w:rPr>
                <w:rFonts w:ascii="Arial" w:cs="Arial" w:eastAsia="Arial" w:hAnsi="Arial"/>
                <w:sz w:val="14"/>
                <w:szCs w:val="14"/>
                <w:color w:val="auto"/>
              </w:rPr>
              <w:t>60</w:t>
            </w:r>
          </w:p>
        </w:tc>
        <w:tc>
          <w:tcPr>
            <w:tcW w:w="2780" w:type="dxa"/>
            <w:vAlign w:val="bottom"/>
            <w:vMerge w:val="restart"/>
          </w:tcPr>
          <w:p>
            <w:pPr>
              <w:ind w:left="160"/>
              <w:spacing w:after="0"/>
              <w:rPr>
                <w:sz w:val="20"/>
                <w:szCs w:val="20"/>
                <w:color w:val="auto"/>
              </w:rPr>
            </w:pPr>
            <w:r>
              <w:rPr>
                <w:rFonts w:ascii="Arial" w:cs="Arial" w:eastAsia="Arial" w:hAnsi="Arial"/>
                <w:sz w:val="14"/>
                <w:szCs w:val="14"/>
                <w:color w:val="auto"/>
              </w:rPr>
              <w:t>Chief Executive Officer of</w:t>
            </w:r>
          </w:p>
        </w:tc>
        <w:tc>
          <w:tcPr>
            <w:tcW w:w="1920" w:type="dxa"/>
            <w:vAlign w:val="bottom"/>
            <w:vMerge w:val="restart"/>
          </w:tcPr>
          <w:p>
            <w:pPr>
              <w:jc w:val="center"/>
              <w:spacing w:after="0"/>
              <w:rPr>
                <w:sz w:val="20"/>
                <w:szCs w:val="20"/>
                <w:color w:val="auto"/>
              </w:rPr>
            </w:pPr>
            <w:r>
              <w:rPr>
                <w:rFonts w:ascii="Arial" w:cs="Arial" w:eastAsia="Arial" w:hAnsi="Arial"/>
                <w:sz w:val="14"/>
                <w:szCs w:val="14"/>
                <w:color w:val="auto"/>
              </w:rPr>
              <w:t>1</w:t>
            </w:r>
          </w:p>
        </w:tc>
        <w:tc>
          <w:tcPr>
            <w:tcW w:w="2640" w:type="dxa"/>
            <w:vAlign w:val="bottom"/>
          </w:tcPr>
          <w:p>
            <w:pPr>
              <w:ind w:left="16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81"/>
        </w:trPr>
        <w:tc>
          <w:tcPr>
            <w:tcW w:w="26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2640" w:type="dxa"/>
            <w:vAlign w:val="bottom"/>
            <w:vMerge w:val="restart"/>
          </w:tcPr>
          <w:p>
            <w:pPr>
              <w:ind w:left="160"/>
              <w:spacing w:after="0"/>
              <w:rPr>
                <w:sz w:val="20"/>
                <w:szCs w:val="20"/>
                <w:color w:val="auto"/>
              </w:rPr>
            </w:pPr>
            <w:r>
              <w:rPr>
                <w:rFonts w:ascii="Arial" w:cs="Arial" w:eastAsia="Arial" w:hAnsi="Arial"/>
                <w:sz w:val="14"/>
                <w:szCs w:val="14"/>
                <w:color w:val="auto"/>
              </w:rPr>
              <w:t>Development; Corporate</w:t>
            </w:r>
          </w:p>
        </w:tc>
        <w:tc>
          <w:tcPr>
            <w:tcW w:w="0" w:type="dxa"/>
            <w:vAlign w:val="bottom"/>
          </w:tcPr>
          <w:p>
            <w:pPr>
              <w:spacing w:after="0"/>
              <w:rPr>
                <w:sz w:val="1"/>
                <w:szCs w:val="1"/>
                <w:color w:val="auto"/>
              </w:rPr>
            </w:pPr>
          </w:p>
        </w:tc>
      </w:tr>
      <w:tr>
        <w:trPr>
          <w:trHeight w:val="81"/>
        </w:trPr>
        <w:tc>
          <w:tcPr>
            <w:tcW w:w="2640" w:type="dxa"/>
            <w:vAlign w:val="bottom"/>
            <w:vMerge w:val="restart"/>
          </w:tcPr>
          <w:p>
            <w:pPr>
              <w:ind w:left="620"/>
              <w:spacing w:after="0"/>
              <w:rPr>
                <w:sz w:val="20"/>
                <w:szCs w:val="20"/>
                <w:color w:val="auto"/>
              </w:rPr>
            </w:pPr>
            <w:r>
              <w:rPr>
                <w:rFonts w:ascii="Arial" w:cs="Arial" w:eastAsia="Arial" w:hAnsi="Arial"/>
                <w:sz w:val="14"/>
                <w:szCs w:val="14"/>
                <w:color w:val="auto"/>
              </w:rPr>
              <w:t>Director since 2004</w:t>
            </w:r>
          </w:p>
        </w:tc>
        <w:tc>
          <w:tcPr>
            <w:tcW w:w="1040" w:type="dxa"/>
            <w:vAlign w:val="bottom"/>
          </w:tcPr>
          <w:p>
            <w:pPr>
              <w:spacing w:after="0"/>
              <w:rPr>
                <w:sz w:val="7"/>
                <w:szCs w:val="7"/>
                <w:color w:val="auto"/>
              </w:rPr>
            </w:pPr>
          </w:p>
        </w:tc>
        <w:tc>
          <w:tcPr>
            <w:tcW w:w="2780" w:type="dxa"/>
            <w:vAlign w:val="bottom"/>
            <w:vMerge w:val="restart"/>
          </w:tcPr>
          <w:p>
            <w:pPr>
              <w:ind w:left="160"/>
              <w:spacing w:after="0"/>
              <w:rPr>
                <w:sz w:val="20"/>
                <w:szCs w:val="20"/>
                <w:color w:val="auto"/>
              </w:rPr>
            </w:pPr>
            <w:r>
              <w:rPr>
                <w:rFonts w:ascii="Arial" w:cs="Arial" w:eastAsia="Arial" w:hAnsi="Arial"/>
                <w:sz w:val="14"/>
                <w:szCs w:val="14"/>
                <w:color w:val="auto"/>
              </w:rPr>
              <w:t>NBCUniversal, LLC</w:t>
            </w:r>
          </w:p>
        </w:tc>
        <w:tc>
          <w:tcPr>
            <w:tcW w:w="192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4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2640" w:type="dxa"/>
            <w:vAlign w:val="bottom"/>
            <w:vMerge w:val="restart"/>
          </w:tcPr>
          <w:p>
            <w:pPr>
              <w:ind w:left="160"/>
              <w:spacing w:after="0"/>
              <w:rPr>
                <w:sz w:val="20"/>
                <w:szCs w:val="20"/>
                <w:color w:val="auto"/>
              </w:rPr>
            </w:pPr>
            <w:r>
              <w:rPr>
                <w:rFonts w:ascii="Arial" w:cs="Arial" w:eastAsia="Arial" w:hAnsi="Arial"/>
                <w:sz w:val="14"/>
                <w:szCs w:val="14"/>
                <w:color w:val="auto"/>
              </w:rPr>
              <w:t>Governance &amp; Nominating</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E5E5E5"/>
          </w:tcPr>
          <w:p>
            <w:pPr>
              <w:ind w:left="620"/>
              <w:spacing w:after="0"/>
              <w:rPr>
                <w:sz w:val="20"/>
                <w:szCs w:val="20"/>
                <w:color w:val="auto"/>
              </w:rPr>
            </w:pPr>
            <w:r>
              <w:rPr>
                <w:rFonts w:ascii="Arial" w:cs="Arial" w:eastAsia="Arial" w:hAnsi="Arial"/>
                <w:sz w:val="14"/>
                <w:szCs w:val="14"/>
                <w:b w:val="1"/>
                <w:bCs w:val="1"/>
                <w:color w:val="auto"/>
              </w:rPr>
              <w:t>Todd A. Combs</w:t>
            </w:r>
          </w:p>
        </w:tc>
        <w:tc>
          <w:tcPr>
            <w:tcW w:w="1040" w:type="dxa"/>
            <w:vAlign w:val="bottom"/>
            <w:shd w:val="clear" w:color="auto" w:fill="E5E5E5"/>
          </w:tcPr>
          <w:p>
            <w:pPr>
              <w:jc w:val="center"/>
              <w:ind w:left="328"/>
              <w:spacing w:after="0"/>
              <w:rPr>
                <w:sz w:val="20"/>
                <w:szCs w:val="20"/>
                <w:color w:val="auto"/>
              </w:rPr>
            </w:pPr>
            <w:r>
              <w:rPr>
                <w:rFonts w:ascii="Arial" w:cs="Arial" w:eastAsia="Arial" w:hAnsi="Arial"/>
                <w:sz w:val="14"/>
                <w:szCs w:val="14"/>
                <w:color w:val="auto"/>
              </w:rPr>
              <w:t>48</w:t>
            </w:r>
          </w:p>
        </w:tc>
        <w:tc>
          <w:tcPr>
            <w:tcW w:w="2780" w:type="dxa"/>
            <w:vAlign w:val="bottom"/>
            <w:shd w:val="clear" w:color="auto" w:fill="E5E5E5"/>
          </w:tcPr>
          <w:p>
            <w:pPr>
              <w:ind w:left="160"/>
              <w:spacing w:after="0"/>
              <w:rPr>
                <w:sz w:val="20"/>
                <w:szCs w:val="20"/>
                <w:color w:val="auto"/>
              </w:rPr>
            </w:pPr>
            <w:r>
              <w:rPr>
                <w:rFonts w:ascii="Arial" w:cs="Arial" w:eastAsia="Arial" w:hAnsi="Arial"/>
                <w:sz w:val="14"/>
                <w:szCs w:val="14"/>
                <w:color w:val="auto"/>
              </w:rPr>
              <w:t>Investment Officer at Berkshire</w:t>
            </w:r>
          </w:p>
        </w:tc>
        <w:tc>
          <w:tcPr>
            <w:tcW w:w="19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0</w:t>
            </w:r>
          </w:p>
        </w:tc>
        <w:tc>
          <w:tcPr>
            <w:tcW w:w="2640" w:type="dxa"/>
            <w:vAlign w:val="bottom"/>
            <w:shd w:val="clear" w:color="auto" w:fill="E5E5E5"/>
          </w:tcPr>
          <w:p>
            <w:pPr>
              <w:ind w:left="160"/>
              <w:spacing w:after="0"/>
              <w:rPr>
                <w:sz w:val="20"/>
                <w:szCs w:val="20"/>
                <w:color w:val="auto"/>
              </w:rPr>
            </w:pPr>
            <w:r>
              <w:rPr>
                <w:rFonts w:ascii="Arial" w:cs="Arial" w:eastAsia="Arial" w:hAnsi="Arial"/>
                <w:sz w:val="14"/>
                <w:szCs w:val="14"/>
                <w:color w:val="auto"/>
              </w:rPr>
              <w:t>Directors’ Risk Policy;</w:t>
            </w:r>
          </w:p>
        </w:tc>
        <w:tc>
          <w:tcPr>
            <w:tcW w:w="0" w:type="dxa"/>
            <w:vAlign w:val="bottom"/>
          </w:tcPr>
          <w:p>
            <w:pPr>
              <w:spacing w:after="0"/>
              <w:rPr>
                <w:sz w:val="1"/>
                <w:szCs w:val="1"/>
                <w:color w:val="auto"/>
              </w:rPr>
            </w:pPr>
          </w:p>
        </w:tc>
      </w:tr>
      <w:tr>
        <w:trPr>
          <w:trHeight w:val="172"/>
        </w:trPr>
        <w:tc>
          <w:tcPr>
            <w:tcW w:w="2640" w:type="dxa"/>
            <w:vAlign w:val="bottom"/>
            <w:shd w:val="clear" w:color="auto" w:fill="E5E5E5"/>
          </w:tcPr>
          <w:p>
            <w:pPr>
              <w:ind w:left="620"/>
              <w:spacing w:after="0"/>
              <w:rPr>
                <w:sz w:val="20"/>
                <w:szCs w:val="20"/>
                <w:color w:val="auto"/>
              </w:rPr>
            </w:pPr>
            <w:r>
              <w:rPr>
                <w:rFonts w:ascii="Arial" w:cs="Arial" w:eastAsia="Arial" w:hAnsi="Arial"/>
                <w:sz w:val="14"/>
                <w:szCs w:val="14"/>
                <w:color w:val="auto"/>
              </w:rPr>
              <w:t>Director since 2016</w:t>
            </w:r>
          </w:p>
        </w:tc>
        <w:tc>
          <w:tcPr>
            <w:tcW w:w="1040" w:type="dxa"/>
            <w:vAlign w:val="bottom"/>
            <w:shd w:val="clear" w:color="auto" w:fill="E5E5E5"/>
          </w:tcPr>
          <w:p>
            <w:pPr>
              <w:spacing w:after="0"/>
              <w:rPr>
                <w:sz w:val="14"/>
                <w:szCs w:val="14"/>
                <w:color w:val="auto"/>
              </w:rPr>
            </w:pPr>
          </w:p>
        </w:tc>
        <w:tc>
          <w:tcPr>
            <w:tcW w:w="2780" w:type="dxa"/>
            <w:vAlign w:val="bottom"/>
            <w:shd w:val="clear" w:color="auto" w:fill="E5E5E5"/>
          </w:tcPr>
          <w:p>
            <w:pPr>
              <w:ind w:left="160"/>
              <w:spacing w:after="0"/>
              <w:rPr>
                <w:sz w:val="20"/>
                <w:szCs w:val="20"/>
                <w:color w:val="auto"/>
              </w:rPr>
            </w:pPr>
            <w:r>
              <w:rPr>
                <w:rFonts w:ascii="Arial" w:cs="Arial" w:eastAsia="Arial" w:hAnsi="Arial"/>
                <w:sz w:val="14"/>
                <w:szCs w:val="14"/>
                <w:color w:val="auto"/>
              </w:rPr>
              <w:t>Hathaway Inc.</w:t>
            </w:r>
          </w:p>
        </w:tc>
        <w:tc>
          <w:tcPr>
            <w:tcW w:w="1920" w:type="dxa"/>
            <w:vAlign w:val="bottom"/>
            <w:shd w:val="clear" w:color="auto" w:fill="E5E5E5"/>
          </w:tcPr>
          <w:p>
            <w:pPr>
              <w:spacing w:after="0"/>
              <w:rPr>
                <w:sz w:val="14"/>
                <w:szCs w:val="14"/>
                <w:color w:val="auto"/>
              </w:rPr>
            </w:pPr>
          </w:p>
        </w:tc>
        <w:tc>
          <w:tcPr>
            <w:tcW w:w="2640" w:type="dxa"/>
            <w:vAlign w:val="bottom"/>
            <w:shd w:val="clear" w:color="auto" w:fill="E5E5E5"/>
          </w:tcPr>
          <w:p>
            <w:pPr>
              <w:ind w:left="160"/>
              <w:spacing w:after="0"/>
              <w:rPr>
                <w:sz w:val="20"/>
                <w:szCs w:val="20"/>
                <w:color w:val="auto"/>
              </w:rPr>
            </w:pPr>
            <w:r>
              <w:rPr>
                <w:rFonts w:ascii="Arial" w:cs="Arial" w:eastAsia="Arial" w:hAnsi="Arial"/>
                <w:sz w:val="14"/>
                <w:szCs w:val="14"/>
                <w:color w:val="auto"/>
              </w:rPr>
              <w:t>Public Responsibility</w:t>
            </w:r>
          </w:p>
        </w:tc>
        <w:tc>
          <w:tcPr>
            <w:tcW w:w="0" w:type="dxa"/>
            <w:vAlign w:val="bottom"/>
          </w:tcPr>
          <w:p>
            <w:pPr>
              <w:spacing w:after="0"/>
              <w:rPr>
                <w:sz w:val="1"/>
                <w:szCs w:val="1"/>
                <w:color w:val="auto"/>
              </w:rPr>
            </w:pPr>
          </w:p>
        </w:tc>
      </w:tr>
      <w:tr>
        <w:trPr>
          <w:trHeight w:val="269"/>
        </w:trPr>
        <w:tc>
          <w:tcPr>
            <w:tcW w:w="2640" w:type="dxa"/>
            <w:vAlign w:val="bottom"/>
            <w:shd w:val="clear" w:color="auto" w:fill="E5E5E5"/>
          </w:tcPr>
          <w:p>
            <w:pPr>
              <w:spacing w:after="0"/>
              <w:rPr>
                <w:sz w:val="23"/>
                <w:szCs w:val="23"/>
                <w:color w:val="auto"/>
              </w:rPr>
            </w:pPr>
          </w:p>
        </w:tc>
        <w:tc>
          <w:tcPr>
            <w:tcW w:w="1040" w:type="dxa"/>
            <w:vAlign w:val="bottom"/>
            <w:shd w:val="clear" w:color="auto" w:fill="E5E5E5"/>
          </w:tcPr>
          <w:p>
            <w:pPr>
              <w:spacing w:after="0"/>
              <w:rPr>
                <w:sz w:val="23"/>
                <w:szCs w:val="23"/>
                <w:color w:val="auto"/>
              </w:rPr>
            </w:pPr>
          </w:p>
        </w:tc>
        <w:tc>
          <w:tcPr>
            <w:tcW w:w="2780" w:type="dxa"/>
            <w:vAlign w:val="bottom"/>
            <w:shd w:val="clear" w:color="auto" w:fill="E5E5E5"/>
          </w:tcPr>
          <w:p>
            <w:pPr>
              <w:spacing w:after="0"/>
              <w:rPr>
                <w:sz w:val="23"/>
                <w:szCs w:val="23"/>
                <w:color w:val="auto"/>
              </w:rPr>
            </w:pPr>
          </w:p>
        </w:tc>
        <w:tc>
          <w:tcPr>
            <w:tcW w:w="1920" w:type="dxa"/>
            <w:vAlign w:val="bottom"/>
            <w:shd w:val="clear" w:color="auto" w:fill="E5E5E5"/>
          </w:tcPr>
          <w:p>
            <w:pPr>
              <w:spacing w:after="0"/>
              <w:rPr>
                <w:sz w:val="23"/>
                <w:szCs w:val="23"/>
                <w:color w:val="auto"/>
              </w:rPr>
            </w:pPr>
          </w:p>
        </w:tc>
        <w:tc>
          <w:tcPr>
            <w:tcW w:w="264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620"/>
              <w:spacing w:after="0"/>
              <w:rPr>
                <w:sz w:val="20"/>
                <w:szCs w:val="20"/>
                <w:color w:val="auto"/>
              </w:rPr>
            </w:pPr>
            <w:r>
              <w:rPr>
                <w:rFonts w:ascii="Arial" w:cs="Arial" w:eastAsia="Arial" w:hAnsi="Arial"/>
                <w:sz w:val="14"/>
                <w:szCs w:val="14"/>
                <w:b w:val="1"/>
                <w:bCs w:val="1"/>
                <w:color w:val="auto"/>
              </w:rPr>
              <w:t>James S. Crown</w:t>
            </w:r>
          </w:p>
        </w:tc>
        <w:tc>
          <w:tcPr>
            <w:tcW w:w="1040" w:type="dxa"/>
            <w:vAlign w:val="bottom"/>
          </w:tcPr>
          <w:p>
            <w:pPr>
              <w:jc w:val="center"/>
              <w:ind w:left="328"/>
              <w:spacing w:after="0"/>
              <w:rPr>
                <w:sz w:val="20"/>
                <w:szCs w:val="20"/>
                <w:color w:val="auto"/>
              </w:rPr>
            </w:pPr>
            <w:r>
              <w:rPr>
                <w:rFonts w:ascii="Arial" w:cs="Arial" w:eastAsia="Arial" w:hAnsi="Arial"/>
                <w:sz w:val="14"/>
                <w:szCs w:val="14"/>
                <w:color w:val="auto"/>
              </w:rPr>
              <w:t>65</w:t>
            </w:r>
          </w:p>
        </w:tc>
        <w:tc>
          <w:tcPr>
            <w:tcW w:w="2780" w:type="dxa"/>
            <w:vAlign w:val="bottom"/>
          </w:tcPr>
          <w:p>
            <w:pPr>
              <w:ind w:left="160"/>
              <w:spacing w:after="0"/>
              <w:rPr>
                <w:sz w:val="20"/>
                <w:szCs w:val="20"/>
                <w:color w:val="auto"/>
              </w:rPr>
            </w:pPr>
            <w:r>
              <w:rPr>
                <w:rFonts w:ascii="Arial" w:cs="Arial" w:eastAsia="Arial" w:hAnsi="Arial"/>
                <w:sz w:val="14"/>
                <w:szCs w:val="14"/>
                <w:color w:val="auto"/>
              </w:rPr>
              <w:t>Chairman and Chief Executive Officer</w:t>
            </w:r>
          </w:p>
        </w:tc>
        <w:tc>
          <w:tcPr>
            <w:tcW w:w="1920" w:type="dxa"/>
            <w:vAlign w:val="bottom"/>
          </w:tcPr>
          <w:p>
            <w:pPr>
              <w:jc w:val="center"/>
              <w:spacing w:after="0"/>
              <w:rPr>
                <w:sz w:val="20"/>
                <w:szCs w:val="20"/>
                <w:color w:val="auto"/>
              </w:rPr>
            </w:pPr>
            <w:r>
              <w:rPr>
                <w:rFonts w:ascii="Arial" w:cs="Arial" w:eastAsia="Arial" w:hAnsi="Arial"/>
                <w:sz w:val="14"/>
                <w:szCs w:val="14"/>
                <w:color w:val="auto"/>
              </w:rPr>
              <w:t>1</w:t>
            </w:r>
          </w:p>
        </w:tc>
        <w:tc>
          <w:tcPr>
            <w:tcW w:w="2640" w:type="dxa"/>
            <w:vAlign w:val="bottom"/>
          </w:tcPr>
          <w:p>
            <w:pPr>
              <w:ind w:left="160"/>
              <w:spacing w:after="0"/>
              <w:rPr>
                <w:sz w:val="20"/>
                <w:szCs w:val="20"/>
                <w:color w:val="auto"/>
              </w:rPr>
            </w:pPr>
            <w:r>
              <w:rPr>
                <w:rFonts w:ascii="Arial" w:cs="Arial" w:eastAsia="Arial" w:hAnsi="Arial"/>
                <w:sz w:val="14"/>
                <w:szCs w:val="14"/>
                <w:color w:val="auto"/>
              </w:rPr>
              <w:t>Directors’ Risk Policy</w:t>
            </w:r>
          </w:p>
        </w:tc>
        <w:tc>
          <w:tcPr>
            <w:tcW w:w="0" w:type="dxa"/>
            <w:vAlign w:val="bottom"/>
          </w:tcPr>
          <w:p>
            <w:pPr>
              <w:spacing w:after="0"/>
              <w:rPr>
                <w:sz w:val="1"/>
                <w:szCs w:val="1"/>
                <w:color w:val="auto"/>
              </w:rPr>
            </w:pPr>
          </w:p>
        </w:tc>
      </w:tr>
      <w:tr>
        <w:trPr>
          <w:trHeight w:val="172"/>
        </w:trPr>
        <w:tc>
          <w:tcPr>
            <w:tcW w:w="2640" w:type="dxa"/>
            <w:vAlign w:val="bottom"/>
          </w:tcPr>
          <w:p>
            <w:pPr>
              <w:ind w:left="620"/>
              <w:spacing w:after="0"/>
              <w:rPr>
                <w:sz w:val="20"/>
                <w:szCs w:val="20"/>
                <w:color w:val="auto"/>
              </w:rPr>
            </w:pPr>
            <w:r>
              <w:rPr>
                <w:rFonts w:ascii="Arial" w:cs="Arial" w:eastAsia="Arial" w:hAnsi="Arial"/>
                <w:sz w:val="14"/>
                <w:szCs w:val="14"/>
                <w:color w:val="auto"/>
              </w:rPr>
              <w:t>Director since 2004</w:t>
            </w:r>
          </w:p>
        </w:tc>
        <w:tc>
          <w:tcPr>
            <w:tcW w:w="1040" w:type="dxa"/>
            <w:vAlign w:val="bottom"/>
          </w:tcPr>
          <w:p>
            <w:pPr>
              <w:spacing w:after="0"/>
              <w:rPr>
                <w:sz w:val="14"/>
                <w:szCs w:val="14"/>
                <w:color w:val="auto"/>
              </w:rPr>
            </w:pPr>
          </w:p>
        </w:tc>
        <w:tc>
          <w:tcPr>
            <w:tcW w:w="2780" w:type="dxa"/>
            <w:vAlign w:val="bottom"/>
          </w:tcPr>
          <w:p>
            <w:pPr>
              <w:ind w:left="160"/>
              <w:spacing w:after="0"/>
              <w:rPr>
                <w:sz w:val="20"/>
                <w:szCs w:val="20"/>
                <w:color w:val="auto"/>
              </w:rPr>
            </w:pPr>
            <w:r>
              <w:rPr>
                <w:rFonts w:ascii="Arial" w:cs="Arial" w:eastAsia="Arial" w:hAnsi="Arial"/>
                <w:sz w:val="14"/>
                <w:szCs w:val="14"/>
                <w:color w:val="auto"/>
              </w:rPr>
              <w:t>of Henry Crown and Company</w:t>
            </w:r>
          </w:p>
        </w:tc>
        <w:tc>
          <w:tcPr>
            <w:tcW w:w="19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6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E5E5E5"/>
          </w:tcPr>
          <w:p>
            <w:pPr>
              <w:ind w:left="620"/>
              <w:spacing w:after="0"/>
              <w:rPr>
                <w:sz w:val="20"/>
                <w:szCs w:val="20"/>
                <w:color w:val="auto"/>
              </w:rPr>
            </w:pPr>
            <w:r>
              <w:rPr>
                <w:rFonts w:ascii="Arial" w:cs="Arial" w:eastAsia="Arial" w:hAnsi="Arial"/>
                <w:sz w:val="14"/>
                <w:szCs w:val="14"/>
                <w:b w:val="1"/>
                <w:bCs w:val="1"/>
                <w:color w:val="auto"/>
              </w:rPr>
              <w:t>James Dimon</w:t>
            </w:r>
          </w:p>
        </w:tc>
        <w:tc>
          <w:tcPr>
            <w:tcW w:w="1040" w:type="dxa"/>
            <w:vAlign w:val="bottom"/>
            <w:shd w:val="clear" w:color="auto" w:fill="E5E5E5"/>
          </w:tcPr>
          <w:p>
            <w:pPr>
              <w:jc w:val="center"/>
              <w:ind w:left="328"/>
              <w:spacing w:after="0"/>
              <w:rPr>
                <w:sz w:val="20"/>
                <w:szCs w:val="20"/>
                <w:color w:val="auto"/>
              </w:rPr>
            </w:pPr>
            <w:r>
              <w:rPr>
                <w:rFonts w:ascii="Arial" w:cs="Arial" w:eastAsia="Arial" w:hAnsi="Arial"/>
                <w:sz w:val="14"/>
                <w:szCs w:val="14"/>
                <w:color w:val="auto"/>
              </w:rPr>
              <w:t>63</w:t>
            </w:r>
          </w:p>
        </w:tc>
        <w:tc>
          <w:tcPr>
            <w:tcW w:w="2780" w:type="dxa"/>
            <w:vAlign w:val="bottom"/>
            <w:shd w:val="clear" w:color="auto" w:fill="E5E5E5"/>
          </w:tcPr>
          <w:p>
            <w:pPr>
              <w:ind w:left="160"/>
              <w:spacing w:after="0"/>
              <w:rPr>
                <w:sz w:val="20"/>
                <w:szCs w:val="20"/>
                <w:color w:val="auto"/>
              </w:rPr>
            </w:pPr>
            <w:r>
              <w:rPr>
                <w:rFonts w:ascii="Arial" w:cs="Arial" w:eastAsia="Arial" w:hAnsi="Arial"/>
                <w:sz w:val="14"/>
                <w:szCs w:val="14"/>
                <w:color w:val="auto"/>
              </w:rPr>
              <w:t>Chairman and Chief Executive Officer</w:t>
            </w:r>
          </w:p>
        </w:tc>
        <w:tc>
          <w:tcPr>
            <w:tcW w:w="19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0</w:t>
            </w:r>
          </w:p>
        </w:tc>
        <w:tc>
          <w:tcPr>
            <w:tcW w:w="26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640" w:type="dxa"/>
            <w:vAlign w:val="bottom"/>
            <w:shd w:val="clear" w:color="auto" w:fill="E5E5E5"/>
          </w:tcPr>
          <w:p>
            <w:pPr>
              <w:ind w:left="620"/>
              <w:spacing w:after="0"/>
              <w:rPr>
                <w:sz w:val="20"/>
                <w:szCs w:val="20"/>
                <w:color w:val="auto"/>
              </w:rPr>
            </w:pPr>
            <w:r>
              <w:rPr>
                <w:rFonts w:ascii="Arial" w:cs="Arial" w:eastAsia="Arial" w:hAnsi="Arial"/>
                <w:sz w:val="14"/>
                <w:szCs w:val="14"/>
                <w:color w:val="auto"/>
              </w:rPr>
              <w:t>Director since 2004</w:t>
            </w:r>
          </w:p>
        </w:tc>
        <w:tc>
          <w:tcPr>
            <w:tcW w:w="1040" w:type="dxa"/>
            <w:vAlign w:val="bottom"/>
            <w:shd w:val="clear" w:color="auto" w:fill="E5E5E5"/>
          </w:tcPr>
          <w:p>
            <w:pPr>
              <w:spacing w:after="0"/>
              <w:rPr>
                <w:sz w:val="14"/>
                <w:szCs w:val="14"/>
                <w:color w:val="auto"/>
              </w:rPr>
            </w:pPr>
          </w:p>
        </w:tc>
        <w:tc>
          <w:tcPr>
            <w:tcW w:w="2780" w:type="dxa"/>
            <w:vAlign w:val="bottom"/>
            <w:shd w:val="clear" w:color="auto" w:fill="E5E5E5"/>
          </w:tcPr>
          <w:p>
            <w:pPr>
              <w:ind w:left="160"/>
              <w:spacing w:after="0"/>
              <w:rPr>
                <w:sz w:val="20"/>
                <w:szCs w:val="20"/>
                <w:color w:val="auto"/>
              </w:rPr>
            </w:pPr>
            <w:r>
              <w:rPr>
                <w:rFonts w:ascii="Arial" w:cs="Arial" w:eastAsia="Arial" w:hAnsi="Arial"/>
                <w:sz w:val="14"/>
                <w:szCs w:val="14"/>
                <w:color w:val="auto"/>
              </w:rPr>
              <w:t>of JPMorgan Chase &amp; Co.</w:t>
            </w:r>
          </w:p>
        </w:tc>
        <w:tc>
          <w:tcPr>
            <w:tcW w:w="1920" w:type="dxa"/>
            <w:vAlign w:val="bottom"/>
            <w:shd w:val="clear" w:color="auto" w:fill="E5E5E5"/>
          </w:tcPr>
          <w:p>
            <w:pPr>
              <w:spacing w:after="0"/>
              <w:rPr>
                <w:sz w:val="14"/>
                <w:szCs w:val="14"/>
                <w:color w:val="auto"/>
              </w:rPr>
            </w:pPr>
          </w:p>
        </w:tc>
        <w:tc>
          <w:tcPr>
            <w:tcW w:w="26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640" w:type="dxa"/>
            <w:vAlign w:val="bottom"/>
            <w:shd w:val="clear" w:color="auto" w:fill="E5E5E5"/>
          </w:tcPr>
          <w:p>
            <w:pPr>
              <w:spacing w:after="0"/>
              <w:rPr>
                <w:sz w:val="23"/>
                <w:szCs w:val="23"/>
                <w:color w:val="auto"/>
              </w:rPr>
            </w:pPr>
          </w:p>
        </w:tc>
        <w:tc>
          <w:tcPr>
            <w:tcW w:w="1040" w:type="dxa"/>
            <w:vAlign w:val="bottom"/>
            <w:shd w:val="clear" w:color="auto" w:fill="E5E5E5"/>
          </w:tcPr>
          <w:p>
            <w:pPr>
              <w:spacing w:after="0"/>
              <w:rPr>
                <w:sz w:val="23"/>
                <w:szCs w:val="23"/>
                <w:color w:val="auto"/>
              </w:rPr>
            </w:pPr>
          </w:p>
        </w:tc>
        <w:tc>
          <w:tcPr>
            <w:tcW w:w="2780" w:type="dxa"/>
            <w:vAlign w:val="bottom"/>
            <w:shd w:val="clear" w:color="auto" w:fill="E5E5E5"/>
          </w:tcPr>
          <w:p>
            <w:pPr>
              <w:spacing w:after="0"/>
              <w:rPr>
                <w:sz w:val="23"/>
                <w:szCs w:val="23"/>
                <w:color w:val="auto"/>
              </w:rPr>
            </w:pPr>
          </w:p>
        </w:tc>
        <w:tc>
          <w:tcPr>
            <w:tcW w:w="1920" w:type="dxa"/>
            <w:vAlign w:val="bottom"/>
            <w:shd w:val="clear" w:color="auto" w:fill="E5E5E5"/>
          </w:tcPr>
          <w:p>
            <w:pPr>
              <w:spacing w:after="0"/>
              <w:rPr>
                <w:sz w:val="23"/>
                <w:szCs w:val="23"/>
                <w:color w:val="auto"/>
              </w:rPr>
            </w:pPr>
          </w:p>
        </w:tc>
        <w:tc>
          <w:tcPr>
            <w:tcW w:w="264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620"/>
              <w:spacing w:after="0"/>
              <w:rPr>
                <w:sz w:val="20"/>
                <w:szCs w:val="20"/>
                <w:color w:val="auto"/>
              </w:rPr>
            </w:pPr>
            <w:r>
              <w:rPr>
                <w:rFonts w:ascii="Arial" w:cs="Arial" w:eastAsia="Arial" w:hAnsi="Arial"/>
                <w:sz w:val="14"/>
                <w:szCs w:val="14"/>
                <w:b w:val="1"/>
                <w:bCs w:val="1"/>
                <w:color w:val="auto"/>
              </w:rPr>
              <w:t>Timothy P. Flynn</w:t>
            </w:r>
          </w:p>
        </w:tc>
        <w:tc>
          <w:tcPr>
            <w:tcW w:w="1040" w:type="dxa"/>
            <w:vAlign w:val="bottom"/>
          </w:tcPr>
          <w:p>
            <w:pPr>
              <w:jc w:val="center"/>
              <w:ind w:left="328"/>
              <w:spacing w:after="0"/>
              <w:rPr>
                <w:sz w:val="20"/>
                <w:szCs w:val="20"/>
                <w:color w:val="auto"/>
              </w:rPr>
            </w:pPr>
            <w:r>
              <w:rPr>
                <w:rFonts w:ascii="Arial" w:cs="Arial" w:eastAsia="Arial" w:hAnsi="Arial"/>
                <w:sz w:val="14"/>
                <w:szCs w:val="14"/>
                <w:color w:val="auto"/>
              </w:rPr>
              <w:t>62</w:t>
            </w:r>
          </w:p>
        </w:tc>
        <w:tc>
          <w:tcPr>
            <w:tcW w:w="2780" w:type="dxa"/>
            <w:vAlign w:val="bottom"/>
          </w:tcPr>
          <w:p>
            <w:pPr>
              <w:ind w:left="160"/>
              <w:spacing w:after="0"/>
              <w:rPr>
                <w:sz w:val="20"/>
                <w:szCs w:val="20"/>
                <w:color w:val="auto"/>
              </w:rPr>
            </w:pPr>
            <w:r>
              <w:rPr>
                <w:rFonts w:ascii="Arial" w:cs="Arial" w:eastAsia="Arial" w:hAnsi="Arial"/>
                <w:sz w:val="14"/>
                <w:szCs w:val="14"/>
                <w:color w:val="auto"/>
              </w:rPr>
              <w:t>Retired Chairman and Chief Executive</w:t>
            </w:r>
          </w:p>
        </w:tc>
        <w:tc>
          <w:tcPr>
            <w:tcW w:w="1920" w:type="dxa"/>
            <w:vAlign w:val="bottom"/>
          </w:tcPr>
          <w:p>
            <w:pPr>
              <w:jc w:val="center"/>
              <w:spacing w:after="0"/>
              <w:rPr>
                <w:sz w:val="20"/>
                <w:szCs w:val="20"/>
                <w:color w:val="auto"/>
              </w:rPr>
            </w:pPr>
            <w:r>
              <w:rPr>
                <w:rFonts w:ascii="Arial" w:cs="Arial" w:eastAsia="Arial" w:hAnsi="Arial"/>
                <w:sz w:val="14"/>
                <w:szCs w:val="14"/>
                <w:color w:val="auto"/>
              </w:rPr>
              <w:t>3</w:t>
            </w:r>
          </w:p>
        </w:tc>
        <w:tc>
          <w:tcPr>
            <w:tcW w:w="2640" w:type="dxa"/>
            <w:vAlign w:val="bottom"/>
          </w:tcPr>
          <w:p>
            <w:pPr>
              <w:ind w:left="16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72"/>
        </w:trPr>
        <w:tc>
          <w:tcPr>
            <w:tcW w:w="2640" w:type="dxa"/>
            <w:vAlign w:val="bottom"/>
          </w:tcPr>
          <w:p>
            <w:pPr>
              <w:ind w:left="620"/>
              <w:spacing w:after="0"/>
              <w:rPr>
                <w:sz w:val="20"/>
                <w:szCs w:val="20"/>
                <w:color w:val="auto"/>
              </w:rPr>
            </w:pPr>
            <w:r>
              <w:rPr>
                <w:rFonts w:ascii="Arial" w:cs="Arial" w:eastAsia="Arial" w:hAnsi="Arial"/>
                <w:sz w:val="14"/>
                <w:szCs w:val="14"/>
                <w:color w:val="auto"/>
              </w:rPr>
              <w:t>Director since 2012</w:t>
            </w:r>
          </w:p>
        </w:tc>
        <w:tc>
          <w:tcPr>
            <w:tcW w:w="1040" w:type="dxa"/>
            <w:vAlign w:val="bottom"/>
          </w:tcPr>
          <w:p>
            <w:pPr>
              <w:spacing w:after="0"/>
              <w:rPr>
                <w:sz w:val="14"/>
                <w:szCs w:val="14"/>
                <w:color w:val="auto"/>
              </w:rPr>
            </w:pPr>
          </w:p>
        </w:tc>
        <w:tc>
          <w:tcPr>
            <w:tcW w:w="2780" w:type="dxa"/>
            <w:vAlign w:val="bottom"/>
          </w:tcPr>
          <w:p>
            <w:pPr>
              <w:ind w:left="160"/>
              <w:spacing w:after="0"/>
              <w:rPr>
                <w:sz w:val="20"/>
                <w:szCs w:val="20"/>
                <w:color w:val="auto"/>
              </w:rPr>
            </w:pPr>
            <w:r>
              <w:rPr>
                <w:rFonts w:ascii="Arial" w:cs="Arial" w:eastAsia="Arial" w:hAnsi="Arial"/>
                <w:sz w:val="14"/>
                <w:szCs w:val="14"/>
                <w:color w:val="auto"/>
              </w:rPr>
              <w:t>Officer of KPMG</w:t>
            </w:r>
          </w:p>
        </w:tc>
        <w:tc>
          <w:tcPr>
            <w:tcW w:w="1920" w:type="dxa"/>
            <w:vAlign w:val="bottom"/>
          </w:tcPr>
          <w:p>
            <w:pPr>
              <w:spacing w:after="0"/>
              <w:rPr>
                <w:sz w:val="14"/>
                <w:szCs w:val="14"/>
                <w:color w:val="auto"/>
              </w:rPr>
            </w:pPr>
          </w:p>
        </w:tc>
        <w:tc>
          <w:tcPr>
            <w:tcW w:w="2640" w:type="dxa"/>
            <w:vAlign w:val="bottom"/>
          </w:tcPr>
          <w:p>
            <w:pPr>
              <w:ind w:left="160"/>
              <w:spacing w:after="0"/>
              <w:rPr>
                <w:sz w:val="20"/>
                <w:szCs w:val="20"/>
                <w:color w:val="auto"/>
              </w:rPr>
            </w:pPr>
            <w:r>
              <w:rPr>
                <w:rFonts w:ascii="Arial" w:cs="Arial" w:eastAsia="Arial" w:hAnsi="Arial"/>
                <w:sz w:val="14"/>
                <w:szCs w:val="14"/>
                <w:color w:val="auto"/>
              </w:rPr>
              <w:t>Public Responsibility</w:t>
            </w:r>
          </w:p>
        </w:tc>
        <w:tc>
          <w:tcPr>
            <w:tcW w:w="0" w:type="dxa"/>
            <w:vAlign w:val="bottom"/>
          </w:tcPr>
          <w:p>
            <w:pPr>
              <w:spacing w:after="0"/>
              <w:rPr>
                <w:sz w:val="1"/>
                <w:szCs w:val="1"/>
                <w:color w:val="auto"/>
              </w:rPr>
            </w:pPr>
          </w:p>
        </w:tc>
      </w:tr>
      <w:tr>
        <w:trPr>
          <w:trHeight w:val="282"/>
        </w:trPr>
        <w:tc>
          <w:tcPr>
            <w:tcW w:w="2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E5E5E5"/>
          </w:tcPr>
          <w:p>
            <w:pPr>
              <w:ind w:left="620"/>
              <w:spacing w:after="0"/>
              <w:rPr>
                <w:sz w:val="20"/>
                <w:szCs w:val="20"/>
                <w:color w:val="auto"/>
              </w:rPr>
            </w:pPr>
            <w:r>
              <w:rPr>
                <w:rFonts w:ascii="Arial" w:cs="Arial" w:eastAsia="Arial" w:hAnsi="Arial"/>
                <w:sz w:val="14"/>
                <w:szCs w:val="14"/>
                <w:b w:val="1"/>
                <w:bCs w:val="1"/>
                <w:color w:val="auto"/>
              </w:rPr>
              <w:t>Mellody Hobson</w:t>
            </w:r>
          </w:p>
        </w:tc>
        <w:tc>
          <w:tcPr>
            <w:tcW w:w="1040" w:type="dxa"/>
            <w:vAlign w:val="bottom"/>
            <w:shd w:val="clear" w:color="auto" w:fill="E5E5E5"/>
          </w:tcPr>
          <w:p>
            <w:pPr>
              <w:jc w:val="center"/>
              <w:ind w:left="328"/>
              <w:spacing w:after="0"/>
              <w:rPr>
                <w:sz w:val="20"/>
                <w:szCs w:val="20"/>
                <w:color w:val="auto"/>
              </w:rPr>
            </w:pPr>
            <w:r>
              <w:rPr>
                <w:rFonts w:ascii="Arial" w:cs="Arial" w:eastAsia="Arial" w:hAnsi="Arial"/>
                <w:sz w:val="14"/>
                <w:szCs w:val="14"/>
                <w:color w:val="auto"/>
              </w:rPr>
              <w:t>50</w:t>
            </w:r>
          </w:p>
        </w:tc>
        <w:tc>
          <w:tcPr>
            <w:tcW w:w="2780" w:type="dxa"/>
            <w:vAlign w:val="bottom"/>
            <w:shd w:val="clear" w:color="auto" w:fill="E5E5E5"/>
          </w:tcPr>
          <w:p>
            <w:pPr>
              <w:ind w:left="160"/>
              <w:spacing w:after="0"/>
              <w:rPr>
                <w:sz w:val="20"/>
                <w:szCs w:val="20"/>
                <w:color w:val="auto"/>
              </w:rPr>
            </w:pPr>
            <w:r>
              <w:rPr>
                <w:rFonts w:ascii="Arial" w:cs="Arial" w:eastAsia="Arial" w:hAnsi="Arial"/>
                <w:sz w:val="14"/>
                <w:szCs w:val="14"/>
                <w:color w:val="auto"/>
              </w:rPr>
              <w:t>President of Ariel Investments, LLC</w:t>
            </w:r>
          </w:p>
        </w:tc>
        <w:tc>
          <w:tcPr>
            <w:tcW w:w="19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w:t>
            </w:r>
          </w:p>
        </w:tc>
        <w:tc>
          <w:tcPr>
            <w:tcW w:w="2640" w:type="dxa"/>
            <w:vAlign w:val="bottom"/>
            <w:shd w:val="clear" w:color="auto" w:fill="E5E5E5"/>
          </w:tcPr>
          <w:p>
            <w:pPr>
              <w:ind w:left="16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72"/>
        </w:trPr>
        <w:tc>
          <w:tcPr>
            <w:tcW w:w="2640" w:type="dxa"/>
            <w:vAlign w:val="bottom"/>
            <w:shd w:val="clear" w:color="auto" w:fill="E5E5E5"/>
          </w:tcPr>
          <w:p>
            <w:pPr>
              <w:ind w:left="620"/>
              <w:spacing w:after="0"/>
              <w:rPr>
                <w:sz w:val="20"/>
                <w:szCs w:val="20"/>
                <w:color w:val="auto"/>
              </w:rPr>
            </w:pPr>
            <w:r>
              <w:rPr>
                <w:rFonts w:ascii="Arial" w:cs="Arial" w:eastAsia="Arial" w:hAnsi="Arial"/>
                <w:sz w:val="14"/>
                <w:szCs w:val="14"/>
                <w:color w:val="auto"/>
              </w:rPr>
              <w:t>Director since 2018</w:t>
            </w:r>
          </w:p>
        </w:tc>
        <w:tc>
          <w:tcPr>
            <w:tcW w:w="1040" w:type="dxa"/>
            <w:vAlign w:val="bottom"/>
            <w:shd w:val="clear" w:color="auto" w:fill="E5E5E5"/>
          </w:tcPr>
          <w:p>
            <w:pPr>
              <w:spacing w:after="0"/>
              <w:rPr>
                <w:sz w:val="14"/>
                <w:szCs w:val="14"/>
                <w:color w:val="auto"/>
              </w:rPr>
            </w:pPr>
          </w:p>
        </w:tc>
        <w:tc>
          <w:tcPr>
            <w:tcW w:w="2780" w:type="dxa"/>
            <w:vAlign w:val="bottom"/>
            <w:shd w:val="clear" w:color="auto" w:fill="E5E5E5"/>
          </w:tcPr>
          <w:p>
            <w:pPr>
              <w:spacing w:after="0"/>
              <w:rPr>
                <w:sz w:val="14"/>
                <w:szCs w:val="14"/>
                <w:color w:val="auto"/>
              </w:rPr>
            </w:pPr>
          </w:p>
        </w:tc>
        <w:tc>
          <w:tcPr>
            <w:tcW w:w="1920" w:type="dxa"/>
            <w:vAlign w:val="bottom"/>
            <w:shd w:val="clear" w:color="auto" w:fill="E5E5E5"/>
          </w:tcPr>
          <w:p>
            <w:pPr>
              <w:spacing w:after="0"/>
              <w:rPr>
                <w:sz w:val="14"/>
                <w:szCs w:val="14"/>
                <w:color w:val="auto"/>
              </w:rPr>
            </w:pPr>
          </w:p>
        </w:tc>
        <w:tc>
          <w:tcPr>
            <w:tcW w:w="2640" w:type="dxa"/>
            <w:vAlign w:val="bottom"/>
            <w:shd w:val="clear" w:color="auto" w:fill="E5E5E5"/>
          </w:tcPr>
          <w:p>
            <w:pPr>
              <w:ind w:left="160"/>
              <w:spacing w:after="0"/>
              <w:rPr>
                <w:sz w:val="20"/>
                <w:szCs w:val="20"/>
                <w:color w:val="auto"/>
              </w:rPr>
            </w:pPr>
            <w:r>
              <w:rPr>
                <w:rFonts w:ascii="Arial" w:cs="Arial" w:eastAsia="Arial" w:hAnsi="Arial"/>
                <w:sz w:val="14"/>
                <w:szCs w:val="14"/>
                <w:color w:val="auto"/>
              </w:rPr>
              <w:t>Public Responsibility</w:t>
            </w:r>
          </w:p>
        </w:tc>
        <w:tc>
          <w:tcPr>
            <w:tcW w:w="0" w:type="dxa"/>
            <w:vAlign w:val="bottom"/>
          </w:tcPr>
          <w:p>
            <w:pPr>
              <w:spacing w:after="0"/>
              <w:rPr>
                <w:sz w:val="1"/>
                <w:szCs w:val="1"/>
                <w:color w:val="auto"/>
              </w:rPr>
            </w:pPr>
          </w:p>
        </w:tc>
      </w:tr>
      <w:tr>
        <w:trPr>
          <w:trHeight w:val="269"/>
        </w:trPr>
        <w:tc>
          <w:tcPr>
            <w:tcW w:w="2640" w:type="dxa"/>
            <w:vAlign w:val="bottom"/>
            <w:shd w:val="clear" w:color="auto" w:fill="E5E5E5"/>
          </w:tcPr>
          <w:p>
            <w:pPr>
              <w:spacing w:after="0"/>
              <w:rPr>
                <w:sz w:val="23"/>
                <w:szCs w:val="23"/>
                <w:color w:val="auto"/>
              </w:rPr>
            </w:pPr>
          </w:p>
        </w:tc>
        <w:tc>
          <w:tcPr>
            <w:tcW w:w="1040" w:type="dxa"/>
            <w:vAlign w:val="bottom"/>
            <w:shd w:val="clear" w:color="auto" w:fill="E5E5E5"/>
          </w:tcPr>
          <w:p>
            <w:pPr>
              <w:spacing w:after="0"/>
              <w:rPr>
                <w:sz w:val="23"/>
                <w:szCs w:val="23"/>
                <w:color w:val="auto"/>
              </w:rPr>
            </w:pPr>
          </w:p>
        </w:tc>
        <w:tc>
          <w:tcPr>
            <w:tcW w:w="2780" w:type="dxa"/>
            <w:vAlign w:val="bottom"/>
            <w:shd w:val="clear" w:color="auto" w:fill="E5E5E5"/>
          </w:tcPr>
          <w:p>
            <w:pPr>
              <w:spacing w:after="0"/>
              <w:rPr>
                <w:sz w:val="23"/>
                <w:szCs w:val="23"/>
                <w:color w:val="auto"/>
              </w:rPr>
            </w:pPr>
          </w:p>
        </w:tc>
        <w:tc>
          <w:tcPr>
            <w:tcW w:w="1920" w:type="dxa"/>
            <w:vAlign w:val="bottom"/>
            <w:shd w:val="clear" w:color="auto" w:fill="E5E5E5"/>
          </w:tcPr>
          <w:p>
            <w:pPr>
              <w:spacing w:after="0"/>
              <w:rPr>
                <w:sz w:val="23"/>
                <w:szCs w:val="23"/>
                <w:color w:val="auto"/>
              </w:rPr>
            </w:pPr>
          </w:p>
        </w:tc>
        <w:tc>
          <w:tcPr>
            <w:tcW w:w="264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640" w:type="dxa"/>
            <w:vAlign w:val="bottom"/>
          </w:tcPr>
          <w:p>
            <w:pPr>
              <w:ind w:left="620"/>
              <w:spacing w:after="0"/>
              <w:rPr>
                <w:sz w:val="20"/>
                <w:szCs w:val="20"/>
                <w:color w:val="auto"/>
              </w:rPr>
            </w:pPr>
            <w:r>
              <w:rPr>
                <w:rFonts w:ascii="Arial" w:cs="Arial" w:eastAsia="Arial" w:hAnsi="Arial"/>
                <w:sz w:val="14"/>
                <w:szCs w:val="14"/>
                <w:b w:val="1"/>
                <w:bCs w:val="1"/>
                <w:color w:val="auto"/>
              </w:rPr>
              <w:t>Laban P. Jackson, Jr.</w:t>
            </w:r>
          </w:p>
        </w:tc>
        <w:tc>
          <w:tcPr>
            <w:tcW w:w="1040" w:type="dxa"/>
            <w:vAlign w:val="bottom"/>
          </w:tcPr>
          <w:p>
            <w:pPr>
              <w:jc w:val="center"/>
              <w:ind w:left="328"/>
              <w:spacing w:after="0"/>
              <w:rPr>
                <w:sz w:val="20"/>
                <w:szCs w:val="20"/>
                <w:color w:val="auto"/>
              </w:rPr>
            </w:pPr>
            <w:r>
              <w:rPr>
                <w:rFonts w:ascii="Arial" w:cs="Arial" w:eastAsia="Arial" w:hAnsi="Arial"/>
                <w:sz w:val="14"/>
                <w:szCs w:val="14"/>
                <w:color w:val="auto"/>
              </w:rPr>
              <w:t>76</w:t>
            </w:r>
          </w:p>
        </w:tc>
        <w:tc>
          <w:tcPr>
            <w:tcW w:w="2780" w:type="dxa"/>
            <w:vAlign w:val="bottom"/>
          </w:tcPr>
          <w:p>
            <w:pPr>
              <w:ind w:left="160"/>
              <w:spacing w:after="0"/>
              <w:rPr>
                <w:sz w:val="20"/>
                <w:szCs w:val="20"/>
                <w:color w:val="auto"/>
              </w:rPr>
            </w:pPr>
            <w:r>
              <w:rPr>
                <w:rFonts w:ascii="Arial" w:cs="Arial" w:eastAsia="Arial" w:hAnsi="Arial"/>
                <w:sz w:val="14"/>
                <w:szCs w:val="14"/>
                <w:color w:val="auto"/>
              </w:rPr>
              <w:t>Chairman and Chief Executive Officer</w:t>
            </w:r>
          </w:p>
        </w:tc>
        <w:tc>
          <w:tcPr>
            <w:tcW w:w="1920" w:type="dxa"/>
            <w:vAlign w:val="bottom"/>
          </w:tcPr>
          <w:p>
            <w:pPr>
              <w:jc w:val="center"/>
              <w:spacing w:after="0"/>
              <w:rPr>
                <w:sz w:val="20"/>
                <w:szCs w:val="20"/>
                <w:color w:val="auto"/>
              </w:rPr>
            </w:pPr>
            <w:r>
              <w:rPr>
                <w:rFonts w:ascii="Arial" w:cs="Arial" w:eastAsia="Arial" w:hAnsi="Arial"/>
                <w:sz w:val="14"/>
                <w:szCs w:val="14"/>
                <w:color w:val="auto"/>
              </w:rPr>
              <w:t>0</w:t>
            </w:r>
          </w:p>
        </w:tc>
        <w:tc>
          <w:tcPr>
            <w:tcW w:w="2640" w:type="dxa"/>
            <w:vAlign w:val="bottom"/>
          </w:tcPr>
          <w:p>
            <w:pPr>
              <w:ind w:left="16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172"/>
        </w:trPr>
        <w:tc>
          <w:tcPr>
            <w:tcW w:w="2640" w:type="dxa"/>
            <w:vAlign w:val="bottom"/>
          </w:tcPr>
          <w:p>
            <w:pPr>
              <w:ind w:left="620"/>
              <w:spacing w:after="0"/>
              <w:rPr>
                <w:sz w:val="20"/>
                <w:szCs w:val="20"/>
                <w:color w:val="auto"/>
              </w:rPr>
            </w:pPr>
            <w:r>
              <w:rPr>
                <w:rFonts w:ascii="Arial" w:cs="Arial" w:eastAsia="Arial" w:hAnsi="Arial"/>
                <w:sz w:val="14"/>
                <w:szCs w:val="14"/>
                <w:color w:val="auto"/>
              </w:rPr>
              <w:t>Director since 2004</w:t>
            </w:r>
          </w:p>
        </w:tc>
        <w:tc>
          <w:tcPr>
            <w:tcW w:w="1040" w:type="dxa"/>
            <w:vAlign w:val="bottom"/>
          </w:tcPr>
          <w:p>
            <w:pPr>
              <w:spacing w:after="0"/>
              <w:rPr>
                <w:sz w:val="14"/>
                <w:szCs w:val="14"/>
                <w:color w:val="auto"/>
              </w:rPr>
            </w:pPr>
          </w:p>
        </w:tc>
        <w:tc>
          <w:tcPr>
            <w:tcW w:w="2780" w:type="dxa"/>
            <w:vAlign w:val="bottom"/>
          </w:tcPr>
          <w:p>
            <w:pPr>
              <w:ind w:left="160"/>
              <w:spacing w:after="0"/>
              <w:rPr>
                <w:sz w:val="20"/>
                <w:szCs w:val="20"/>
                <w:color w:val="auto"/>
              </w:rPr>
            </w:pPr>
            <w:r>
              <w:rPr>
                <w:rFonts w:ascii="Arial" w:cs="Arial" w:eastAsia="Arial" w:hAnsi="Arial"/>
                <w:sz w:val="14"/>
                <w:szCs w:val="14"/>
                <w:color w:val="auto"/>
              </w:rPr>
              <w:t>of Clear Creek Properties, Inc.</w:t>
            </w:r>
          </w:p>
        </w:tc>
        <w:tc>
          <w:tcPr>
            <w:tcW w:w="19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26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640" w:type="dxa"/>
            <w:vAlign w:val="bottom"/>
            <w:vMerge w:val="restart"/>
            <w:shd w:val="clear" w:color="auto" w:fill="E5E5E5"/>
          </w:tcPr>
          <w:p>
            <w:pPr>
              <w:ind w:left="620"/>
              <w:spacing w:after="0"/>
              <w:rPr>
                <w:sz w:val="20"/>
                <w:szCs w:val="20"/>
                <w:color w:val="auto"/>
              </w:rPr>
            </w:pPr>
            <w:r>
              <w:rPr>
                <w:rFonts w:ascii="Arial" w:cs="Arial" w:eastAsia="Arial" w:hAnsi="Arial"/>
                <w:sz w:val="14"/>
                <w:szCs w:val="14"/>
                <w:b w:val="1"/>
                <w:bCs w:val="1"/>
                <w:color w:val="auto"/>
              </w:rPr>
              <w:t>Michael A. Neal</w:t>
            </w:r>
          </w:p>
        </w:tc>
        <w:tc>
          <w:tcPr>
            <w:tcW w:w="1040" w:type="dxa"/>
            <w:vAlign w:val="bottom"/>
            <w:vMerge w:val="restart"/>
            <w:shd w:val="clear" w:color="auto" w:fill="E5E5E5"/>
          </w:tcPr>
          <w:p>
            <w:pPr>
              <w:jc w:val="center"/>
              <w:ind w:left="328"/>
              <w:spacing w:after="0"/>
              <w:rPr>
                <w:sz w:val="20"/>
                <w:szCs w:val="20"/>
                <w:color w:val="auto"/>
              </w:rPr>
            </w:pPr>
            <w:r>
              <w:rPr>
                <w:rFonts w:ascii="Arial" w:cs="Arial" w:eastAsia="Arial" w:hAnsi="Arial"/>
                <w:sz w:val="14"/>
                <w:szCs w:val="14"/>
                <w:color w:val="auto"/>
              </w:rPr>
              <w:t>66</w:t>
            </w:r>
          </w:p>
        </w:tc>
        <w:tc>
          <w:tcPr>
            <w:tcW w:w="2780" w:type="dxa"/>
            <w:vAlign w:val="bottom"/>
            <w:shd w:val="clear" w:color="auto" w:fill="E5E5E5"/>
          </w:tcPr>
          <w:p>
            <w:pPr>
              <w:ind w:left="160"/>
              <w:spacing w:after="0"/>
              <w:rPr>
                <w:sz w:val="20"/>
                <w:szCs w:val="20"/>
                <w:color w:val="auto"/>
              </w:rPr>
            </w:pPr>
            <w:r>
              <w:rPr>
                <w:rFonts w:ascii="Arial" w:cs="Arial" w:eastAsia="Arial" w:hAnsi="Arial"/>
                <w:sz w:val="14"/>
                <w:szCs w:val="14"/>
                <w:color w:val="auto"/>
              </w:rPr>
              <w:t>Retired Vice Chairman of</w:t>
            </w:r>
          </w:p>
        </w:tc>
        <w:tc>
          <w:tcPr>
            <w:tcW w:w="192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rPr>
              <w:t>0</w:t>
            </w:r>
          </w:p>
        </w:tc>
        <w:tc>
          <w:tcPr>
            <w:tcW w:w="2640" w:type="dxa"/>
            <w:vAlign w:val="bottom"/>
            <w:vMerge w:val="restart"/>
            <w:shd w:val="clear" w:color="auto" w:fill="E5E5E5"/>
          </w:tcPr>
          <w:p>
            <w:pPr>
              <w:ind w:left="160"/>
              <w:spacing w:after="0"/>
              <w:rPr>
                <w:sz w:val="20"/>
                <w:szCs w:val="20"/>
                <w:color w:val="auto"/>
              </w:rPr>
            </w:pPr>
            <w:r>
              <w:rPr>
                <w:rFonts w:ascii="Arial" w:cs="Arial" w:eastAsia="Arial" w:hAnsi="Arial"/>
                <w:sz w:val="14"/>
                <w:szCs w:val="14"/>
                <w:color w:val="auto"/>
              </w:rPr>
              <w:t>Directors’ Risk Policy</w:t>
            </w:r>
          </w:p>
        </w:tc>
        <w:tc>
          <w:tcPr>
            <w:tcW w:w="0" w:type="dxa"/>
            <w:vAlign w:val="bottom"/>
          </w:tcPr>
          <w:p>
            <w:pPr>
              <w:spacing w:after="0"/>
              <w:rPr>
                <w:sz w:val="1"/>
                <w:szCs w:val="1"/>
                <w:color w:val="auto"/>
              </w:rPr>
            </w:pPr>
          </w:p>
        </w:tc>
      </w:tr>
      <w:tr>
        <w:trPr>
          <w:trHeight w:val="95"/>
        </w:trPr>
        <w:tc>
          <w:tcPr>
            <w:tcW w:w="2640" w:type="dxa"/>
            <w:vAlign w:val="bottom"/>
            <w:vMerge w:val="continue"/>
            <w:shd w:val="clear" w:color="auto" w:fill="E5E5E5"/>
          </w:tcPr>
          <w:p>
            <w:pPr>
              <w:spacing w:after="0"/>
              <w:rPr>
                <w:sz w:val="8"/>
                <w:szCs w:val="8"/>
                <w:color w:val="auto"/>
              </w:rPr>
            </w:pPr>
          </w:p>
        </w:tc>
        <w:tc>
          <w:tcPr>
            <w:tcW w:w="1040" w:type="dxa"/>
            <w:vAlign w:val="bottom"/>
            <w:vMerge w:val="continue"/>
            <w:shd w:val="clear" w:color="auto" w:fill="E5E5E5"/>
          </w:tcPr>
          <w:p>
            <w:pPr>
              <w:spacing w:after="0"/>
              <w:rPr>
                <w:sz w:val="8"/>
                <w:szCs w:val="8"/>
                <w:color w:val="auto"/>
              </w:rPr>
            </w:pPr>
          </w:p>
        </w:tc>
        <w:tc>
          <w:tcPr>
            <w:tcW w:w="2780" w:type="dxa"/>
            <w:vAlign w:val="bottom"/>
            <w:vMerge w:val="restart"/>
            <w:shd w:val="clear" w:color="auto" w:fill="E5E5E5"/>
          </w:tcPr>
          <w:p>
            <w:pPr>
              <w:ind w:left="160"/>
              <w:spacing w:after="0"/>
              <w:rPr>
                <w:sz w:val="20"/>
                <w:szCs w:val="20"/>
                <w:color w:val="auto"/>
              </w:rPr>
            </w:pPr>
            <w:r>
              <w:rPr>
                <w:rFonts w:ascii="Arial" w:cs="Arial" w:eastAsia="Arial" w:hAnsi="Arial"/>
                <w:sz w:val="14"/>
                <w:szCs w:val="14"/>
                <w:color w:val="auto"/>
              </w:rPr>
              <w:t>General Electric Company and Retired</w:t>
            </w:r>
          </w:p>
        </w:tc>
        <w:tc>
          <w:tcPr>
            <w:tcW w:w="1920" w:type="dxa"/>
            <w:vAlign w:val="bottom"/>
            <w:vMerge w:val="continue"/>
            <w:shd w:val="clear" w:color="auto" w:fill="E5E5E5"/>
          </w:tcPr>
          <w:p>
            <w:pPr>
              <w:spacing w:after="0"/>
              <w:rPr>
                <w:sz w:val="8"/>
                <w:szCs w:val="8"/>
                <w:color w:val="auto"/>
              </w:rPr>
            </w:pPr>
          </w:p>
        </w:tc>
        <w:tc>
          <w:tcPr>
            <w:tcW w:w="2640" w:type="dxa"/>
            <w:vAlign w:val="bottom"/>
            <w:vMerge w:val="continue"/>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40" w:type="dxa"/>
            <w:vAlign w:val="bottom"/>
            <w:vMerge w:val="restart"/>
            <w:shd w:val="clear" w:color="auto" w:fill="E5E5E5"/>
          </w:tcPr>
          <w:p>
            <w:pPr>
              <w:ind w:left="620"/>
              <w:spacing w:after="0"/>
              <w:rPr>
                <w:sz w:val="20"/>
                <w:szCs w:val="20"/>
                <w:color w:val="auto"/>
              </w:rPr>
            </w:pPr>
            <w:r>
              <w:rPr>
                <w:rFonts w:ascii="Arial" w:cs="Arial" w:eastAsia="Arial" w:hAnsi="Arial"/>
                <w:sz w:val="14"/>
                <w:szCs w:val="14"/>
                <w:color w:val="auto"/>
              </w:rPr>
              <w:t>Director since 2014</w:t>
            </w:r>
          </w:p>
        </w:tc>
        <w:tc>
          <w:tcPr>
            <w:tcW w:w="1040" w:type="dxa"/>
            <w:vAlign w:val="bottom"/>
            <w:shd w:val="clear" w:color="auto" w:fill="E5E5E5"/>
          </w:tcPr>
          <w:p>
            <w:pPr>
              <w:spacing w:after="0"/>
              <w:rPr>
                <w:sz w:val="5"/>
                <w:szCs w:val="5"/>
                <w:color w:val="auto"/>
              </w:rPr>
            </w:pPr>
          </w:p>
        </w:tc>
        <w:tc>
          <w:tcPr>
            <w:tcW w:w="2780" w:type="dxa"/>
            <w:vAlign w:val="bottom"/>
            <w:vMerge w:val="continue"/>
            <w:shd w:val="clear" w:color="auto" w:fill="E5E5E5"/>
          </w:tcPr>
          <w:p>
            <w:pPr>
              <w:spacing w:after="0"/>
              <w:rPr>
                <w:sz w:val="5"/>
                <w:szCs w:val="5"/>
                <w:color w:val="auto"/>
              </w:rPr>
            </w:pPr>
          </w:p>
        </w:tc>
        <w:tc>
          <w:tcPr>
            <w:tcW w:w="1920" w:type="dxa"/>
            <w:vAlign w:val="bottom"/>
            <w:shd w:val="clear" w:color="auto" w:fill="E5E5E5"/>
          </w:tcPr>
          <w:p>
            <w:pPr>
              <w:spacing w:after="0"/>
              <w:rPr>
                <w:sz w:val="5"/>
                <w:szCs w:val="5"/>
                <w:color w:val="auto"/>
              </w:rPr>
            </w:pPr>
          </w:p>
        </w:tc>
        <w:tc>
          <w:tcPr>
            <w:tcW w:w="264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640" w:type="dxa"/>
            <w:vAlign w:val="bottom"/>
            <w:vMerge w:val="continue"/>
            <w:shd w:val="clear" w:color="auto" w:fill="E5E5E5"/>
          </w:tcPr>
          <w:p>
            <w:pPr>
              <w:spacing w:after="0"/>
              <w:rPr>
                <w:sz w:val="9"/>
                <w:szCs w:val="9"/>
                <w:color w:val="auto"/>
              </w:rPr>
            </w:pPr>
          </w:p>
        </w:tc>
        <w:tc>
          <w:tcPr>
            <w:tcW w:w="1040" w:type="dxa"/>
            <w:vAlign w:val="bottom"/>
            <w:shd w:val="clear" w:color="auto" w:fill="E5E5E5"/>
          </w:tcPr>
          <w:p>
            <w:pPr>
              <w:spacing w:after="0"/>
              <w:rPr>
                <w:sz w:val="9"/>
                <w:szCs w:val="9"/>
                <w:color w:val="auto"/>
              </w:rPr>
            </w:pPr>
          </w:p>
        </w:tc>
        <w:tc>
          <w:tcPr>
            <w:tcW w:w="2780" w:type="dxa"/>
            <w:vAlign w:val="bottom"/>
            <w:vMerge w:val="restart"/>
            <w:shd w:val="clear" w:color="auto" w:fill="E5E5E5"/>
          </w:tcPr>
          <w:p>
            <w:pPr>
              <w:ind w:left="160"/>
              <w:spacing w:after="0"/>
              <w:rPr>
                <w:sz w:val="20"/>
                <w:szCs w:val="20"/>
                <w:color w:val="auto"/>
              </w:rPr>
            </w:pPr>
            <w:r>
              <w:rPr>
                <w:rFonts w:ascii="Arial" w:cs="Arial" w:eastAsia="Arial" w:hAnsi="Arial"/>
                <w:sz w:val="14"/>
                <w:szCs w:val="14"/>
                <w:color w:val="auto"/>
              </w:rPr>
              <w:t>Chairman and Chief Executive Officer</w:t>
            </w:r>
          </w:p>
        </w:tc>
        <w:tc>
          <w:tcPr>
            <w:tcW w:w="1920" w:type="dxa"/>
            <w:vAlign w:val="bottom"/>
            <w:shd w:val="clear" w:color="auto" w:fill="E5E5E5"/>
          </w:tcPr>
          <w:p>
            <w:pPr>
              <w:spacing w:after="0"/>
              <w:rPr>
                <w:sz w:val="9"/>
                <w:szCs w:val="9"/>
                <w:color w:val="auto"/>
              </w:rPr>
            </w:pPr>
          </w:p>
        </w:tc>
        <w:tc>
          <w:tcPr>
            <w:tcW w:w="2640" w:type="dxa"/>
            <w:vAlign w:val="bottom"/>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640" w:type="dxa"/>
            <w:vAlign w:val="bottom"/>
            <w:shd w:val="clear" w:color="auto" w:fill="E5E5E5"/>
          </w:tcPr>
          <w:p>
            <w:pPr>
              <w:spacing w:after="0"/>
              <w:rPr>
                <w:sz w:val="4"/>
                <w:szCs w:val="4"/>
                <w:color w:val="auto"/>
              </w:rPr>
            </w:pPr>
          </w:p>
        </w:tc>
        <w:tc>
          <w:tcPr>
            <w:tcW w:w="1040" w:type="dxa"/>
            <w:vAlign w:val="bottom"/>
            <w:shd w:val="clear" w:color="auto" w:fill="E5E5E5"/>
          </w:tcPr>
          <w:p>
            <w:pPr>
              <w:spacing w:after="0"/>
              <w:rPr>
                <w:sz w:val="4"/>
                <w:szCs w:val="4"/>
                <w:color w:val="auto"/>
              </w:rPr>
            </w:pPr>
          </w:p>
        </w:tc>
        <w:tc>
          <w:tcPr>
            <w:tcW w:w="2780" w:type="dxa"/>
            <w:vAlign w:val="bottom"/>
            <w:vMerge w:val="continue"/>
            <w:shd w:val="clear" w:color="auto" w:fill="E5E5E5"/>
          </w:tcPr>
          <w:p>
            <w:pPr>
              <w:spacing w:after="0"/>
              <w:rPr>
                <w:sz w:val="4"/>
                <w:szCs w:val="4"/>
                <w:color w:val="auto"/>
              </w:rPr>
            </w:pPr>
          </w:p>
        </w:tc>
        <w:tc>
          <w:tcPr>
            <w:tcW w:w="1920" w:type="dxa"/>
            <w:vAlign w:val="bottom"/>
            <w:shd w:val="clear" w:color="auto" w:fill="E5E5E5"/>
          </w:tcPr>
          <w:p>
            <w:pPr>
              <w:spacing w:after="0"/>
              <w:rPr>
                <w:sz w:val="4"/>
                <w:szCs w:val="4"/>
                <w:color w:val="auto"/>
              </w:rPr>
            </w:pPr>
          </w:p>
        </w:tc>
        <w:tc>
          <w:tcPr>
            <w:tcW w:w="264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2780" w:type="dxa"/>
            <w:vAlign w:val="bottom"/>
            <w:shd w:val="clear" w:color="auto" w:fill="E5E5E5"/>
          </w:tcPr>
          <w:p>
            <w:pPr>
              <w:ind w:left="160"/>
              <w:spacing w:after="0"/>
              <w:rPr>
                <w:sz w:val="20"/>
                <w:szCs w:val="20"/>
                <w:color w:val="auto"/>
              </w:rPr>
            </w:pPr>
            <w:r>
              <w:rPr>
                <w:rFonts w:ascii="Arial" w:cs="Arial" w:eastAsia="Arial" w:hAnsi="Arial"/>
                <w:sz w:val="14"/>
                <w:szCs w:val="14"/>
                <w:color w:val="auto"/>
              </w:rPr>
              <w:t>of GE Capital</w:t>
            </w:r>
          </w:p>
        </w:tc>
        <w:tc>
          <w:tcPr>
            <w:tcW w:w="1920" w:type="dxa"/>
            <w:vAlign w:val="bottom"/>
            <w:shd w:val="clear" w:color="auto" w:fill="E5E5E5"/>
          </w:tcPr>
          <w:p>
            <w:pPr>
              <w:spacing w:after="0"/>
              <w:rPr>
                <w:sz w:val="14"/>
                <w:szCs w:val="14"/>
                <w:color w:val="auto"/>
              </w:rPr>
            </w:pPr>
          </w:p>
        </w:tc>
        <w:tc>
          <w:tcPr>
            <w:tcW w:w="26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40" w:type="dxa"/>
            <w:vAlign w:val="bottom"/>
          </w:tcPr>
          <w:p>
            <w:pPr>
              <w:ind w:left="620"/>
              <w:spacing w:after="0"/>
              <w:rPr>
                <w:sz w:val="20"/>
                <w:szCs w:val="20"/>
                <w:color w:val="auto"/>
              </w:rPr>
            </w:pPr>
            <w:r>
              <w:rPr>
                <w:rFonts w:ascii="Arial" w:cs="Arial" w:eastAsia="Arial" w:hAnsi="Arial"/>
                <w:sz w:val="14"/>
                <w:szCs w:val="14"/>
                <w:b w:val="1"/>
                <w:bCs w:val="1"/>
                <w:color w:val="auto"/>
              </w:rPr>
              <w:t>Lee R. Raymond</w:t>
            </w:r>
          </w:p>
        </w:tc>
        <w:tc>
          <w:tcPr>
            <w:tcW w:w="1040" w:type="dxa"/>
            <w:vAlign w:val="bottom"/>
          </w:tcPr>
          <w:p>
            <w:pPr>
              <w:jc w:val="center"/>
              <w:ind w:left="328"/>
              <w:spacing w:after="0"/>
              <w:rPr>
                <w:sz w:val="20"/>
                <w:szCs w:val="20"/>
                <w:color w:val="auto"/>
              </w:rPr>
            </w:pPr>
            <w:r>
              <w:rPr>
                <w:rFonts w:ascii="Arial" w:cs="Arial" w:eastAsia="Arial" w:hAnsi="Arial"/>
                <w:sz w:val="14"/>
                <w:szCs w:val="14"/>
                <w:color w:val="auto"/>
              </w:rPr>
              <w:t>80</w:t>
            </w:r>
          </w:p>
        </w:tc>
        <w:tc>
          <w:tcPr>
            <w:tcW w:w="2780" w:type="dxa"/>
            <w:vAlign w:val="bottom"/>
          </w:tcPr>
          <w:p>
            <w:pPr>
              <w:ind w:left="160"/>
              <w:spacing w:after="0"/>
              <w:rPr>
                <w:sz w:val="20"/>
                <w:szCs w:val="20"/>
                <w:color w:val="auto"/>
              </w:rPr>
            </w:pPr>
            <w:r>
              <w:rPr>
                <w:rFonts w:ascii="Arial" w:cs="Arial" w:eastAsia="Arial" w:hAnsi="Arial"/>
                <w:sz w:val="14"/>
                <w:szCs w:val="14"/>
                <w:color w:val="auto"/>
              </w:rPr>
              <w:t>Retired Chairman and Chief Executive</w:t>
            </w:r>
          </w:p>
        </w:tc>
        <w:tc>
          <w:tcPr>
            <w:tcW w:w="1920" w:type="dxa"/>
            <w:vAlign w:val="bottom"/>
          </w:tcPr>
          <w:p>
            <w:pPr>
              <w:jc w:val="center"/>
              <w:spacing w:after="0"/>
              <w:rPr>
                <w:sz w:val="20"/>
                <w:szCs w:val="20"/>
                <w:color w:val="auto"/>
              </w:rPr>
            </w:pPr>
            <w:r>
              <w:rPr>
                <w:rFonts w:ascii="Arial" w:cs="Arial" w:eastAsia="Arial" w:hAnsi="Arial"/>
                <w:sz w:val="14"/>
                <w:szCs w:val="14"/>
                <w:color w:val="auto"/>
              </w:rPr>
              <w:t>0</w:t>
            </w:r>
          </w:p>
        </w:tc>
        <w:tc>
          <w:tcPr>
            <w:tcW w:w="2640" w:type="dxa"/>
            <w:vAlign w:val="bottom"/>
          </w:tcPr>
          <w:p>
            <w:pPr>
              <w:ind w:left="16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162"/>
        </w:trPr>
        <w:tc>
          <w:tcPr>
            <w:tcW w:w="2640" w:type="dxa"/>
            <w:vAlign w:val="bottom"/>
          </w:tcPr>
          <w:p>
            <w:pPr>
              <w:ind w:left="620"/>
              <w:spacing w:after="0"/>
              <w:rPr>
                <w:sz w:val="20"/>
                <w:szCs w:val="20"/>
                <w:color w:val="auto"/>
              </w:rPr>
            </w:pPr>
            <w:r>
              <w:rPr>
                <w:rFonts w:ascii="Arial" w:cs="Arial" w:eastAsia="Arial" w:hAnsi="Arial"/>
                <w:sz w:val="14"/>
                <w:szCs w:val="14"/>
                <w:b w:val="1"/>
                <w:bCs w:val="1"/>
                <w:color w:val="auto"/>
              </w:rPr>
              <w:t>(Lead Independent</w:t>
            </w:r>
          </w:p>
        </w:tc>
        <w:tc>
          <w:tcPr>
            <w:tcW w:w="1040" w:type="dxa"/>
            <w:vAlign w:val="bottom"/>
          </w:tcPr>
          <w:p>
            <w:pPr>
              <w:spacing w:after="0"/>
              <w:rPr>
                <w:sz w:val="14"/>
                <w:szCs w:val="14"/>
                <w:color w:val="auto"/>
              </w:rPr>
            </w:pPr>
          </w:p>
        </w:tc>
        <w:tc>
          <w:tcPr>
            <w:tcW w:w="2780" w:type="dxa"/>
            <w:vAlign w:val="bottom"/>
          </w:tcPr>
          <w:p>
            <w:pPr>
              <w:ind w:left="160"/>
              <w:spacing w:after="0"/>
              <w:rPr>
                <w:sz w:val="20"/>
                <w:szCs w:val="20"/>
                <w:color w:val="auto"/>
              </w:rPr>
            </w:pPr>
            <w:r>
              <w:rPr>
                <w:rFonts w:ascii="Arial" w:cs="Arial" w:eastAsia="Arial" w:hAnsi="Arial"/>
                <w:sz w:val="14"/>
                <w:szCs w:val="14"/>
                <w:color w:val="auto"/>
              </w:rPr>
              <w:t>Officer of Exxon Mobil Corporation</w:t>
            </w:r>
          </w:p>
        </w:tc>
        <w:tc>
          <w:tcPr>
            <w:tcW w:w="1920" w:type="dxa"/>
            <w:vAlign w:val="bottom"/>
          </w:tcPr>
          <w:p>
            <w:pPr>
              <w:spacing w:after="0"/>
              <w:rPr>
                <w:sz w:val="14"/>
                <w:szCs w:val="14"/>
                <w:color w:val="auto"/>
              </w:rPr>
            </w:pPr>
          </w:p>
        </w:tc>
        <w:tc>
          <w:tcPr>
            <w:tcW w:w="2640" w:type="dxa"/>
            <w:vAlign w:val="bottom"/>
          </w:tcPr>
          <w:p>
            <w:pPr>
              <w:ind w:left="160"/>
              <w:spacing w:after="0"/>
              <w:rPr>
                <w:sz w:val="20"/>
                <w:szCs w:val="20"/>
                <w:color w:val="auto"/>
              </w:rPr>
            </w:pPr>
            <w:r>
              <w:rPr>
                <w:rFonts w:ascii="Arial" w:cs="Arial" w:eastAsia="Arial" w:hAnsi="Arial"/>
                <w:sz w:val="14"/>
                <w:szCs w:val="14"/>
                <w:color w:val="auto"/>
              </w:rPr>
              <w:t>Development (Chair); Corporate</w:t>
            </w:r>
          </w:p>
        </w:tc>
        <w:tc>
          <w:tcPr>
            <w:tcW w:w="0" w:type="dxa"/>
            <w:vAlign w:val="bottom"/>
          </w:tcPr>
          <w:p>
            <w:pPr>
              <w:spacing w:after="0"/>
              <w:rPr>
                <w:sz w:val="1"/>
                <w:szCs w:val="1"/>
                <w:color w:val="auto"/>
              </w:rPr>
            </w:pPr>
          </w:p>
        </w:tc>
      </w:tr>
      <w:tr>
        <w:trPr>
          <w:trHeight w:val="180"/>
        </w:trPr>
        <w:tc>
          <w:tcPr>
            <w:tcW w:w="2640" w:type="dxa"/>
            <w:vAlign w:val="bottom"/>
          </w:tcPr>
          <w:p>
            <w:pPr>
              <w:ind w:left="620"/>
              <w:spacing w:after="0"/>
              <w:rPr>
                <w:sz w:val="20"/>
                <w:szCs w:val="20"/>
                <w:color w:val="auto"/>
              </w:rPr>
            </w:pPr>
            <w:r>
              <w:rPr>
                <w:rFonts w:ascii="Arial" w:cs="Arial" w:eastAsia="Arial" w:hAnsi="Arial"/>
                <w:sz w:val="14"/>
                <w:szCs w:val="14"/>
                <w:b w:val="1"/>
                <w:bCs w:val="1"/>
                <w:color w:val="auto"/>
              </w:rPr>
              <w:t>Director)</w:t>
            </w:r>
          </w:p>
        </w:tc>
        <w:tc>
          <w:tcPr>
            <w:tcW w:w="10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40" w:type="dxa"/>
            <w:vAlign w:val="bottom"/>
          </w:tcPr>
          <w:p>
            <w:pPr>
              <w:ind w:left="160"/>
              <w:spacing w:after="0"/>
              <w:rPr>
                <w:sz w:val="20"/>
                <w:szCs w:val="20"/>
                <w:color w:val="auto"/>
              </w:rPr>
            </w:pPr>
            <w:r>
              <w:rPr>
                <w:rFonts w:ascii="Arial" w:cs="Arial" w:eastAsia="Arial" w:hAnsi="Arial"/>
                <w:sz w:val="14"/>
                <w:szCs w:val="14"/>
                <w:color w:val="auto"/>
              </w:rPr>
              <w:t>Governance &amp; Nominating</w:t>
            </w:r>
          </w:p>
        </w:tc>
        <w:tc>
          <w:tcPr>
            <w:tcW w:w="0" w:type="dxa"/>
            <w:vAlign w:val="bottom"/>
          </w:tcPr>
          <w:p>
            <w:pPr>
              <w:spacing w:after="0"/>
              <w:rPr>
                <w:sz w:val="1"/>
                <w:szCs w:val="1"/>
                <w:color w:val="auto"/>
              </w:rPr>
            </w:pPr>
          </w:p>
        </w:tc>
      </w:tr>
      <w:tr>
        <w:trPr>
          <w:trHeight w:val="172"/>
        </w:trPr>
        <w:tc>
          <w:tcPr>
            <w:tcW w:w="2640" w:type="dxa"/>
            <w:vAlign w:val="bottom"/>
          </w:tcPr>
          <w:p>
            <w:pPr>
              <w:ind w:left="620"/>
              <w:spacing w:after="0"/>
              <w:rPr>
                <w:sz w:val="20"/>
                <w:szCs w:val="20"/>
                <w:color w:val="auto"/>
              </w:rPr>
            </w:pPr>
            <w:r>
              <w:rPr>
                <w:rFonts w:ascii="Arial" w:cs="Arial" w:eastAsia="Arial" w:hAnsi="Arial"/>
                <w:sz w:val="14"/>
                <w:szCs w:val="14"/>
                <w:color w:val="auto"/>
              </w:rPr>
              <w:t>Director since 2001</w:t>
            </w:r>
          </w:p>
        </w:tc>
        <w:tc>
          <w:tcPr>
            <w:tcW w:w="10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-4657090</wp:posOffset>
            </wp:positionV>
            <wp:extent cx="317500" cy="4613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7500" cy="4613910"/>
                    </a:xfrm>
                    <a:prstGeom prst="rect">
                      <a:avLst/>
                    </a:prstGeom>
                    <a:noFill/>
                  </pic:spPr>
                </pic:pic>
              </a:graphicData>
            </a:graphic>
          </wp:anchor>
        </w:drawing>
      </w:r>
    </w:p>
    <w:p>
      <w:pPr>
        <w:ind w:left="420" w:hanging="176"/>
        <w:spacing w:after="0"/>
        <w:tabs>
          <w:tab w:leader="none" w:pos="420" w:val="left"/>
        </w:tabs>
        <w:numPr>
          <w:ilvl w:val="0"/>
          <w:numId w:val="19"/>
        </w:numPr>
        <w:rPr>
          <w:rFonts w:ascii="Arial" w:cs="Arial" w:eastAsia="Arial" w:hAnsi="Arial"/>
          <w:sz w:val="24"/>
          <w:szCs w:val="24"/>
          <w:color w:val="auto"/>
          <w:vertAlign w:val="superscript"/>
        </w:rPr>
      </w:pPr>
      <w:r>
        <w:rPr>
          <w:rFonts w:ascii="Arial" w:cs="Arial" w:eastAsia="Arial" w:hAnsi="Arial"/>
          <w:sz w:val="14"/>
          <w:szCs w:val="14"/>
          <w:color w:val="auto"/>
        </w:rPr>
        <w:t>Director of a heritage company of the Firm as follows: Bank One Corporation: Mr. Burke (2003–2004), Mr. Crown (1996–2004), Mr. Dimon, Chairman of the Board (2000–</w:t>
      </w:r>
    </w:p>
    <w:p>
      <w:pPr>
        <w:ind w:left="420"/>
        <w:spacing w:after="0" w:line="230" w:lineRule="auto"/>
        <w:rPr>
          <w:rFonts w:ascii="Arial" w:cs="Arial" w:eastAsia="Arial" w:hAnsi="Arial"/>
          <w:sz w:val="24"/>
          <w:szCs w:val="24"/>
          <w:color w:val="auto"/>
          <w:vertAlign w:val="superscript"/>
        </w:rPr>
      </w:pPr>
      <w:r>
        <w:rPr>
          <w:rFonts w:ascii="Arial" w:cs="Arial" w:eastAsia="Arial" w:hAnsi="Arial"/>
          <w:sz w:val="14"/>
          <w:szCs w:val="14"/>
          <w:color w:val="auto"/>
        </w:rPr>
        <w:t>2004) and Mr. Jackson (1993–2004); First Chicago Corp.: Mr. Crown (1991–1996); and J.P. Morgan &amp; Co. Incorporated: Mr. Raymond (1987–2000)</w:t>
      </w:r>
    </w:p>
    <w:p>
      <w:pPr>
        <w:ind w:left="420" w:hanging="176"/>
        <w:spacing w:after="0" w:line="188" w:lineRule="auto"/>
        <w:tabs>
          <w:tab w:leader="none" w:pos="420" w:val="left"/>
        </w:tabs>
        <w:numPr>
          <w:ilvl w:val="0"/>
          <w:numId w:val="20"/>
        </w:numPr>
        <w:rPr>
          <w:rFonts w:ascii="Arial" w:cs="Arial" w:eastAsia="Arial" w:hAnsi="Arial"/>
          <w:sz w:val="18"/>
          <w:szCs w:val="18"/>
          <w:color w:val="auto"/>
          <w:vertAlign w:val="superscript"/>
        </w:rPr>
      </w:pPr>
      <w:r>
        <w:rPr>
          <w:rFonts w:ascii="Arial" w:cs="Arial" w:eastAsia="Arial" w:hAnsi="Arial"/>
          <w:sz w:val="11"/>
          <w:szCs w:val="11"/>
          <w:color w:val="auto"/>
        </w:rPr>
        <w:t>Principal standing committee</w:t>
      </w:r>
    </w:p>
    <w:p>
      <w:pPr>
        <w:ind w:left="420" w:hanging="176"/>
        <w:spacing w:after="0" w:line="187" w:lineRule="auto"/>
        <w:tabs>
          <w:tab w:leader="none" w:pos="420" w:val="left"/>
        </w:tabs>
        <w:numPr>
          <w:ilvl w:val="0"/>
          <w:numId w:val="21"/>
        </w:numPr>
        <w:rPr>
          <w:rFonts w:ascii="Arial" w:cs="Arial" w:eastAsia="Arial" w:hAnsi="Arial"/>
          <w:sz w:val="20"/>
          <w:szCs w:val="20"/>
          <w:color w:val="auto"/>
          <w:vertAlign w:val="superscript"/>
        </w:rPr>
      </w:pPr>
      <w:r>
        <w:rPr>
          <w:rFonts w:ascii="Arial" w:cs="Arial" w:eastAsia="Arial" w:hAnsi="Arial"/>
          <w:sz w:val="12"/>
          <w:szCs w:val="12"/>
          <w:color w:val="auto"/>
        </w:rPr>
        <w:t>Retired from JPMorgan Chase &amp; Co. in 2005</w:t>
      </w:r>
    </w:p>
    <w:p>
      <w:pPr>
        <w:spacing w:after="0" w:line="12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8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48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5</w:t>
            </w:r>
          </w:p>
        </w:tc>
      </w:tr>
    </w:tbl>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327660</wp:posOffset>
            </wp:positionV>
            <wp:extent cx="699770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4876"/>
        </w:rPr>
        <w:t>Proposal 2: Advisory resolution to approve executive compensation – page 38</w:t>
      </w:r>
    </w:p>
    <w:p>
      <w:pPr>
        <w:spacing w:after="0" w:line="211"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We are submitting an advisory resolution to approve the executive compensation of our Named Executive Officers (“NEOs”). The table below summarizes the salary and incentive compensation awarded to our NEOs for 2018 performance.</w:t>
      </w:r>
    </w:p>
    <w:p>
      <w:pPr>
        <w:spacing w:after="0" w:line="90"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tcBorders>
              <w:bottom w:val="single" w:sz="8" w:color="004876"/>
            </w:tcBorders>
            <w:gridSpan w:val="4"/>
          </w:tcPr>
          <w:p>
            <w:pPr>
              <w:jc w:val="right"/>
              <w:ind w:right="628"/>
              <w:spacing w:after="0"/>
              <w:rPr>
                <w:sz w:val="20"/>
                <w:szCs w:val="20"/>
                <w:color w:val="auto"/>
              </w:rPr>
            </w:pPr>
            <w:r>
              <w:rPr>
                <w:rFonts w:ascii="Arial" w:cs="Arial" w:eastAsia="Arial" w:hAnsi="Arial"/>
                <w:sz w:val="14"/>
                <w:szCs w:val="14"/>
                <w:b w:val="1"/>
                <w:bCs w:val="1"/>
                <w:color w:val="auto"/>
              </w:rPr>
              <w:t>INCENTIVE COMPENSATION</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60"/>
              <w:spacing w:after="0"/>
              <w:rPr>
                <w:sz w:val="20"/>
                <w:szCs w:val="20"/>
                <w:color w:val="auto"/>
              </w:rPr>
            </w:pPr>
            <w:r>
              <w:rPr>
                <w:rFonts w:ascii="Arial" w:cs="Arial" w:eastAsia="Arial" w:hAnsi="Arial"/>
                <w:sz w:val="14"/>
                <w:szCs w:val="14"/>
                <w:b w:val="1"/>
                <w:bCs w:val="1"/>
                <w:color w:val="auto"/>
              </w:rPr>
              <w:t>Name and</w:t>
            </w: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Restricted</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principal position</w:t>
            </w:r>
          </w:p>
        </w:tc>
        <w:tc>
          <w:tcPr>
            <w:tcW w:w="126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Salary</w:t>
            </w:r>
          </w:p>
        </w:tc>
        <w:tc>
          <w:tcPr>
            <w:tcW w:w="400" w:type="dxa"/>
            <w:vAlign w:val="bottom"/>
            <w:tcBorders>
              <w:bottom w:val="single" w:sz="8" w:color="004876"/>
            </w:tcBorders>
          </w:tcPr>
          <w:p>
            <w:pPr>
              <w:spacing w:after="0"/>
              <w:rPr>
                <w:sz w:val="17"/>
                <w:szCs w:val="17"/>
                <w:color w:val="auto"/>
              </w:rPr>
            </w:pPr>
          </w:p>
        </w:tc>
        <w:tc>
          <w:tcPr>
            <w:tcW w:w="1020" w:type="dxa"/>
            <w:vAlign w:val="bottom"/>
            <w:tcBorders>
              <w:bottom w:val="single" w:sz="8" w:color="004876"/>
            </w:tcBorders>
          </w:tcPr>
          <w:p>
            <w:pPr>
              <w:jc w:val="right"/>
              <w:ind w:right="148"/>
              <w:spacing w:after="0"/>
              <w:rPr>
                <w:sz w:val="20"/>
                <w:szCs w:val="20"/>
                <w:color w:val="auto"/>
              </w:rPr>
            </w:pPr>
            <w:r>
              <w:rPr>
                <w:rFonts w:ascii="Arial" w:cs="Arial" w:eastAsia="Arial" w:hAnsi="Arial"/>
                <w:sz w:val="14"/>
                <w:szCs w:val="14"/>
                <w:b w:val="1"/>
                <w:bCs w:val="1"/>
                <w:color w:val="auto"/>
              </w:rPr>
              <w:t>Cash</w:t>
            </w:r>
          </w:p>
        </w:tc>
        <w:tc>
          <w:tcPr>
            <w:tcW w:w="1220" w:type="dxa"/>
            <w:vAlign w:val="bottom"/>
            <w:tcBorders>
              <w:bottom w:val="single" w:sz="8" w:color="004876"/>
            </w:tcBorders>
            <w:gridSpan w:val="2"/>
          </w:tcPr>
          <w:p>
            <w:pPr>
              <w:jc w:val="right"/>
              <w:ind w:right="148"/>
              <w:spacing w:after="0"/>
              <w:rPr>
                <w:sz w:val="20"/>
                <w:szCs w:val="20"/>
                <w:color w:val="auto"/>
              </w:rPr>
            </w:pPr>
            <w:r>
              <w:rPr>
                <w:rFonts w:ascii="Arial" w:cs="Arial" w:eastAsia="Arial" w:hAnsi="Arial"/>
                <w:sz w:val="14"/>
                <w:szCs w:val="14"/>
                <w:b w:val="1"/>
                <w:bCs w:val="1"/>
                <w:color w:val="auto"/>
              </w:rPr>
              <w:t>stock units</w:t>
            </w:r>
          </w:p>
        </w:tc>
        <w:tc>
          <w:tcPr>
            <w:tcW w:w="112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share units</w:t>
            </w:r>
          </w:p>
        </w:tc>
        <w:tc>
          <w:tcPr>
            <w:tcW w:w="1360" w:type="dxa"/>
            <w:vAlign w:val="bottom"/>
            <w:tcBorders>
              <w:bottom w:val="single" w:sz="8" w:color="004876"/>
            </w:tcBorders>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15"/>
        </w:trPr>
        <w:tc>
          <w:tcPr>
            <w:tcW w:w="46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James Dimon</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$ 1,500,000</w:t>
            </w:r>
          </w:p>
        </w:tc>
        <w:tc>
          <w:tcPr>
            <w:tcW w:w="1420" w:type="dxa"/>
            <w:vAlign w:val="bottom"/>
            <w:gridSpan w:val="2"/>
            <w:vMerge w:val="restart"/>
            <w:shd w:val="clear" w:color="auto" w:fill="E5E5E5"/>
          </w:tcPr>
          <w:p>
            <w:pPr>
              <w:jc w:val="right"/>
              <w:ind w:right="148"/>
              <w:spacing w:after="0"/>
              <w:rPr>
                <w:sz w:val="20"/>
                <w:szCs w:val="20"/>
                <w:color w:val="auto"/>
              </w:rPr>
            </w:pPr>
            <w:r>
              <w:rPr>
                <w:rFonts w:ascii="Arial" w:cs="Arial" w:eastAsia="Arial" w:hAnsi="Arial"/>
                <w:sz w:val="14"/>
                <w:szCs w:val="14"/>
                <w:color w:val="auto"/>
              </w:rPr>
              <w:t>$ 5,000,000</w:t>
            </w:r>
          </w:p>
        </w:tc>
        <w:tc>
          <w:tcPr>
            <w:tcW w:w="34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$ 24,500,000</w:t>
            </w:r>
          </w:p>
        </w:tc>
        <w:tc>
          <w:tcPr>
            <w:tcW w:w="136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$ 31,000,000</w:t>
            </w:r>
          </w:p>
        </w:tc>
        <w:tc>
          <w:tcPr>
            <w:tcW w:w="0" w:type="dxa"/>
            <w:vAlign w:val="bottom"/>
          </w:tcPr>
          <w:p>
            <w:pPr>
              <w:spacing w:after="0"/>
              <w:rPr>
                <w:sz w:val="1"/>
                <w:szCs w:val="1"/>
                <w:color w:val="auto"/>
              </w:rPr>
            </w:pPr>
          </w:p>
        </w:tc>
      </w:tr>
      <w:tr>
        <w:trPr>
          <w:trHeight w:val="172"/>
        </w:trPr>
        <w:tc>
          <w:tcPr>
            <w:tcW w:w="4640" w:type="dxa"/>
            <w:vAlign w:val="bottom"/>
            <w:shd w:val="clear" w:color="auto" w:fill="E5E5E5"/>
          </w:tcPr>
          <w:p>
            <w:pPr>
              <w:ind w:left="60"/>
              <w:spacing w:after="0"/>
              <w:rPr>
                <w:sz w:val="20"/>
                <w:szCs w:val="20"/>
                <w:color w:val="auto"/>
              </w:rPr>
            </w:pPr>
            <w:r>
              <w:rPr>
                <w:rFonts w:ascii="Arial" w:cs="Arial" w:eastAsia="Arial" w:hAnsi="Arial"/>
                <w:sz w:val="14"/>
                <w:szCs w:val="14"/>
                <w:color w:val="auto"/>
              </w:rPr>
              <w:t>Chairman and CEO</w:t>
            </w:r>
          </w:p>
        </w:tc>
        <w:tc>
          <w:tcPr>
            <w:tcW w:w="1260" w:type="dxa"/>
            <w:vAlign w:val="bottom"/>
            <w:vMerge w:val="continue"/>
            <w:shd w:val="clear" w:color="auto" w:fill="E5E5E5"/>
          </w:tcPr>
          <w:p>
            <w:pPr>
              <w:spacing w:after="0"/>
              <w:rPr>
                <w:sz w:val="14"/>
                <w:szCs w:val="14"/>
                <w:color w:val="auto"/>
              </w:rPr>
            </w:pPr>
          </w:p>
        </w:tc>
        <w:tc>
          <w:tcPr>
            <w:tcW w:w="1420" w:type="dxa"/>
            <w:vAlign w:val="bottom"/>
            <w:gridSpan w:val="2"/>
            <w:vMerge w:val="continue"/>
            <w:shd w:val="clear" w:color="auto" w:fill="E5E5E5"/>
          </w:tcPr>
          <w:p>
            <w:pPr>
              <w:spacing w:after="0"/>
              <w:rPr>
                <w:sz w:val="14"/>
                <w:szCs w:val="14"/>
                <w:color w:val="auto"/>
              </w:rPr>
            </w:pPr>
          </w:p>
        </w:tc>
        <w:tc>
          <w:tcPr>
            <w:tcW w:w="340" w:type="dxa"/>
            <w:vAlign w:val="bottom"/>
            <w:vMerge w:val="continue"/>
            <w:shd w:val="clear" w:color="auto" w:fill="E5E5E5"/>
          </w:tcPr>
          <w:p>
            <w:pPr>
              <w:spacing w:after="0"/>
              <w:rPr>
                <w:sz w:val="14"/>
                <w:szCs w:val="14"/>
                <w:color w:val="auto"/>
              </w:rPr>
            </w:pPr>
          </w:p>
        </w:tc>
        <w:tc>
          <w:tcPr>
            <w:tcW w:w="880" w:type="dxa"/>
            <w:vAlign w:val="bottom"/>
            <w:vMerge w:val="continue"/>
            <w:shd w:val="clear" w:color="auto" w:fill="E5E5E5"/>
          </w:tcPr>
          <w:p>
            <w:pPr>
              <w:spacing w:after="0"/>
              <w:rPr>
                <w:sz w:val="14"/>
                <w:szCs w:val="14"/>
                <w:color w:val="auto"/>
              </w:rPr>
            </w:pPr>
          </w:p>
        </w:tc>
        <w:tc>
          <w:tcPr>
            <w:tcW w:w="1120" w:type="dxa"/>
            <w:vAlign w:val="bottom"/>
            <w:vMerge w:val="continue"/>
            <w:shd w:val="clear" w:color="auto" w:fill="E5E5E5"/>
          </w:tcPr>
          <w:p>
            <w:pPr>
              <w:spacing w:after="0"/>
              <w:rPr>
                <w:sz w:val="14"/>
                <w:szCs w:val="14"/>
                <w:color w:val="auto"/>
              </w:rPr>
            </w:pPr>
          </w:p>
        </w:tc>
        <w:tc>
          <w:tcPr>
            <w:tcW w:w="136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640" w:type="dxa"/>
            <w:vAlign w:val="bottom"/>
            <w:shd w:val="clear" w:color="auto" w:fill="E5E5E5"/>
          </w:tcPr>
          <w:p>
            <w:pPr>
              <w:spacing w:after="0"/>
              <w:rPr>
                <w:sz w:val="12"/>
                <w:szCs w:val="12"/>
                <w:color w:val="auto"/>
              </w:rPr>
            </w:pPr>
          </w:p>
        </w:tc>
        <w:tc>
          <w:tcPr>
            <w:tcW w:w="1260" w:type="dxa"/>
            <w:vAlign w:val="bottom"/>
            <w:shd w:val="clear" w:color="auto" w:fill="E5E5E5"/>
          </w:tcPr>
          <w:p>
            <w:pPr>
              <w:spacing w:after="0"/>
              <w:rPr>
                <w:sz w:val="12"/>
                <w:szCs w:val="12"/>
                <w:color w:val="auto"/>
              </w:rPr>
            </w:pPr>
          </w:p>
        </w:tc>
        <w:tc>
          <w:tcPr>
            <w:tcW w:w="400" w:type="dxa"/>
            <w:vAlign w:val="bottom"/>
            <w:shd w:val="clear" w:color="auto" w:fill="E5E5E5"/>
          </w:tcPr>
          <w:p>
            <w:pPr>
              <w:spacing w:after="0"/>
              <w:rPr>
                <w:sz w:val="12"/>
                <w:szCs w:val="12"/>
                <w:color w:val="auto"/>
              </w:rPr>
            </w:pPr>
          </w:p>
        </w:tc>
        <w:tc>
          <w:tcPr>
            <w:tcW w:w="102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1120" w:type="dxa"/>
            <w:vAlign w:val="bottom"/>
            <w:shd w:val="clear" w:color="auto" w:fill="E5E5E5"/>
          </w:tcPr>
          <w:p>
            <w:pPr>
              <w:spacing w:after="0"/>
              <w:rPr>
                <w:sz w:val="12"/>
                <w:szCs w:val="12"/>
                <w:color w:val="auto"/>
              </w:rPr>
            </w:pPr>
          </w:p>
        </w:tc>
        <w:tc>
          <w:tcPr>
            <w:tcW w:w="136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4640" w:type="dxa"/>
            <w:vAlign w:val="bottom"/>
          </w:tcPr>
          <w:p>
            <w:pPr>
              <w:ind w:left="60"/>
              <w:spacing w:after="0" w:line="262" w:lineRule="exact"/>
              <w:rPr>
                <w:sz w:val="20"/>
                <w:szCs w:val="20"/>
                <w:color w:val="auto"/>
              </w:rPr>
            </w:pPr>
            <w:r>
              <w:rPr>
                <w:rFonts w:ascii="Arial" w:cs="Arial" w:eastAsia="Arial" w:hAnsi="Arial"/>
                <w:sz w:val="14"/>
                <w:szCs w:val="14"/>
                <w:b w:val="1"/>
                <w:bCs w:val="1"/>
                <w:color w:val="auto"/>
              </w:rPr>
              <w:t>Daniel Pinto</w:t>
            </w:r>
            <w:r>
              <w:rPr>
                <w:rFonts w:ascii="Arial" w:cs="Arial" w:eastAsia="Arial" w:hAnsi="Arial"/>
                <w:sz w:val="24"/>
                <w:szCs w:val="24"/>
                <w:b w:val="1"/>
                <w:bCs w:val="1"/>
                <w:color w:val="auto"/>
                <w:vertAlign w:val="superscript"/>
              </w:rPr>
              <w:t>1</w:t>
            </w: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640" w:type="dxa"/>
            <w:vAlign w:val="bottom"/>
          </w:tcPr>
          <w:p>
            <w:pPr>
              <w:ind w:left="60"/>
              <w:spacing w:after="0"/>
              <w:rPr>
                <w:sz w:val="20"/>
                <w:szCs w:val="20"/>
                <w:color w:val="auto"/>
              </w:rPr>
            </w:pPr>
            <w:r>
              <w:rPr>
                <w:rFonts w:ascii="Arial" w:cs="Arial" w:eastAsia="Arial" w:hAnsi="Arial"/>
                <w:sz w:val="14"/>
                <w:szCs w:val="14"/>
                <w:color w:val="auto"/>
              </w:rPr>
              <w:t>Co-President and Co-Chief Operating</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8,276,026</w:t>
            </w:r>
          </w:p>
        </w:tc>
        <w:tc>
          <w:tcPr>
            <w:tcW w:w="400" w:type="dxa"/>
            <w:vAlign w:val="bottom"/>
          </w:tcPr>
          <w:p>
            <w:pPr>
              <w:spacing w:after="0"/>
              <w:rPr>
                <w:sz w:val="14"/>
                <w:szCs w:val="14"/>
                <w:color w:val="auto"/>
              </w:rPr>
            </w:pP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80" w:type="dxa"/>
            <w:vAlign w:val="bottom"/>
            <w:vMerge w:val="restart"/>
          </w:tcPr>
          <w:p>
            <w:pPr>
              <w:jc w:val="right"/>
              <w:ind w:right="148"/>
              <w:spacing w:after="0"/>
              <w:rPr>
                <w:sz w:val="20"/>
                <w:szCs w:val="20"/>
                <w:color w:val="auto"/>
              </w:rPr>
            </w:pPr>
            <w:r>
              <w:rPr>
                <w:rFonts w:ascii="Arial" w:cs="Arial" w:eastAsia="Arial" w:hAnsi="Arial"/>
                <w:sz w:val="14"/>
                <w:szCs w:val="14"/>
                <w:color w:val="auto"/>
              </w:rPr>
              <w:t>6,861,987</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6,861,987</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22,000,000</w:t>
            </w:r>
          </w:p>
        </w:tc>
        <w:tc>
          <w:tcPr>
            <w:tcW w:w="0" w:type="dxa"/>
            <w:vAlign w:val="bottom"/>
          </w:tcPr>
          <w:p>
            <w:pPr>
              <w:spacing w:after="0"/>
              <w:rPr>
                <w:sz w:val="1"/>
                <w:szCs w:val="1"/>
                <w:color w:val="auto"/>
              </w:rPr>
            </w:pPr>
          </w:p>
        </w:tc>
      </w:tr>
      <w:tr>
        <w:trPr>
          <w:trHeight w:val="64"/>
        </w:trPr>
        <w:tc>
          <w:tcPr>
            <w:tcW w:w="4640" w:type="dxa"/>
            <w:vAlign w:val="bottom"/>
            <w:vMerge w:val="restart"/>
          </w:tcPr>
          <w:p>
            <w:pPr>
              <w:ind w:left="60"/>
              <w:spacing w:after="0"/>
              <w:rPr>
                <w:sz w:val="20"/>
                <w:szCs w:val="20"/>
                <w:color w:val="auto"/>
              </w:rPr>
            </w:pPr>
            <w:r>
              <w:rPr>
                <w:rFonts w:ascii="Arial" w:cs="Arial" w:eastAsia="Arial" w:hAnsi="Arial"/>
                <w:sz w:val="14"/>
                <w:szCs w:val="14"/>
                <w:color w:val="auto"/>
              </w:rPr>
              <w:t>Officer; CEO Corporate &amp; Investment Bank</w:t>
            </w:r>
          </w:p>
        </w:tc>
        <w:tc>
          <w:tcPr>
            <w:tcW w:w="12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6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4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46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Gordon Smith</w:t>
            </w:r>
          </w:p>
        </w:tc>
        <w:tc>
          <w:tcPr>
            <w:tcW w:w="1260" w:type="dxa"/>
            <w:vAlign w:val="bottom"/>
            <w:shd w:val="clear" w:color="auto" w:fill="E5E5E5"/>
          </w:tcPr>
          <w:p>
            <w:pPr>
              <w:spacing w:after="0"/>
              <w:rPr>
                <w:sz w:val="22"/>
                <w:szCs w:val="22"/>
                <w:color w:val="auto"/>
              </w:rPr>
            </w:pPr>
          </w:p>
        </w:tc>
        <w:tc>
          <w:tcPr>
            <w:tcW w:w="400" w:type="dxa"/>
            <w:vAlign w:val="bottom"/>
            <w:shd w:val="clear" w:color="auto" w:fill="E5E5E5"/>
          </w:tcPr>
          <w:p>
            <w:pPr>
              <w:spacing w:after="0"/>
              <w:rPr>
                <w:sz w:val="22"/>
                <w:szCs w:val="22"/>
                <w:color w:val="auto"/>
              </w:rPr>
            </w:pPr>
          </w:p>
        </w:tc>
        <w:tc>
          <w:tcPr>
            <w:tcW w:w="102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880" w:type="dxa"/>
            <w:vAlign w:val="bottom"/>
            <w:shd w:val="clear" w:color="auto" w:fill="E5E5E5"/>
          </w:tcPr>
          <w:p>
            <w:pPr>
              <w:spacing w:after="0"/>
              <w:rPr>
                <w:sz w:val="22"/>
                <w:szCs w:val="22"/>
                <w:color w:val="auto"/>
              </w:rPr>
            </w:pPr>
          </w:p>
        </w:tc>
        <w:tc>
          <w:tcPr>
            <w:tcW w:w="1120" w:type="dxa"/>
            <w:vAlign w:val="bottom"/>
            <w:shd w:val="clear" w:color="auto" w:fill="E5E5E5"/>
          </w:tcPr>
          <w:p>
            <w:pPr>
              <w:spacing w:after="0"/>
              <w:rPr>
                <w:sz w:val="22"/>
                <w:szCs w:val="22"/>
                <w:color w:val="auto"/>
              </w:rPr>
            </w:pPr>
          </w:p>
        </w:tc>
        <w:tc>
          <w:tcPr>
            <w:tcW w:w="136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E5E5E5"/>
          </w:tcPr>
          <w:p>
            <w:pPr>
              <w:ind w:left="60"/>
              <w:spacing w:after="0"/>
              <w:rPr>
                <w:sz w:val="20"/>
                <w:szCs w:val="20"/>
                <w:color w:val="auto"/>
              </w:rPr>
            </w:pPr>
            <w:r>
              <w:rPr>
                <w:rFonts w:ascii="Arial" w:cs="Arial" w:eastAsia="Arial" w:hAnsi="Arial"/>
                <w:sz w:val="14"/>
                <w:szCs w:val="14"/>
                <w:color w:val="auto"/>
              </w:rPr>
              <w:t>Co-President and Co-Chief Operating</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750,000</w:t>
            </w:r>
          </w:p>
        </w:tc>
        <w:tc>
          <w:tcPr>
            <w:tcW w:w="1420" w:type="dxa"/>
            <w:vAlign w:val="bottom"/>
            <w:gridSpan w:val="2"/>
            <w:vMerge w:val="restart"/>
            <w:shd w:val="clear" w:color="auto" w:fill="E5E5E5"/>
          </w:tcPr>
          <w:p>
            <w:pPr>
              <w:jc w:val="right"/>
              <w:ind w:right="148"/>
              <w:spacing w:after="0"/>
              <w:rPr>
                <w:sz w:val="20"/>
                <w:szCs w:val="20"/>
                <w:color w:val="auto"/>
              </w:rPr>
            </w:pPr>
            <w:r>
              <w:rPr>
                <w:rFonts w:ascii="Arial" w:cs="Arial" w:eastAsia="Arial" w:hAnsi="Arial"/>
                <w:sz w:val="14"/>
                <w:szCs w:val="14"/>
                <w:color w:val="auto"/>
              </w:rPr>
              <w:t>8,500,000</w:t>
            </w:r>
          </w:p>
        </w:tc>
        <w:tc>
          <w:tcPr>
            <w:tcW w:w="340" w:type="dxa"/>
            <w:vAlign w:val="bottom"/>
            <w:shd w:val="clear" w:color="auto" w:fill="E5E5E5"/>
          </w:tcPr>
          <w:p>
            <w:pPr>
              <w:spacing w:after="0"/>
              <w:rPr>
                <w:sz w:val="14"/>
                <w:szCs w:val="14"/>
                <w:color w:val="auto"/>
              </w:rPr>
            </w:pPr>
          </w:p>
        </w:tc>
        <w:tc>
          <w:tcPr>
            <w:tcW w:w="880" w:type="dxa"/>
            <w:vAlign w:val="bottom"/>
            <w:vMerge w:val="restart"/>
            <w:shd w:val="clear" w:color="auto" w:fill="E5E5E5"/>
          </w:tcPr>
          <w:p>
            <w:pPr>
              <w:jc w:val="right"/>
              <w:ind w:right="148"/>
              <w:spacing w:after="0"/>
              <w:rPr>
                <w:sz w:val="20"/>
                <w:szCs w:val="20"/>
                <w:color w:val="auto"/>
              </w:rPr>
            </w:pPr>
            <w:r>
              <w:rPr>
                <w:rFonts w:ascii="Arial" w:cs="Arial" w:eastAsia="Arial" w:hAnsi="Arial"/>
                <w:sz w:val="14"/>
                <w:szCs w:val="14"/>
                <w:color w:val="auto"/>
              </w:rPr>
              <w:t>6,375,000</w:t>
            </w:r>
          </w:p>
        </w:tc>
        <w:tc>
          <w:tcPr>
            <w:tcW w:w="11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6,375,000</w:t>
            </w:r>
          </w:p>
        </w:tc>
        <w:tc>
          <w:tcPr>
            <w:tcW w:w="136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22,000,000</w:t>
            </w:r>
          </w:p>
        </w:tc>
        <w:tc>
          <w:tcPr>
            <w:tcW w:w="0" w:type="dxa"/>
            <w:vAlign w:val="bottom"/>
          </w:tcPr>
          <w:p>
            <w:pPr>
              <w:spacing w:after="0"/>
              <w:rPr>
                <w:sz w:val="1"/>
                <w:szCs w:val="1"/>
                <w:color w:val="auto"/>
              </w:rPr>
            </w:pPr>
          </w:p>
        </w:tc>
      </w:tr>
      <w:tr>
        <w:trPr>
          <w:trHeight w:val="64"/>
        </w:trPr>
        <w:tc>
          <w:tcPr>
            <w:tcW w:w="4640" w:type="dxa"/>
            <w:vAlign w:val="bottom"/>
            <w:vMerge w:val="restart"/>
            <w:shd w:val="clear" w:color="auto" w:fill="E5E5E5"/>
          </w:tcPr>
          <w:p>
            <w:pPr>
              <w:ind w:left="60"/>
              <w:spacing w:after="0"/>
              <w:rPr>
                <w:sz w:val="20"/>
                <w:szCs w:val="20"/>
                <w:color w:val="auto"/>
              </w:rPr>
            </w:pPr>
            <w:r>
              <w:rPr>
                <w:rFonts w:ascii="Arial" w:cs="Arial" w:eastAsia="Arial" w:hAnsi="Arial"/>
                <w:sz w:val="14"/>
                <w:szCs w:val="14"/>
                <w:color w:val="auto"/>
              </w:rPr>
              <w:t>Officer; CEO Consumer &amp; Community Banking</w:t>
            </w:r>
          </w:p>
        </w:tc>
        <w:tc>
          <w:tcPr>
            <w:tcW w:w="1260" w:type="dxa"/>
            <w:vAlign w:val="bottom"/>
            <w:vMerge w:val="continue"/>
            <w:shd w:val="clear" w:color="auto" w:fill="E5E5E5"/>
          </w:tcPr>
          <w:p>
            <w:pPr>
              <w:spacing w:after="0"/>
              <w:rPr>
                <w:sz w:val="5"/>
                <w:szCs w:val="5"/>
                <w:color w:val="auto"/>
              </w:rPr>
            </w:pPr>
          </w:p>
        </w:tc>
        <w:tc>
          <w:tcPr>
            <w:tcW w:w="1420" w:type="dxa"/>
            <w:vAlign w:val="bottom"/>
            <w:gridSpan w:val="2"/>
            <w:vMerge w:val="continue"/>
            <w:shd w:val="clear" w:color="auto" w:fill="E5E5E5"/>
          </w:tcPr>
          <w:p>
            <w:pPr>
              <w:spacing w:after="0"/>
              <w:rPr>
                <w:sz w:val="5"/>
                <w:szCs w:val="5"/>
                <w:color w:val="auto"/>
              </w:rPr>
            </w:pPr>
          </w:p>
        </w:tc>
        <w:tc>
          <w:tcPr>
            <w:tcW w:w="340" w:type="dxa"/>
            <w:vAlign w:val="bottom"/>
            <w:shd w:val="clear" w:color="auto" w:fill="E5E5E5"/>
          </w:tcPr>
          <w:p>
            <w:pPr>
              <w:spacing w:after="0"/>
              <w:rPr>
                <w:sz w:val="5"/>
                <w:szCs w:val="5"/>
                <w:color w:val="auto"/>
              </w:rPr>
            </w:pPr>
          </w:p>
        </w:tc>
        <w:tc>
          <w:tcPr>
            <w:tcW w:w="880" w:type="dxa"/>
            <w:vAlign w:val="bottom"/>
            <w:vMerge w:val="continue"/>
            <w:shd w:val="clear" w:color="auto" w:fill="E5E5E5"/>
          </w:tcPr>
          <w:p>
            <w:pPr>
              <w:spacing w:after="0"/>
              <w:rPr>
                <w:sz w:val="5"/>
                <w:szCs w:val="5"/>
                <w:color w:val="auto"/>
              </w:rPr>
            </w:pPr>
          </w:p>
        </w:tc>
        <w:tc>
          <w:tcPr>
            <w:tcW w:w="1120" w:type="dxa"/>
            <w:vAlign w:val="bottom"/>
            <w:vMerge w:val="continue"/>
            <w:shd w:val="clear" w:color="auto" w:fill="E5E5E5"/>
          </w:tcPr>
          <w:p>
            <w:pPr>
              <w:spacing w:after="0"/>
              <w:rPr>
                <w:sz w:val="5"/>
                <w:szCs w:val="5"/>
                <w:color w:val="auto"/>
              </w:rPr>
            </w:pPr>
          </w:p>
        </w:tc>
        <w:tc>
          <w:tcPr>
            <w:tcW w:w="136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640" w:type="dxa"/>
            <w:vAlign w:val="bottom"/>
            <w:vMerge w:val="continue"/>
            <w:shd w:val="clear" w:color="auto" w:fill="E5E5E5"/>
          </w:tcPr>
          <w:p>
            <w:pPr>
              <w:spacing w:after="0"/>
              <w:rPr>
                <w:sz w:val="9"/>
                <w:szCs w:val="9"/>
                <w:color w:val="auto"/>
              </w:rPr>
            </w:pPr>
          </w:p>
        </w:tc>
        <w:tc>
          <w:tcPr>
            <w:tcW w:w="1260" w:type="dxa"/>
            <w:vAlign w:val="bottom"/>
            <w:shd w:val="clear" w:color="auto" w:fill="E5E5E5"/>
          </w:tcPr>
          <w:p>
            <w:pPr>
              <w:spacing w:after="0"/>
              <w:rPr>
                <w:sz w:val="9"/>
                <w:szCs w:val="9"/>
                <w:color w:val="auto"/>
              </w:rPr>
            </w:pPr>
          </w:p>
        </w:tc>
        <w:tc>
          <w:tcPr>
            <w:tcW w:w="400" w:type="dxa"/>
            <w:vAlign w:val="bottom"/>
            <w:shd w:val="clear" w:color="auto" w:fill="E5E5E5"/>
          </w:tcPr>
          <w:p>
            <w:pPr>
              <w:spacing w:after="0"/>
              <w:rPr>
                <w:sz w:val="9"/>
                <w:szCs w:val="9"/>
                <w:color w:val="auto"/>
              </w:rPr>
            </w:pPr>
          </w:p>
        </w:tc>
        <w:tc>
          <w:tcPr>
            <w:tcW w:w="1020" w:type="dxa"/>
            <w:vAlign w:val="bottom"/>
            <w:shd w:val="clear" w:color="auto" w:fill="E5E5E5"/>
          </w:tcPr>
          <w:p>
            <w:pPr>
              <w:spacing w:after="0"/>
              <w:rPr>
                <w:sz w:val="9"/>
                <w:szCs w:val="9"/>
                <w:color w:val="auto"/>
              </w:rPr>
            </w:pPr>
          </w:p>
        </w:tc>
        <w:tc>
          <w:tcPr>
            <w:tcW w:w="340" w:type="dxa"/>
            <w:vAlign w:val="bottom"/>
            <w:shd w:val="clear" w:color="auto" w:fill="E5E5E5"/>
          </w:tcPr>
          <w:p>
            <w:pPr>
              <w:spacing w:after="0"/>
              <w:rPr>
                <w:sz w:val="9"/>
                <w:szCs w:val="9"/>
                <w:color w:val="auto"/>
              </w:rPr>
            </w:pPr>
          </w:p>
        </w:tc>
        <w:tc>
          <w:tcPr>
            <w:tcW w:w="880" w:type="dxa"/>
            <w:vAlign w:val="bottom"/>
            <w:shd w:val="clear" w:color="auto" w:fill="E5E5E5"/>
          </w:tcPr>
          <w:p>
            <w:pPr>
              <w:spacing w:after="0"/>
              <w:rPr>
                <w:sz w:val="9"/>
                <w:szCs w:val="9"/>
                <w:color w:val="auto"/>
              </w:rPr>
            </w:pPr>
          </w:p>
        </w:tc>
        <w:tc>
          <w:tcPr>
            <w:tcW w:w="1120" w:type="dxa"/>
            <w:vAlign w:val="bottom"/>
            <w:shd w:val="clear" w:color="auto" w:fill="E5E5E5"/>
          </w:tcPr>
          <w:p>
            <w:pPr>
              <w:spacing w:after="0"/>
              <w:rPr>
                <w:sz w:val="9"/>
                <w:szCs w:val="9"/>
                <w:color w:val="auto"/>
              </w:rPr>
            </w:pPr>
          </w:p>
        </w:tc>
        <w:tc>
          <w:tcPr>
            <w:tcW w:w="1360" w:type="dxa"/>
            <w:vAlign w:val="bottom"/>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4640" w:type="dxa"/>
            <w:vAlign w:val="bottom"/>
            <w:shd w:val="clear" w:color="auto" w:fill="E5E5E5"/>
          </w:tcPr>
          <w:p>
            <w:pPr>
              <w:spacing w:after="0"/>
              <w:rPr>
                <w:sz w:val="6"/>
                <w:szCs w:val="6"/>
                <w:color w:val="auto"/>
              </w:rPr>
            </w:pPr>
          </w:p>
        </w:tc>
        <w:tc>
          <w:tcPr>
            <w:tcW w:w="1260" w:type="dxa"/>
            <w:vAlign w:val="bottom"/>
            <w:shd w:val="clear" w:color="auto" w:fill="E5E5E5"/>
          </w:tcPr>
          <w:p>
            <w:pPr>
              <w:spacing w:after="0"/>
              <w:rPr>
                <w:sz w:val="6"/>
                <w:szCs w:val="6"/>
                <w:color w:val="auto"/>
              </w:rPr>
            </w:pPr>
          </w:p>
        </w:tc>
        <w:tc>
          <w:tcPr>
            <w:tcW w:w="400" w:type="dxa"/>
            <w:vAlign w:val="bottom"/>
            <w:shd w:val="clear" w:color="auto" w:fill="E5E5E5"/>
          </w:tcPr>
          <w:p>
            <w:pPr>
              <w:spacing w:after="0"/>
              <w:rPr>
                <w:sz w:val="6"/>
                <w:szCs w:val="6"/>
                <w:color w:val="auto"/>
              </w:rPr>
            </w:pPr>
          </w:p>
        </w:tc>
        <w:tc>
          <w:tcPr>
            <w:tcW w:w="1020" w:type="dxa"/>
            <w:vAlign w:val="bottom"/>
            <w:shd w:val="clear" w:color="auto" w:fill="E5E5E5"/>
          </w:tcPr>
          <w:p>
            <w:pPr>
              <w:spacing w:after="0"/>
              <w:rPr>
                <w:sz w:val="6"/>
                <w:szCs w:val="6"/>
                <w:color w:val="auto"/>
              </w:rPr>
            </w:pPr>
          </w:p>
        </w:tc>
        <w:tc>
          <w:tcPr>
            <w:tcW w:w="340" w:type="dxa"/>
            <w:vAlign w:val="bottom"/>
            <w:shd w:val="clear" w:color="auto" w:fill="E5E5E5"/>
          </w:tcPr>
          <w:p>
            <w:pPr>
              <w:spacing w:after="0"/>
              <w:rPr>
                <w:sz w:val="6"/>
                <w:szCs w:val="6"/>
                <w:color w:val="auto"/>
              </w:rPr>
            </w:pPr>
          </w:p>
        </w:tc>
        <w:tc>
          <w:tcPr>
            <w:tcW w:w="880" w:type="dxa"/>
            <w:vAlign w:val="bottom"/>
            <w:shd w:val="clear" w:color="auto" w:fill="E5E5E5"/>
          </w:tcPr>
          <w:p>
            <w:pPr>
              <w:spacing w:after="0"/>
              <w:rPr>
                <w:sz w:val="6"/>
                <w:szCs w:val="6"/>
                <w:color w:val="auto"/>
              </w:rPr>
            </w:pPr>
          </w:p>
        </w:tc>
        <w:tc>
          <w:tcPr>
            <w:tcW w:w="1120" w:type="dxa"/>
            <w:vAlign w:val="bottom"/>
            <w:shd w:val="clear" w:color="auto" w:fill="E5E5E5"/>
          </w:tcPr>
          <w:p>
            <w:pPr>
              <w:spacing w:after="0"/>
              <w:rPr>
                <w:sz w:val="6"/>
                <w:szCs w:val="6"/>
                <w:color w:val="auto"/>
              </w:rPr>
            </w:pPr>
          </w:p>
        </w:tc>
        <w:tc>
          <w:tcPr>
            <w:tcW w:w="136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329"/>
        </w:trPr>
        <w:tc>
          <w:tcPr>
            <w:tcW w:w="464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750,000</w:t>
            </w:r>
          </w:p>
        </w:tc>
        <w:tc>
          <w:tcPr>
            <w:tcW w:w="142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7,900,000</w:t>
            </w:r>
          </w:p>
        </w:tc>
        <w:tc>
          <w:tcPr>
            <w:tcW w:w="340" w:type="dxa"/>
            <w:vAlign w:val="bottom"/>
          </w:tcPr>
          <w:p>
            <w:pPr>
              <w:spacing w:after="0"/>
              <w:rPr>
                <w:sz w:val="24"/>
                <w:szCs w:val="24"/>
                <w:color w:val="auto"/>
              </w:rPr>
            </w:pPr>
          </w:p>
        </w:tc>
        <w:tc>
          <w:tcPr>
            <w:tcW w:w="880" w:type="dxa"/>
            <w:vAlign w:val="bottom"/>
            <w:vMerge w:val="restart"/>
          </w:tcPr>
          <w:p>
            <w:pPr>
              <w:jc w:val="right"/>
              <w:ind w:right="148"/>
              <w:spacing w:after="0"/>
              <w:rPr>
                <w:sz w:val="20"/>
                <w:szCs w:val="20"/>
                <w:color w:val="auto"/>
              </w:rPr>
            </w:pPr>
            <w:r>
              <w:rPr>
                <w:rFonts w:ascii="Arial" w:cs="Arial" w:eastAsia="Arial" w:hAnsi="Arial"/>
                <w:sz w:val="14"/>
                <w:szCs w:val="14"/>
                <w:color w:val="auto"/>
              </w:rPr>
              <w:t>5,925,000</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5,925,000</w:t>
            </w:r>
          </w:p>
        </w:tc>
        <w:tc>
          <w:tcPr>
            <w:tcW w:w="1360" w:type="dxa"/>
            <w:vAlign w:val="bottom"/>
            <w:vMerge w:val="restart"/>
          </w:tcPr>
          <w:p>
            <w:pPr>
              <w:jc w:val="right"/>
              <w:ind w:right="48"/>
              <w:spacing w:after="0"/>
              <w:rPr>
                <w:sz w:val="20"/>
                <w:szCs w:val="20"/>
                <w:color w:val="auto"/>
              </w:rPr>
            </w:pPr>
            <w:r>
              <w:rPr>
                <w:rFonts w:ascii="Arial" w:cs="Arial" w:eastAsia="Arial" w:hAnsi="Arial"/>
                <w:sz w:val="14"/>
                <w:szCs w:val="14"/>
                <w:color w:val="auto"/>
              </w:rPr>
              <w:t>20,500,000</w:t>
            </w:r>
          </w:p>
        </w:tc>
        <w:tc>
          <w:tcPr>
            <w:tcW w:w="0" w:type="dxa"/>
            <w:vAlign w:val="bottom"/>
          </w:tcPr>
          <w:p>
            <w:pPr>
              <w:spacing w:after="0"/>
              <w:rPr>
                <w:sz w:val="1"/>
                <w:szCs w:val="1"/>
                <w:color w:val="auto"/>
              </w:rPr>
            </w:pPr>
          </w:p>
        </w:tc>
      </w:tr>
      <w:tr>
        <w:trPr>
          <w:trHeight w:val="172"/>
        </w:trPr>
        <w:tc>
          <w:tcPr>
            <w:tcW w:w="4640" w:type="dxa"/>
            <w:vAlign w:val="bottom"/>
          </w:tcPr>
          <w:p>
            <w:pPr>
              <w:ind w:left="60"/>
              <w:spacing w:after="0"/>
              <w:rPr>
                <w:sz w:val="20"/>
                <w:szCs w:val="20"/>
                <w:color w:val="auto"/>
              </w:rPr>
            </w:pPr>
            <w:r>
              <w:rPr>
                <w:rFonts w:ascii="Arial" w:cs="Arial" w:eastAsia="Arial" w:hAnsi="Arial"/>
                <w:sz w:val="14"/>
                <w:szCs w:val="14"/>
                <w:color w:val="auto"/>
              </w:rPr>
              <w:t>CEO Asset &amp; Wealth Management</w:t>
            </w:r>
          </w:p>
        </w:tc>
        <w:tc>
          <w:tcPr>
            <w:tcW w:w="126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6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46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Marianne Lake</w:t>
            </w:r>
          </w:p>
        </w:tc>
        <w:tc>
          <w:tcPr>
            <w:tcW w:w="126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750,000</w:t>
            </w:r>
          </w:p>
        </w:tc>
        <w:tc>
          <w:tcPr>
            <w:tcW w:w="1420" w:type="dxa"/>
            <w:vAlign w:val="bottom"/>
            <w:gridSpan w:val="2"/>
            <w:vMerge w:val="restart"/>
            <w:shd w:val="clear" w:color="auto" w:fill="E5E5E5"/>
          </w:tcPr>
          <w:p>
            <w:pPr>
              <w:jc w:val="right"/>
              <w:ind w:right="148"/>
              <w:spacing w:after="0"/>
              <w:rPr>
                <w:sz w:val="20"/>
                <w:szCs w:val="20"/>
                <w:color w:val="auto"/>
              </w:rPr>
            </w:pPr>
            <w:r>
              <w:rPr>
                <w:rFonts w:ascii="Arial" w:cs="Arial" w:eastAsia="Arial" w:hAnsi="Arial"/>
                <w:sz w:val="14"/>
                <w:szCs w:val="14"/>
                <w:color w:val="auto"/>
              </w:rPr>
              <w:t>5,700,000</w:t>
            </w:r>
          </w:p>
        </w:tc>
        <w:tc>
          <w:tcPr>
            <w:tcW w:w="340" w:type="dxa"/>
            <w:vAlign w:val="bottom"/>
            <w:shd w:val="clear" w:color="auto" w:fill="E5E5E5"/>
          </w:tcPr>
          <w:p>
            <w:pPr>
              <w:spacing w:after="0"/>
              <w:rPr>
                <w:sz w:val="24"/>
                <w:szCs w:val="24"/>
                <w:color w:val="auto"/>
              </w:rPr>
            </w:pPr>
          </w:p>
        </w:tc>
        <w:tc>
          <w:tcPr>
            <w:tcW w:w="880" w:type="dxa"/>
            <w:vAlign w:val="bottom"/>
            <w:vMerge w:val="restart"/>
            <w:shd w:val="clear" w:color="auto" w:fill="E5E5E5"/>
          </w:tcPr>
          <w:p>
            <w:pPr>
              <w:jc w:val="right"/>
              <w:ind w:right="148"/>
              <w:spacing w:after="0"/>
              <w:rPr>
                <w:sz w:val="20"/>
                <w:szCs w:val="20"/>
                <w:color w:val="auto"/>
              </w:rPr>
            </w:pPr>
            <w:r>
              <w:rPr>
                <w:rFonts w:ascii="Arial" w:cs="Arial" w:eastAsia="Arial" w:hAnsi="Arial"/>
                <w:sz w:val="14"/>
                <w:szCs w:val="14"/>
                <w:color w:val="auto"/>
              </w:rPr>
              <w:t>4,275,000</w:t>
            </w:r>
          </w:p>
        </w:tc>
        <w:tc>
          <w:tcPr>
            <w:tcW w:w="1120" w:type="dxa"/>
            <w:vAlign w:val="bottom"/>
            <w:vMerge w:val="restart"/>
            <w:shd w:val="clear" w:color="auto" w:fill="E5E5E5"/>
          </w:tcPr>
          <w:p>
            <w:pPr>
              <w:jc w:val="right"/>
              <w:spacing w:after="0"/>
              <w:rPr>
                <w:sz w:val="20"/>
                <w:szCs w:val="20"/>
                <w:color w:val="auto"/>
              </w:rPr>
            </w:pPr>
            <w:r>
              <w:rPr>
                <w:rFonts w:ascii="Arial" w:cs="Arial" w:eastAsia="Arial" w:hAnsi="Arial"/>
                <w:sz w:val="14"/>
                <w:szCs w:val="14"/>
                <w:color w:val="auto"/>
              </w:rPr>
              <w:t>4,275,000</w:t>
            </w:r>
          </w:p>
        </w:tc>
        <w:tc>
          <w:tcPr>
            <w:tcW w:w="1360" w:type="dxa"/>
            <w:vAlign w:val="bottom"/>
            <w:vMerge w:val="restart"/>
            <w:shd w:val="clear" w:color="auto" w:fill="E5E5E5"/>
          </w:tcPr>
          <w:p>
            <w:pPr>
              <w:jc w:val="right"/>
              <w:ind w:right="48"/>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72"/>
        </w:trPr>
        <w:tc>
          <w:tcPr>
            <w:tcW w:w="4640" w:type="dxa"/>
            <w:vAlign w:val="bottom"/>
            <w:shd w:val="clear" w:color="auto" w:fill="E5E5E5"/>
          </w:tcPr>
          <w:p>
            <w:pPr>
              <w:ind w:left="60"/>
              <w:spacing w:after="0"/>
              <w:rPr>
                <w:sz w:val="20"/>
                <w:szCs w:val="20"/>
                <w:color w:val="auto"/>
              </w:rPr>
            </w:pPr>
            <w:r>
              <w:rPr>
                <w:rFonts w:ascii="Arial" w:cs="Arial" w:eastAsia="Arial" w:hAnsi="Arial"/>
                <w:sz w:val="14"/>
                <w:szCs w:val="14"/>
                <w:color w:val="auto"/>
              </w:rPr>
              <w:t>Chief Financial Officer</w:t>
            </w:r>
          </w:p>
        </w:tc>
        <w:tc>
          <w:tcPr>
            <w:tcW w:w="1260" w:type="dxa"/>
            <w:vAlign w:val="bottom"/>
            <w:vMerge w:val="continue"/>
            <w:shd w:val="clear" w:color="auto" w:fill="E5E5E5"/>
          </w:tcPr>
          <w:p>
            <w:pPr>
              <w:spacing w:after="0"/>
              <w:rPr>
                <w:sz w:val="14"/>
                <w:szCs w:val="14"/>
                <w:color w:val="auto"/>
              </w:rPr>
            </w:pPr>
          </w:p>
        </w:tc>
        <w:tc>
          <w:tcPr>
            <w:tcW w:w="1420" w:type="dxa"/>
            <w:vAlign w:val="bottom"/>
            <w:gridSpan w:val="2"/>
            <w:vMerge w:val="continue"/>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880" w:type="dxa"/>
            <w:vAlign w:val="bottom"/>
            <w:vMerge w:val="continue"/>
            <w:shd w:val="clear" w:color="auto" w:fill="E5E5E5"/>
          </w:tcPr>
          <w:p>
            <w:pPr>
              <w:spacing w:after="0"/>
              <w:rPr>
                <w:sz w:val="14"/>
                <w:szCs w:val="14"/>
                <w:color w:val="auto"/>
              </w:rPr>
            </w:pPr>
          </w:p>
        </w:tc>
        <w:tc>
          <w:tcPr>
            <w:tcW w:w="1120" w:type="dxa"/>
            <w:vAlign w:val="bottom"/>
            <w:vMerge w:val="continue"/>
            <w:shd w:val="clear" w:color="auto" w:fill="E5E5E5"/>
          </w:tcPr>
          <w:p>
            <w:pPr>
              <w:spacing w:after="0"/>
              <w:rPr>
                <w:sz w:val="14"/>
                <w:szCs w:val="14"/>
                <w:color w:val="auto"/>
              </w:rPr>
            </w:pPr>
          </w:p>
        </w:tc>
        <w:tc>
          <w:tcPr>
            <w:tcW w:w="136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40" w:type="dxa"/>
            <w:vAlign w:val="bottom"/>
            <w:shd w:val="clear" w:color="auto" w:fill="E5E5E5"/>
          </w:tcPr>
          <w:p>
            <w:pPr>
              <w:spacing w:after="0"/>
              <w:rPr>
                <w:sz w:val="13"/>
                <w:szCs w:val="13"/>
                <w:color w:val="auto"/>
              </w:rPr>
            </w:pPr>
          </w:p>
        </w:tc>
        <w:tc>
          <w:tcPr>
            <w:tcW w:w="126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102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136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20" w:hanging="20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3"/>
          <w:szCs w:val="13"/>
          <w:color w:val="auto"/>
        </w:rPr>
        <w:t>Mr. Pinto, who is based in the U.K., received a fixed allowance of $7,635,000 paid in British pound sterling and a salary of £475,000.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166370</wp:posOffset>
            </wp:positionV>
            <wp:extent cx="6997700" cy="4889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488950"/>
                    </a:xfrm>
                    <a:prstGeom prst="rect">
                      <a:avLst/>
                    </a:prstGeom>
                    <a:noFill/>
                  </pic:spPr>
                </pic:pic>
              </a:graphicData>
            </a:graphic>
          </wp:anchor>
        </w:drawing>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04876"/>
        </w:rPr>
        <w:t>In response to last year’s 93% Say-on-Pay support and positive shareholder feedback, the Compensation &amp;</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004876"/>
        </w:rPr>
        <w:t>Management Development Committee (“CMDC”) maintained the key features of our compensation program.</w:t>
      </w:r>
    </w:p>
    <w:p>
      <w:pPr>
        <w:jc w:val="center"/>
        <w:ind w:right="-219"/>
        <w:spacing w:after="0"/>
        <w:rPr>
          <w:sz w:val="20"/>
          <w:szCs w:val="20"/>
          <w:color w:val="auto"/>
        </w:rPr>
      </w:pPr>
      <w:r>
        <w:rPr>
          <w:rFonts w:ascii="Arial" w:cs="Arial" w:eastAsia="Arial" w:hAnsi="Arial"/>
          <w:sz w:val="18"/>
          <w:szCs w:val="18"/>
          <w:b w:val="1"/>
          <w:bCs w:val="1"/>
          <w:color w:val="004876"/>
        </w:rPr>
        <w:t>We believe shareholders should consider five key factors in their evaluation of this year’s proposal:</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4876"/>
        </w:rPr>
        <w:t>1. Strong performance</w:t>
      </w:r>
    </w:p>
    <w:p>
      <w:pPr>
        <w:spacing w:after="0" w:line="18"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We continued to deliver strong multi-year financial performance, invest in our future, strengthen our risk and control environment, reinforce the importance of our culture and values, deliver on our long-standing commitment to serve our customers, employees and communities, and conduct business in a responsible way to drive inclusive growth.</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4876"/>
        </w:rPr>
        <w:t>2. Disciplined performance assessment to determine pay</w:t>
      </w:r>
    </w:p>
    <w:p>
      <w:pPr>
        <w:spacing w:after="0" w:line="18" w:lineRule="exact"/>
        <w:rPr>
          <w:sz w:val="20"/>
          <w:szCs w:val="20"/>
          <w:color w:val="auto"/>
        </w:rPr>
      </w:pPr>
    </w:p>
    <w:p>
      <w:pPr>
        <w:jc w:val="both"/>
        <w:ind w:left="200" w:right="420"/>
        <w:spacing w:after="0" w:line="239" w:lineRule="auto"/>
        <w:rPr>
          <w:sz w:val="20"/>
          <w:szCs w:val="20"/>
          <w:color w:val="auto"/>
        </w:rPr>
      </w:pPr>
      <w:r>
        <w:rPr>
          <w:rFonts w:ascii="Arial" w:cs="Arial" w:eastAsia="Arial" w:hAnsi="Arial"/>
          <w:sz w:val="18"/>
          <w:szCs w:val="18"/>
          <w:color w:val="auto"/>
        </w:rPr>
        <w:t>The CMDC uses a balanced approach to determine annual compensation by assessing performance against four broad performance categories over a sustained period of time. A material portion of Operating Committee compensation is delivered in the form of at-risk performance share units (“PSUs”), reinforcing accountability and alignment with shareholder interests by linking the ultimate payout to pre-established absolute and relative goals.</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4876"/>
        </w:rPr>
        <w:t>3. Sound pay practices</w:t>
      </w:r>
    </w:p>
    <w:p>
      <w:pPr>
        <w:spacing w:after="0" w:line="18"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We believe our compensation philosophy promotes an equitable and well-governed approach to compensation, including pay-for-performance practices that attract and retain top talent, are responsive to and aligned with shareholders, and encourage a shared success culture in support of our business principles.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4876"/>
        </w:rPr>
        <w:t>4. Pay is aligned with performance</w:t>
      </w:r>
    </w:p>
    <w:p>
      <w:pPr>
        <w:spacing w:after="0" w:line="18"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CEO pay is strongly aligned to the Firm’s short-, medium- and long-term performance, with approximately 83% of the CEO’s variable pay deferred into equity, of which 100% is in at-risk PSUs. Other NEO pay is also strongly aligned to Firm and Line-of-Business (“LOB”) performance, with a majority of their variable pay deferred into equity, of which 50% is in at-risk PSUs.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4876"/>
        </w:rPr>
        <w:t>5. Rigorous accountability and recovery provisions</w:t>
      </w:r>
    </w:p>
    <w:p>
      <w:pPr>
        <w:spacing w:after="0" w:line="18"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Our executive compensation program is designed to hold executives accountable, when appropriate, for meaningful actions or issues that negatively impact business performance or the Firm’s reputation in current or future years.</w:t>
      </w:r>
    </w:p>
    <w:p>
      <w:pPr>
        <w:spacing w:after="0" w:line="124"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6</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327660</wp:posOffset>
            </wp:positionV>
            <wp:extent cx="699770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4876"/>
        </w:rPr>
        <w:t>Proposal 3: Ratification of Firm’s independent registered public accounting firm – page 78</w:t>
      </w:r>
    </w:p>
    <w:p>
      <w:pPr>
        <w:spacing w:after="0" w:line="238" w:lineRule="exact"/>
        <w:rPr>
          <w:sz w:val="20"/>
          <w:szCs w:val="20"/>
          <w:color w:val="auto"/>
        </w:rPr>
      </w:pPr>
    </w:p>
    <w:p>
      <w:pPr>
        <w:jc w:val="both"/>
        <w:ind w:left="200" w:right="60"/>
        <w:spacing w:after="0"/>
        <w:rPr>
          <w:sz w:val="20"/>
          <w:szCs w:val="20"/>
          <w:color w:val="auto"/>
        </w:rPr>
      </w:pPr>
      <w:r>
        <w:rPr>
          <w:rFonts w:ascii="Arial" w:cs="Arial" w:eastAsia="Arial" w:hAnsi="Arial"/>
          <w:sz w:val="18"/>
          <w:szCs w:val="18"/>
          <w:color w:val="auto"/>
        </w:rPr>
        <w:t>The Audit Committee has appointed PricewaterhouseCoopers LLP (“PwC”) as the Firm’s independent registered public accounting firm to audit the Consolidated Financial Statements of JPMorgan Chase and its subsidiaries for the year ending December 31, 2019. A resolution is being presented to our shareholders requesting ratification of PwC’s appointment.</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8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3"/>
                <w:szCs w:val="13"/>
                <w:color w:val="auto"/>
              </w:rPr>
            </w:pPr>
          </w:p>
        </w:tc>
        <w:tc>
          <w:tcPr>
            <w:tcW w:w="48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7</w:t>
            </w: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1035685</wp:posOffset>
            </wp:positionV>
            <wp:extent cx="7002145" cy="5187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2145" cy="51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9"/>
        <w:spacing w:after="0"/>
        <w:rPr>
          <w:sz w:val="20"/>
          <w:szCs w:val="20"/>
          <w:color w:val="auto"/>
        </w:rPr>
      </w:pPr>
      <w:r>
        <w:rPr>
          <w:rFonts w:ascii="Arial" w:cs="Arial" w:eastAsia="Arial" w:hAnsi="Arial"/>
          <w:sz w:val="44"/>
          <w:szCs w:val="44"/>
          <w:color w:val="004876"/>
        </w:rPr>
        <w:t>CORPORATE GOVERNANCE</w:t>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45"/>
          <w:szCs w:val="45"/>
          <w:color w:val="004876"/>
        </w:rPr>
        <w:t>Proposal 1:</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45"/>
          <w:szCs w:val="45"/>
          <w:color w:val="004876"/>
        </w:rPr>
        <w:t>Election of Directors</w:t>
      </w:r>
    </w:p>
    <w:p>
      <w:pPr>
        <w:spacing w:after="0" w:line="200" w:lineRule="exact"/>
        <w:rPr>
          <w:sz w:val="20"/>
          <w:szCs w:val="20"/>
          <w:color w:val="auto"/>
        </w:rPr>
      </w:pPr>
    </w:p>
    <w:p>
      <w:pPr>
        <w:spacing w:after="0" w:line="215" w:lineRule="exact"/>
        <w:rPr>
          <w:sz w:val="20"/>
          <w:szCs w:val="20"/>
          <w:color w:val="auto"/>
        </w:rPr>
      </w:pPr>
    </w:p>
    <w:p>
      <w:pPr>
        <w:ind w:left="200"/>
        <w:spacing w:after="0" w:line="231" w:lineRule="auto"/>
        <w:rPr>
          <w:sz w:val="20"/>
          <w:szCs w:val="20"/>
          <w:color w:val="auto"/>
        </w:rPr>
      </w:pPr>
      <w:r>
        <w:rPr>
          <w:rFonts w:ascii="Arial" w:cs="Arial" w:eastAsia="Arial" w:hAnsi="Arial"/>
          <w:sz w:val="20"/>
          <w:szCs w:val="20"/>
          <w:color w:val="auto"/>
        </w:rPr>
        <w:t>Our Board of Directors has nominated 11 directors, who, if elected by shareholders at our annual meeting, will be expected to serve until next year’s annual meeting. All nominees are currently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71" w:right="2620" w:hanging="671"/>
        <w:spacing w:after="0" w:line="180" w:lineRule="auto"/>
        <w:tabs>
          <w:tab w:leader="none" w:pos="671" w:val="left"/>
        </w:tabs>
        <w:numPr>
          <w:ilvl w:val="0"/>
          <w:numId w:val="23"/>
        </w:numPr>
        <w:rPr>
          <w:rFonts w:ascii="MS PGothic" w:cs="MS PGothic" w:eastAsia="MS PGothic" w:hAnsi="MS PGothic"/>
          <w:sz w:val="45"/>
          <w:szCs w:val="45"/>
          <w:color w:val="auto"/>
          <w:vertAlign w:val="subscript"/>
          <w:shd w:val="clear" w:color="auto" w:fill="73A950"/>
        </w:rPr>
      </w:pPr>
      <w:r>
        <w:rPr>
          <w:rFonts w:ascii="Arial" w:cs="Arial" w:eastAsia="Arial" w:hAnsi="Arial"/>
          <w:sz w:val="18"/>
          <w:szCs w:val="18"/>
          <w:color w:val="auto"/>
        </w:rPr>
        <w:t xml:space="preserve">RECOMMENDATION: Vote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1292860</wp:posOffset>
            </wp:positionV>
            <wp:extent cx="6997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-335915</wp:posOffset>
            </wp:positionV>
            <wp:extent cx="3215640" cy="3600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15640" cy="36004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5300" w:space="529"/>
            <w:col w:w="5331"/>
          </w:cols>
          <w:pgMar w:left="240" w:top="459"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8</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CORPORATE GOVERNANCE</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45"/>
          <w:szCs w:val="45"/>
          <w:b w:val="1"/>
          <w:bCs w:val="1"/>
          <w:color w:val="004876"/>
        </w:rPr>
        <w:t>Executive Summary</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220" w:right="80"/>
        <w:spacing w:after="0" w:line="257" w:lineRule="auto"/>
        <w:rPr>
          <w:sz w:val="20"/>
          <w:szCs w:val="20"/>
          <w:color w:val="auto"/>
        </w:rPr>
      </w:pPr>
      <w:r>
        <w:rPr>
          <w:rFonts w:ascii="Arial" w:cs="Arial" w:eastAsia="Arial" w:hAnsi="Arial"/>
          <w:sz w:val="17"/>
          <w:szCs w:val="17"/>
          <w:color w:val="auto"/>
        </w:rPr>
        <w:t>Our Board has nominated 11 directors for election at this year’s annual meeting. Our Board believes these nominees have the combined skills, experience, personal qualities, balance of tenure and collegiality needed for an effective and engaged Board.</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Information about:</w:t>
      </w:r>
    </w:p>
    <w:p>
      <w:pPr>
        <w:spacing w:after="0" w:line="71" w:lineRule="exact"/>
        <w:rPr>
          <w:sz w:val="20"/>
          <w:szCs w:val="20"/>
          <w:color w:val="auto"/>
        </w:rPr>
      </w:pPr>
    </w:p>
    <w:p>
      <w:pPr>
        <w:ind w:left="400" w:right="60"/>
        <w:spacing w:after="0" w:line="246" w:lineRule="auto"/>
        <w:rPr>
          <w:sz w:val="20"/>
          <w:szCs w:val="20"/>
          <w:color w:val="auto"/>
        </w:rPr>
      </w:pPr>
      <w:r>
        <w:rPr>
          <w:rFonts w:ascii="Arial" w:cs="Arial" w:eastAsia="Arial" w:hAnsi="Arial"/>
          <w:sz w:val="18"/>
          <w:szCs w:val="18"/>
          <w:color w:val="auto"/>
        </w:rPr>
        <w:t>The specific experience and qualifications of each nominee are described on pages 12-17</w:t>
      </w:r>
    </w:p>
    <w:p>
      <w:pPr>
        <w:spacing w:after="0" w:line="102" w:lineRule="exact"/>
        <w:rPr>
          <w:sz w:val="20"/>
          <w:szCs w:val="20"/>
          <w:color w:val="auto"/>
        </w:rPr>
      </w:pPr>
    </w:p>
    <w:p>
      <w:pPr>
        <w:ind w:left="400" w:right="580"/>
        <w:spacing w:after="0" w:line="246" w:lineRule="auto"/>
        <w:rPr>
          <w:sz w:val="20"/>
          <w:szCs w:val="20"/>
          <w:color w:val="auto"/>
        </w:rPr>
      </w:pPr>
      <w:r>
        <w:rPr>
          <w:rFonts w:ascii="Arial" w:cs="Arial" w:eastAsia="Arial" w:hAnsi="Arial"/>
          <w:sz w:val="18"/>
          <w:szCs w:val="18"/>
          <w:color w:val="auto"/>
        </w:rPr>
        <w:t>The personal and professional attributes and skills of the nominees are described on page 18</w:t>
      </w:r>
    </w:p>
    <w:p>
      <w:pPr>
        <w:spacing w:after="0" w:line="135" w:lineRule="exact"/>
        <w:rPr>
          <w:sz w:val="20"/>
          <w:szCs w:val="20"/>
          <w:color w:val="auto"/>
        </w:rPr>
      </w:pPr>
    </w:p>
    <w:p>
      <w:pPr>
        <w:ind w:left="220"/>
        <w:spacing w:after="0" w:line="250" w:lineRule="auto"/>
        <w:rPr>
          <w:sz w:val="20"/>
          <w:szCs w:val="20"/>
          <w:color w:val="auto"/>
        </w:rPr>
      </w:pPr>
      <w:r>
        <w:rPr>
          <w:rFonts w:ascii="Arial" w:cs="Arial" w:eastAsia="Arial" w:hAnsi="Arial"/>
          <w:sz w:val="17"/>
          <w:szCs w:val="17"/>
          <w:color w:val="auto"/>
        </w:rPr>
        <w:t>Our commitment to sound governance is integral to our business. The Firm’s Corporate Governance Principles (“Governance Principles”) establish a framework for the governance of the Board and the management of the Firm. These Governance Principles outline the Firm’s practices regarding Board composition, responsibilities, structure and operations, among other governance matters. The Governance Principles have been approved by the Board and are periodically reviewed and updated as appropriate. They reflect broadly recognized governance practices and regulatory requirements, including the New York Stock Exchange (“NYSE”) corporate governance listing standards. The full text of the Governance Principles can be accessed on our website at jpmorganchase.com/corp-gov-principles.</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5347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Descriptions of our governance practices related to:</w:t>
      </w:r>
    </w:p>
    <w:p>
      <w:pPr>
        <w:spacing w:after="0" w:line="71"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Director independence, recruitment and re-nomination can be found on pages 18-21</w:t>
      </w:r>
    </w:p>
    <w:p>
      <w:pPr>
        <w:spacing w:after="0" w:line="102"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How our Board conducts its business can be found on pages 21-28</w:t>
      </w:r>
    </w:p>
    <w:p>
      <w:pPr>
        <w:spacing w:after="0" w:line="102"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Board oversight of the business and affairs of the Firm can be found on pages 28-31, including the Board’s oversight of:</w:t>
      </w:r>
    </w:p>
    <w:p>
      <w:pPr>
        <w:spacing w:after="0" w:line="148" w:lineRule="exact"/>
        <w:rPr>
          <w:sz w:val="20"/>
          <w:szCs w:val="20"/>
          <w:color w:val="auto"/>
        </w:rPr>
      </w:pPr>
    </w:p>
    <w:p>
      <w:pPr>
        <w:ind w:left="420" w:hanging="181"/>
        <w:spacing w:after="0"/>
        <w:tabs>
          <w:tab w:leader="none" w:pos="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strategic objectives,</w:t>
      </w:r>
    </w:p>
    <w:p>
      <w:pPr>
        <w:spacing w:after="0" w:line="117" w:lineRule="exact"/>
        <w:rPr>
          <w:rFonts w:ascii="Arial" w:cs="Arial" w:eastAsia="Arial" w:hAnsi="Arial"/>
          <w:sz w:val="18"/>
          <w:szCs w:val="18"/>
          <w:color w:val="auto"/>
        </w:rPr>
      </w:pPr>
    </w:p>
    <w:p>
      <w:pPr>
        <w:ind w:left="420" w:hanging="181"/>
        <w:spacing w:after="0"/>
        <w:tabs>
          <w:tab w:leader="none" w:pos="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CEO performance and executive talent management,</w:t>
      </w:r>
    </w:p>
    <w:p>
      <w:pPr>
        <w:spacing w:after="0" w:line="117" w:lineRule="exact"/>
        <w:rPr>
          <w:rFonts w:ascii="Arial" w:cs="Arial" w:eastAsia="Arial" w:hAnsi="Arial"/>
          <w:sz w:val="18"/>
          <w:szCs w:val="18"/>
          <w:color w:val="auto"/>
        </w:rPr>
      </w:pPr>
    </w:p>
    <w:p>
      <w:pPr>
        <w:ind w:left="420" w:hanging="181"/>
        <w:spacing w:after="0"/>
        <w:tabs>
          <w:tab w:leader="none" w:pos="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financial performance, and</w:t>
      </w:r>
    </w:p>
    <w:p>
      <w:pPr>
        <w:spacing w:after="0" w:line="117" w:lineRule="exact"/>
        <w:rPr>
          <w:rFonts w:ascii="Arial" w:cs="Arial" w:eastAsia="Arial" w:hAnsi="Arial"/>
          <w:sz w:val="18"/>
          <w:szCs w:val="18"/>
          <w:color w:val="auto"/>
        </w:rPr>
      </w:pPr>
    </w:p>
    <w:p>
      <w:pPr>
        <w:ind w:left="420" w:hanging="181"/>
        <w:spacing w:after="0"/>
        <w:tabs>
          <w:tab w:leader="none" w:pos="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71" w:lineRule="exact"/>
        <w:rPr>
          <w:rFonts w:ascii="Arial" w:cs="Arial" w:eastAsia="Arial" w:hAnsi="Arial"/>
          <w:sz w:val="18"/>
          <w:szCs w:val="18"/>
          <w:color w:val="auto"/>
        </w:rPr>
      </w:pPr>
    </w:p>
    <w:p>
      <w:pPr>
        <w:ind w:left="200" w:right="860"/>
        <w:spacing w:after="0" w:line="246" w:lineRule="auto"/>
        <w:rPr>
          <w:rFonts w:ascii="Arial" w:cs="Arial" w:eastAsia="Arial" w:hAnsi="Arial"/>
          <w:sz w:val="18"/>
          <w:szCs w:val="18"/>
          <w:color w:val="auto"/>
        </w:rPr>
      </w:pPr>
      <w:r>
        <w:rPr>
          <w:rFonts w:ascii="Arial" w:cs="Arial" w:eastAsia="Arial" w:hAnsi="Arial"/>
          <w:sz w:val="18"/>
          <w:szCs w:val="18"/>
          <w:color w:val="auto"/>
        </w:rPr>
        <w:t>The active engagement of our directors with the Firm’s stakeholders can be found on pages 31-32</w:t>
      </w:r>
    </w:p>
    <w:p>
      <w:pPr>
        <w:spacing w:after="0" w:line="102" w:lineRule="exact"/>
        <w:rPr>
          <w:rFonts w:ascii="Arial" w:cs="Arial" w:eastAsia="Arial" w:hAnsi="Arial"/>
          <w:sz w:val="18"/>
          <w:szCs w:val="18"/>
          <w:color w:val="auto"/>
        </w:rPr>
      </w:pPr>
    </w:p>
    <w:p>
      <w:pPr>
        <w:ind w:left="200" w:right="100"/>
        <w:spacing w:after="0" w:line="246" w:lineRule="auto"/>
        <w:rPr>
          <w:rFonts w:ascii="Arial" w:cs="Arial" w:eastAsia="Arial" w:hAnsi="Arial"/>
          <w:sz w:val="18"/>
          <w:szCs w:val="18"/>
          <w:color w:val="auto"/>
        </w:rPr>
      </w:pPr>
      <w:r>
        <w:rPr>
          <w:rFonts w:ascii="Arial" w:cs="Arial" w:eastAsia="Arial" w:hAnsi="Arial"/>
          <w:sz w:val="18"/>
          <w:szCs w:val="18"/>
          <w:color w:val="auto"/>
        </w:rPr>
        <w:t>Other corporate governance policies and practices can be found on pages 32-35</w:t>
      </w:r>
    </w:p>
    <w:p>
      <w:pPr>
        <w:spacing w:after="0" w:line="1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Director compensation can be found on pages 35-37</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-4445</wp:posOffset>
            </wp:positionV>
            <wp:extent cx="3003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Proposal 1 — Election of Directors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4876"/>
        </w:rPr>
        <w:t>Summary of factors for shareholder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67"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50"/>
          <w:szCs w:val="50"/>
          <w:color w:val="FFFFFF"/>
          <w:vertAlign w:val="subscript"/>
        </w:rPr>
        <w:t>1</w:t>
      </w:r>
      <w:r>
        <w:rPr>
          <w:sz w:val="20"/>
          <w:szCs w:val="20"/>
          <w:color w:val="auto"/>
        </w:rPr>
        <w:tab/>
      </w:r>
      <w:r>
        <w:rPr>
          <w:rFonts w:ascii="Arial" w:cs="Arial" w:eastAsia="Arial" w:hAnsi="Arial"/>
          <w:sz w:val="17"/>
          <w:szCs w:val="17"/>
          <w:b w:val="1"/>
          <w:bCs w:val="1"/>
          <w:color w:val="004876"/>
        </w:rPr>
        <w:t>Experienced</w:t>
      </w:r>
      <w:r>
        <w:rPr>
          <w:rFonts w:ascii="Arial" w:cs="Arial" w:eastAsia="Arial" w:hAnsi="Arial"/>
          <w:sz w:val="29"/>
          <w:szCs w:val="29"/>
          <w:b w:val="1"/>
          <w:bCs w:val="1"/>
          <w:color w:val="004876"/>
          <w:vertAlign w:val="subscript"/>
        </w:rPr>
        <w:t>directors</w:t>
      </w:r>
      <w:r>
        <w:rPr>
          <w:rFonts w:ascii="Arial" w:cs="Arial" w:eastAsia="Arial" w:hAnsi="Arial"/>
          <w:sz w:val="17"/>
          <w:szCs w:val="17"/>
          <w:b w:val="1"/>
          <w:bCs w:val="1"/>
          <w:color w:val="004876"/>
        </w:rPr>
        <w:t xml:space="preserve"> and diverse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-199390</wp:posOffset>
            </wp:positionV>
            <wp:extent cx="3353435" cy="3257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53435" cy="3257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219710</wp:posOffset>
            </wp:positionV>
            <wp:extent cx="17145" cy="3689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36893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219710</wp:posOffset>
            </wp:positionV>
            <wp:extent cx="17145" cy="3689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368935"/>
                    </a:xfrm>
                    <a:prstGeom prst="rect">
                      <a:avLst/>
                    </a:prstGeom>
                    <a:noFill/>
                  </pic:spPr>
                </pic:pic>
              </a:graphicData>
            </a:graphic>
          </wp:anchor>
        </w:drawing>
      </w:r>
    </w:p>
    <w:p>
      <w:pPr>
        <w:spacing w:after="0" w:line="326" w:lineRule="exact"/>
        <w:rPr>
          <w:sz w:val="20"/>
          <w:szCs w:val="20"/>
          <w:color w:val="auto"/>
        </w:rPr>
      </w:pPr>
    </w:p>
    <w:tbl>
      <w:tblPr>
        <w:tblLayout w:type="fixed"/>
        <w:tblInd w:w="220" w:type="dxa"/>
        <w:tblCellMar>
          <w:top w:w="0" w:type="dxa"/>
          <w:left w:w="0" w:type="dxa"/>
          <w:bottom w:w="0" w:type="dxa"/>
          <w:right w:w="0" w:type="dxa"/>
        </w:tblCellMar>
      </w:tblPr>
      <w:tr>
        <w:trPr>
          <w:trHeight w:val="340"/>
        </w:trPr>
        <w:tc>
          <w:tcPr>
            <w:tcW w:w="1860" w:type="dxa"/>
            <w:vAlign w:val="bottom"/>
            <w:shd w:val="clear" w:color="auto" w:fill="E5E5E5"/>
          </w:tcPr>
          <w:p>
            <w:pPr>
              <w:jc w:val="right"/>
              <w:ind w:right="536"/>
              <w:spacing w:after="0"/>
              <w:rPr>
                <w:sz w:val="20"/>
                <w:szCs w:val="20"/>
                <w:color w:val="auto"/>
              </w:rPr>
            </w:pPr>
            <w:r>
              <w:rPr>
                <w:rFonts w:ascii="Arial" w:cs="Arial" w:eastAsia="Arial" w:hAnsi="Arial"/>
                <w:sz w:val="25"/>
                <w:szCs w:val="25"/>
                <w:b w:val="1"/>
                <w:bCs w:val="1"/>
                <w:color w:val="004876"/>
              </w:rPr>
              <w:t>100%</w:t>
            </w:r>
          </w:p>
        </w:tc>
        <w:tc>
          <w:tcPr>
            <w:tcW w:w="1500" w:type="dxa"/>
            <w:vAlign w:val="bottom"/>
            <w:shd w:val="clear" w:color="auto" w:fill="E5E5E5"/>
          </w:tcPr>
          <w:p>
            <w:pPr>
              <w:ind w:left="520"/>
              <w:spacing w:after="0"/>
              <w:rPr>
                <w:sz w:val="20"/>
                <w:szCs w:val="20"/>
                <w:color w:val="auto"/>
              </w:rPr>
            </w:pPr>
            <w:r>
              <w:rPr>
                <w:rFonts w:ascii="Arial" w:cs="Arial" w:eastAsia="Arial" w:hAnsi="Arial"/>
                <w:sz w:val="25"/>
                <w:szCs w:val="25"/>
                <w:b w:val="1"/>
                <w:bCs w:val="1"/>
                <w:color w:val="004876"/>
              </w:rPr>
              <w:t>20%</w:t>
            </w:r>
          </w:p>
        </w:tc>
        <w:tc>
          <w:tcPr>
            <w:tcW w:w="1920" w:type="dxa"/>
            <w:vAlign w:val="bottom"/>
            <w:shd w:val="clear" w:color="auto" w:fill="E5E5E5"/>
          </w:tcPr>
          <w:p>
            <w:pPr>
              <w:jc w:val="right"/>
              <w:ind w:right="496"/>
              <w:spacing w:after="0"/>
              <w:rPr>
                <w:sz w:val="20"/>
                <w:szCs w:val="20"/>
                <w:color w:val="auto"/>
              </w:rPr>
            </w:pPr>
            <w:r>
              <w:rPr>
                <w:rFonts w:ascii="Arial" w:cs="Arial" w:eastAsia="Arial" w:hAnsi="Arial"/>
                <w:sz w:val="25"/>
                <w:szCs w:val="25"/>
                <w:b w:val="1"/>
                <w:bCs w:val="1"/>
                <w:color w:val="004876"/>
              </w:rPr>
              <w:t>20%</w:t>
            </w:r>
          </w:p>
        </w:tc>
      </w:tr>
      <w:tr>
        <w:trPr>
          <w:trHeight w:val="195"/>
        </w:trPr>
        <w:tc>
          <w:tcPr>
            <w:tcW w:w="18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Independent</w:t>
            </w:r>
          </w:p>
        </w:tc>
        <w:tc>
          <w:tcPr>
            <w:tcW w:w="1500" w:type="dxa"/>
            <w:vAlign w:val="bottom"/>
            <w:shd w:val="clear" w:color="auto" w:fill="E5E5E5"/>
          </w:tcPr>
          <w:p>
            <w:pPr>
              <w:ind w:left="500"/>
              <w:spacing w:after="0"/>
              <w:rPr>
                <w:sz w:val="20"/>
                <w:szCs w:val="20"/>
                <w:color w:val="auto"/>
              </w:rPr>
            </w:pPr>
            <w:r>
              <w:rPr>
                <w:rFonts w:ascii="Arial" w:cs="Arial" w:eastAsia="Arial" w:hAnsi="Arial"/>
                <w:sz w:val="16"/>
                <w:szCs w:val="16"/>
                <w:color w:val="auto"/>
              </w:rPr>
              <w:t>Women</w:t>
            </w:r>
          </w:p>
        </w:tc>
        <w:tc>
          <w:tcPr>
            <w:tcW w:w="1920" w:type="dxa"/>
            <w:vAlign w:val="bottom"/>
            <w:shd w:val="clear" w:color="auto" w:fill="E5E5E5"/>
          </w:tcPr>
          <w:p>
            <w:pPr>
              <w:jc w:val="center"/>
              <w:ind w:left="136"/>
              <w:spacing w:after="0"/>
              <w:rPr>
                <w:sz w:val="20"/>
                <w:szCs w:val="20"/>
                <w:color w:val="auto"/>
              </w:rPr>
            </w:pPr>
            <w:r>
              <w:rPr>
                <w:rFonts w:ascii="Arial" w:cs="Arial" w:eastAsia="Arial" w:hAnsi="Arial"/>
                <w:sz w:val="16"/>
                <w:szCs w:val="16"/>
                <w:color w:val="auto"/>
              </w:rPr>
              <w:t>African-American</w:t>
            </w:r>
          </w:p>
        </w:tc>
      </w:tr>
      <w:tr>
        <w:trPr>
          <w:trHeight w:val="47"/>
        </w:trPr>
        <w:tc>
          <w:tcPr>
            <w:tcW w:w="1860" w:type="dxa"/>
            <w:vAlign w:val="bottom"/>
            <w:shd w:val="clear" w:color="auto" w:fill="E5E5E5"/>
          </w:tcPr>
          <w:p>
            <w:pPr>
              <w:spacing w:after="0"/>
              <w:rPr>
                <w:sz w:val="4"/>
                <w:szCs w:val="4"/>
                <w:color w:val="auto"/>
              </w:rPr>
            </w:pPr>
          </w:p>
        </w:tc>
        <w:tc>
          <w:tcPr>
            <w:tcW w:w="1500" w:type="dxa"/>
            <w:vAlign w:val="bottom"/>
            <w:shd w:val="clear" w:color="auto" w:fill="E5E5E5"/>
          </w:tcPr>
          <w:p>
            <w:pPr>
              <w:spacing w:after="0"/>
              <w:rPr>
                <w:sz w:val="4"/>
                <w:szCs w:val="4"/>
                <w:color w:val="auto"/>
              </w:rPr>
            </w:pPr>
          </w:p>
        </w:tc>
        <w:tc>
          <w:tcPr>
            <w:tcW w:w="1920" w:type="dxa"/>
            <w:vAlign w:val="bottom"/>
            <w:shd w:val="clear" w:color="auto" w:fill="E5E5E5"/>
          </w:tcPr>
          <w:p>
            <w:pPr>
              <w:spacing w:after="0"/>
              <w:rPr>
                <w:sz w:val="4"/>
                <w:szCs w:val="4"/>
                <w:color w:val="auto"/>
              </w:rPr>
            </w:pPr>
          </w:p>
        </w:tc>
      </w:tr>
    </w:tbl>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committees are comprised of only independent directors</w:t>
      </w:r>
    </w:p>
    <w:p>
      <w:pPr>
        <w:spacing w:after="0" w:line="130" w:lineRule="exact"/>
        <w:rPr>
          <w:sz w:val="20"/>
          <w:szCs w:val="20"/>
          <w:color w:val="auto"/>
        </w:rPr>
      </w:pPr>
    </w:p>
    <w:p>
      <w:pPr>
        <w:ind w:left="400" w:right="20"/>
        <w:spacing w:after="0" w:line="246" w:lineRule="auto"/>
        <w:rPr>
          <w:sz w:val="20"/>
          <w:szCs w:val="20"/>
          <w:color w:val="auto"/>
        </w:rPr>
      </w:pPr>
      <w:r>
        <w:rPr>
          <w:rFonts w:ascii="Arial" w:cs="Arial" w:eastAsia="Arial" w:hAnsi="Arial"/>
          <w:sz w:val="18"/>
          <w:szCs w:val="18"/>
          <w:color w:val="auto"/>
        </w:rPr>
        <w:t>Nominees have executive experience and skills aligned with the Firm’s business and strategy</w:t>
      </w:r>
    </w:p>
    <w:p>
      <w:pPr>
        <w:spacing w:after="0" w:line="102" w:lineRule="exact"/>
        <w:rPr>
          <w:sz w:val="20"/>
          <w:szCs w:val="20"/>
          <w:color w:val="auto"/>
        </w:rPr>
      </w:pPr>
    </w:p>
    <w:p>
      <w:pPr>
        <w:ind w:left="400" w:right="380"/>
        <w:spacing w:after="0" w:line="246" w:lineRule="auto"/>
        <w:rPr>
          <w:sz w:val="20"/>
          <w:szCs w:val="20"/>
          <w:color w:val="auto"/>
        </w:rPr>
      </w:pPr>
      <w:r>
        <w:rPr>
          <w:rFonts w:ascii="Arial" w:cs="Arial" w:eastAsia="Arial" w:hAnsi="Arial"/>
          <w:sz w:val="18"/>
          <w:szCs w:val="18"/>
          <w:color w:val="auto"/>
        </w:rPr>
        <w:t>Ongoing recruitment and refreshment promote a balance of experience and fresh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172085</wp:posOffset>
            </wp:positionV>
            <wp:extent cx="300355"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035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540" w:right="40" w:hanging="364"/>
        <w:spacing w:after="0" w:line="183" w:lineRule="auto"/>
        <w:tabs>
          <w:tab w:leader="none" w:pos="540" w:val="left"/>
        </w:tabs>
        <w:numPr>
          <w:ilvl w:val="1"/>
          <w:numId w:val="27"/>
        </w:numPr>
        <w:rPr>
          <w:rFonts w:ascii="Arial" w:cs="Arial" w:eastAsia="Arial" w:hAnsi="Arial"/>
          <w:sz w:val="41"/>
          <w:szCs w:val="41"/>
          <w:color w:val="FFFFFF"/>
          <w:vertAlign w:val="subscript"/>
        </w:rPr>
      </w:pPr>
      <w:r>
        <w:rPr>
          <w:rFonts w:ascii="Arial" w:cs="Arial" w:eastAsia="Arial" w:hAnsi="Arial"/>
          <w:sz w:val="19"/>
          <w:szCs w:val="19"/>
          <w:b w:val="1"/>
          <w:bCs w:val="1"/>
          <w:color w:val="004876"/>
        </w:rPr>
        <w:t>Strong Board oversight of the Firm’s business and affairs</w:t>
      </w:r>
    </w:p>
    <w:p>
      <w:pPr>
        <w:spacing w:after="0" w:line="94" w:lineRule="exact"/>
        <w:rPr>
          <w:rFonts w:ascii="Arial" w:cs="Arial" w:eastAsia="Arial" w:hAnsi="Arial"/>
          <w:sz w:val="41"/>
          <w:szCs w:val="41"/>
          <w:color w:val="FFFFFF"/>
          <w:vertAlign w:val="subscript"/>
        </w:rPr>
      </w:pPr>
    </w:p>
    <w:p>
      <w:pPr>
        <w:spacing w:after="0"/>
        <w:rPr>
          <w:rFonts w:ascii="Arial" w:cs="Arial" w:eastAsia="Arial" w:hAnsi="Arial"/>
          <w:sz w:val="41"/>
          <w:szCs w:val="41"/>
          <w:color w:val="FFFFFF"/>
          <w:vertAlign w:val="subscript"/>
        </w:rPr>
      </w:pPr>
      <w:r>
        <w:rPr>
          <w:rFonts w:ascii="Arial" w:cs="Arial" w:eastAsia="Arial" w:hAnsi="Arial"/>
          <w:sz w:val="18"/>
          <w:szCs w:val="18"/>
          <w:color w:val="auto"/>
        </w:rPr>
        <w:t>Reviews the strategic objectives and plans of the Firm</w:t>
      </w:r>
    </w:p>
    <w:p>
      <w:pPr>
        <w:spacing w:after="0" w:line="130" w:lineRule="exact"/>
        <w:rPr>
          <w:rFonts w:ascii="Arial" w:cs="Arial" w:eastAsia="Arial" w:hAnsi="Arial"/>
          <w:sz w:val="41"/>
          <w:szCs w:val="41"/>
          <w:color w:val="FFFFFF"/>
          <w:vertAlign w:val="subscript"/>
        </w:rPr>
      </w:pPr>
    </w:p>
    <w:p>
      <w:pPr>
        <w:ind w:left="200" w:right="140"/>
        <w:spacing w:after="0" w:line="246" w:lineRule="auto"/>
        <w:rPr>
          <w:rFonts w:ascii="Arial" w:cs="Arial" w:eastAsia="Arial" w:hAnsi="Arial"/>
          <w:sz w:val="41"/>
          <w:szCs w:val="41"/>
          <w:color w:val="FFFFFF"/>
          <w:vertAlign w:val="subscript"/>
        </w:rPr>
      </w:pPr>
      <w:r>
        <w:rPr>
          <w:rFonts w:ascii="Arial" w:cs="Arial" w:eastAsia="Arial" w:hAnsi="Arial"/>
          <w:sz w:val="18"/>
          <w:szCs w:val="18"/>
          <w:color w:val="auto"/>
        </w:rPr>
        <w:t>Evaluates CEO performance and oversees talent management for other senior executives</w:t>
      </w:r>
    </w:p>
    <w:p>
      <w:pPr>
        <w:spacing w:after="0" w:line="102" w:lineRule="exact"/>
        <w:rPr>
          <w:rFonts w:ascii="Arial" w:cs="Arial" w:eastAsia="Arial" w:hAnsi="Arial"/>
          <w:sz w:val="41"/>
          <w:szCs w:val="41"/>
          <w:color w:val="FFFFFF"/>
          <w:vertAlign w:val="subscript"/>
        </w:rPr>
      </w:pPr>
    </w:p>
    <w:p>
      <w:pPr>
        <w:spacing w:after="0"/>
        <w:rPr>
          <w:rFonts w:ascii="Arial" w:cs="Arial" w:eastAsia="Arial" w:hAnsi="Arial"/>
          <w:sz w:val="41"/>
          <w:szCs w:val="41"/>
          <w:color w:val="FFFFFF"/>
          <w:vertAlign w:val="subscript"/>
        </w:rPr>
      </w:pPr>
      <w:r>
        <w:rPr>
          <w:rFonts w:ascii="Arial" w:cs="Arial" w:eastAsia="Arial" w:hAnsi="Arial"/>
          <w:sz w:val="18"/>
          <w:szCs w:val="18"/>
          <w:color w:val="auto"/>
        </w:rPr>
        <w:t>Oversees the Firm’s financial performance and condition</w:t>
      </w:r>
    </w:p>
    <w:p>
      <w:pPr>
        <w:spacing w:after="0" w:line="130" w:lineRule="exact"/>
        <w:rPr>
          <w:rFonts w:ascii="Arial" w:cs="Arial" w:eastAsia="Arial" w:hAnsi="Arial"/>
          <w:sz w:val="41"/>
          <w:szCs w:val="41"/>
          <w:color w:val="FFFFFF"/>
          <w:vertAlign w:val="subscript"/>
        </w:rPr>
      </w:pPr>
    </w:p>
    <w:p>
      <w:pPr>
        <w:ind w:left="200" w:right="520"/>
        <w:spacing w:after="0" w:line="246" w:lineRule="auto"/>
        <w:rPr>
          <w:rFonts w:ascii="Arial" w:cs="Arial" w:eastAsia="Arial" w:hAnsi="Arial"/>
          <w:sz w:val="41"/>
          <w:szCs w:val="41"/>
          <w:color w:val="FFFFFF"/>
          <w:vertAlign w:val="subscript"/>
        </w:rPr>
      </w:pPr>
      <w:r>
        <w:rPr>
          <w:rFonts w:ascii="Arial" w:cs="Arial" w:eastAsia="Arial" w:hAnsi="Arial"/>
          <w:sz w:val="18"/>
          <w:szCs w:val="18"/>
          <w:color w:val="auto"/>
        </w:rPr>
        <w:t>Oversees the Firm’s risk management and internal control frameworks</w:t>
      </w:r>
    </w:p>
    <w:p>
      <w:pPr>
        <w:spacing w:after="0" w:line="102" w:lineRule="exact"/>
        <w:rPr>
          <w:rFonts w:ascii="Arial" w:cs="Arial" w:eastAsia="Arial" w:hAnsi="Arial"/>
          <w:sz w:val="41"/>
          <w:szCs w:val="41"/>
          <w:color w:val="FFFFFF"/>
          <w:vertAlign w:val="subscript"/>
        </w:rPr>
      </w:pPr>
    </w:p>
    <w:p>
      <w:pPr>
        <w:spacing w:after="0"/>
        <w:rPr>
          <w:rFonts w:ascii="Arial" w:cs="Arial" w:eastAsia="Arial" w:hAnsi="Arial"/>
          <w:sz w:val="41"/>
          <w:szCs w:val="41"/>
          <w:color w:val="FFFFFF"/>
          <w:vertAlign w:val="subscript"/>
        </w:rPr>
      </w:pPr>
      <w:r>
        <w:rPr>
          <w:rFonts w:ascii="Arial" w:cs="Arial" w:eastAsia="Arial" w:hAnsi="Arial"/>
          <w:sz w:val="18"/>
          <w:szCs w:val="18"/>
          <w:color w:val="auto"/>
        </w:rPr>
        <w:t>Oversees the Firm’s approach to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-1601470</wp:posOffset>
            </wp:positionV>
            <wp:extent cx="3422015" cy="3257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2015" cy="3257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189865</wp:posOffset>
            </wp:positionV>
            <wp:extent cx="300355"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0355" cy="25717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5500" w:space="320"/>
            <w:col w:w="5340"/>
          </w:cols>
          <w:pgMar w:left="240" w:top="459" w:right="499" w:bottom="1440" w:gutter="0" w:footer="0" w:header="0"/>
          <w:type w:val="continuous"/>
        </w:sectPr>
      </w:pPr>
    </w:p>
    <w:p>
      <w:pPr>
        <w:spacing w:after="0" w:line="172" w:lineRule="exact"/>
        <w:rPr>
          <w:sz w:val="20"/>
          <w:szCs w:val="20"/>
          <w:color w:val="auto"/>
        </w:rPr>
      </w:pPr>
    </w:p>
    <w:p>
      <w:pPr>
        <w:ind w:left="740" w:hanging="365"/>
        <w:spacing w:after="0"/>
        <w:tabs>
          <w:tab w:leader="none" w:pos="740" w:val="left"/>
        </w:tabs>
        <w:numPr>
          <w:ilvl w:val="1"/>
          <w:numId w:val="28"/>
        </w:numPr>
        <w:rPr>
          <w:rFonts w:ascii="Arial" w:cs="Arial" w:eastAsia="Arial" w:hAnsi="Arial"/>
          <w:sz w:val="25"/>
          <w:szCs w:val="25"/>
          <w:color w:val="FFFFFF"/>
        </w:rPr>
      </w:pPr>
      <w:r>
        <w:rPr>
          <w:rFonts w:ascii="Arial" w:cs="Arial" w:eastAsia="Arial" w:hAnsi="Arial"/>
          <w:sz w:val="22"/>
          <w:szCs w:val="22"/>
          <w:b w:val="1"/>
          <w:bCs w:val="1"/>
          <w:color w:val="004876"/>
        </w:rPr>
        <w:t>Effective Board structure</w:t>
      </w:r>
    </w:p>
    <w:p>
      <w:pPr>
        <w:spacing w:after="0" w:line="91" w:lineRule="exact"/>
        <w:rPr>
          <w:rFonts w:ascii="Arial" w:cs="Arial" w:eastAsia="Arial" w:hAnsi="Arial"/>
          <w:sz w:val="25"/>
          <w:szCs w:val="25"/>
          <w:color w:val="FFFFFF"/>
        </w:rPr>
      </w:pPr>
    </w:p>
    <w:p>
      <w:pPr>
        <w:ind w:left="400"/>
        <w:spacing w:after="0" w:line="246" w:lineRule="auto"/>
        <w:rPr>
          <w:rFonts w:ascii="Arial" w:cs="Arial" w:eastAsia="Arial" w:hAnsi="Arial"/>
          <w:sz w:val="25"/>
          <w:szCs w:val="25"/>
          <w:color w:val="FFFFFF"/>
        </w:rPr>
      </w:pPr>
      <w:r>
        <w:rPr>
          <w:rFonts w:ascii="Arial" w:cs="Arial" w:eastAsia="Arial" w:hAnsi="Arial"/>
          <w:sz w:val="18"/>
          <w:szCs w:val="18"/>
          <w:color w:val="auto"/>
        </w:rPr>
        <w:t>Appropriately allocates authority and responsibility between the Board and management</w:t>
      </w:r>
    </w:p>
    <w:p>
      <w:pPr>
        <w:spacing w:after="0" w:line="102" w:lineRule="exact"/>
        <w:rPr>
          <w:rFonts w:ascii="Arial" w:cs="Arial" w:eastAsia="Arial" w:hAnsi="Arial"/>
          <w:sz w:val="25"/>
          <w:szCs w:val="25"/>
          <w:color w:val="FFFFFF"/>
        </w:rPr>
      </w:pPr>
    </w:p>
    <w:p>
      <w:pPr>
        <w:ind w:left="400" w:right="240"/>
        <w:spacing w:after="0" w:line="275" w:lineRule="auto"/>
        <w:rPr>
          <w:rFonts w:ascii="Arial" w:cs="Arial" w:eastAsia="Arial" w:hAnsi="Arial"/>
          <w:sz w:val="25"/>
          <w:szCs w:val="25"/>
          <w:color w:val="FFFFFF"/>
        </w:rPr>
      </w:pPr>
      <w:r>
        <w:rPr>
          <w:rFonts w:ascii="Arial" w:cs="Arial" w:eastAsia="Arial" w:hAnsi="Arial"/>
          <w:sz w:val="17"/>
          <w:szCs w:val="17"/>
          <w:color w:val="auto"/>
        </w:rPr>
        <w:t>Lead Independent Director focuses on Board priorities and processes; facilitates independent oversight of management</w:t>
      </w:r>
    </w:p>
    <w:p>
      <w:pPr>
        <w:spacing w:after="0" w:line="78" w:lineRule="exact"/>
        <w:rPr>
          <w:rFonts w:ascii="Arial" w:cs="Arial" w:eastAsia="Arial" w:hAnsi="Arial"/>
          <w:sz w:val="25"/>
          <w:szCs w:val="25"/>
          <w:color w:val="FFFFFF"/>
        </w:rPr>
      </w:pPr>
    </w:p>
    <w:p>
      <w:pPr>
        <w:ind w:left="400" w:right="60"/>
        <w:spacing w:after="0" w:line="246" w:lineRule="auto"/>
        <w:rPr>
          <w:rFonts w:ascii="Arial" w:cs="Arial" w:eastAsia="Arial" w:hAnsi="Arial"/>
          <w:sz w:val="25"/>
          <w:szCs w:val="25"/>
          <w:color w:val="FFFFFF"/>
        </w:rPr>
      </w:pPr>
      <w:r>
        <w:rPr>
          <w:rFonts w:ascii="Arial" w:cs="Arial" w:eastAsia="Arial" w:hAnsi="Arial"/>
          <w:sz w:val="18"/>
          <w:szCs w:val="18"/>
          <w:color w:val="auto"/>
        </w:rPr>
        <w:t>Annual Board self-assessment and review of Board leadership structure</w:t>
      </w:r>
    </w:p>
    <w:p>
      <w:pPr>
        <w:spacing w:after="0" w:line="102" w:lineRule="exact"/>
        <w:rPr>
          <w:rFonts w:ascii="Arial" w:cs="Arial" w:eastAsia="Arial" w:hAnsi="Arial"/>
          <w:sz w:val="25"/>
          <w:szCs w:val="25"/>
          <w:color w:val="FFFFFF"/>
        </w:rPr>
      </w:pPr>
    </w:p>
    <w:p>
      <w:pPr>
        <w:ind w:left="400" w:right="120"/>
        <w:spacing w:after="0" w:line="440" w:lineRule="auto"/>
        <w:rPr>
          <w:rFonts w:ascii="Arial" w:cs="Arial" w:eastAsia="Arial" w:hAnsi="Arial"/>
          <w:sz w:val="25"/>
          <w:szCs w:val="25"/>
          <w:color w:val="FFFFFF"/>
        </w:rPr>
      </w:pPr>
      <w:r>
        <w:rPr>
          <w:rFonts w:ascii="Arial" w:cs="Arial" w:eastAsia="Arial" w:hAnsi="Arial"/>
          <w:sz w:val="17"/>
          <w:szCs w:val="17"/>
          <w:color w:val="auto"/>
        </w:rPr>
        <w:t>Oversight of the Firm conducted through Board committees Board met 11 times during the year; committees met 42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-1513840</wp:posOffset>
            </wp:positionV>
            <wp:extent cx="3053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540" w:hanging="364"/>
        <w:spacing w:after="0"/>
        <w:tabs>
          <w:tab w:leader="none" w:pos="540" w:val="left"/>
        </w:tabs>
        <w:numPr>
          <w:ilvl w:val="1"/>
          <w:numId w:val="29"/>
        </w:numPr>
        <w:rPr>
          <w:rFonts w:ascii="Arial" w:cs="Arial" w:eastAsia="Arial" w:hAnsi="Arial"/>
          <w:sz w:val="25"/>
          <w:szCs w:val="25"/>
          <w:color w:val="FFFFFF"/>
        </w:rPr>
      </w:pPr>
      <w:r>
        <w:rPr>
          <w:rFonts w:ascii="Arial" w:cs="Arial" w:eastAsia="Arial" w:hAnsi="Arial"/>
          <w:sz w:val="22"/>
          <w:szCs w:val="22"/>
          <w:b w:val="1"/>
          <w:bCs w:val="1"/>
          <w:color w:val="004876"/>
        </w:rPr>
        <w:t>Ongoing engagement with stakeholders</w:t>
      </w:r>
    </w:p>
    <w:p>
      <w:pPr>
        <w:spacing w:after="0" w:line="91" w:lineRule="exact"/>
        <w:rPr>
          <w:rFonts w:ascii="Arial" w:cs="Arial" w:eastAsia="Arial" w:hAnsi="Arial"/>
          <w:sz w:val="25"/>
          <w:szCs w:val="25"/>
          <w:color w:val="FFFFFF"/>
        </w:rPr>
      </w:pPr>
    </w:p>
    <w:p>
      <w:pPr>
        <w:ind w:left="200" w:right="200"/>
        <w:spacing w:after="0" w:line="239" w:lineRule="auto"/>
        <w:rPr>
          <w:rFonts w:ascii="Arial" w:cs="Arial" w:eastAsia="Arial" w:hAnsi="Arial"/>
          <w:sz w:val="25"/>
          <w:szCs w:val="25"/>
          <w:color w:val="FFFFFF"/>
        </w:rPr>
      </w:pPr>
      <w:r>
        <w:rPr>
          <w:rFonts w:ascii="Arial" w:cs="Arial" w:eastAsia="Arial" w:hAnsi="Arial"/>
          <w:sz w:val="18"/>
          <w:szCs w:val="18"/>
          <w:color w:val="auto"/>
        </w:rPr>
        <w:t>The Board is actively involved in stakeholder engagement and reviewing feedback from our stakeholders, including shareholders, employees, regulators and non-governmental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-579120</wp:posOffset>
            </wp:positionV>
            <wp:extent cx="31216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175260</wp:posOffset>
            </wp:positionV>
            <wp:extent cx="300355" cy="257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0355" cy="257175"/>
                    </a:xfrm>
                    <a:prstGeom prst="rect">
                      <a:avLst/>
                    </a:prstGeom>
                    <a:noFill/>
                  </pic:spPr>
                </pic:pic>
              </a:graphicData>
            </a:graphic>
          </wp:anchor>
        </w:drawing>
      </w:r>
    </w:p>
    <w:p>
      <w:pPr>
        <w:spacing w:after="0" w:line="357" w:lineRule="exact"/>
        <w:rPr>
          <w:sz w:val="20"/>
          <w:szCs w:val="20"/>
          <w:color w:val="auto"/>
        </w:rPr>
      </w:pPr>
    </w:p>
    <w:p>
      <w:pPr>
        <w:ind w:left="540" w:hanging="364"/>
        <w:spacing w:after="0"/>
        <w:tabs>
          <w:tab w:leader="none" w:pos="540" w:val="left"/>
        </w:tabs>
        <w:numPr>
          <w:ilvl w:val="1"/>
          <w:numId w:val="30"/>
        </w:numPr>
        <w:rPr>
          <w:rFonts w:ascii="Arial" w:cs="Arial" w:eastAsia="Arial" w:hAnsi="Arial"/>
          <w:sz w:val="25"/>
          <w:szCs w:val="25"/>
          <w:color w:val="FFFFFF"/>
        </w:rPr>
      </w:pPr>
      <w:r>
        <w:rPr>
          <w:rFonts w:ascii="Arial" w:cs="Arial" w:eastAsia="Arial" w:hAnsi="Arial"/>
          <w:sz w:val="22"/>
          <w:szCs w:val="22"/>
          <w:b w:val="1"/>
          <w:bCs w:val="1"/>
          <w:color w:val="004876"/>
        </w:rPr>
        <w:t>Sound governance policies and practices</w:t>
      </w:r>
    </w:p>
    <w:p>
      <w:pPr>
        <w:spacing w:after="0" w:line="91" w:lineRule="exact"/>
        <w:rPr>
          <w:rFonts w:ascii="Arial" w:cs="Arial" w:eastAsia="Arial" w:hAnsi="Arial"/>
          <w:sz w:val="25"/>
          <w:szCs w:val="25"/>
          <w:color w:val="FFFFFF"/>
        </w:rPr>
      </w:pPr>
    </w:p>
    <w:p>
      <w:pPr>
        <w:spacing w:after="0"/>
        <w:rPr>
          <w:rFonts w:ascii="Arial" w:cs="Arial" w:eastAsia="Arial" w:hAnsi="Arial"/>
          <w:sz w:val="25"/>
          <w:szCs w:val="25"/>
          <w:color w:val="FFFFFF"/>
        </w:rPr>
      </w:pPr>
      <w:r>
        <w:rPr>
          <w:rFonts w:ascii="Arial" w:cs="Arial" w:eastAsia="Arial" w:hAnsi="Arial"/>
          <w:sz w:val="18"/>
          <w:szCs w:val="18"/>
          <w:color w:val="auto"/>
        </w:rPr>
        <w:t>Proxy access</w:t>
      </w:r>
    </w:p>
    <w:p>
      <w:pPr>
        <w:spacing w:after="0" w:line="130" w:lineRule="exact"/>
        <w:rPr>
          <w:rFonts w:ascii="Arial" w:cs="Arial" w:eastAsia="Arial" w:hAnsi="Arial"/>
          <w:sz w:val="25"/>
          <w:szCs w:val="25"/>
          <w:color w:val="FFFFFF"/>
        </w:rPr>
      </w:pPr>
    </w:p>
    <w:p>
      <w:pPr>
        <w:ind w:left="200" w:right="3000"/>
        <w:spacing w:after="0" w:line="391" w:lineRule="auto"/>
        <w:rPr>
          <w:rFonts w:ascii="Arial" w:cs="Arial" w:eastAsia="Arial" w:hAnsi="Arial"/>
          <w:sz w:val="25"/>
          <w:szCs w:val="25"/>
          <w:color w:val="FFFFFF"/>
        </w:rPr>
      </w:pPr>
      <w:r>
        <w:rPr>
          <w:rFonts w:ascii="Arial" w:cs="Arial" w:eastAsia="Arial" w:hAnsi="Arial"/>
          <w:sz w:val="18"/>
          <w:szCs w:val="18"/>
          <w:color w:val="auto"/>
        </w:rPr>
        <w:t>Special meeting provisions Written consent</w:t>
      </w:r>
    </w:p>
    <w:p>
      <w:pPr>
        <w:spacing w:after="0"/>
        <w:rPr>
          <w:rFonts w:ascii="Arial" w:cs="Arial" w:eastAsia="Arial" w:hAnsi="Arial"/>
          <w:sz w:val="25"/>
          <w:szCs w:val="25"/>
          <w:color w:val="FFFFFF"/>
        </w:rPr>
      </w:pPr>
      <w:r>
        <w:rPr>
          <w:rFonts w:ascii="Arial" w:cs="Arial" w:eastAsia="Arial" w:hAnsi="Arial"/>
          <w:sz w:val="18"/>
          <w:szCs w:val="18"/>
          <w:color w:val="auto"/>
        </w:rPr>
        <w:t>Majority election of directors</w:t>
      </w:r>
    </w:p>
    <w:p>
      <w:pPr>
        <w:spacing w:after="0" w:line="130" w:lineRule="exact"/>
        <w:rPr>
          <w:rFonts w:ascii="Arial" w:cs="Arial" w:eastAsia="Arial" w:hAnsi="Arial"/>
          <w:sz w:val="25"/>
          <w:szCs w:val="25"/>
          <w:color w:val="FFFFFF"/>
        </w:rPr>
      </w:pPr>
    </w:p>
    <w:p>
      <w:pPr>
        <w:ind w:left="200" w:right="1720"/>
        <w:spacing w:after="0" w:line="391" w:lineRule="auto"/>
        <w:rPr>
          <w:rFonts w:ascii="Arial" w:cs="Arial" w:eastAsia="Arial" w:hAnsi="Arial"/>
          <w:sz w:val="25"/>
          <w:szCs w:val="25"/>
          <w:color w:val="FFFFFF"/>
        </w:rPr>
      </w:pPr>
      <w:r>
        <w:rPr>
          <w:rFonts w:ascii="Arial" w:cs="Arial" w:eastAsia="Arial" w:hAnsi="Arial"/>
          <w:sz w:val="18"/>
          <w:szCs w:val="18"/>
          <w:color w:val="auto"/>
        </w:rPr>
        <w:t>Stock ownership requirements for directors 100% committee independence</w:t>
      </w:r>
    </w:p>
    <w:p>
      <w:pPr>
        <w:ind w:left="200" w:right="380"/>
        <w:spacing w:after="0" w:line="246" w:lineRule="auto"/>
        <w:rPr>
          <w:rFonts w:ascii="Arial" w:cs="Arial" w:eastAsia="Arial" w:hAnsi="Arial"/>
          <w:sz w:val="25"/>
          <w:szCs w:val="25"/>
          <w:color w:val="FFFFFF"/>
        </w:rPr>
      </w:pPr>
      <w:r>
        <w:rPr>
          <w:rFonts w:ascii="Arial" w:cs="Arial" w:eastAsia="Arial" w:hAnsi="Arial"/>
          <w:sz w:val="18"/>
          <w:szCs w:val="18"/>
          <w:color w:val="auto"/>
        </w:rPr>
        <w:t>Executive sessions of independent directors at each regular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-1610995</wp:posOffset>
            </wp:positionV>
            <wp:extent cx="31216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00"/>
            <w:col w:w="5340"/>
          </w:cols>
          <w:pgMar w:left="240" w:top="459" w:right="499" w:bottom="1440" w:gutter="0" w:footer="0" w:header="0"/>
          <w:type w:val="continuous"/>
        </w:sectPr>
      </w:pPr>
    </w:p>
    <w:p>
      <w:pPr>
        <w:spacing w:after="0" w:line="11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10</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CORPORATE GOVERNANCE</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Director nominees</w:t>
      </w:r>
    </w:p>
    <w:p>
      <w:pPr>
        <w:spacing w:after="0" w:line="13"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The people listed on the following pages have been nominated for election because they possess the skills, experience, personal attributes, collegiality and tenure needed to guide the Firm’s strategy, and to effectively oversee the Firm’s risk management framework and management’s execution of management responsibilities.</w:t>
      </w:r>
    </w:p>
    <w:p>
      <w:pPr>
        <w:spacing w:after="0" w:line="97"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In the biographical information about our director nominees that follows, the ages indicated are as of May 21, 2019, and the other information is as of the date of this proxy statement. There are no family relationships among the director nominees or between the director nominees and any executive officer. Unless otherwise stated, all nominees have been continuously employed by their present employers for more than five years.</w:t>
      </w:r>
    </w:p>
    <w:p>
      <w:pPr>
        <w:spacing w:after="0" w:line="95" w:lineRule="exact"/>
        <w:rPr>
          <w:sz w:val="20"/>
          <w:szCs w:val="20"/>
          <w:color w:val="auto"/>
        </w:rPr>
      </w:pPr>
    </w:p>
    <w:p>
      <w:pPr>
        <w:ind w:left="220"/>
        <w:spacing w:after="0" w:line="246" w:lineRule="auto"/>
        <w:rPr>
          <w:sz w:val="20"/>
          <w:szCs w:val="20"/>
          <w:color w:val="auto"/>
        </w:rPr>
      </w:pPr>
      <w:r>
        <w:rPr>
          <w:rFonts w:ascii="Arial" w:cs="Arial" w:eastAsia="Arial" w:hAnsi="Arial"/>
          <w:sz w:val="18"/>
          <w:szCs w:val="18"/>
          <w:color w:val="auto"/>
        </w:rPr>
        <w:t>In addition to the biographical information that follows, reference is made to the description of our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personal and professional attributes and skills on page 18 of this proxy statement.</w:t>
      </w:r>
    </w:p>
    <w:p>
      <w:pPr>
        <w:spacing w:after="0" w:line="8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William Weldon, who has served as a director of the Firm since 2005, has decided to retire from the Board and is not standing for re-election when his term expires on the eve of this year’s annual meeting.</w:t>
      </w:r>
    </w:p>
    <w:p>
      <w:pPr>
        <w:spacing w:after="0" w:line="9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All of the nominees are currently directors of the Firm, and each was elected to the Board by our shareholders at our 2018 annual meeting with the support of more than 94% of the votes cast.</w:t>
      </w:r>
    </w:p>
    <w:p>
      <w:pPr>
        <w:spacing w:after="0" w:line="95"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Each nominee has agreed to be named in this proxy statement and, if elected, to serve a one-year term expiring at our 2020 annual meeting.</w:t>
      </w:r>
    </w:p>
    <w:p>
      <w:pPr>
        <w:spacing w:after="0" w:line="9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Directors are expected to attend our annual shareholder meetings. Eleven of the 12 directors serving on our Board at the time of the 2018 annual meeting attended the meeting. One director was unable to attend due to a prior professional obligation.</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30"/>
          <w:szCs w:val="30"/>
          <w:b w:val="1"/>
          <w:bCs w:val="1"/>
          <w:color w:val="004876"/>
        </w:rPr>
        <w:t>Profile of Nominees (excluding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7031990" cy="46653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1990" cy="46653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80"/>
        <w:spacing w:after="0"/>
        <w:tabs>
          <w:tab w:leader="none" w:pos="10960" w:val="left"/>
        </w:tabs>
        <w:rPr>
          <w:sz w:val="20"/>
          <w:szCs w:val="20"/>
          <w:color w:val="auto"/>
        </w:rPr>
      </w:pPr>
      <w:r>
        <w:rPr>
          <w:rFonts w:ascii="Arial" w:cs="Arial" w:eastAsia="Arial" w:hAnsi="Arial"/>
          <w:sz w:val="13"/>
          <w:szCs w:val="13"/>
          <w:color w:val="auto"/>
        </w:rPr>
        <w:t>JPMORGAN CHASE &amp; CO. • 2019 PROXY STATEMENT</w:t>
      </w:r>
      <w:r>
        <w:rPr>
          <w:sz w:val="20"/>
          <w:szCs w:val="20"/>
          <w:color w:val="auto"/>
        </w:rPr>
        <w:tab/>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250825</wp:posOffset>
            </wp:positionV>
            <wp:extent cx="8890" cy="3481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34817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250825</wp:posOffset>
            </wp:positionV>
            <wp:extent cx="934720" cy="26073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472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560"/>
        <w:spacing w:after="0"/>
        <w:rPr>
          <w:sz w:val="20"/>
          <w:szCs w:val="20"/>
          <w:color w:val="auto"/>
        </w:rPr>
      </w:pPr>
      <w:r>
        <w:rPr>
          <w:rFonts w:ascii="Arial" w:cs="Arial" w:eastAsia="Arial" w:hAnsi="Arial"/>
          <w:sz w:val="43"/>
          <w:szCs w:val="43"/>
          <w:color w:val="004876"/>
        </w:rPr>
        <w:t>Linda B. Bammann</w:t>
      </w:r>
    </w:p>
    <w:p>
      <w:pPr>
        <w:spacing w:after="0" w:line="100" w:lineRule="exact"/>
        <w:rPr>
          <w:sz w:val="20"/>
          <w:szCs w:val="20"/>
          <w:color w:val="auto"/>
        </w:rPr>
      </w:pPr>
    </w:p>
    <w:p>
      <w:pPr>
        <w:ind w:left="2560"/>
        <w:spacing w:after="0"/>
        <w:rPr>
          <w:sz w:val="20"/>
          <w:szCs w:val="20"/>
          <w:color w:val="auto"/>
        </w:rPr>
      </w:pPr>
      <w:r>
        <w:rPr>
          <w:rFonts w:ascii="Arial" w:cs="Arial" w:eastAsia="Arial" w:hAnsi="Arial"/>
          <w:sz w:val="22"/>
          <w:szCs w:val="22"/>
          <w:i w:val="1"/>
          <w:iCs w:val="1"/>
          <w:color w:val="auto"/>
        </w:rPr>
        <w:t>Retired Deputy Head of Risk Management of JPMorgan Chase &amp; Co.</w:t>
      </w:r>
    </w:p>
    <w:p>
      <w:pPr>
        <w:spacing w:after="0" w:line="200" w:lineRule="exact"/>
        <w:rPr>
          <w:sz w:val="20"/>
          <w:szCs w:val="20"/>
          <w:color w:val="auto"/>
        </w:rPr>
      </w:pPr>
    </w:p>
    <w:p>
      <w:pPr>
        <w:spacing w:after="0" w:line="320" w:lineRule="exact"/>
        <w:rPr>
          <w:sz w:val="20"/>
          <w:szCs w:val="20"/>
          <w:color w:val="auto"/>
        </w:rPr>
      </w:pPr>
    </w:p>
    <w:p>
      <w:pPr>
        <w:ind w:left="2560" w:right="40"/>
        <w:spacing w:after="0" w:line="251" w:lineRule="auto"/>
        <w:rPr>
          <w:sz w:val="20"/>
          <w:szCs w:val="20"/>
          <w:color w:val="auto"/>
        </w:rPr>
      </w:pPr>
      <w:r>
        <w:rPr>
          <w:rFonts w:ascii="Arial" w:cs="Arial" w:eastAsia="Arial" w:hAnsi="Arial"/>
          <w:sz w:val="16"/>
          <w:szCs w:val="16"/>
          <w:color w:val="auto"/>
        </w:rPr>
        <w:t>Through her service on other boards, including as Chair of the Business and Risk Committee of the Federal Home Loan Mortgage Corporation, and her management tenure at JPMorgan Chase and Bank One Corporation, Ms. Bammann has developed insight and wide-ranging experience in financial services and extensive expertise in risk management and regulatory issues.</w:t>
      </w:r>
    </w:p>
    <w:p>
      <w:pPr>
        <w:sectPr>
          <w:pgSz w:w="11900" w:h="16838" w:orient="portrait"/>
          <w:cols w:equalWidth="0" w:num="1">
            <w:col w:w="11200"/>
          </w:cols>
          <w:pgMar w:left="240" w:top="459" w:right="459" w:bottom="1440" w:gutter="0" w:footer="0" w:header="0"/>
        </w:sectPr>
      </w:pPr>
    </w:p>
    <w:p>
      <w:pPr>
        <w:spacing w:after="0" w:line="223"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560" w:right="80"/>
        <w:spacing w:after="0" w:line="250" w:lineRule="auto"/>
        <w:rPr>
          <w:sz w:val="20"/>
          <w:szCs w:val="20"/>
          <w:color w:val="auto"/>
        </w:rPr>
      </w:pPr>
      <w:r>
        <w:rPr>
          <w:rFonts w:ascii="Arial" w:cs="Arial" w:eastAsia="Arial" w:hAnsi="Arial"/>
          <w:sz w:val="16"/>
          <w:szCs w:val="16"/>
          <w:color w:val="auto"/>
        </w:rPr>
        <w:t>JPMorgan Chase &amp; Co., a financial services company (merged with Bank One Corporation in July 2004)</w:t>
      </w:r>
    </w:p>
    <w:p>
      <w:pPr>
        <w:ind w:left="2560"/>
        <w:spacing w:after="0"/>
        <w:rPr>
          <w:sz w:val="20"/>
          <w:szCs w:val="20"/>
          <w:color w:val="auto"/>
        </w:rPr>
      </w:pPr>
      <w:r>
        <w:rPr>
          <w:rFonts w:ascii="Arial" w:cs="Arial" w:eastAsia="Arial" w:hAnsi="Arial"/>
          <w:sz w:val="16"/>
          <w:szCs w:val="16"/>
          <w:color w:val="auto"/>
        </w:rPr>
        <w:t>Deputy Head of Risk Management (2004–2005)</w:t>
      </w:r>
    </w:p>
    <w:p>
      <w:pPr>
        <w:spacing w:after="0" w:line="85" w:lineRule="exact"/>
        <w:rPr>
          <w:sz w:val="20"/>
          <w:szCs w:val="20"/>
          <w:color w:val="auto"/>
        </w:rPr>
      </w:pPr>
    </w:p>
    <w:p>
      <w:pPr>
        <w:ind w:left="2700" w:right="140" w:hanging="16"/>
        <w:spacing w:after="0" w:line="278" w:lineRule="auto"/>
        <w:rPr>
          <w:sz w:val="20"/>
          <w:szCs w:val="20"/>
          <w:color w:val="auto"/>
        </w:rPr>
      </w:pPr>
      <w:r>
        <w:rPr>
          <w:rFonts w:ascii="Arial" w:cs="Arial" w:eastAsia="Arial" w:hAnsi="Arial"/>
          <w:sz w:val="16"/>
          <w:szCs w:val="16"/>
          <w:color w:val="auto"/>
        </w:rPr>
        <w:t>Chief Risk Management Officer and Executive Vice President, Bank One Corporation (2001–2004)</w:t>
      </w:r>
    </w:p>
    <w:p>
      <w:pPr>
        <w:spacing w:after="0" w:line="7" w:lineRule="exact"/>
        <w:rPr>
          <w:sz w:val="20"/>
          <w:szCs w:val="20"/>
          <w:color w:val="auto"/>
        </w:rPr>
      </w:pPr>
    </w:p>
    <w:p>
      <w:pPr>
        <w:ind w:left="2700" w:hanging="16"/>
        <w:spacing w:after="0" w:line="278" w:lineRule="auto"/>
        <w:rPr>
          <w:sz w:val="20"/>
          <w:szCs w:val="20"/>
          <w:color w:val="auto"/>
        </w:rPr>
      </w:pPr>
      <w:r>
        <w:rPr>
          <w:rFonts w:ascii="Arial" w:cs="Arial" w:eastAsia="Arial" w:hAnsi="Arial"/>
          <w:sz w:val="16"/>
          <w:szCs w:val="16"/>
          <w:color w:val="auto"/>
        </w:rPr>
        <w:t>Senior Managing Director, Banc One Capital Markets (2000–2001)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1079500</wp:posOffset>
            </wp:positionV>
            <wp:extent cx="8890" cy="3319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3319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1079500</wp:posOffset>
            </wp:positionV>
            <wp:extent cx="934720" cy="2872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4720" cy="2872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Federal Home Loan Mortgage Corporation (2008–</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2013)</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Manulife Financial Corporation (2009–2012)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Former Board Member, Risk Management Association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Former Chair, Loan Syndications and Trading</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Association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Graduate of Stanford University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 Public Policy, University of Michigan</w:t>
      </w:r>
    </w:p>
    <w:p>
      <w:pPr>
        <w:spacing w:after="0" w:line="200" w:lineRule="exact"/>
        <w:rPr>
          <w:sz w:val="20"/>
          <w:szCs w:val="20"/>
          <w:color w:val="auto"/>
        </w:rPr>
      </w:pPr>
    </w:p>
    <w:p>
      <w:pPr>
        <w:sectPr>
          <w:pgSz w:w="11900" w:h="16838" w:orient="portrait"/>
          <w:cols w:equalWidth="0" w:num="2">
            <w:col w:w="6500" w:space="660"/>
            <w:col w:w="404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560"/>
        <w:spacing w:after="0"/>
        <w:rPr>
          <w:sz w:val="20"/>
          <w:szCs w:val="20"/>
          <w:color w:val="auto"/>
        </w:rPr>
      </w:pPr>
      <w:r>
        <w:rPr>
          <w:rFonts w:ascii="Arial" w:cs="Arial" w:eastAsia="Arial" w:hAnsi="Arial"/>
          <w:sz w:val="43"/>
          <w:szCs w:val="43"/>
          <w:color w:val="004876"/>
        </w:rPr>
        <w:t>James A. Bell</w:t>
      </w:r>
    </w:p>
    <w:p>
      <w:pPr>
        <w:spacing w:after="0" w:line="100" w:lineRule="exact"/>
        <w:rPr>
          <w:sz w:val="20"/>
          <w:szCs w:val="20"/>
          <w:color w:val="auto"/>
        </w:rPr>
      </w:pPr>
    </w:p>
    <w:p>
      <w:pPr>
        <w:ind w:left="2560"/>
        <w:spacing w:after="0"/>
        <w:rPr>
          <w:sz w:val="20"/>
          <w:szCs w:val="20"/>
          <w:color w:val="auto"/>
        </w:rPr>
      </w:pPr>
      <w:r>
        <w:rPr>
          <w:rFonts w:ascii="Arial" w:cs="Arial" w:eastAsia="Arial" w:hAnsi="Arial"/>
          <w:sz w:val="22"/>
          <w:szCs w:val="22"/>
          <w:i w:val="1"/>
          <w:iCs w:val="1"/>
          <w:color w:val="auto"/>
        </w:rPr>
        <w:t>Retired Executive Vice President of The Boeing Company</w:t>
      </w:r>
    </w:p>
    <w:p>
      <w:pPr>
        <w:spacing w:after="0" w:line="200" w:lineRule="exact"/>
        <w:rPr>
          <w:sz w:val="20"/>
          <w:szCs w:val="20"/>
          <w:color w:val="auto"/>
        </w:rPr>
      </w:pPr>
    </w:p>
    <w:p>
      <w:pPr>
        <w:spacing w:after="0" w:line="320" w:lineRule="exact"/>
        <w:rPr>
          <w:sz w:val="20"/>
          <w:szCs w:val="20"/>
          <w:color w:val="auto"/>
        </w:rPr>
      </w:pPr>
    </w:p>
    <w:p>
      <w:pPr>
        <w:ind w:left="2560" w:right="200"/>
        <w:spacing w:after="0" w:line="250" w:lineRule="auto"/>
        <w:rPr>
          <w:sz w:val="20"/>
          <w:szCs w:val="20"/>
          <w:color w:val="auto"/>
        </w:rPr>
      </w:pPr>
      <w:r>
        <w:rPr>
          <w:rFonts w:ascii="Arial" w:cs="Arial" w:eastAsia="Arial" w:hAnsi="Arial"/>
          <w:sz w:val="16"/>
          <w:szCs w:val="16"/>
          <w:color w:val="auto"/>
        </w:rPr>
        <w:t>Over a four-decade corporate career, Mr. Bell led global businesses in a highly regulated industry, oversaw successful strategic growth initiatives and developed extensive experience in finance, accounting, risk management and controls. While Chief Financial Officer, he oversaw two key Boeing businesses: Boeing Capital Corporation, the company’s customer-financing subsidiary and Boeing Shared Services, an 8,000 person, multi-billion dollar business unit that provides common internal services across Boeing’s global enterprise.</w:t>
      </w:r>
    </w:p>
    <w:p>
      <w:pPr>
        <w:sectPr>
          <w:pgSz w:w="11900" w:h="16838" w:orient="portrait"/>
          <w:cols w:equalWidth="0" w:num="1">
            <w:col w:w="11200"/>
          </w:cols>
          <w:pgMar w:left="240" w:top="459" w:right="459" w:bottom="1440" w:gutter="0" w:footer="0" w:header="0"/>
          <w:type w:val="continuous"/>
        </w:sectPr>
      </w:pPr>
    </w:p>
    <w:p>
      <w:pPr>
        <w:spacing w:after="0" w:line="224"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560"/>
        <w:spacing w:after="0" w:line="250" w:lineRule="auto"/>
        <w:rPr>
          <w:sz w:val="20"/>
          <w:szCs w:val="20"/>
          <w:color w:val="auto"/>
        </w:rPr>
      </w:pPr>
      <w:r>
        <w:rPr>
          <w:rFonts w:ascii="Arial" w:cs="Arial" w:eastAsia="Arial" w:hAnsi="Arial"/>
          <w:sz w:val="16"/>
          <w:szCs w:val="16"/>
          <w:color w:val="auto"/>
        </w:rPr>
        <w:t>The Boeing Company, an aerospace company and manufacturer of commercial jetliners and military aircraft</w:t>
      </w:r>
    </w:p>
    <w:p>
      <w:pPr>
        <w:ind w:left="2560"/>
        <w:spacing w:after="0"/>
        <w:rPr>
          <w:sz w:val="20"/>
          <w:szCs w:val="20"/>
          <w:color w:val="auto"/>
        </w:rPr>
      </w:pPr>
      <w:r>
        <w:rPr>
          <w:rFonts w:ascii="Arial" w:cs="Arial" w:eastAsia="Arial" w:hAnsi="Arial"/>
          <w:sz w:val="16"/>
          <w:szCs w:val="16"/>
          <w:color w:val="auto"/>
        </w:rPr>
        <w:t>Corporate President (2008–2012)</w:t>
      </w:r>
    </w:p>
    <w:p>
      <w:pPr>
        <w:spacing w:after="0" w:line="8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Executive Vice President (2003–2012)</w:t>
      </w:r>
    </w:p>
    <w:p>
      <w:pPr>
        <w:spacing w:after="0" w:line="73"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Chief Financial Officer (2003–2012)</w:t>
      </w:r>
    </w:p>
    <w:p>
      <w:pPr>
        <w:spacing w:after="0" w:line="73" w:lineRule="exact"/>
        <w:rPr>
          <w:sz w:val="20"/>
          <w:szCs w:val="20"/>
          <w:color w:val="auto"/>
        </w:rPr>
      </w:pPr>
    </w:p>
    <w:p>
      <w:pPr>
        <w:ind w:left="2700" w:right="460" w:hanging="16"/>
        <w:spacing w:after="0" w:line="278" w:lineRule="auto"/>
        <w:rPr>
          <w:sz w:val="20"/>
          <w:szCs w:val="20"/>
          <w:color w:val="auto"/>
        </w:rPr>
      </w:pPr>
      <w:r>
        <w:rPr>
          <w:rFonts w:ascii="Arial" w:cs="Arial" w:eastAsia="Arial" w:hAnsi="Arial"/>
          <w:sz w:val="16"/>
          <w:szCs w:val="16"/>
          <w:color w:val="auto"/>
        </w:rPr>
        <w:t>Senior Vice President of Finance and Corporate Controller (2000–2003)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Apple Inc. (since 2015)</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CDW Corporation (since 2005)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Dow DuPont Inc. (formerly Dow Chemical Company</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Inc.) (since 2005)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Trustee, Rush University Medical Center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Graduate of California State University at Los Angeles</w:t>
      </w:r>
    </w:p>
    <w:p>
      <w:pPr>
        <w:spacing w:after="0" w:line="200" w:lineRule="exact"/>
        <w:rPr>
          <w:sz w:val="20"/>
          <w:szCs w:val="20"/>
          <w:color w:val="auto"/>
        </w:rPr>
      </w:pPr>
    </w:p>
    <w:p>
      <w:pPr>
        <w:sectPr>
          <w:pgSz w:w="11900" w:h="16838" w:orient="portrait"/>
          <w:cols w:equalWidth="0" w:num="2">
            <w:col w:w="6580" w:space="580"/>
            <w:col w:w="4040"/>
          </w:cols>
          <w:pgMar w:left="240" w:top="459" w:right="459" w:bottom="1440" w:gutter="0" w:footer="0" w:header="0"/>
          <w:type w:val="continuous"/>
        </w:sectPr>
      </w:pPr>
    </w:p>
    <w:p>
      <w:pPr>
        <w:spacing w:after="0" w:line="263"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250825</wp:posOffset>
            </wp:positionV>
            <wp:extent cx="1414780" cy="40563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780" cy="405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520"/>
        <w:spacing w:after="0"/>
        <w:rPr>
          <w:sz w:val="20"/>
          <w:szCs w:val="20"/>
          <w:color w:val="auto"/>
        </w:rPr>
      </w:pPr>
      <w:r>
        <w:rPr>
          <w:rFonts w:ascii="Arial" w:cs="Arial" w:eastAsia="Arial" w:hAnsi="Arial"/>
          <w:sz w:val="43"/>
          <w:szCs w:val="43"/>
          <w:color w:val="004876"/>
        </w:rPr>
        <w:t>Stephen B. Burke</w:t>
      </w:r>
    </w:p>
    <w:p>
      <w:pPr>
        <w:spacing w:after="0" w:line="100" w:lineRule="exact"/>
        <w:rPr>
          <w:sz w:val="20"/>
          <w:szCs w:val="20"/>
          <w:color w:val="auto"/>
        </w:rPr>
      </w:pPr>
    </w:p>
    <w:p>
      <w:pPr>
        <w:ind w:left="2520"/>
        <w:spacing w:after="0"/>
        <w:rPr>
          <w:sz w:val="20"/>
          <w:szCs w:val="20"/>
          <w:color w:val="auto"/>
        </w:rPr>
      </w:pPr>
      <w:r>
        <w:rPr>
          <w:rFonts w:ascii="Arial" w:cs="Arial" w:eastAsia="Arial" w:hAnsi="Arial"/>
          <w:sz w:val="22"/>
          <w:szCs w:val="22"/>
          <w:i w:val="1"/>
          <w:iCs w:val="1"/>
          <w:color w:val="auto"/>
        </w:rPr>
        <w:t>Chief Executive Officer of NBCUniversal, LLC</w:t>
      </w:r>
    </w:p>
    <w:p>
      <w:pPr>
        <w:spacing w:after="0" w:line="200" w:lineRule="exact"/>
        <w:rPr>
          <w:sz w:val="20"/>
          <w:szCs w:val="20"/>
          <w:color w:val="auto"/>
        </w:rPr>
      </w:pPr>
    </w:p>
    <w:p>
      <w:pPr>
        <w:spacing w:after="0" w:line="320" w:lineRule="exact"/>
        <w:rPr>
          <w:sz w:val="20"/>
          <w:szCs w:val="20"/>
          <w:color w:val="auto"/>
        </w:rPr>
      </w:pPr>
    </w:p>
    <w:p>
      <w:pPr>
        <w:ind w:left="2520" w:right="260"/>
        <w:spacing w:after="0" w:line="250" w:lineRule="auto"/>
        <w:rPr>
          <w:sz w:val="20"/>
          <w:szCs w:val="20"/>
          <w:color w:val="auto"/>
        </w:rPr>
      </w:pPr>
      <w:r>
        <w:rPr>
          <w:rFonts w:ascii="Arial" w:cs="Arial" w:eastAsia="Arial" w:hAnsi="Arial"/>
          <w:sz w:val="16"/>
          <w:szCs w:val="16"/>
          <w:color w:val="auto"/>
        </w:rPr>
        <w:t>Mr. Burke’s roles at Comcast Corporation and his prior work at other large global media corporations have given him broad exposure to the challenges associated with managing large and diverse businesses. In these roles he has dealt with a variety of issues including audit and financial reporting, risk management, executive compensation, sales and marketing, technology, and operations. These experiences have also provided Mr. Burke a background in regulated industries and international business.</w:t>
      </w:r>
    </w:p>
    <w:p>
      <w:pPr>
        <w:sectPr>
          <w:pgSz w:w="11900" w:h="16838" w:orient="portrait"/>
          <w:cols w:equalWidth="0" w:num="1">
            <w:col w:w="11220"/>
          </w:cols>
          <w:pgMar w:left="240" w:top="459" w:right="439" w:bottom="1440" w:gutter="0" w:footer="0" w:header="0"/>
        </w:sectPr>
      </w:pPr>
    </w:p>
    <w:p>
      <w:pPr>
        <w:spacing w:after="0" w:line="224"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520" w:right="540"/>
        <w:spacing w:after="0" w:line="249" w:lineRule="auto"/>
        <w:rPr>
          <w:sz w:val="20"/>
          <w:szCs w:val="20"/>
          <w:color w:val="auto"/>
        </w:rPr>
      </w:pPr>
      <w:r>
        <w:rPr>
          <w:rFonts w:ascii="Arial" w:cs="Arial" w:eastAsia="Arial" w:hAnsi="Arial"/>
          <w:sz w:val="16"/>
          <w:szCs w:val="16"/>
          <w:color w:val="auto"/>
        </w:rPr>
        <w:t>Comcast Corporation/NBCUniversal, LLC, leading providers of entertainment, information and communication products and services</w:t>
      </w:r>
    </w:p>
    <w:p>
      <w:pPr>
        <w:ind w:left="2680" w:right="220" w:hanging="16"/>
        <w:spacing w:after="0" w:line="278" w:lineRule="auto"/>
        <w:rPr>
          <w:sz w:val="20"/>
          <w:szCs w:val="20"/>
          <w:color w:val="auto"/>
        </w:rPr>
      </w:pPr>
      <w:r>
        <w:rPr>
          <w:rFonts w:ascii="Arial" w:cs="Arial" w:eastAsia="Arial" w:hAnsi="Arial"/>
          <w:sz w:val="16"/>
          <w:szCs w:val="16"/>
          <w:color w:val="auto"/>
        </w:rPr>
        <w:t>Chief Executive Officer of NBCUniversal, LLC, and a senior executive of Comcast (since 2011)</w:t>
      </w:r>
    </w:p>
    <w:p>
      <w:pPr>
        <w:spacing w:after="0" w:line="19"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Chief Operating Officer, Comcast (2004–2011)</w:t>
      </w:r>
    </w:p>
    <w:p>
      <w:pPr>
        <w:spacing w:after="0" w:line="85" w:lineRule="exact"/>
        <w:rPr>
          <w:sz w:val="20"/>
          <w:szCs w:val="20"/>
          <w:color w:val="auto"/>
        </w:rPr>
      </w:pPr>
    </w:p>
    <w:p>
      <w:pPr>
        <w:ind w:left="2680" w:hanging="16"/>
        <w:spacing w:after="0" w:line="278" w:lineRule="auto"/>
        <w:rPr>
          <w:sz w:val="20"/>
          <w:szCs w:val="20"/>
          <w:color w:val="auto"/>
        </w:rPr>
      </w:pPr>
      <w:r>
        <w:rPr>
          <w:rFonts w:ascii="Arial" w:cs="Arial" w:eastAsia="Arial" w:hAnsi="Arial"/>
          <w:sz w:val="16"/>
          <w:szCs w:val="16"/>
          <w:color w:val="auto"/>
        </w:rPr>
        <w:t>President, Comcast Cable Communications Inc. (1998–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1329055</wp:posOffset>
            </wp:positionV>
            <wp:extent cx="8890" cy="31388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31388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1354455</wp:posOffset>
            </wp:positionV>
            <wp:extent cx="1037590" cy="2872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37590" cy="2872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Berkshire Hathaway Inc. (since 2009)</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ind w:left="140" w:right="1660"/>
        <w:spacing w:after="0" w:line="348" w:lineRule="auto"/>
        <w:rPr>
          <w:sz w:val="20"/>
          <w:szCs w:val="20"/>
          <w:color w:val="auto"/>
        </w:rPr>
      </w:pPr>
      <w:r>
        <w:rPr>
          <w:rFonts w:ascii="Arial" w:cs="Arial" w:eastAsia="Arial" w:hAnsi="Arial"/>
          <w:sz w:val="16"/>
          <w:szCs w:val="16"/>
          <w:color w:val="auto"/>
        </w:rPr>
        <w:t>Graduate of Colgate University M.B.A., Harvard Business School</w:t>
      </w:r>
    </w:p>
    <w:p>
      <w:pPr>
        <w:spacing w:after="0" w:line="860" w:lineRule="exact"/>
        <w:rPr>
          <w:sz w:val="20"/>
          <w:szCs w:val="20"/>
          <w:color w:val="auto"/>
        </w:rPr>
      </w:pPr>
    </w:p>
    <w:p>
      <w:pPr>
        <w:sectPr>
          <w:pgSz w:w="11900" w:h="16838" w:orient="portrait"/>
          <w:cols w:equalWidth="0" w:num="2">
            <w:col w:w="6660" w:space="380"/>
            <w:col w:w="418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520"/>
        <w:spacing w:after="0"/>
        <w:rPr>
          <w:sz w:val="20"/>
          <w:szCs w:val="20"/>
          <w:color w:val="auto"/>
        </w:rPr>
      </w:pPr>
      <w:r>
        <w:rPr>
          <w:rFonts w:ascii="Arial" w:cs="Arial" w:eastAsia="Arial" w:hAnsi="Arial"/>
          <w:sz w:val="43"/>
          <w:szCs w:val="43"/>
          <w:color w:val="004876"/>
        </w:rPr>
        <w:t>Todd A. Combs</w:t>
      </w:r>
    </w:p>
    <w:p>
      <w:pPr>
        <w:spacing w:after="0" w:line="100" w:lineRule="exact"/>
        <w:rPr>
          <w:sz w:val="20"/>
          <w:szCs w:val="20"/>
          <w:color w:val="auto"/>
        </w:rPr>
      </w:pPr>
    </w:p>
    <w:p>
      <w:pPr>
        <w:ind w:left="2520"/>
        <w:spacing w:after="0"/>
        <w:rPr>
          <w:sz w:val="20"/>
          <w:szCs w:val="20"/>
          <w:color w:val="auto"/>
        </w:rPr>
      </w:pPr>
      <w:r>
        <w:rPr>
          <w:rFonts w:ascii="Arial" w:cs="Arial" w:eastAsia="Arial" w:hAnsi="Arial"/>
          <w:sz w:val="22"/>
          <w:szCs w:val="22"/>
          <w:i w:val="1"/>
          <w:iCs w:val="1"/>
          <w:color w:val="auto"/>
        </w:rPr>
        <w:t>Investment Officer at Berkshire Hathaway Inc.</w:t>
      </w:r>
    </w:p>
    <w:p>
      <w:pPr>
        <w:spacing w:after="0" w:line="200" w:lineRule="exact"/>
        <w:rPr>
          <w:sz w:val="20"/>
          <w:szCs w:val="20"/>
          <w:color w:val="auto"/>
        </w:rPr>
      </w:pPr>
    </w:p>
    <w:p>
      <w:pPr>
        <w:spacing w:after="0" w:line="320" w:lineRule="exact"/>
        <w:rPr>
          <w:sz w:val="20"/>
          <w:szCs w:val="20"/>
          <w:color w:val="auto"/>
        </w:rPr>
      </w:pPr>
    </w:p>
    <w:p>
      <w:pPr>
        <w:ind w:left="2520" w:right="60"/>
        <w:spacing w:after="0" w:line="253" w:lineRule="auto"/>
        <w:rPr>
          <w:sz w:val="20"/>
          <w:szCs w:val="20"/>
          <w:color w:val="auto"/>
        </w:rPr>
      </w:pPr>
      <w:r>
        <w:rPr>
          <w:rFonts w:ascii="Arial" w:cs="Arial" w:eastAsia="Arial" w:hAnsi="Arial"/>
          <w:sz w:val="16"/>
          <w:szCs w:val="16"/>
          <w:color w:val="auto"/>
        </w:rPr>
        <w:t>Mr. Combs’ roles have provided him with extensive experience in financial markets, risk assessment and regulatory matters. His service on three of Berkshire Hathaway’s subsidiary boards has given him expertise and insight into matters such as corporate governance, strategy, succession planning and compensation.</w:t>
      </w:r>
    </w:p>
    <w:p>
      <w:pPr>
        <w:sectPr>
          <w:pgSz w:w="11900" w:h="16838" w:orient="portrait"/>
          <w:cols w:equalWidth="0" w:num="1">
            <w:col w:w="11220"/>
          </w:cols>
          <w:pgMar w:left="240" w:top="459" w:right="439" w:bottom="1440" w:gutter="0" w:footer="0" w:header="0"/>
          <w:type w:val="continuous"/>
        </w:sectPr>
      </w:pPr>
    </w:p>
    <w:p>
      <w:pPr>
        <w:spacing w:after="0" w:line="222"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520" w:right="260"/>
        <w:spacing w:after="0" w:line="248" w:lineRule="auto"/>
        <w:rPr>
          <w:sz w:val="20"/>
          <w:szCs w:val="20"/>
          <w:color w:val="auto"/>
        </w:rPr>
      </w:pPr>
      <w:r>
        <w:rPr>
          <w:rFonts w:ascii="Arial" w:cs="Arial" w:eastAsia="Arial" w:hAnsi="Arial"/>
          <w:sz w:val="16"/>
          <w:szCs w:val="16"/>
          <w:color w:val="auto"/>
        </w:rPr>
        <w:t>Berkshire Hathaway Inc., a holding company whose subsidiaries engage in a number of diverse business activities including finance, insurance and reinsurance, utilities and energy, freight rail transportation, manufacturing, retailing and other services</w:t>
      </w:r>
    </w:p>
    <w:p>
      <w:pPr>
        <w:ind w:left="2520"/>
        <w:spacing w:after="0"/>
        <w:rPr>
          <w:sz w:val="20"/>
          <w:szCs w:val="20"/>
          <w:color w:val="auto"/>
        </w:rPr>
      </w:pPr>
      <w:r>
        <w:rPr>
          <w:rFonts w:ascii="Arial" w:cs="Arial" w:eastAsia="Arial" w:hAnsi="Arial"/>
          <w:sz w:val="16"/>
          <w:szCs w:val="16"/>
          <w:color w:val="auto"/>
        </w:rPr>
        <w:t>Investment Officer (since 2010)</w:t>
      </w:r>
    </w:p>
    <w:p>
      <w:pPr>
        <w:spacing w:after="0" w:line="108" w:lineRule="exact"/>
        <w:rPr>
          <w:sz w:val="20"/>
          <w:szCs w:val="20"/>
          <w:color w:val="auto"/>
        </w:rPr>
      </w:pPr>
    </w:p>
    <w:p>
      <w:pPr>
        <w:ind w:left="2520"/>
        <w:spacing w:after="0" w:line="249" w:lineRule="auto"/>
        <w:rPr>
          <w:sz w:val="20"/>
          <w:szCs w:val="20"/>
          <w:color w:val="auto"/>
        </w:rPr>
      </w:pPr>
      <w:r>
        <w:rPr>
          <w:rFonts w:ascii="Arial" w:cs="Arial" w:eastAsia="Arial" w:hAnsi="Arial"/>
          <w:sz w:val="16"/>
          <w:szCs w:val="16"/>
          <w:color w:val="auto"/>
        </w:rPr>
        <w:t>Castle Point Capital Management, an investment partnership Mr. Combs founded in 2005 to manage capital for endowments, family foundations and institutions</w:t>
      </w:r>
    </w:p>
    <w:p>
      <w:pPr>
        <w:ind w:left="2520"/>
        <w:spacing w:after="0"/>
        <w:rPr>
          <w:sz w:val="20"/>
          <w:szCs w:val="20"/>
          <w:color w:val="auto"/>
        </w:rPr>
      </w:pPr>
      <w:r>
        <w:rPr>
          <w:rFonts w:ascii="Arial" w:cs="Arial" w:eastAsia="Arial" w:hAnsi="Arial"/>
          <w:sz w:val="16"/>
          <w:szCs w:val="16"/>
          <w:color w:val="auto"/>
        </w:rPr>
        <w:t>CEO and Managing Member (2005–2010)</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ind w:left="140" w:right="1480"/>
        <w:spacing w:after="0" w:line="348" w:lineRule="auto"/>
        <w:rPr>
          <w:sz w:val="20"/>
          <w:szCs w:val="20"/>
          <w:color w:val="auto"/>
        </w:rPr>
      </w:pPr>
      <w:r>
        <w:rPr>
          <w:rFonts w:ascii="Arial" w:cs="Arial" w:eastAsia="Arial" w:hAnsi="Arial"/>
          <w:sz w:val="16"/>
          <w:szCs w:val="16"/>
          <w:color w:val="auto"/>
        </w:rPr>
        <w:t>Graduate of Florida State University M.B.A., Columbia Business School</w:t>
      </w:r>
    </w:p>
    <w:p>
      <w:pPr>
        <w:spacing w:after="0" w:line="1145" w:lineRule="exact"/>
        <w:rPr>
          <w:sz w:val="20"/>
          <w:szCs w:val="20"/>
          <w:color w:val="auto"/>
        </w:rPr>
      </w:pPr>
    </w:p>
    <w:p>
      <w:pPr>
        <w:sectPr>
          <w:pgSz w:w="11900" w:h="16838" w:orient="portrait"/>
          <w:cols w:equalWidth="0" w:num="2">
            <w:col w:w="6700" w:space="340"/>
            <w:col w:w="4180"/>
          </w:cols>
          <w:pgMar w:left="240" w:top="459" w:right="439" w:bottom="1440" w:gutter="0" w:footer="0" w:header="0"/>
          <w:type w:val="continuous"/>
        </w:sectPr>
      </w:pPr>
    </w:p>
    <w:p>
      <w:pPr>
        <w:spacing w:after="0" w:line="305" w:lineRule="exact"/>
        <w:rPr>
          <w:sz w:val="20"/>
          <w:szCs w:val="20"/>
          <w:color w:val="auto"/>
        </w:rPr>
      </w:pPr>
    </w:p>
    <w:p>
      <w:pPr>
        <w:ind w:left="280"/>
        <w:spacing w:after="0"/>
        <w:tabs>
          <w:tab w:leader="none" w:pos="10960" w:val="left"/>
        </w:tabs>
        <w:rPr>
          <w:sz w:val="20"/>
          <w:szCs w:val="20"/>
          <w:color w:val="auto"/>
        </w:rPr>
      </w:pPr>
      <w:r>
        <w:rPr>
          <w:rFonts w:ascii="Arial" w:cs="Arial" w:eastAsia="Arial" w:hAnsi="Arial"/>
          <w:sz w:val="13"/>
          <w:szCs w:val="13"/>
          <w:color w:val="auto"/>
        </w:rPr>
        <w:t>JPMORGAN CHASE &amp; CO. • 2019 PROXY STATEMENT</w:t>
      </w:r>
      <w:r>
        <w:rPr>
          <w:sz w:val="20"/>
          <w:szCs w:val="20"/>
          <w:color w:val="auto"/>
        </w:rPr>
        <w:tab/>
      </w: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250825</wp:posOffset>
            </wp:positionV>
            <wp:extent cx="8890" cy="381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381635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250825</wp:posOffset>
            </wp:positionV>
            <wp:extent cx="934720" cy="3087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472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60"/>
        <w:spacing w:after="0"/>
        <w:rPr>
          <w:sz w:val="20"/>
          <w:szCs w:val="20"/>
          <w:color w:val="auto"/>
        </w:rPr>
      </w:pPr>
      <w:r>
        <w:rPr>
          <w:rFonts w:ascii="Arial" w:cs="Arial" w:eastAsia="Arial" w:hAnsi="Arial"/>
          <w:sz w:val="43"/>
          <w:szCs w:val="43"/>
          <w:color w:val="004876"/>
        </w:rPr>
        <w:t>James S. Crown</w:t>
      </w:r>
    </w:p>
    <w:p>
      <w:pPr>
        <w:spacing w:after="0" w:line="100" w:lineRule="exact"/>
        <w:rPr>
          <w:sz w:val="20"/>
          <w:szCs w:val="20"/>
          <w:color w:val="auto"/>
        </w:rPr>
      </w:pPr>
    </w:p>
    <w:p>
      <w:pPr>
        <w:ind w:left="2660"/>
        <w:spacing w:after="0"/>
        <w:rPr>
          <w:sz w:val="20"/>
          <w:szCs w:val="20"/>
          <w:color w:val="auto"/>
        </w:rPr>
      </w:pPr>
      <w:r>
        <w:rPr>
          <w:rFonts w:ascii="Arial" w:cs="Arial" w:eastAsia="Arial" w:hAnsi="Arial"/>
          <w:sz w:val="22"/>
          <w:szCs w:val="22"/>
          <w:i w:val="1"/>
          <w:iCs w:val="1"/>
          <w:color w:val="auto"/>
        </w:rPr>
        <w:t>Chairman and Chief Executive Officer of Henry Crown and Company</w:t>
      </w:r>
    </w:p>
    <w:p>
      <w:pPr>
        <w:spacing w:after="0" w:line="200" w:lineRule="exact"/>
        <w:rPr>
          <w:sz w:val="20"/>
          <w:szCs w:val="20"/>
          <w:color w:val="auto"/>
        </w:rPr>
      </w:pPr>
    </w:p>
    <w:p>
      <w:pPr>
        <w:spacing w:after="0" w:line="293" w:lineRule="exact"/>
        <w:rPr>
          <w:sz w:val="20"/>
          <w:szCs w:val="20"/>
          <w:color w:val="auto"/>
        </w:rPr>
      </w:pPr>
    </w:p>
    <w:p>
      <w:pPr>
        <w:ind w:left="2660" w:right="60"/>
        <w:spacing w:after="0" w:line="253" w:lineRule="auto"/>
        <w:rPr>
          <w:sz w:val="20"/>
          <w:szCs w:val="20"/>
          <w:color w:val="auto"/>
        </w:rPr>
      </w:pPr>
      <w:r>
        <w:rPr>
          <w:rFonts w:ascii="Arial" w:cs="Arial" w:eastAsia="Arial" w:hAnsi="Arial"/>
          <w:sz w:val="16"/>
          <w:szCs w:val="16"/>
          <w:color w:val="auto"/>
        </w:rPr>
        <w:t>Mr. Crown’s position with Henry Crown and Company and his service on other public company boards have given him extensive experience with risk management, audit and financial reporting, investment management, capital markets activity and executive compensation matters.</w:t>
      </w:r>
    </w:p>
    <w:p>
      <w:pPr>
        <w:sectPr>
          <w:pgSz w:w="11900" w:h="16838" w:orient="portrait"/>
          <w:cols w:equalWidth="0" w:num="1">
            <w:col w:w="11160"/>
          </w:cols>
          <w:pgMar w:left="240" w:top="459" w:right="499" w:bottom="1440" w:gutter="0" w:footer="0" w:header="0"/>
        </w:sectPr>
      </w:pPr>
    </w:p>
    <w:p>
      <w:pPr>
        <w:spacing w:after="0" w:line="195"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660"/>
        <w:spacing w:after="0" w:line="249" w:lineRule="auto"/>
        <w:rPr>
          <w:sz w:val="20"/>
          <w:szCs w:val="20"/>
          <w:color w:val="auto"/>
        </w:rPr>
      </w:pPr>
      <w:r>
        <w:rPr>
          <w:rFonts w:ascii="Arial" w:cs="Arial" w:eastAsia="Arial" w:hAnsi="Arial"/>
          <w:sz w:val="16"/>
          <w:szCs w:val="16"/>
          <w:color w:val="auto"/>
        </w:rPr>
        <w:t>Henry Crown and Company, a privately owned investment company that invests in public and private securities, real estate, and operating companies</w:t>
      </w:r>
    </w:p>
    <w:p>
      <w:pPr>
        <w:ind w:left="2660"/>
        <w:spacing w:after="0"/>
        <w:rPr>
          <w:sz w:val="20"/>
          <w:szCs w:val="20"/>
          <w:color w:val="auto"/>
        </w:rPr>
      </w:pPr>
      <w:r>
        <w:rPr>
          <w:rFonts w:ascii="Arial" w:cs="Arial" w:eastAsia="Arial" w:hAnsi="Arial"/>
          <w:sz w:val="16"/>
          <w:szCs w:val="16"/>
          <w:color w:val="auto"/>
        </w:rPr>
        <w:t>Chairman and Chief Executive Officer (since 2018)</w:t>
      </w:r>
    </w:p>
    <w:p>
      <w:pPr>
        <w:spacing w:after="0" w:line="85"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President (2002–2017)</w:t>
      </w:r>
    </w:p>
    <w:p>
      <w:pPr>
        <w:spacing w:after="0" w:line="73"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Vice President (1985–2002)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1688465</wp:posOffset>
            </wp:positionV>
            <wp:extent cx="8890" cy="3542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354203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1688465</wp:posOffset>
            </wp:positionV>
            <wp:extent cx="1046480" cy="3061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46480" cy="3061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ind w:left="160" w:right="60" w:hanging="16"/>
        <w:spacing w:after="0" w:line="272" w:lineRule="auto"/>
        <w:rPr>
          <w:sz w:val="20"/>
          <w:szCs w:val="20"/>
          <w:color w:val="auto"/>
        </w:rPr>
      </w:pPr>
      <w:r>
        <w:rPr>
          <w:rFonts w:ascii="Arial" w:cs="Arial" w:eastAsia="Arial" w:hAnsi="Arial"/>
          <w:sz w:val="16"/>
          <w:szCs w:val="16"/>
          <w:color w:val="auto"/>
        </w:rPr>
        <w:t>General Dynamics (since 1987) - Lead Director since 2010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Sara Lee Corporation (1998-2012)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18" w:lineRule="exact"/>
        <w:rPr>
          <w:sz w:val="20"/>
          <w:szCs w:val="20"/>
          <w:color w:val="auto"/>
        </w:rPr>
      </w:pPr>
    </w:p>
    <w:p>
      <w:pPr>
        <w:ind w:left="140" w:right="240"/>
        <w:spacing w:after="0" w:line="327" w:lineRule="auto"/>
        <w:rPr>
          <w:sz w:val="20"/>
          <w:szCs w:val="20"/>
          <w:color w:val="auto"/>
        </w:rPr>
      </w:pPr>
      <w:r>
        <w:rPr>
          <w:rFonts w:ascii="Arial" w:cs="Arial" w:eastAsia="Arial" w:hAnsi="Arial"/>
          <w:sz w:val="16"/>
          <w:szCs w:val="16"/>
          <w:color w:val="auto"/>
        </w:rPr>
        <w:t>Chairman of the Board of Trustees, Aspen Institute Trustee, Museum of Science and Industry Trustee, University of Chicago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Member, American Academy of Arts and Sciences</w:t>
      </w:r>
    </w:p>
    <w:p>
      <w:pPr>
        <w:spacing w:after="0" w:line="73" w:lineRule="exact"/>
        <w:rPr>
          <w:sz w:val="20"/>
          <w:szCs w:val="20"/>
          <w:color w:val="auto"/>
        </w:rPr>
      </w:pPr>
    </w:p>
    <w:p>
      <w:pPr>
        <w:ind w:left="160" w:right="540" w:hanging="16"/>
        <w:spacing w:after="0" w:line="278" w:lineRule="auto"/>
        <w:rPr>
          <w:sz w:val="20"/>
          <w:szCs w:val="20"/>
          <w:color w:val="auto"/>
        </w:rPr>
      </w:pPr>
      <w:r>
        <w:rPr>
          <w:rFonts w:ascii="Arial" w:cs="Arial" w:eastAsia="Arial" w:hAnsi="Arial"/>
          <w:sz w:val="16"/>
          <w:szCs w:val="16"/>
          <w:color w:val="auto"/>
        </w:rPr>
        <w:t>Former member of the President’s Intelligence Advisory Board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Graduate of Hampshire College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J.D., Stanford University Law School</w:t>
      </w:r>
    </w:p>
    <w:p>
      <w:pPr>
        <w:spacing w:after="0" w:line="200" w:lineRule="exact"/>
        <w:rPr>
          <w:sz w:val="20"/>
          <w:szCs w:val="20"/>
          <w:color w:val="auto"/>
        </w:rPr>
      </w:pPr>
    </w:p>
    <w:p>
      <w:pPr>
        <w:sectPr>
          <w:pgSz w:w="11900" w:h="16838" w:orient="portrait"/>
          <w:cols w:equalWidth="0" w:num="2">
            <w:col w:w="6500" w:space="660"/>
            <w:col w:w="4000"/>
          </w:cols>
          <w:pgMar w:left="240" w:top="459"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60"/>
        <w:spacing w:after="0"/>
        <w:rPr>
          <w:sz w:val="20"/>
          <w:szCs w:val="20"/>
          <w:color w:val="auto"/>
        </w:rPr>
      </w:pPr>
      <w:r>
        <w:rPr>
          <w:rFonts w:ascii="Arial" w:cs="Arial" w:eastAsia="Arial" w:hAnsi="Arial"/>
          <w:sz w:val="43"/>
          <w:szCs w:val="43"/>
          <w:color w:val="004876"/>
        </w:rPr>
        <w:t>James Dimon</w:t>
      </w:r>
    </w:p>
    <w:p>
      <w:pPr>
        <w:spacing w:after="0" w:line="100" w:lineRule="exact"/>
        <w:rPr>
          <w:sz w:val="20"/>
          <w:szCs w:val="20"/>
          <w:color w:val="auto"/>
        </w:rPr>
      </w:pPr>
    </w:p>
    <w:p>
      <w:pPr>
        <w:ind w:left="2660"/>
        <w:spacing w:after="0"/>
        <w:rPr>
          <w:sz w:val="20"/>
          <w:szCs w:val="20"/>
          <w:color w:val="auto"/>
        </w:rPr>
      </w:pPr>
      <w:r>
        <w:rPr>
          <w:rFonts w:ascii="Arial" w:cs="Arial" w:eastAsia="Arial" w:hAnsi="Arial"/>
          <w:sz w:val="22"/>
          <w:szCs w:val="22"/>
          <w:i w:val="1"/>
          <w:iCs w:val="1"/>
          <w:color w:val="auto"/>
        </w:rPr>
        <w:t>Chairman and Chief Executive Officer of JPMorgan Chase &amp; Co.</w:t>
      </w:r>
    </w:p>
    <w:p>
      <w:pPr>
        <w:spacing w:after="0" w:line="200" w:lineRule="exact"/>
        <w:rPr>
          <w:sz w:val="20"/>
          <w:szCs w:val="20"/>
          <w:color w:val="auto"/>
        </w:rPr>
      </w:pPr>
    </w:p>
    <w:p>
      <w:pPr>
        <w:spacing w:after="0" w:line="320" w:lineRule="exact"/>
        <w:rPr>
          <w:sz w:val="20"/>
          <w:szCs w:val="20"/>
          <w:color w:val="auto"/>
        </w:rPr>
      </w:pPr>
    </w:p>
    <w:p>
      <w:pPr>
        <w:ind w:left="2660" w:right="300"/>
        <w:spacing w:after="0" w:line="253" w:lineRule="auto"/>
        <w:rPr>
          <w:sz w:val="20"/>
          <w:szCs w:val="20"/>
          <w:color w:val="auto"/>
        </w:rPr>
      </w:pPr>
      <w:r>
        <w:rPr>
          <w:rFonts w:ascii="Arial" w:cs="Arial" w:eastAsia="Arial" w:hAnsi="Arial"/>
          <w:sz w:val="16"/>
          <w:szCs w:val="16"/>
          <w:color w:val="auto"/>
        </w:rPr>
        <w:t>Mr. Dimon is an experienced leader in the financial services industry and has extensive international business expertise. As CEO, he is knowledgeable about all aspects of the Firm’s business activities. His work has given him substantial insight into the regulatory process.</w:t>
      </w:r>
    </w:p>
    <w:p>
      <w:pPr>
        <w:sectPr>
          <w:pgSz w:w="11900" w:h="16838" w:orient="portrait"/>
          <w:cols w:equalWidth="0" w:num="1">
            <w:col w:w="11160"/>
          </w:cols>
          <w:pgMar w:left="240" w:top="459" w:right="499" w:bottom="1440" w:gutter="0" w:footer="0" w:header="0"/>
          <w:type w:val="continuous"/>
        </w:sectPr>
      </w:pPr>
    </w:p>
    <w:p>
      <w:pPr>
        <w:spacing w:after="0" w:line="222"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660"/>
        <w:spacing w:after="0" w:line="250" w:lineRule="auto"/>
        <w:rPr>
          <w:sz w:val="20"/>
          <w:szCs w:val="20"/>
          <w:color w:val="auto"/>
        </w:rPr>
      </w:pPr>
      <w:r>
        <w:rPr>
          <w:rFonts w:ascii="Arial" w:cs="Arial" w:eastAsia="Arial" w:hAnsi="Arial"/>
          <w:sz w:val="16"/>
          <w:szCs w:val="16"/>
          <w:color w:val="auto"/>
        </w:rPr>
        <w:t>JPMorgan Chase &amp; Co., a financial services company (merged with Bank One Corporation in July 2004)</w:t>
      </w:r>
    </w:p>
    <w:p>
      <w:pPr>
        <w:jc w:val="right"/>
        <w:ind w:left="2660" w:right="140"/>
        <w:spacing w:after="0" w:line="278" w:lineRule="auto"/>
        <w:rPr>
          <w:sz w:val="20"/>
          <w:szCs w:val="20"/>
          <w:color w:val="auto"/>
        </w:rPr>
      </w:pPr>
      <w:r>
        <w:rPr>
          <w:rFonts w:ascii="Arial" w:cs="Arial" w:eastAsia="Arial" w:hAnsi="Arial"/>
          <w:sz w:val="16"/>
          <w:szCs w:val="16"/>
          <w:color w:val="auto"/>
        </w:rPr>
        <w:t>Chairman of the Board (since 2006) and Director (since 2004); Chief Executive Officer (since 2005)</w:t>
      </w:r>
    </w:p>
    <w:p>
      <w:pPr>
        <w:spacing w:after="0" w:line="1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President (2004–2018)</w:t>
      </w:r>
    </w:p>
    <w:p>
      <w:pPr>
        <w:spacing w:after="0" w:line="85"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Chief Operating Officer (2004–2005)</w:t>
      </w:r>
    </w:p>
    <w:p>
      <w:pPr>
        <w:spacing w:after="0" w:line="73" w:lineRule="exact"/>
        <w:rPr>
          <w:sz w:val="20"/>
          <w:szCs w:val="20"/>
          <w:color w:val="auto"/>
        </w:rPr>
      </w:pPr>
    </w:p>
    <w:p>
      <w:pPr>
        <w:ind w:left="2820" w:right="60" w:hanging="16"/>
        <w:spacing w:after="0" w:line="278" w:lineRule="auto"/>
        <w:rPr>
          <w:sz w:val="20"/>
          <w:szCs w:val="20"/>
          <w:color w:val="auto"/>
        </w:rPr>
      </w:pPr>
      <w:r>
        <w:rPr>
          <w:rFonts w:ascii="Arial" w:cs="Arial" w:eastAsia="Arial" w:hAnsi="Arial"/>
          <w:sz w:val="16"/>
          <w:szCs w:val="16"/>
          <w:color w:val="auto"/>
        </w:rPr>
        <w:t>Chairman and Chief Executive Officer at Bank One Corporation (2000–2004)</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Director, Harvard Business School</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Director, Catalyst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Chairman, Business Roundtable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Member, Business Council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Trustee, New York University School of Medicine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Graduate of Tufts University</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M.B.A., Harvard Business School</w:t>
      </w:r>
    </w:p>
    <w:p>
      <w:pPr>
        <w:spacing w:after="0" w:line="200" w:lineRule="exact"/>
        <w:rPr>
          <w:sz w:val="20"/>
          <w:szCs w:val="20"/>
          <w:color w:val="auto"/>
        </w:rPr>
      </w:pPr>
    </w:p>
    <w:p>
      <w:pPr>
        <w:sectPr>
          <w:pgSz w:w="11900" w:h="16838" w:orient="portrait"/>
          <w:cols w:equalWidth="0" w:num="2">
            <w:col w:w="6520" w:space="640"/>
            <w:col w:w="4000"/>
          </w:cols>
          <w:pgMar w:left="240" w:top="459" w:right="49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250825</wp:posOffset>
            </wp:positionV>
            <wp:extent cx="8890" cy="4039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40392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250825</wp:posOffset>
            </wp:positionV>
            <wp:extent cx="1037590" cy="2881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3759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60"/>
        <w:spacing w:after="0"/>
        <w:rPr>
          <w:sz w:val="20"/>
          <w:szCs w:val="20"/>
          <w:color w:val="auto"/>
        </w:rPr>
      </w:pPr>
      <w:r>
        <w:rPr>
          <w:rFonts w:ascii="Arial" w:cs="Arial" w:eastAsia="Arial" w:hAnsi="Arial"/>
          <w:sz w:val="43"/>
          <w:szCs w:val="43"/>
          <w:color w:val="004876"/>
        </w:rPr>
        <w:t>Timothy P. Flynn</w:t>
      </w:r>
    </w:p>
    <w:p>
      <w:pPr>
        <w:spacing w:after="0" w:line="73" w:lineRule="exact"/>
        <w:rPr>
          <w:sz w:val="20"/>
          <w:szCs w:val="20"/>
          <w:color w:val="auto"/>
        </w:rPr>
      </w:pPr>
    </w:p>
    <w:p>
      <w:pPr>
        <w:ind w:left="2660"/>
        <w:spacing w:after="0"/>
        <w:rPr>
          <w:sz w:val="20"/>
          <w:szCs w:val="20"/>
          <w:color w:val="auto"/>
        </w:rPr>
      </w:pPr>
      <w:r>
        <w:rPr>
          <w:rFonts w:ascii="Arial" w:cs="Arial" w:eastAsia="Arial" w:hAnsi="Arial"/>
          <w:sz w:val="22"/>
          <w:szCs w:val="22"/>
          <w:i w:val="1"/>
          <w:iCs w:val="1"/>
          <w:color w:val="auto"/>
        </w:rPr>
        <w:t>Retired Chairman and Chief Executive Officer of KPMG</w:t>
      </w:r>
    </w:p>
    <w:p>
      <w:pPr>
        <w:spacing w:after="0" w:line="200" w:lineRule="exact"/>
        <w:rPr>
          <w:sz w:val="20"/>
          <w:szCs w:val="20"/>
          <w:color w:val="auto"/>
        </w:rPr>
      </w:pPr>
    </w:p>
    <w:p>
      <w:pPr>
        <w:spacing w:after="0" w:line="293" w:lineRule="exact"/>
        <w:rPr>
          <w:sz w:val="20"/>
          <w:szCs w:val="20"/>
          <w:color w:val="auto"/>
        </w:rPr>
      </w:pPr>
    </w:p>
    <w:p>
      <w:pPr>
        <w:ind w:left="2660" w:right="140"/>
        <w:spacing w:after="0" w:line="253" w:lineRule="auto"/>
        <w:rPr>
          <w:sz w:val="20"/>
          <w:szCs w:val="20"/>
          <w:color w:val="auto"/>
        </w:rPr>
      </w:pPr>
      <w:r>
        <w:rPr>
          <w:rFonts w:ascii="Arial" w:cs="Arial" w:eastAsia="Arial" w:hAnsi="Arial"/>
          <w:sz w:val="16"/>
          <w:szCs w:val="16"/>
          <w:color w:val="auto"/>
        </w:rPr>
        <w:t>Through his leadership positions at KPMG, Mr. Flynn gained perspective on the evolving business and regulatory environment, expertise in many of the issues facing complex, global companies, and extensive experience in financial services, auditing matters and risk management.</w:t>
      </w:r>
    </w:p>
    <w:p>
      <w:pPr>
        <w:sectPr>
          <w:pgSz w:w="11900" w:h="16838" w:orient="portrait"/>
          <w:cols w:equalWidth="0" w:num="1">
            <w:col w:w="11220"/>
          </w:cols>
          <w:pgMar w:left="240" w:top="459" w:right="439" w:bottom="1440" w:gutter="0" w:footer="0" w:header="0"/>
        </w:sectPr>
      </w:pPr>
    </w:p>
    <w:p>
      <w:pPr>
        <w:spacing w:after="0" w:line="222"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660"/>
        <w:spacing w:after="0" w:line="250" w:lineRule="auto"/>
        <w:rPr>
          <w:sz w:val="20"/>
          <w:szCs w:val="20"/>
          <w:color w:val="auto"/>
        </w:rPr>
      </w:pPr>
      <w:r>
        <w:rPr>
          <w:rFonts w:ascii="Arial" w:cs="Arial" w:eastAsia="Arial" w:hAnsi="Arial"/>
          <w:sz w:val="16"/>
          <w:szCs w:val="16"/>
          <w:color w:val="auto"/>
        </w:rPr>
        <w:t>KPMG International, a global professional services organization providing audit, tax and advisory services</w:t>
      </w:r>
    </w:p>
    <w:p>
      <w:pPr>
        <w:ind w:left="2660"/>
        <w:spacing w:after="0"/>
        <w:rPr>
          <w:sz w:val="20"/>
          <w:szCs w:val="20"/>
          <w:color w:val="auto"/>
        </w:rPr>
      </w:pPr>
      <w:r>
        <w:rPr>
          <w:rFonts w:ascii="Arial" w:cs="Arial" w:eastAsia="Arial" w:hAnsi="Arial"/>
          <w:sz w:val="16"/>
          <w:szCs w:val="16"/>
          <w:color w:val="auto"/>
        </w:rPr>
        <w:t>Chairman, KPMG International (2007–2011)</w:t>
      </w:r>
    </w:p>
    <w:p>
      <w:pPr>
        <w:spacing w:after="0" w:line="85"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Chairman, KPMG LLP (2005–2010)</w:t>
      </w:r>
    </w:p>
    <w:p>
      <w:pPr>
        <w:spacing w:after="0" w:line="73" w:lineRule="exact"/>
        <w:rPr>
          <w:sz w:val="20"/>
          <w:szCs w:val="20"/>
          <w:color w:val="auto"/>
        </w:rPr>
      </w:pPr>
    </w:p>
    <w:p>
      <w:pPr>
        <w:jc w:val="center"/>
        <w:ind w:left="2400"/>
        <w:spacing w:after="0"/>
        <w:rPr>
          <w:sz w:val="20"/>
          <w:szCs w:val="20"/>
          <w:color w:val="auto"/>
        </w:rPr>
      </w:pPr>
      <w:r>
        <w:rPr>
          <w:rFonts w:ascii="Arial" w:cs="Arial" w:eastAsia="Arial" w:hAnsi="Arial"/>
          <w:sz w:val="16"/>
          <w:szCs w:val="16"/>
          <w:color w:val="auto"/>
        </w:rPr>
        <w:t>Chief Executive Officer, KPMG LLP (2005–2008)</w:t>
      </w:r>
    </w:p>
    <w:p>
      <w:pPr>
        <w:spacing w:after="0" w:line="73" w:lineRule="exact"/>
        <w:rPr>
          <w:sz w:val="20"/>
          <w:szCs w:val="20"/>
          <w:color w:val="auto"/>
        </w:rPr>
      </w:pPr>
    </w:p>
    <w:p>
      <w:pPr>
        <w:ind w:left="2820" w:right="200" w:hanging="16"/>
        <w:spacing w:after="0" w:line="278" w:lineRule="auto"/>
        <w:rPr>
          <w:sz w:val="20"/>
          <w:szCs w:val="20"/>
          <w:color w:val="auto"/>
        </w:rPr>
      </w:pPr>
      <w:r>
        <w:rPr>
          <w:rFonts w:ascii="Arial" w:cs="Arial" w:eastAsia="Arial" w:hAnsi="Arial"/>
          <w:sz w:val="16"/>
          <w:szCs w:val="16"/>
          <w:color w:val="auto"/>
        </w:rPr>
        <w:t>Vice Chairman, Audit and Risk Advisory Services, KPMG LLP (2001–2005)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1594485</wp:posOffset>
            </wp:positionV>
            <wp:extent cx="8890" cy="4073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407352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1594485</wp:posOffset>
            </wp:positionV>
            <wp:extent cx="934720" cy="2864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4720" cy="2864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United Healthcare (since 2017)</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Alcoa Corporation (since 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Wal-Mart Stores, Inc. (since 2012)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Chubb Corporation (2013–2016)</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Member, Board of Trustees, The University of St.</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Thomas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Former Trustee, Financial Accounting Standards</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Board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Former Member, World Economic Forum’s</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International Business Council</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Former Board Member, International Integrated</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Reporting Council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Graduate of The University of St. Thomas</w:t>
      </w:r>
    </w:p>
    <w:p>
      <w:pPr>
        <w:spacing w:after="0" w:line="200" w:lineRule="exact"/>
        <w:rPr>
          <w:sz w:val="20"/>
          <w:szCs w:val="20"/>
          <w:color w:val="auto"/>
        </w:rPr>
      </w:pPr>
    </w:p>
    <w:p>
      <w:pPr>
        <w:sectPr>
          <w:pgSz w:w="11900" w:h="16838" w:orient="portrait"/>
          <w:cols w:equalWidth="0" w:num="2">
            <w:col w:w="6560" w:space="600"/>
            <w:col w:w="406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660"/>
        <w:spacing w:after="0"/>
        <w:rPr>
          <w:sz w:val="20"/>
          <w:szCs w:val="20"/>
          <w:color w:val="auto"/>
        </w:rPr>
      </w:pPr>
      <w:r>
        <w:rPr>
          <w:rFonts w:ascii="Arial" w:cs="Arial" w:eastAsia="Arial" w:hAnsi="Arial"/>
          <w:sz w:val="43"/>
          <w:szCs w:val="43"/>
          <w:color w:val="004876"/>
        </w:rPr>
        <w:t>Mellody Hobson</w:t>
      </w:r>
    </w:p>
    <w:p>
      <w:pPr>
        <w:spacing w:after="0" w:line="100" w:lineRule="exact"/>
        <w:rPr>
          <w:sz w:val="20"/>
          <w:szCs w:val="20"/>
          <w:color w:val="auto"/>
        </w:rPr>
      </w:pPr>
    </w:p>
    <w:p>
      <w:pPr>
        <w:ind w:left="2660"/>
        <w:spacing w:after="0"/>
        <w:rPr>
          <w:sz w:val="20"/>
          <w:szCs w:val="20"/>
          <w:color w:val="auto"/>
        </w:rPr>
      </w:pPr>
      <w:r>
        <w:rPr>
          <w:rFonts w:ascii="Arial" w:cs="Arial" w:eastAsia="Arial" w:hAnsi="Arial"/>
          <w:sz w:val="22"/>
          <w:szCs w:val="22"/>
          <w:i w:val="1"/>
          <w:iCs w:val="1"/>
          <w:color w:val="auto"/>
        </w:rPr>
        <w:t>President of Ariel Investments, LLC</w:t>
      </w:r>
    </w:p>
    <w:p>
      <w:pPr>
        <w:spacing w:after="0" w:line="200" w:lineRule="exact"/>
        <w:rPr>
          <w:sz w:val="20"/>
          <w:szCs w:val="20"/>
          <w:color w:val="auto"/>
        </w:rPr>
      </w:pPr>
    </w:p>
    <w:p>
      <w:pPr>
        <w:spacing w:after="0" w:line="293" w:lineRule="exact"/>
        <w:rPr>
          <w:sz w:val="20"/>
          <w:szCs w:val="20"/>
          <w:color w:val="auto"/>
        </w:rPr>
      </w:pPr>
    </w:p>
    <w:p>
      <w:pPr>
        <w:jc w:val="both"/>
        <w:ind w:left="2660" w:right="60"/>
        <w:spacing w:after="0" w:line="253" w:lineRule="auto"/>
        <w:rPr>
          <w:sz w:val="20"/>
          <w:szCs w:val="20"/>
          <w:color w:val="auto"/>
        </w:rPr>
      </w:pPr>
      <w:r>
        <w:rPr>
          <w:rFonts w:ascii="Arial" w:cs="Arial" w:eastAsia="Arial" w:hAnsi="Arial"/>
          <w:sz w:val="16"/>
          <w:szCs w:val="16"/>
          <w:color w:val="auto"/>
        </w:rPr>
        <w:t>Ms. Hobson’s roles at Ariel Investments, LLC, as well as on public company boards, have provided her with significant experience in financial services and financial markets, corporate governance, strategic planning, operations, regulatory issues and international business.</w:t>
      </w:r>
    </w:p>
    <w:p>
      <w:pPr>
        <w:sectPr>
          <w:pgSz w:w="11900" w:h="16838" w:orient="portrait"/>
          <w:cols w:equalWidth="0" w:num="1">
            <w:col w:w="11220"/>
          </w:cols>
          <w:pgMar w:left="240" w:top="459" w:right="439" w:bottom="1440" w:gutter="0" w:footer="0" w:header="0"/>
          <w:type w:val="continuous"/>
        </w:sectPr>
      </w:pPr>
    </w:p>
    <w:p>
      <w:pPr>
        <w:spacing w:after="0" w:line="222"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800" w:hanging="134"/>
        <w:spacing w:after="0" w:line="302" w:lineRule="auto"/>
        <w:rPr>
          <w:sz w:val="20"/>
          <w:szCs w:val="20"/>
          <w:color w:val="auto"/>
        </w:rPr>
      </w:pPr>
      <w:r>
        <w:rPr>
          <w:rFonts w:ascii="Arial" w:cs="Arial" w:eastAsia="Arial" w:hAnsi="Arial"/>
          <w:sz w:val="16"/>
          <w:szCs w:val="16"/>
          <w:color w:val="auto"/>
        </w:rPr>
        <w:t>Ariel Investments, LLC, an investment management firm President (since 2000)</w:t>
      </w:r>
    </w:p>
    <w:p>
      <w:pPr>
        <w:spacing w:after="0" w:line="1" w:lineRule="exact"/>
        <w:rPr>
          <w:sz w:val="20"/>
          <w:szCs w:val="20"/>
          <w:color w:val="auto"/>
        </w:rPr>
      </w:pPr>
    </w:p>
    <w:p>
      <w:pPr>
        <w:jc w:val="right"/>
        <w:ind w:left="2660" w:right="40"/>
        <w:spacing w:after="0" w:line="278" w:lineRule="auto"/>
        <w:rPr>
          <w:sz w:val="20"/>
          <w:szCs w:val="20"/>
          <w:color w:val="auto"/>
        </w:rPr>
      </w:pPr>
      <w:r>
        <w:rPr>
          <w:rFonts w:ascii="Arial" w:cs="Arial" w:eastAsia="Arial" w:hAnsi="Arial"/>
          <w:sz w:val="16"/>
          <w:szCs w:val="16"/>
          <w:color w:val="auto"/>
        </w:rPr>
        <w:t>Chairman of the Board of Trustees of Ariel Investment Trust, a registered investment company (since 2006)</w:t>
      </w:r>
    </w:p>
    <w:p>
      <w:pPr>
        <w:spacing w:after="0" w:line="123" w:lineRule="exact"/>
        <w:rPr>
          <w:sz w:val="20"/>
          <w:szCs w:val="20"/>
          <w:color w:val="auto"/>
        </w:rPr>
      </w:pPr>
    </w:p>
    <w:p>
      <w:pPr>
        <w:ind w:left="2660" w:right="60"/>
        <w:spacing w:after="0" w:line="260" w:lineRule="auto"/>
        <w:rPr>
          <w:sz w:val="20"/>
          <w:szCs w:val="20"/>
          <w:color w:val="auto"/>
        </w:rPr>
      </w:pPr>
      <w:r>
        <w:rPr>
          <w:rFonts w:ascii="Arial" w:cs="Arial" w:eastAsia="Arial" w:hAnsi="Arial"/>
          <w:sz w:val="16"/>
          <w:szCs w:val="16"/>
          <w:color w:val="auto"/>
        </w:rPr>
        <w:t>Regular contributor and analyst on finance, the markets and economic trends for CBS News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Starbucks Corporation (since 2005) — Vice Chair</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since June 2018</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Groupon Inc. (2011–2014)</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DreamWorks Animation SKG, Inc. (2004–2016)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Estée Lauder Companies Inc. (2005–2018)</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Chair, After School Matters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Chair, The Economic Club of Chicago</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Board member, The Chicago Public Education Fund</w:t>
      </w:r>
    </w:p>
    <w:p>
      <w:pPr>
        <w:spacing w:after="0" w:line="73" w:lineRule="exact"/>
        <w:rPr>
          <w:sz w:val="20"/>
          <w:szCs w:val="20"/>
          <w:color w:val="auto"/>
        </w:rPr>
      </w:pPr>
    </w:p>
    <w:p>
      <w:pPr>
        <w:ind w:left="160" w:right="360" w:hanging="16"/>
        <w:spacing w:after="0" w:line="278" w:lineRule="auto"/>
        <w:rPr>
          <w:sz w:val="20"/>
          <w:szCs w:val="20"/>
          <w:color w:val="auto"/>
        </w:rPr>
      </w:pPr>
      <w:r>
        <w:rPr>
          <w:rFonts w:ascii="Arial" w:cs="Arial" w:eastAsia="Arial" w:hAnsi="Arial"/>
          <w:sz w:val="16"/>
          <w:szCs w:val="16"/>
          <w:color w:val="auto"/>
        </w:rPr>
        <w:t>Executive Committee of the Investment Company Institute’s Board of Governors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Graduate of the Woodrow Wilson School of</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International Relations and Public Policy at Princeton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University</w:t>
      </w:r>
    </w:p>
    <w:p>
      <w:pPr>
        <w:spacing w:after="0" w:line="200" w:lineRule="exact"/>
        <w:rPr>
          <w:sz w:val="20"/>
          <w:szCs w:val="20"/>
          <w:color w:val="auto"/>
        </w:rPr>
      </w:pPr>
    </w:p>
    <w:p>
      <w:pPr>
        <w:sectPr>
          <w:pgSz w:w="11900" w:h="16838" w:orient="portrait"/>
          <w:cols w:equalWidth="0" w:num="2">
            <w:col w:w="6700" w:space="460"/>
            <w:col w:w="4060"/>
          </w:cols>
          <w:pgMar w:left="240" w:top="459" w:right="439" w:bottom="1440" w:gutter="0" w:footer="0" w:header="0"/>
          <w:type w:val="continuous"/>
        </w:sectPr>
      </w:pPr>
    </w:p>
    <w:p>
      <w:pPr>
        <w:spacing w:after="0" w:line="243" w:lineRule="exact"/>
        <w:rPr>
          <w:sz w:val="20"/>
          <w:szCs w:val="20"/>
          <w:color w:val="auto"/>
        </w:rPr>
      </w:pPr>
    </w:p>
    <w:p>
      <w:pPr>
        <w:ind w:left="280"/>
        <w:spacing w:after="0"/>
        <w:tabs>
          <w:tab w:leader="none" w:pos="10960" w:val="left"/>
        </w:tabs>
        <w:rPr>
          <w:sz w:val="20"/>
          <w:szCs w:val="20"/>
          <w:color w:val="auto"/>
        </w:rPr>
      </w:pPr>
      <w:r>
        <w:rPr>
          <w:rFonts w:ascii="Arial" w:cs="Arial" w:eastAsia="Arial" w:hAnsi="Arial"/>
          <w:sz w:val="13"/>
          <w:szCs w:val="13"/>
          <w:color w:val="auto"/>
        </w:rPr>
        <w:t>JPMORGAN CHASE &amp; CO. • 2019 PROXY STATEMENT</w:t>
      </w:r>
      <w:r>
        <w:rPr>
          <w:sz w:val="20"/>
          <w:szCs w:val="20"/>
          <w:color w:val="auto"/>
        </w:rPr>
        <w:tab/>
      </w: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250825</wp:posOffset>
            </wp:positionV>
            <wp:extent cx="8890" cy="31127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311277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250825</wp:posOffset>
            </wp:positionV>
            <wp:extent cx="1037590" cy="28644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3759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60"/>
        <w:spacing w:after="0"/>
        <w:rPr>
          <w:sz w:val="20"/>
          <w:szCs w:val="20"/>
          <w:color w:val="auto"/>
        </w:rPr>
      </w:pPr>
      <w:r>
        <w:rPr>
          <w:rFonts w:ascii="Arial" w:cs="Arial" w:eastAsia="Arial" w:hAnsi="Arial"/>
          <w:sz w:val="43"/>
          <w:szCs w:val="43"/>
          <w:color w:val="004876"/>
        </w:rPr>
        <w:t>Laban P. Jackson, Jr.</w:t>
      </w:r>
    </w:p>
    <w:p>
      <w:pPr>
        <w:spacing w:after="0" w:line="100" w:lineRule="exact"/>
        <w:rPr>
          <w:sz w:val="20"/>
          <w:szCs w:val="20"/>
          <w:color w:val="auto"/>
        </w:rPr>
      </w:pPr>
    </w:p>
    <w:p>
      <w:pPr>
        <w:ind w:left="2660"/>
        <w:spacing w:after="0"/>
        <w:rPr>
          <w:sz w:val="20"/>
          <w:szCs w:val="20"/>
          <w:color w:val="auto"/>
        </w:rPr>
      </w:pPr>
      <w:r>
        <w:rPr>
          <w:rFonts w:ascii="Arial" w:cs="Arial" w:eastAsia="Arial" w:hAnsi="Arial"/>
          <w:sz w:val="22"/>
          <w:szCs w:val="22"/>
          <w:i w:val="1"/>
          <w:iCs w:val="1"/>
          <w:color w:val="auto"/>
        </w:rPr>
        <w:t>Chairman and Chief Executive Officer of Clear Creek Properties, Inc.</w:t>
      </w:r>
    </w:p>
    <w:p>
      <w:pPr>
        <w:spacing w:after="0" w:line="200" w:lineRule="exact"/>
        <w:rPr>
          <w:sz w:val="20"/>
          <w:szCs w:val="20"/>
          <w:color w:val="auto"/>
        </w:rPr>
      </w:pPr>
    </w:p>
    <w:p>
      <w:pPr>
        <w:spacing w:after="0" w:line="320" w:lineRule="exact"/>
        <w:rPr>
          <w:sz w:val="20"/>
          <w:szCs w:val="20"/>
          <w:color w:val="auto"/>
        </w:rPr>
      </w:pPr>
    </w:p>
    <w:p>
      <w:pPr>
        <w:ind w:left="2660" w:right="20"/>
        <w:spacing w:after="0" w:line="253" w:lineRule="auto"/>
        <w:rPr>
          <w:sz w:val="20"/>
          <w:szCs w:val="20"/>
          <w:color w:val="auto"/>
        </w:rPr>
      </w:pPr>
      <w:r>
        <w:rPr>
          <w:rFonts w:ascii="Arial" w:cs="Arial" w:eastAsia="Arial" w:hAnsi="Arial"/>
          <w:sz w:val="16"/>
          <w:szCs w:val="16"/>
          <w:color w:val="auto"/>
        </w:rPr>
        <w:t>Mr. Jackson’s service on the board of the Federal Reserve Bank of Cleveland and on other public and private company boards has given him extensive experience in financial services, risk management, audit and financial reporting matters, government relations and regulatory issues, and executive compensation and succession planning matters.</w:t>
      </w:r>
    </w:p>
    <w:p>
      <w:pPr>
        <w:sectPr>
          <w:pgSz w:w="11900" w:h="16838" w:orient="portrait"/>
          <w:cols w:equalWidth="0" w:num="1">
            <w:col w:w="11200"/>
          </w:cols>
          <w:pgMar w:left="240" w:top="459" w:right="459" w:bottom="1440" w:gutter="0" w:footer="0" w:header="0"/>
        </w:sectPr>
      </w:pPr>
    </w:p>
    <w:p>
      <w:pPr>
        <w:spacing w:after="0" w:line="222"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660"/>
        <w:spacing w:after="0" w:line="250" w:lineRule="auto"/>
        <w:rPr>
          <w:sz w:val="20"/>
          <w:szCs w:val="20"/>
          <w:color w:val="auto"/>
        </w:rPr>
      </w:pPr>
      <w:r>
        <w:rPr>
          <w:rFonts w:ascii="Arial" w:cs="Arial" w:eastAsia="Arial" w:hAnsi="Arial"/>
          <w:sz w:val="16"/>
          <w:szCs w:val="16"/>
          <w:color w:val="auto"/>
        </w:rPr>
        <w:t>Clear Creek Properties, Inc., a real estate development company</w:t>
      </w:r>
    </w:p>
    <w:p>
      <w:pPr>
        <w:ind w:left="2660"/>
        <w:spacing w:after="0"/>
        <w:rPr>
          <w:sz w:val="20"/>
          <w:szCs w:val="20"/>
          <w:color w:val="auto"/>
        </w:rPr>
      </w:pPr>
      <w:r>
        <w:rPr>
          <w:rFonts w:ascii="Arial" w:cs="Arial" w:eastAsia="Arial" w:hAnsi="Arial"/>
          <w:sz w:val="16"/>
          <w:szCs w:val="16"/>
          <w:color w:val="auto"/>
        </w:rPr>
        <w:t>Chairman and Chief Executive Officer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1404620</wp:posOffset>
            </wp:positionV>
            <wp:extent cx="8890" cy="31470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31470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1404620</wp:posOffset>
            </wp:positionV>
            <wp:extent cx="934720" cy="2752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4720" cy="2752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Home Depot (2004–2008)</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18" w:lineRule="exact"/>
        <w:rPr>
          <w:sz w:val="20"/>
          <w:szCs w:val="20"/>
          <w:color w:val="auto"/>
        </w:rPr>
      </w:pPr>
    </w:p>
    <w:p>
      <w:pPr>
        <w:ind w:left="140" w:right="140"/>
        <w:spacing w:after="0" w:line="348" w:lineRule="auto"/>
        <w:rPr>
          <w:sz w:val="20"/>
          <w:szCs w:val="20"/>
          <w:color w:val="auto"/>
        </w:rPr>
      </w:pPr>
      <w:r>
        <w:rPr>
          <w:rFonts w:ascii="Arial" w:cs="Arial" w:eastAsia="Arial" w:hAnsi="Arial"/>
          <w:sz w:val="16"/>
          <w:szCs w:val="16"/>
          <w:color w:val="auto"/>
        </w:rPr>
        <w:t>Former Director, Federal Reserve Bank of Cleveland Emeritus Trustee, Markey Cancer Foundation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Graduate of the United States Military Academy</w:t>
      </w:r>
    </w:p>
    <w:p>
      <w:pPr>
        <w:spacing w:after="0" w:line="200" w:lineRule="exact"/>
        <w:rPr>
          <w:sz w:val="20"/>
          <w:szCs w:val="20"/>
          <w:color w:val="auto"/>
        </w:rPr>
      </w:pPr>
    </w:p>
    <w:p>
      <w:pPr>
        <w:sectPr>
          <w:pgSz w:w="11900" w:h="16838" w:orient="portrait"/>
          <w:cols w:equalWidth="0" w:num="2">
            <w:col w:w="6620" w:space="540"/>
            <w:col w:w="4040"/>
          </w:cols>
          <w:pgMar w:left="24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660"/>
        <w:spacing w:after="0"/>
        <w:rPr>
          <w:sz w:val="20"/>
          <w:szCs w:val="20"/>
          <w:color w:val="auto"/>
        </w:rPr>
      </w:pPr>
      <w:r>
        <w:rPr>
          <w:rFonts w:ascii="Arial" w:cs="Arial" w:eastAsia="Arial" w:hAnsi="Arial"/>
          <w:sz w:val="43"/>
          <w:szCs w:val="43"/>
          <w:color w:val="004876"/>
        </w:rPr>
        <w:t>Michael A. Neal</w:t>
      </w:r>
    </w:p>
    <w:p>
      <w:pPr>
        <w:spacing w:after="0" w:line="100" w:lineRule="exact"/>
        <w:rPr>
          <w:sz w:val="20"/>
          <w:szCs w:val="20"/>
          <w:color w:val="auto"/>
        </w:rPr>
      </w:pPr>
    </w:p>
    <w:p>
      <w:pPr>
        <w:ind w:left="2660" w:right="380"/>
        <w:spacing w:after="0" w:line="257" w:lineRule="auto"/>
        <w:rPr>
          <w:sz w:val="20"/>
          <w:szCs w:val="20"/>
          <w:color w:val="auto"/>
        </w:rPr>
      </w:pPr>
      <w:r>
        <w:rPr>
          <w:rFonts w:ascii="Arial" w:cs="Arial" w:eastAsia="Arial" w:hAnsi="Arial"/>
          <w:sz w:val="22"/>
          <w:szCs w:val="22"/>
          <w:i w:val="1"/>
          <w:iCs w:val="1"/>
          <w:color w:val="auto"/>
        </w:rPr>
        <w:t>Retired Vice Chairman of General Electric Company and Retired Chairman and Chief Executive Officer of GE Capital</w:t>
      </w:r>
    </w:p>
    <w:p>
      <w:pPr>
        <w:spacing w:after="0" w:line="200" w:lineRule="exact"/>
        <w:rPr>
          <w:sz w:val="20"/>
          <w:szCs w:val="20"/>
          <w:color w:val="auto"/>
        </w:rPr>
      </w:pPr>
    </w:p>
    <w:p>
      <w:pPr>
        <w:spacing w:after="0" w:line="274" w:lineRule="exact"/>
        <w:rPr>
          <w:sz w:val="20"/>
          <w:szCs w:val="20"/>
          <w:color w:val="auto"/>
        </w:rPr>
      </w:pPr>
    </w:p>
    <w:p>
      <w:pPr>
        <w:ind w:left="2660" w:right="80"/>
        <w:spacing w:after="0" w:line="250" w:lineRule="auto"/>
        <w:rPr>
          <w:sz w:val="20"/>
          <w:szCs w:val="20"/>
          <w:color w:val="auto"/>
        </w:rPr>
      </w:pPr>
      <w:r>
        <w:rPr>
          <w:rFonts w:ascii="Arial" w:cs="Arial" w:eastAsia="Arial" w:hAnsi="Arial"/>
          <w:sz w:val="16"/>
          <w:szCs w:val="16"/>
          <w:color w:val="auto"/>
        </w:rPr>
        <w:t>Mr. Neal has extensive experience managing large, complex businesses in regulated industries around the world. During his career with General Electric and GE Capital, Mr. Neal oversaw the provision of financial services and products to consumers and businesses of all sizes globally. His professional background has provided him with extensive expertise and insight in risk management, strategic planning and operations, finance and financial reporting, government and regulatory relations, and management development and succession planning.</w:t>
      </w:r>
    </w:p>
    <w:p>
      <w:pPr>
        <w:sectPr>
          <w:pgSz w:w="11900" w:h="16838" w:orient="portrait"/>
          <w:cols w:equalWidth="0" w:num="1">
            <w:col w:w="11200"/>
          </w:cols>
          <w:pgMar w:left="240" w:top="459" w:right="459" w:bottom="1440" w:gutter="0" w:footer="0" w:header="0"/>
          <w:type w:val="continuous"/>
        </w:sectPr>
      </w:pPr>
    </w:p>
    <w:p>
      <w:pPr>
        <w:spacing w:after="0" w:line="224"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660" w:right="240"/>
        <w:spacing w:after="0" w:line="250" w:lineRule="auto"/>
        <w:rPr>
          <w:sz w:val="20"/>
          <w:szCs w:val="20"/>
          <w:color w:val="auto"/>
        </w:rPr>
      </w:pPr>
      <w:r>
        <w:rPr>
          <w:rFonts w:ascii="Arial" w:cs="Arial" w:eastAsia="Arial" w:hAnsi="Arial"/>
          <w:sz w:val="16"/>
          <w:szCs w:val="16"/>
          <w:color w:val="auto"/>
        </w:rPr>
        <w:t>General Electric Company, a global industrial and financial services company</w:t>
      </w:r>
    </w:p>
    <w:p>
      <w:pPr>
        <w:ind w:left="2660"/>
        <w:spacing w:after="0"/>
        <w:rPr>
          <w:sz w:val="20"/>
          <w:szCs w:val="20"/>
          <w:color w:val="auto"/>
        </w:rPr>
      </w:pPr>
      <w:r>
        <w:rPr>
          <w:rFonts w:ascii="Arial" w:cs="Arial" w:eastAsia="Arial" w:hAnsi="Arial"/>
          <w:sz w:val="16"/>
          <w:szCs w:val="16"/>
          <w:color w:val="auto"/>
        </w:rPr>
        <w:t>Vice Chairman (2005–2013)</w:t>
      </w:r>
    </w:p>
    <w:p>
      <w:pPr>
        <w:spacing w:after="0" w:line="85" w:lineRule="exact"/>
        <w:rPr>
          <w:sz w:val="20"/>
          <w:szCs w:val="20"/>
          <w:color w:val="auto"/>
        </w:rPr>
      </w:pPr>
    </w:p>
    <w:p>
      <w:pPr>
        <w:ind w:left="2820" w:right="60" w:hanging="16"/>
        <w:spacing w:after="0" w:line="278" w:lineRule="auto"/>
        <w:rPr>
          <w:sz w:val="20"/>
          <w:szCs w:val="20"/>
          <w:color w:val="auto"/>
        </w:rPr>
      </w:pPr>
      <w:r>
        <w:rPr>
          <w:rFonts w:ascii="Arial" w:cs="Arial" w:eastAsia="Arial" w:hAnsi="Arial"/>
          <w:sz w:val="16"/>
          <w:szCs w:val="16"/>
          <w:color w:val="auto"/>
        </w:rPr>
        <w:t>Chairman and Chief Executive Officer, GE Capital (2007–2013)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18" w:lineRule="exact"/>
        <w:rPr>
          <w:sz w:val="20"/>
          <w:szCs w:val="20"/>
          <w:color w:val="auto"/>
        </w:rPr>
      </w:pPr>
    </w:p>
    <w:p>
      <w:pPr>
        <w:ind w:left="160" w:hanging="16"/>
        <w:spacing w:after="0" w:line="278" w:lineRule="auto"/>
        <w:rPr>
          <w:sz w:val="20"/>
          <w:szCs w:val="20"/>
          <w:color w:val="auto"/>
        </w:rPr>
      </w:pPr>
      <w:r>
        <w:rPr>
          <w:rFonts w:ascii="Arial" w:cs="Arial" w:eastAsia="Arial" w:hAnsi="Arial"/>
          <w:sz w:val="16"/>
          <w:szCs w:val="16"/>
          <w:color w:val="auto"/>
        </w:rPr>
        <w:t>Trustee, The GT Foundation of the Georgia Institute of Technology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Graduate of the Georgia Institute of Technology</w:t>
      </w:r>
    </w:p>
    <w:p>
      <w:pPr>
        <w:spacing w:after="0" w:line="200" w:lineRule="exact"/>
        <w:rPr>
          <w:sz w:val="20"/>
          <w:szCs w:val="20"/>
          <w:color w:val="auto"/>
        </w:rPr>
      </w:pPr>
    </w:p>
    <w:p>
      <w:pPr>
        <w:sectPr>
          <w:pgSz w:w="11900" w:h="16838" w:orient="portrait"/>
          <w:cols w:equalWidth="0" w:num="2">
            <w:col w:w="6440" w:space="720"/>
            <w:col w:w="4040"/>
          </w:cols>
          <w:pgMar w:left="240" w:top="459" w:right="459" w:bottom="1440" w:gutter="0" w:footer="0" w:header="0"/>
          <w:type w:val="continuous"/>
        </w:sectPr>
      </w:pPr>
    </w:p>
    <w:p>
      <w:pPr>
        <w:spacing w:after="0" w:line="277"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16</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250825</wp:posOffset>
            </wp:positionV>
            <wp:extent cx="8890" cy="43992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43992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250825</wp:posOffset>
            </wp:positionV>
            <wp:extent cx="960755" cy="4073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6075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560"/>
        <w:spacing w:after="0"/>
        <w:rPr>
          <w:sz w:val="20"/>
          <w:szCs w:val="20"/>
          <w:color w:val="auto"/>
        </w:rPr>
      </w:pPr>
      <w:r>
        <w:rPr>
          <w:rFonts w:ascii="Arial" w:cs="Arial" w:eastAsia="Arial" w:hAnsi="Arial"/>
          <w:sz w:val="43"/>
          <w:szCs w:val="43"/>
          <w:color w:val="004876"/>
        </w:rPr>
        <w:t xml:space="preserve">Lee R. Raymond </w:t>
      </w:r>
      <w:r>
        <w:rPr>
          <w:rFonts w:ascii="Arial" w:cs="Arial" w:eastAsia="Arial" w:hAnsi="Arial"/>
          <w:sz w:val="30"/>
          <w:szCs w:val="30"/>
          <w:color w:val="004876"/>
        </w:rPr>
        <w:t>(Lead Independent Director)</w:t>
      </w:r>
    </w:p>
    <w:p>
      <w:pPr>
        <w:spacing w:after="0" w:line="100" w:lineRule="exact"/>
        <w:rPr>
          <w:sz w:val="20"/>
          <w:szCs w:val="20"/>
          <w:color w:val="auto"/>
        </w:rPr>
      </w:pPr>
    </w:p>
    <w:p>
      <w:pPr>
        <w:ind w:left="2560"/>
        <w:spacing w:after="0"/>
        <w:rPr>
          <w:sz w:val="20"/>
          <w:szCs w:val="20"/>
          <w:color w:val="auto"/>
        </w:rPr>
      </w:pPr>
      <w:r>
        <w:rPr>
          <w:rFonts w:ascii="Arial" w:cs="Arial" w:eastAsia="Arial" w:hAnsi="Arial"/>
          <w:sz w:val="22"/>
          <w:szCs w:val="22"/>
          <w:i w:val="1"/>
          <w:iCs w:val="1"/>
          <w:color w:val="auto"/>
        </w:rPr>
        <w:t>Retired Chairman and Chief Executive Officer of Exxon Mobil Corporation</w:t>
      </w:r>
    </w:p>
    <w:p>
      <w:pPr>
        <w:spacing w:after="0" w:line="200" w:lineRule="exact"/>
        <w:rPr>
          <w:sz w:val="20"/>
          <w:szCs w:val="20"/>
          <w:color w:val="auto"/>
        </w:rPr>
      </w:pPr>
    </w:p>
    <w:p>
      <w:pPr>
        <w:spacing w:after="0" w:line="320" w:lineRule="exact"/>
        <w:rPr>
          <w:sz w:val="20"/>
          <w:szCs w:val="20"/>
          <w:color w:val="auto"/>
        </w:rPr>
      </w:pPr>
    </w:p>
    <w:p>
      <w:pPr>
        <w:ind w:left="2560" w:right="580"/>
        <w:spacing w:after="0" w:line="253" w:lineRule="auto"/>
        <w:rPr>
          <w:sz w:val="20"/>
          <w:szCs w:val="20"/>
          <w:color w:val="auto"/>
        </w:rPr>
      </w:pPr>
      <w:r>
        <w:rPr>
          <w:rFonts w:ascii="Arial" w:cs="Arial" w:eastAsia="Arial" w:hAnsi="Arial"/>
          <w:sz w:val="16"/>
          <w:szCs w:val="16"/>
          <w:color w:val="auto"/>
        </w:rPr>
        <w:t>During his tenure at ExxonMobil and its predecessors, Mr. Raymond gained experience in all aspects of business management, including audit and financial reporting, risk management, executive compensation, marketing and operating in a regulated industry. He also has extensive international business expertise.</w:t>
      </w:r>
    </w:p>
    <w:p>
      <w:pPr>
        <w:sectPr>
          <w:pgSz w:w="11900" w:h="16838" w:orient="portrait"/>
          <w:cols w:equalWidth="0" w:num="1">
            <w:col w:w="11240"/>
          </w:cols>
          <w:pgMar w:left="240" w:top="459" w:right="419" w:bottom="1440" w:gutter="0" w:footer="0" w:header="0"/>
        </w:sectPr>
      </w:pPr>
    </w:p>
    <w:p>
      <w:pPr>
        <w:spacing w:after="0" w:line="222"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ExxonMobil, an international oil and gas company</w:t>
      </w:r>
    </w:p>
    <w:p>
      <w:pPr>
        <w:spacing w:after="0" w:line="11" w:lineRule="exact"/>
        <w:rPr>
          <w:sz w:val="20"/>
          <w:szCs w:val="20"/>
          <w:color w:val="auto"/>
        </w:rPr>
      </w:pPr>
    </w:p>
    <w:p>
      <w:pPr>
        <w:ind w:left="2700" w:hanging="16"/>
        <w:spacing w:after="0" w:line="278" w:lineRule="auto"/>
        <w:rPr>
          <w:sz w:val="20"/>
          <w:szCs w:val="20"/>
          <w:color w:val="auto"/>
        </w:rPr>
      </w:pPr>
      <w:r>
        <w:rPr>
          <w:rFonts w:ascii="Arial" w:cs="Arial" w:eastAsia="Arial" w:hAnsi="Arial"/>
          <w:sz w:val="16"/>
          <w:szCs w:val="16"/>
          <w:color w:val="auto"/>
        </w:rPr>
        <w:t>Chairman and Chief Executive Officer of ExxonMobil (1999–2005)</w:t>
      </w:r>
    </w:p>
    <w:p>
      <w:pPr>
        <w:spacing w:after="0" w:line="19" w:lineRule="exact"/>
        <w:rPr>
          <w:sz w:val="20"/>
          <w:szCs w:val="20"/>
          <w:color w:val="auto"/>
        </w:rPr>
      </w:pPr>
    </w:p>
    <w:p>
      <w:pPr>
        <w:ind w:left="2700" w:right="380" w:hanging="16"/>
        <w:spacing w:after="0" w:line="278" w:lineRule="auto"/>
        <w:rPr>
          <w:sz w:val="20"/>
          <w:szCs w:val="20"/>
          <w:color w:val="auto"/>
        </w:rPr>
      </w:pPr>
      <w:r>
        <w:rPr>
          <w:rFonts w:ascii="Arial" w:cs="Arial" w:eastAsia="Arial" w:hAnsi="Arial"/>
          <w:sz w:val="16"/>
          <w:szCs w:val="16"/>
          <w:color w:val="auto"/>
        </w:rPr>
        <w:t>Chairman and Chief Executive Officer of Exxon Corporation (1993–1999)</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Member, Council on Foreign Relations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Emeritus Trustee, Mayo Clinic</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Member, National Academy of Engineering</w:t>
      </w:r>
    </w:p>
    <w:p>
      <w:pPr>
        <w:spacing w:after="0" w:line="73" w:lineRule="exact"/>
        <w:rPr>
          <w:sz w:val="20"/>
          <w:szCs w:val="20"/>
          <w:color w:val="auto"/>
        </w:rPr>
      </w:pPr>
    </w:p>
    <w:p>
      <w:pPr>
        <w:ind w:left="160" w:right="60" w:hanging="16"/>
        <w:spacing w:after="0" w:line="278" w:lineRule="auto"/>
        <w:rPr>
          <w:sz w:val="20"/>
          <w:szCs w:val="20"/>
          <w:color w:val="auto"/>
        </w:rPr>
      </w:pPr>
      <w:r>
        <w:rPr>
          <w:rFonts w:ascii="Arial" w:cs="Arial" w:eastAsia="Arial" w:hAnsi="Arial"/>
          <w:sz w:val="16"/>
          <w:szCs w:val="16"/>
          <w:color w:val="auto"/>
        </w:rPr>
        <w:t>Member and past Chairman of the National Petroleum Council</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Graduate of the University of Wisconsin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Ph.D., Chemical Engineering, University of Minnesota</w:t>
      </w:r>
    </w:p>
    <w:p>
      <w:pPr>
        <w:spacing w:after="0" w:line="200" w:lineRule="exact"/>
        <w:rPr>
          <w:sz w:val="20"/>
          <w:szCs w:val="20"/>
          <w:color w:val="auto"/>
        </w:rPr>
      </w:pPr>
    </w:p>
    <w:p>
      <w:pPr>
        <w:sectPr>
          <w:pgSz w:w="11900" w:h="16838" w:orient="portrait"/>
          <w:cols w:equalWidth="0" w:num="2">
            <w:col w:w="6460" w:space="700"/>
            <w:col w:w="408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17</w:t>
            </w:r>
          </w:p>
        </w:tc>
      </w:tr>
    </w:tbl>
    <w:p>
      <w:pPr>
        <w:sectPr>
          <w:pgSz w:w="11900" w:h="16838" w:orient="portrait"/>
          <w:cols w:equalWidth="0" w:num="1">
            <w:col w:w="11240"/>
          </w:cols>
          <w:pgMar w:left="240" w:top="459" w:right="4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4876"/>
        </w:rPr>
        <w:t>Director independence, recruitment and re-nomination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93345</wp:posOffset>
            </wp:positionV>
            <wp:extent cx="6997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727" w:gutter="0" w:footer="0" w:header="0"/>
        </w:sectPr>
      </w:pPr>
    </w:p>
    <w:p>
      <w:pPr>
        <w:spacing w:after="0" w:line="24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JPMorgan Chase seeks director candidates who uphold the highest standards, are committed to the Firm’s values and are strong independent stewards of the long-term interests of shareholders. The Corporate Governance &amp; Nominating Committee (“Governance Committee”) considers Board composition holistically and on an ongoing basis, with a focus on recruiting directors who have the attributes required to effectively oversee the Firm’s present and future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strategy. The Governance Committee and the Board seek directors with experience in executive fields relevant to the Firm’s businesses and operations who will contribute to the Board’s diversity across a full spectrum of attributes and enhance its collaborative and collegial dynamic. These qualities allow for effective challenge to and independent oversight of management.</w:t>
      </w:r>
    </w:p>
    <w:p>
      <w:pPr>
        <w:spacing w:after="0" w:line="601" w:lineRule="exact"/>
        <w:rPr>
          <w:sz w:val="20"/>
          <w:szCs w:val="20"/>
          <w:color w:val="auto"/>
        </w:rPr>
      </w:pPr>
    </w:p>
    <w:p>
      <w:pPr>
        <w:sectPr>
          <w:pgSz w:w="11900" w:h="16838" w:orient="portrait"/>
          <w:cols w:equalWidth="0" w:num="2">
            <w:col w:w="5360" w:space="460"/>
            <w:col w:w="5400"/>
          </w:cols>
          <w:pgMar w:left="240" w:top="459" w:right="439" w:bottom="727" w:gutter="0" w:footer="0" w:header="0"/>
          <w:type w:val="continuous"/>
        </w:sectPr>
      </w:pPr>
    </w:p>
    <w:p>
      <w:pPr>
        <w:spacing w:after="0" w:line="15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Personal and professional attributes and skills of the nominees</w:t>
      </w:r>
    </w:p>
    <w:p>
      <w:pPr>
        <w:spacing w:after="0" w:line="13"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In furtherance of the foregoing, the Board considers a wide range of attributes when selecting and recruiting candidates. Our nominees have executive experience and skills that are aligned with our business and strategy as follows:</w:t>
      </w:r>
    </w:p>
    <w:p>
      <w:pPr>
        <w:sectPr>
          <w:pgSz w:w="11900" w:h="16838" w:orient="portrait"/>
          <w:cols w:equalWidth="0" w:num="1">
            <w:col w:w="11220"/>
          </w:cols>
          <w:pgMar w:left="240" w:top="459" w:right="439" w:bottom="727" w:gutter="0" w:footer="0" w:header="0"/>
          <w:type w:val="continuous"/>
        </w:sectPr>
      </w:pPr>
    </w:p>
    <w:p>
      <w:pPr>
        <w:spacing w:after="0" w:line="80" w:lineRule="exact"/>
        <w:rPr>
          <w:sz w:val="20"/>
          <w:szCs w:val="20"/>
          <w:color w:val="auto"/>
        </w:rPr>
      </w:pPr>
    </w:p>
    <w:p>
      <w:pPr>
        <w:ind w:left="200" w:right="2000"/>
        <w:spacing w:after="0" w:line="242" w:lineRule="auto"/>
        <w:rPr>
          <w:sz w:val="20"/>
          <w:szCs w:val="20"/>
          <w:color w:val="auto"/>
        </w:rPr>
      </w:pPr>
      <w:r>
        <w:rPr>
          <w:rFonts w:ascii="Arial" w:cs="Arial" w:eastAsia="Arial" w:hAnsi="Arial"/>
          <w:sz w:val="18"/>
          <w:szCs w:val="18"/>
          <w:b w:val="1"/>
          <w:bCs w:val="1"/>
          <w:color w:val="004876"/>
        </w:rPr>
        <w:t xml:space="preserve">FINANCIAL AND ACCOUNTING – </w:t>
      </w:r>
      <w:r>
        <w:rPr>
          <w:rFonts w:ascii="Arial" w:cs="Arial" w:eastAsia="Arial" w:hAnsi="Arial"/>
          <w:sz w:val="18"/>
          <w:szCs w:val="18"/>
          <w:color w:val="000000"/>
        </w:rPr>
        <w:t>Knowledge of or</w:t>
      </w:r>
      <w:r>
        <w:rPr>
          <w:rFonts w:ascii="Arial" w:cs="Arial" w:eastAsia="Arial" w:hAnsi="Arial"/>
          <w:sz w:val="18"/>
          <w:szCs w:val="18"/>
          <w:b w:val="1"/>
          <w:bCs w:val="1"/>
          <w:color w:val="004876"/>
        </w:rPr>
        <w:t xml:space="preserve"> </w:t>
      </w:r>
      <w:r>
        <w:rPr>
          <w:rFonts w:ascii="Arial" w:cs="Arial" w:eastAsia="Arial" w:hAnsi="Arial"/>
          <w:sz w:val="18"/>
          <w:szCs w:val="18"/>
          <w:color w:val="000000"/>
        </w:rPr>
        <w:t>experience in accounting, financial reporting or auditing processes and standards is important to effectively oversee the Firm’s financial position and condition and the accurate reporting thereof and to assess the Firm’s strategic objectives from a financial perspective</w:t>
      </w:r>
    </w:p>
    <w:p>
      <w:pPr>
        <w:spacing w:after="0" w:line="44" w:lineRule="exact"/>
        <w:rPr>
          <w:sz w:val="20"/>
          <w:szCs w:val="20"/>
          <w:color w:val="auto"/>
        </w:rPr>
      </w:pPr>
    </w:p>
    <w:p>
      <w:pPr>
        <w:ind w:left="200" w:right="2080"/>
        <w:spacing w:after="0" w:line="244" w:lineRule="auto"/>
        <w:rPr>
          <w:sz w:val="20"/>
          <w:szCs w:val="20"/>
          <w:color w:val="auto"/>
        </w:rPr>
      </w:pPr>
      <w:r>
        <w:rPr>
          <w:rFonts w:ascii="Arial" w:cs="Arial" w:eastAsia="Arial" w:hAnsi="Arial"/>
          <w:sz w:val="18"/>
          <w:szCs w:val="18"/>
          <w:b w:val="1"/>
          <w:bCs w:val="1"/>
          <w:color w:val="004876"/>
        </w:rPr>
        <w:t xml:space="preserve">FINANCIAL SERVICES – </w:t>
      </w:r>
      <w:r>
        <w:rPr>
          <w:rFonts w:ascii="Arial" w:cs="Arial" w:eastAsia="Arial" w:hAnsi="Arial"/>
          <w:sz w:val="18"/>
          <w:szCs w:val="18"/>
          <w:color w:val="000000"/>
        </w:rPr>
        <w:t>Experience in or with the financial</w:t>
      </w:r>
      <w:r>
        <w:rPr>
          <w:rFonts w:ascii="Arial" w:cs="Arial" w:eastAsia="Arial" w:hAnsi="Arial"/>
          <w:sz w:val="18"/>
          <w:szCs w:val="18"/>
          <w:b w:val="1"/>
          <w:bCs w:val="1"/>
          <w:color w:val="004876"/>
        </w:rPr>
        <w:t xml:space="preserve"> </w:t>
      </w:r>
      <w:r>
        <w:rPr>
          <w:rFonts w:ascii="Arial" w:cs="Arial" w:eastAsia="Arial" w:hAnsi="Arial"/>
          <w:sz w:val="18"/>
          <w:szCs w:val="18"/>
          <w:color w:val="000000"/>
        </w:rPr>
        <w:t>services industry, including investment banking, global financial markets or consumer products and services, allows Board members to evaluate the Firm’s business model, strategies and the industry in which we compete</w:t>
      </w:r>
    </w:p>
    <w:p>
      <w:pPr>
        <w:spacing w:after="0" w:line="42" w:lineRule="exact"/>
        <w:rPr>
          <w:sz w:val="20"/>
          <w:szCs w:val="20"/>
          <w:color w:val="auto"/>
        </w:rPr>
      </w:pPr>
    </w:p>
    <w:p>
      <w:pPr>
        <w:jc w:val="both"/>
        <w:ind w:left="200" w:right="2140"/>
        <w:spacing w:after="0" w:line="247" w:lineRule="auto"/>
        <w:rPr>
          <w:sz w:val="20"/>
          <w:szCs w:val="20"/>
          <w:color w:val="auto"/>
        </w:rPr>
      </w:pPr>
      <w:r>
        <w:rPr>
          <w:rFonts w:ascii="Arial" w:cs="Arial" w:eastAsia="Arial" w:hAnsi="Arial"/>
          <w:sz w:val="18"/>
          <w:szCs w:val="18"/>
          <w:b w:val="1"/>
          <w:bCs w:val="1"/>
          <w:color w:val="004876"/>
        </w:rPr>
        <w:t xml:space="preserve">INTERNATIONAL BUSINESS OPERATIONS – </w:t>
      </w:r>
      <w:r>
        <w:rPr>
          <w:rFonts w:ascii="Arial" w:cs="Arial" w:eastAsia="Arial" w:hAnsi="Arial"/>
          <w:sz w:val="18"/>
          <w:szCs w:val="18"/>
          <w:color w:val="000000"/>
        </w:rPr>
        <w:t>Experience</w:t>
      </w:r>
      <w:r>
        <w:rPr>
          <w:rFonts w:ascii="Arial" w:cs="Arial" w:eastAsia="Arial" w:hAnsi="Arial"/>
          <w:sz w:val="18"/>
          <w:szCs w:val="18"/>
          <w:b w:val="1"/>
          <w:bCs w:val="1"/>
          <w:color w:val="004876"/>
        </w:rPr>
        <w:t xml:space="preserve"> </w:t>
      </w:r>
      <w:r>
        <w:rPr>
          <w:rFonts w:ascii="Arial" w:cs="Arial" w:eastAsia="Arial" w:hAnsi="Arial"/>
          <w:sz w:val="18"/>
          <w:szCs w:val="18"/>
          <w:color w:val="000000"/>
        </w:rPr>
        <w:t>in diverse geographic, political and regulatory environments is important because the Firm serves customers and clients across the globe</w:t>
      </w:r>
    </w:p>
    <w:p>
      <w:pPr>
        <w:spacing w:after="0" w:line="53" w:lineRule="exact"/>
        <w:rPr>
          <w:sz w:val="20"/>
          <w:szCs w:val="20"/>
          <w:color w:val="auto"/>
        </w:rPr>
      </w:pPr>
    </w:p>
    <w:p>
      <w:pPr>
        <w:ind w:left="200" w:right="2000"/>
        <w:spacing w:after="0" w:line="247" w:lineRule="auto"/>
        <w:rPr>
          <w:sz w:val="20"/>
          <w:szCs w:val="20"/>
          <w:color w:val="auto"/>
        </w:rPr>
      </w:pPr>
      <w:r>
        <w:rPr>
          <w:rFonts w:ascii="Arial" w:cs="Arial" w:eastAsia="Arial" w:hAnsi="Arial"/>
          <w:sz w:val="18"/>
          <w:szCs w:val="18"/>
          <w:b w:val="1"/>
          <w:bCs w:val="1"/>
          <w:color w:val="004876"/>
        </w:rPr>
        <w:t xml:space="preserve">LEADERSHIP OF A LARGE, COMPLEX ORGANIZATION – </w:t>
      </w:r>
      <w:r>
        <w:rPr>
          <w:rFonts w:ascii="Arial" w:cs="Arial" w:eastAsia="Arial" w:hAnsi="Arial"/>
          <w:sz w:val="18"/>
          <w:szCs w:val="18"/>
          <w:color w:val="000000"/>
        </w:rPr>
        <w:t>Executive experience managing business operations and strategic planning allows Board members to effectively oversee the Firm’s complex worldwide operations</w:t>
      </w:r>
    </w:p>
    <w:p>
      <w:pPr>
        <w:spacing w:after="0" w:line="39" w:lineRule="exact"/>
        <w:rPr>
          <w:sz w:val="20"/>
          <w:szCs w:val="20"/>
          <w:color w:val="auto"/>
        </w:rPr>
      </w:pPr>
    </w:p>
    <w:p>
      <w:pPr>
        <w:ind w:left="200" w:right="2000"/>
        <w:spacing w:after="0" w:line="241" w:lineRule="auto"/>
        <w:rPr>
          <w:sz w:val="20"/>
          <w:szCs w:val="20"/>
          <w:color w:val="auto"/>
        </w:rPr>
      </w:pPr>
      <w:r>
        <w:rPr>
          <w:rFonts w:ascii="Arial" w:cs="Arial" w:eastAsia="Arial" w:hAnsi="Arial"/>
          <w:sz w:val="18"/>
          <w:szCs w:val="18"/>
          <w:b w:val="1"/>
          <w:bCs w:val="1"/>
          <w:color w:val="004876"/>
        </w:rPr>
        <w:t xml:space="preserve">MANAGEMENT DEVELOPMENT AND SUCCESSION PLANNING – </w:t>
      </w:r>
      <w:r>
        <w:rPr>
          <w:rFonts w:ascii="Arial" w:cs="Arial" w:eastAsia="Arial" w:hAnsi="Arial"/>
          <w:sz w:val="18"/>
          <w:szCs w:val="18"/>
          <w:color w:val="000000"/>
        </w:rPr>
        <w:t>Experience in senior executive development,</w:t>
      </w:r>
      <w:r>
        <w:rPr>
          <w:rFonts w:ascii="Arial" w:cs="Arial" w:eastAsia="Arial" w:hAnsi="Arial"/>
          <w:sz w:val="18"/>
          <w:szCs w:val="18"/>
          <w:b w:val="1"/>
          <w:bCs w:val="1"/>
          <w:color w:val="004876"/>
        </w:rPr>
        <w:t xml:space="preserve"> </w:t>
      </w:r>
      <w:r>
        <w:rPr>
          <w:rFonts w:ascii="Arial" w:cs="Arial" w:eastAsia="Arial" w:hAnsi="Arial"/>
          <w:sz w:val="18"/>
          <w:szCs w:val="18"/>
          <w:color w:val="000000"/>
        </w:rPr>
        <w:t>succession planning and compensation matters allows the Board to effectively oversee the Firm’s efforts to recruit, retain and develop key talent and provide valuable insight in determining compensation of the CEO and other executive officers</w:t>
      </w:r>
    </w:p>
    <w:p>
      <w:pPr>
        <w:spacing w:after="0" w:line="44" w:lineRule="exact"/>
        <w:rPr>
          <w:sz w:val="20"/>
          <w:szCs w:val="20"/>
          <w:color w:val="auto"/>
        </w:rPr>
      </w:pPr>
    </w:p>
    <w:p>
      <w:pPr>
        <w:ind w:left="200" w:right="2000"/>
        <w:spacing w:after="0" w:line="242" w:lineRule="auto"/>
        <w:rPr>
          <w:sz w:val="20"/>
          <w:szCs w:val="20"/>
          <w:color w:val="auto"/>
        </w:rPr>
      </w:pPr>
      <w:r>
        <w:rPr>
          <w:rFonts w:ascii="Arial" w:cs="Arial" w:eastAsia="Arial" w:hAnsi="Arial"/>
          <w:sz w:val="18"/>
          <w:szCs w:val="18"/>
          <w:b w:val="1"/>
          <w:bCs w:val="1"/>
          <w:color w:val="004876"/>
        </w:rPr>
        <w:t xml:space="preserve">PUBLIC COMPANY GOVERNANCE – </w:t>
      </w:r>
      <w:r>
        <w:rPr>
          <w:rFonts w:ascii="Arial" w:cs="Arial" w:eastAsia="Arial" w:hAnsi="Arial"/>
          <w:sz w:val="18"/>
          <w:szCs w:val="18"/>
          <w:color w:val="000000"/>
        </w:rPr>
        <w:t>Knowledge of public</w:t>
      </w:r>
      <w:r>
        <w:rPr>
          <w:rFonts w:ascii="Arial" w:cs="Arial" w:eastAsia="Arial" w:hAnsi="Arial"/>
          <w:sz w:val="18"/>
          <w:szCs w:val="18"/>
          <w:b w:val="1"/>
          <w:bCs w:val="1"/>
          <w:color w:val="004876"/>
        </w:rPr>
        <w:t xml:space="preserve"> </w:t>
      </w:r>
      <w:r>
        <w:rPr>
          <w:rFonts w:ascii="Arial" w:cs="Arial" w:eastAsia="Arial" w:hAnsi="Arial"/>
          <w:sz w:val="18"/>
          <w:szCs w:val="18"/>
          <w:color w:val="000000"/>
        </w:rPr>
        <w:t>company governance matters, policies and best practices assists the Board in considering and adopting applicable corporate governance practices, interacting with stakeholders most interested in these issues and understanding the impact of various policies on the Firm’s functions</w:t>
      </w:r>
    </w:p>
    <w:p>
      <w:pPr>
        <w:spacing w:after="0" w:line="44" w:lineRule="exact"/>
        <w:rPr>
          <w:sz w:val="20"/>
          <w:szCs w:val="20"/>
          <w:color w:val="auto"/>
        </w:rPr>
      </w:pPr>
    </w:p>
    <w:p>
      <w:pPr>
        <w:ind w:left="200" w:right="2080"/>
        <w:spacing w:after="0" w:line="242" w:lineRule="auto"/>
        <w:rPr>
          <w:sz w:val="20"/>
          <w:szCs w:val="20"/>
          <w:color w:val="auto"/>
        </w:rPr>
      </w:pPr>
      <w:r>
        <w:rPr>
          <w:rFonts w:ascii="Arial" w:cs="Arial" w:eastAsia="Arial" w:hAnsi="Arial"/>
          <w:sz w:val="18"/>
          <w:szCs w:val="18"/>
          <w:b w:val="1"/>
          <w:bCs w:val="1"/>
          <w:color w:val="004876"/>
        </w:rPr>
        <w:t xml:space="preserve">TECHNOLOGY – </w:t>
      </w:r>
      <w:r>
        <w:rPr>
          <w:rFonts w:ascii="Arial" w:cs="Arial" w:eastAsia="Arial" w:hAnsi="Arial"/>
          <w:sz w:val="18"/>
          <w:szCs w:val="18"/>
          <w:color w:val="000000"/>
        </w:rPr>
        <w:t>Experience with or oversight of innovative</w:t>
      </w:r>
      <w:r>
        <w:rPr>
          <w:rFonts w:ascii="Arial" w:cs="Arial" w:eastAsia="Arial" w:hAnsi="Arial"/>
          <w:sz w:val="18"/>
          <w:szCs w:val="18"/>
          <w:b w:val="1"/>
          <w:bCs w:val="1"/>
          <w:color w:val="004876"/>
        </w:rPr>
        <w:t xml:space="preserve"> </w:t>
      </w:r>
      <w:r>
        <w:rPr>
          <w:rFonts w:ascii="Arial" w:cs="Arial" w:eastAsia="Arial" w:hAnsi="Arial"/>
          <w:sz w:val="18"/>
          <w:szCs w:val="18"/>
          <w:color w:val="000000"/>
        </w:rPr>
        <w:t>technology, cybersecurity, information systems/data management, fintech or privacy is important in overseeing the security of the Firm’s operations, assets and systems as well as the Firm’s ongoing investment in and development of innovative technology</w:t>
      </w:r>
    </w:p>
    <w:p>
      <w:pPr>
        <w:spacing w:after="0" w:line="44" w:lineRule="exact"/>
        <w:rPr>
          <w:sz w:val="20"/>
          <w:szCs w:val="20"/>
          <w:color w:val="auto"/>
        </w:rPr>
      </w:pPr>
    </w:p>
    <w:p>
      <w:pPr>
        <w:ind w:left="200" w:right="2060"/>
        <w:spacing w:after="0" w:line="244" w:lineRule="auto"/>
        <w:rPr>
          <w:sz w:val="20"/>
          <w:szCs w:val="20"/>
          <w:color w:val="auto"/>
        </w:rPr>
      </w:pPr>
      <w:r>
        <w:rPr>
          <w:rFonts w:ascii="Arial" w:cs="Arial" w:eastAsia="Arial" w:hAnsi="Arial"/>
          <w:sz w:val="18"/>
          <w:szCs w:val="18"/>
          <w:b w:val="1"/>
          <w:bCs w:val="1"/>
          <w:color w:val="004876"/>
        </w:rPr>
        <w:t xml:space="preserve">REGULATED INDUSTRIES AND REGULATORY ISSUES – </w:t>
      </w:r>
      <w:r>
        <w:rPr>
          <w:rFonts w:ascii="Arial" w:cs="Arial" w:eastAsia="Arial" w:hAnsi="Arial"/>
          <w:sz w:val="18"/>
          <w:szCs w:val="18"/>
          <w:color w:val="000000"/>
        </w:rPr>
        <w:t>Experience with regulated businesses, regulatory requirements and relationships with global regulators is important because the Firm operates in a heavily regulated industry</w:t>
      </w:r>
    </w:p>
    <w:p>
      <w:pPr>
        <w:spacing w:after="0" w:line="82" w:lineRule="exact"/>
        <w:rPr>
          <w:sz w:val="20"/>
          <w:szCs w:val="20"/>
          <w:color w:val="auto"/>
        </w:rPr>
      </w:pPr>
    </w:p>
    <w:p>
      <w:pPr>
        <w:ind w:left="200" w:right="2060"/>
        <w:spacing w:after="0" w:line="244" w:lineRule="auto"/>
        <w:rPr>
          <w:sz w:val="20"/>
          <w:szCs w:val="20"/>
          <w:color w:val="auto"/>
        </w:rPr>
      </w:pPr>
      <w:r>
        <w:rPr>
          <w:rFonts w:ascii="Arial" w:cs="Arial" w:eastAsia="Arial" w:hAnsi="Arial"/>
          <w:sz w:val="18"/>
          <w:szCs w:val="18"/>
          <w:b w:val="1"/>
          <w:bCs w:val="1"/>
          <w:color w:val="004876"/>
        </w:rPr>
        <w:t xml:space="preserve">RISK MANAGEMENT AND CONTROLS – </w:t>
      </w:r>
      <w:r>
        <w:rPr>
          <w:rFonts w:ascii="Arial" w:cs="Arial" w:eastAsia="Arial" w:hAnsi="Arial"/>
          <w:sz w:val="18"/>
          <w:szCs w:val="18"/>
          <w:color w:val="000000"/>
        </w:rPr>
        <w:t>Skills and</w:t>
      </w:r>
      <w:r>
        <w:rPr>
          <w:rFonts w:ascii="Arial" w:cs="Arial" w:eastAsia="Arial" w:hAnsi="Arial"/>
          <w:sz w:val="18"/>
          <w:szCs w:val="18"/>
          <w:b w:val="1"/>
          <w:bCs w:val="1"/>
          <w:color w:val="004876"/>
        </w:rPr>
        <w:t xml:space="preserve"> </w:t>
      </w:r>
      <w:r>
        <w:rPr>
          <w:rFonts w:ascii="Arial" w:cs="Arial" w:eastAsia="Arial" w:hAnsi="Arial"/>
          <w:sz w:val="18"/>
          <w:szCs w:val="18"/>
          <w:color w:val="000000"/>
        </w:rPr>
        <w:t>experience in assessment and management of business and financial risk factors allow the Board to effectively oversee risk management and understand the most significant risks facing the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FFFF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-198120</wp:posOffset>
            </wp:positionV>
            <wp:extent cx="2804160"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04160" cy="30861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598805</wp:posOffset>
            </wp:positionV>
            <wp:extent cx="2607310"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73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FFFFF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341630</wp:posOffset>
            </wp:positionV>
            <wp:extent cx="1800860"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0086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461645</wp:posOffset>
            </wp:positionV>
            <wp:extent cx="231521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1521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0"/>
        <w:spacing w:after="0"/>
        <w:rPr>
          <w:sz w:val="20"/>
          <w:szCs w:val="20"/>
          <w:color w:val="auto"/>
        </w:rPr>
      </w:pPr>
      <w:r>
        <w:rPr>
          <w:rFonts w:ascii="Arial" w:cs="Arial" w:eastAsia="Arial" w:hAnsi="Arial"/>
          <w:sz w:val="15"/>
          <w:szCs w:val="15"/>
          <w:b w:val="1"/>
          <w:bCs w:val="1"/>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778510</wp:posOffset>
            </wp:positionV>
            <wp:extent cx="2315210" cy="231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1521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0"/>
        <w:spacing w:after="0"/>
        <w:rPr>
          <w:sz w:val="20"/>
          <w:szCs w:val="20"/>
          <w:color w:val="auto"/>
        </w:rPr>
      </w:pPr>
      <w:r>
        <w:rPr>
          <w:rFonts w:ascii="Arial" w:cs="Arial" w:eastAsia="Arial" w:hAnsi="Arial"/>
          <w:sz w:val="15"/>
          <w:szCs w:val="15"/>
          <w:b w:val="1"/>
          <w:bCs w:val="1"/>
          <w:color w:val="FFFF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684530</wp:posOffset>
            </wp:positionV>
            <wp:extent cx="2804160"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041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FFFF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607060</wp:posOffset>
            </wp:positionV>
            <wp:extent cx="1800860" cy="2832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0086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572770</wp:posOffset>
            </wp:positionV>
            <wp:extent cx="2804160"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041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FFFFF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538480</wp:posOffset>
            </wp:positionV>
            <wp:extent cx="2804160" cy="2489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041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FFFFFF"/>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b w:val="1"/>
          <w:bCs w:val="1"/>
          <w:color w:val="auto"/>
        </w:rPr>
        <w:t>All our nominees posess: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-1521460</wp:posOffset>
            </wp:positionV>
            <wp:extent cx="1003300" cy="6165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03300" cy="6165850"/>
                    </a:xfrm>
                    <a:prstGeom prst="rect">
                      <a:avLst/>
                    </a:prstGeom>
                    <a:noFill/>
                  </pic:spPr>
                </pic:pic>
              </a:graphicData>
            </a:graphic>
          </wp:anchor>
        </w:drawing>
      </w:r>
    </w:p>
    <w:p>
      <w:pPr>
        <w:ind w:left="220" w:right="260"/>
        <w:spacing w:after="0" w:line="396" w:lineRule="auto"/>
        <w:rPr>
          <w:sz w:val="20"/>
          <w:szCs w:val="20"/>
          <w:color w:val="auto"/>
        </w:rPr>
      </w:pPr>
      <w:r>
        <w:rPr>
          <w:rFonts w:ascii="Arial" w:cs="Arial" w:eastAsia="Arial" w:hAnsi="Arial"/>
          <w:sz w:val="15"/>
          <w:szCs w:val="15"/>
          <w:color w:val="auto"/>
        </w:rPr>
        <w:t>Integrity Judgment Strong work</w:t>
      </w:r>
    </w:p>
    <w:p>
      <w:pPr>
        <w:ind w:left="260"/>
        <w:spacing w:after="0"/>
        <w:rPr>
          <w:sz w:val="20"/>
          <w:szCs w:val="20"/>
          <w:color w:val="auto"/>
        </w:rPr>
      </w:pPr>
      <w:r>
        <w:rPr>
          <w:rFonts w:ascii="Arial" w:cs="Arial" w:eastAsia="Arial" w:hAnsi="Arial"/>
          <w:sz w:val="15"/>
          <w:szCs w:val="15"/>
          <w:color w:val="auto"/>
        </w:rPr>
        <w:t>ethic</w:t>
      </w:r>
    </w:p>
    <w:p>
      <w:pPr>
        <w:spacing w:after="0" w:line="27" w:lineRule="exact"/>
        <w:rPr>
          <w:sz w:val="20"/>
          <w:szCs w:val="20"/>
          <w:color w:val="auto"/>
        </w:rPr>
      </w:pPr>
    </w:p>
    <w:p>
      <w:pPr>
        <w:jc w:val="right"/>
        <w:ind w:left="260" w:right="320" w:hanging="35"/>
        <w:spacing w:after="0" w:line="279" w:lineRule="auto"/>
        <w:rPr>
          <w:sz w:val="20"/>
          <w:szCs w:val="20"/>
          <w:color w:val="auto"/>
        </w:rPr>
      </w:pPr>
      <w:r>
        <w:rPr>
          <w:rFonts w:ascii="Arial" w:cs="Arial" w:eastAsia="Arial" w:hAnsi="Arial"/>
          <w:sz w:val="15"/>
          <w:szCs w:val="15"/>
          <w:color w:val="auto"/>
        </w:rPr>
        <w:t>Strength of conviction</w:t>
      </w:r>
    </w:p>
    <w:p>
      <w:pPr>
        <w:spacing w:after="0" w:line="58" w:lineRule="exact"/>
        <w:rPr>
          <w:sz w:val="20"/>
          <w:szCs w:val="20"/>
          <w:color w:val="auto"/>
        </w:rPr>
      </w:pPr>
    </w:p>
    <w:p>
      <w:pPr>
        <w:ind w:left="220" w:right="60"/>
        <w:spacing w:after="0" w:line="276" w:lineRule="auto"/>
        <w:rPr>
          <w:sz w:val="20"/>
          <w:szCs w:val="20"/>
          <w:color w:val="auto"/>
        </w:rPr>
      </w:pPr>
      <w:r>
        <w:rPr>
          <w:rFonts w:ascii="Arial" w:cs="Arial" w:eastAsia="Arial" w:hAnsi="Arial"/>
          <w:sz w:val="15"/>
          <w:szCs w:val="15"/>
          <w:color w:val="auto"/>
        </w:rPr>
        <w:t>Collaborative approach to engagement and oversight Inquisitiveness</w:t>
      </w:r>
    </w:p>
    <w:p>
      <w:pPr>
        <w:spacing w:after="0" w:line="88" w:lineRule="exact"/>
        <w:rPr>
          <w:sz w:val="20"/>
          <w:szCs w:val="20"/>
          <w:color w:val="auto"/>
        </w:rPr>
      </w:pPr>
    </w:p>
    <w:p>
      <w:pPr>
        <w:ind w:left="260" w:right="260" w:hanging="35"/>
        <w:spacing w:after="0" w:line="279" w:lineRule="auto"/>
        <w:rPr>
          <w:sz w:val="20"/>
          <w:szCs w:val="20"/>
          <w:color w:val="auto"/>
        </w:rPr>
      </w:pPr>
      <w:r>
        <w:rPr>
          <w:rFonts w:ascii="Arial" w:cs="Arial" w:eastAsia="Arial" w:hAnsi="Arial"/>
          <w:sz w:val="15"/>
          <w:szCs w:val="15"/>
          <w:color w:val="auto"/>
        </w:rPr>
        <w:t>Objective perspective</w:t>
      </w:r>
    </w:p>
    <w:p>
      <w:pPr>
        <w:spacing w:after="0" w:line="58" w:lineRule="exact"/>
        <w:rPr>
          <w:sz w:val="20"/>
          <w:szCs w:val="20"/>
          <w:color w:val="auto"/>
        </w:rPr>
      </w:pPr>
    </w:p>
    <w:p>
      <w:pPr>
        <w:ind w:left="260" w:right="120" w:hanging="35"/>
        <w:spacing w:after="0" w:line="243" w:lineRule="auto"/>
        <w:rPr>
          <w:sz w:val="20"/>
          <w:szCs w:val="20"/>
          <w:color w:val="auto"/>
        </w:rPr>
      </w:pPr>
      <w:r>
        <w:rPr>
          <w:rFonts w:ascii="Arial" w:cs="Arial" w:eastAsia="Arial" w:hAnsi="Arial"/>
          <w:sz w:val="15"/>
          <w:szCs w:val="15"/>
          <w:color w:val="auto"/>
        </w:rPr>
        <w:t>Willingness to appropriately challenge management</w:t>
      </w:r>
    </w:p>
    <w:p>
      <w:pPr>
        <w:spacing w:after="0" w:line="3668" w:lineRule="exact"/>
        <w:rPr>
          <w:sz w:val="20"/>
          <w:szCs w:val="20"/>
          <w:color w:val="auto"/>
        </w:rPr>
      </w:pPr>
    </w:p>
    <w:p>
      <w:pPr>
        <w:sectPr>
          <w:pgSz w:w="11900" w:h="16838" w:orient="portrait"/>
          <w:cols w:equalWidth="0" w:num="3">
            <w:col w:w="7100" w:space="720"/>
            <w:col w:w="1780" w:space="320"/>
            <w:col w:w="1300"/>
          </w:cols>
          <w:pgMar w:left="240" w:top="459" w:right="439" w:bottom="727" w:gutter="0" w:footer="0" w:header="0"/>
          <w:type w:val="continuous"/>
        </w:sectPr>
      </w:pPr>
    </w:p>
    <w:p>
      <w:pPr>
        <w:ind w:left="200"/>
        <w:spacing w:after="0"/>
        <w:rPr>
          <w:sz w:val="20"/>
          <w:szCs w:val="20"/>
          <w:color w:val="auto"/>
        </w:rPr>
      </w:pPr>
      <w:r>
        <w:rPr>
          <w:rFonts w:ascii="Arial" w:cs="Arial" w:eastAsia="Arial" w:hAnsi="Arial"/>
          <w:sz w:val="18"/>
          <w:szCs w:val="18"/>
          <w:color w:val="auto"/>
        </w:rPr>
        <w:t>For additional information about our director criteria, see our Governance Principles at jpmorganchase.com/corp-gov-principles.</w:t>
      </w:r>
    </w:p>
    <w:p>
      <w:pPr>
        <w:sectPr>
          <w:pgSz w:w="11900" w:h="16838" w:orient="portrait"/>
          <w:cols w:equalWidth="0" w:num="1">
            <w:col w:w="11220"/>
          </w:cols>
          <w:pgMar w:left="240" w:top="459" w:right="439" w:bottom="727" w:gutter="0" w:footer="0" w:header="0"/>
          <w:type w:val="continuous"/>
        </w:sectPr>
      </w:pPr>
    </w:p>
    <w:p>
      <w:pPr>
        <w:spacing w:after="0" w:line="13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18</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727"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Independence</w:t>
      </w:r>
    </w:p>
    <w:p>
      <w:pPr>
        <w:spacing w:after="0" w:line="18" w:lineRule="exact"/>
        <w:rPr>
          <w:sz w:val="20"/>
          <w:szCs w:val="20"/>
          <w:color w:val="auto"/>
        </w:rPr>
      </w:pPr>
    </w:p>
    <w:p>
      <w:pPr>
        <w:ind w:left="220" w:right="140"/>
        <w:spacing w:after="0" w:line="239" w:lineRule="auto"/>
        <w:rPr>
          <w:sz w:val="20"/>
          <w:szCs w:val="20"/>
          <w:color w:val="auto"/>
        </w:rPr>
      </w:pPr>
      <w:r>
        <w:rPr>
          <w:rFonts w:ascii="Arial" w:cs="Arial" w:eastAsia="Arial" w:hAnsi="Arial"/>
          <w:sz w:val="18"/>
          <w:szCs w:val="18"/>
          <w:color w:val="auto"/>
        </w:rPr>
        <w:t>All of the Firm’s non-management Board members are independent, under both the NYSE corporate governance listing standards and the Firm’s independence standards as set forth in its Governance Principles.</w:t>
      </w:r>
    </w:p>
    <w:p>
      <w:pPr>
        <w:spacing w:after="0" w:line="94"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For a director to be considered independent, he or she must have no disqualifying relationships as defined by the NYSE, and the Board must have affirmatively determined that he or she has no material relationships with JPMorgan Chase, either directly or as a partner, shareholder or officer of another organization that has a relationship with the Firm.</w:t>
      </w:r>
    </w:p>
    <w:p>
      <w:pPr>
        <w:spacing w:after="0" w:line="97" w:lineRule="exact"/>
        <w:rPr>
          <w:sz w:val="20"/>
          <w:szCs w:val="20"/>
          <w:color w:val="auto"/>
        </w:rPr>
      </w:pPr>
    </w:p>
    <w:p>
      <w:pPr>
        <w:ind w:left="220"/>
        <w:spacing w:after="0" w:line="250" w:lineRule="auto"/>
        <w:rPr>
          <w:sz w:val="20"/>
          <w:szCs w:val="20"/>
          <w:color w:val="auto"/>
        </w:rPr>
      </w:pPr>
      <w:r>
        <w:rPr>
          <w:rFonts w:ascii="Arial" w:cs="Arial" w:eastAsia="Arial" w:hAnsi="Arial"/>
          <w:sz w:val="17"/>
          <w:szCs w:val="17"/>
          <w:color w:val="auto"/>
        </w:rPr>
        <w:t>In assessing the materiality of relationships with the Firm, the Board considers relevant facts and circumstances. Given the nature and broad scope of the products and services provided by the Firm, there are from time to time ordinary course of business transactions between the Firm and a director, his or her immediate family members, or principal business affiliations. These may include, among other relationships: extensions of credit; provision of other financial and financial advisory products and services; business transactions for property or services; and charitable contributions made by the JPMorgan Chase Foundation or the Firm to a nonprofit organization of which a director is an officer. The Board reviews these relationships to assess their materiality and determine if any such relationship would impair the independence and judgment of the relevant director.</w:t>
      </w:r>
    </w:p>
    <w:p>
      <w:pPr>
        <w:spacing w:after="0" w:line="93" w:lineRule="exact"/>
        <w:rPr>
          <w:sz w:val="20"/>
          <w:szCs w:val="20"/>
          <w:color w:val="auto"/>
        </w:rPr>
      </w:pPr>
    </w:p>
    <w:p>
      <w:pPr>
        <w:ind w:left="220" w:right="580"/>
        <w:spacing w:after="0" w:line="275" w:lineRule="auto"/>
        <w:rPr>
          <w:sz w:val="20"/>
          <w:szCs w:val="20"/>
          <w:color w:val="auto"/>
        </w:rPr>
      </w:pPr>
      <w:r>
        <w:rPr>
          <w:rFonts w:ascii="Arial" w:cs="Arial" w:eastAsia="Arial" w:hAnsi="Arial"/>
          <w:sz w:val="17"/>
          <w:szCs w:val="17"/>
          <w:color w:val="auto"/>
        </w:rPr>
        <w:t>The relationships and transactions the Board considered in evaluating each director’s independence were as follows:</w:t>
      </w:r>
    </w:p>
    <w:p>
      <w:pPr>
        <w:spacing w:after="0" w:line="33" w:lineRule="exact"/>
        <w:rPr>
          <w:sz w:val="20"/>
          <w:szCs w:val="20"/>
          <w:color w:val="auto"/>
        </w:rPr>
      </w:pPr>
    </w:p>
    <w:p>
      <w:pPr>
        <w:ind w:left="400" w:right="60"/>
        <w:spacing w:after="0" w:line="239" w:lineRule="auto"/>
        <w:rPr>
          <w:sz w:val="20"/>
          <w:szCs w:val="20"/>
          <w:color w:val="auto"/>
        </w:rPr>
      </w:pPr>
      <w:r>
        <w:rPr>
          <w:rFonts w:ascii="Arial" w:cs="Arial" w:eastAsia="Arial" w:hAnsi="Arial"/>
          <w:sz w:val="18"/>
          <w:szCs w:val="18"/>
          <w:color w:val="auto"/>
        </w:rPr>
        <w:t>Consumer credit: extensions of credit provided to director Jackson; and credit cards issued to directors Bammann, Bell, Crown, Flynn, Jackson, Neal, Raymond, and Weldon, and their immediate family members</w:t>
      </w:r>
    </w:p>
    <w:p>
      <w:pPr>
        <w:spacing w:after="0" w:line="107" w:lineRule="exact"/>
        <w:rPr>
          <w:sz w:val="20"/>
          <w:szCs w:val="20"/>
          <w:color w:val="auto"/>
        </w:rPr>
      </w:pPr>
    </w:p>
    <w:p>
      <w:pPr>
        <w:ind w:left="400" w:right="80"/>
        <w:spacing w:after="0" w:line="234" w:lineRule="auto"/>
        <w:rPr>
          <w:sz w:val="20"/>
          <w:szCs w:val="20"/>
          <w:color w:val="auto"/>
        </w:rPr>
      </w:pPr>
      <w:r>
        <w:rPr>
          <w:rFonts w:ascii="Arial" w:cs="Arial" w:eastAsia="Arial" w:hAnsi="Arial"/>
          <w:sz w:val="18"/>
          <w:szCs w:val="18"/>
          <w:color w:val="auto"/>
        </w:rPr>
        <w:t>Wholesale credit: an extension of credit and other financial and financial advisory products and services provided to: NBCUniversal, LLC and Comcast Corporation, for which</w:t>
      </w:r>
    </w:p>
    <w:p>
      <w:pPr>
        <w:spacing w:after="0" w:line="48" w:lineRule="exact"/>
        <w:rPr>
          <w:sz w:val="20"/>
          <w:szCs w:val="20"/>
          <w:color w:val="auto"/>
        </w:rPr>
      </w:pPr>
    </w:p>
    <w:p>
      <w:pPr>
        <w:ind w:left="400" w:right="60"/>
        <w:spacing w:after="0" w:line="261" w:lineRule="auto"/>
        <w:rPr>
          <w:sz w:val="20"/>
          <w:szCs w:val="20"/>
          <w:color w:val="auto"/>
        </w:rPr>
      </w:pPr>
      <w:r>
        <w:rPr>
          <w:rFonts w:ascii="Arial" w:cs="Arial" w:eastAsia="Arial" w:hAnsi="Arial"/>
          <w:sz w:val="17"/>
          <w:szCs w:val="17"/>
          <w:color w:val="auto"/>
        </w:rPr>
        <w:t>Mr. Burke is the Chief Executive Officer and a senior executive, respectively, and their subsidiaries; Berkshire Hathaway Inc., for which Mr. Combs is an Investment Officer, and its</w:t>
      </w:r>
    </w:p>
    <w:p>
      <w:pPr>
        <w:spacing w:after="0" w:line="35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200"/>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-657860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5" w:lineRule="exact"/>
        <w:rPr>
          <w:sz w:val="20"/>
          <w:szCs w:val="20"/>
          <w:color w:val="auto"/>
        </w:rPr>
      </w:pPr>
    </w:p>
    <w:p>
      <w:pPr>
        <w:ind w:left="180" w:right="80"/>
        <w:spacing w:after="0" w:line="236" w:lineRule="auto"/>
        <w:rPr>
          <w:sz w:val="20"/>
          <w:szCs w:val="20"/>
          <w:color w:val="auto"/>
        </w:rPr>
      </w:pPr>
      <w:r>
        <w:rPr>
          <w:rFonts w:ascii="Arial" w:cs="Arial" w:eastAsia="Arial" w:hAnsi="Arial"/>
          <w:sz w:val="18"/>
          <w:szCs w:val="18"/>
          <w:color w:val="auto"/>
        </w:rPr>
        <w:t>subsidiaries; Henry Crown and Company, for which Mr. Crown is Chairman and Chief Executive Officer, and other Crown family-owned entities; Ariel Investments, LLC, for which Ms. Hobson is the President, and its subsidiaries and funds; certain entities wholly-owned by Ms. Hobson’s spouse; RR Advisors LLC, for which a son of Mr. Raymond is an executive officer; and portfolio companies that have among its principal shareholders funds managed by The Energy &amp; Minerals Group, for which a son of Mr. Raymond is the Chief Executive Officer</w:t>
      </w:r>
    </w:p>
    <w:p>
      <w:pPr>
        <w:spacing w:after="0" w:line="6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Goods and services: commercial office space leased by the Firm from subsidiaries of companies in which Mr. Crown and members of his immediate family have indirect ownership interests; national media placements with NBCUniversal and Comcast outlets; telecom data circuits purchased from Comcast; and purchases from Berkshire Hathaway subsidiaries of private aviation services, and professional services related to the Firm’s corporate-owned aircraft</w:t>
      </w:r>
    </w:p>
    <w:p>
      <w:pPr>
        <w:spacing w:after="0" w:line="113"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Other relationship: Haven, the joint health care initiative formed by the Firm, Amazon and Berkshire Hathaway to address ways to improve health care and reduce costs for U.S. employees of the three companies</w:t>
      </w:r>
    </w:p>
    <w:p>
      <w:pPr>
        <w:spacing w:after="0" w:line="140" w:lineRule="exact"/>
        <w:rPr>
          <w:sz w:val="20"/>
          <w:szCs w:val="20"/>
          <w:color w:val="auto"/>
        </w:rPr>
      </w:pPr>
    </w:p>
    <w:p>
      <w:pPr>
        <w:jc w:val="both"/>
        <w:ind w:right="360"/>
        <w:spacing w:after="0" w:line="248" w:lineRule="auto"/>
        <w:rPr>
          <w:sz w:val="20"/>
          <w:szCs w:val="20"/>
          <w:color w:val="auto"/>
        </w:rPr>
      </w:pPr>
      <w:r>
        <w:rPr>
          <w:rFonts w:ascii="Arial" w:cs="Arial" w:eastAsia="Arial" w:hAnsi="Arial"/>
          <w:sz w:val="17"/>
          <w:szCs w:val="17"/>
          <w:color w:val="auto"/>
        </w:rPr>
        <w:t>The Board, having reviewed the above-described relationships between the Firm and each director, determined, in accordance with the NYSE’s listing standards and the Firm’s independence standards, that each non-management director (Linda B.</w:t>
      </w:r>
    </w:p>
    <w:p>
      <w:pPr>
        <w:spacing w:after="0" w:line="2" w:lineRule="exact"/>
        <w:rPr>
          <w:sz w:val="20"/>
          <w:szCs w:val="20"/>
          <w:color w:val="auto"/>
        </w:rPr>
      </w:pPr>
    </w:p>
    <w:p>
      <w:pPr>
        <w:jc w:val="both"/>
        <w:ind w:right="420"/>
        <w:spacing w:after="0" w:line="248" w:lineRule="auto"/>
        <w:rPr>
          <w:sz w:val="20"/>
          <w:szCs w:val="20"/>
          <w:color w:val="auto"/>
        </w:rPr>
      </w:pPr>
      <w:r>
        <w:rPr>
          <w:rFonts w:ascii="Arial" w:cs="Arial" w:eastAsia="Arial" w:hAnsi="Arial"/>
          <w:sz w:val="17"/>
          <w:szCs w:val="17"/>
          <w:color w:val="auto"/>
        </w:rPr>
        <w:t>Bammann, James A. Bell, Stephen B. Burke, Todd A. Combs, James S. Crown, Timothy P. Flynn, Mellody Hobson, Laban P. Jackson, Jr., Michael A. Neal, Lee R. Raymond and William C.</w:t>
      </w:r>
    </w:p>
    <w:p>
      <w:pPr>
        <w:spacing w:after="0" w:line="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Weldon) had only immaterial relationships with JPMorgan Chase and accordingly is independent. Crandall C. Bowles, who retired in May 2018, had only immaterial relationships with JPMorgan Chase and accordingly was an independent director.</w:t>
      </w:r>
    </w:p>
    <w:p>
      <w:pPr>
        <w:spacing w:after="0" w:line="9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Directors who served on the Audit and Compensation &amp; Management Development Committees of the Board were also determined to meet the additional independence and qualitative criteria of the NYSE listing standards applicable to directors serving on those committees. For more information about the committees of the Board, see pages 23-26.</w:t>
      </w:r>
    </w:p>
    <w:p>
      <w:pPr>
        <w:spacing w:after="0" w:line="281"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recruitment</w:t>
      </w:r>
    </w:p>
    <w:p>
      <w:pPr>
        <w:spacing w:after="0" w:line="18"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Governance Committee oversees the ongoing evaluation of candidates for Board membership and the candidate nomination process. The Governance Committee solicits candidate recommendations from shareholders, management, and directors and is assisted by a third-party advisor in identifying qualified candidates. The Board seeks candidates with a diversity of experience and perspectives, including diversity with respect to gender, race, ethnicity and nationality. The Governance Committee evaluates prospective directors in accordance with the Governance Principles and in light of the Firm’s strategy, risk profile and current board composition, and may also seek candidates with specific skills and experiences based on the needs of the Firm at a specific time.</w:t>
      </w:r>
    </w:p>
    <w:p>
      <w:pPr>
        <w:spacing w:after="0" w:line="96"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Following the preliminary assessment of a candidate, among other things, the Governance Committee, the Lead Independent Director and the Chairman of the Board meet with the potential nominee prior to putting the candidate forward for consideration by the full Board.</w:t>
      </w:r>
    </w:p>
    <w:p>
      <w:pPr>
        <w:spacing w:after="0" w:line="95"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Our By-laws also permit a shareholder or group of up to 20 shareholders who have continuously owned at least 3% of the Firm’s outstanding shares for at least three years to nominate up to 20% of the Board (but in any event at least two directors). For further information, see page 98.</w:t>
      </w:r>
    </w:p>
    <w:p>
      <w:pPr>
        <w:spacing w:after="0" w:line="9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Shareholders who want to recommend a candidate for election to the Board may do so by writing to the Secretary at JPMorgan Chase &amp; Co., 4 New York Plaza, New York, NY 10004; or by emailing the Office of the Secretary at corporate.secretary@jpmchase.com. All candidates recommended to the Governance Committee are evaluated based on the same standards.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re-nomination</w:t>
      </w:r>
    </w:p>
    <w:p>
      <w:pPr>
        <w:spacing w:after="0" w:line="18"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The Governance Committee also oversees the re-nomination process. In considering whether to re-nominate a director for election at our annual meeting, the Governance Committee reviews each director, considering such factors as:</w:t>
      </w:r>
    </w:p>
    <w:p>
      <w:pPr>
        <w:spacing w:after="0" w:line="61" w:lineRule="exact"/>
        <w:rPr>
          <w:sz w:val="20"/>
          <w:szCs w:val="20"/>
          <w:color w:val="auto"/>
        </w:rPr>
      </w:pPr>
    </w:p>
    <w:p>
      <w:pPr>
        <w:ind w:left="400" w:right="160"/>
        <w:spacing w:after="0"/>
        <w:rPr>
          <w:sz w:val="20"/>
          <w:szCs w:val="20"/>
          <w:color w:val="auto"/>
        </w:rPr>
      </w:pPr>
      <w:r>
        <w:rPr>
          <w:rFonts w:ascii="Arial" w:cs="Arial" w:eastAsia="Arial" w:hAnsi="Arial"/>
          <w:sz w:val="18"/>
          <w:szCs w:val="18"/>
          <w:color w:val="auto"/>
        </w:rPr>
        <w:t>The ways in which the director’s skills and experience, as well as his or her personal attributes, continue to contribute to the Board’s effectiveness</w:t>
      </w:r>
    </w:p>
    <w:p>
      <w:pPr>
        <w:spacing w:after="0" w:line="108" w:lineRule="exact"/>
        <w:rPr>
          <w:sz w:val="20"/>
          <w:szCs w:val="20"/>
          <w:color w:val="auto"/>
        </w:rPr>
      </w:pPr>
    </w:p>
    <w:p>
      <w:pPr>
        <w:ind w:left="400" w:right="840"/>
        <w:spacing w:after="0" w:line="246" w:lineRule="auto"/>
        <w:rPr>
          <w:sz w:val="20"/>
          <w:szCs w:val="20"/>
          <w:color w:val="auto"/>
        </w:rPr>
      </w:pPr>
      <w:r>
        <w:rPr>
          <w:rFonts w:ascii="Arial" w:cs="Arial" w:eastAsia="Arial" w:hAnsi="Arial"/>
          <w:sz w:val="18"/>
          <w:szCs w:val="18"/>
          <w:color w:val="auto"/>
        </w:rPr>
        <w:t>Feedback from the annual Board and committee self-assessments</w:t>
      </w:r>
    </w:p>
    <w:p>
      <w:pPr>
        <w:spacing w:after="0" w:line="102" w:lineRule="exact"/>
        <w:rPr>
          <w:sz w:val="20"/>
          <w:szCs w:val="20"/>
          <w:color w:val="auto"/>
        </w:rPr>
      </w:pPr>
    </w:p>
    <w:p>
      <w:pPr>
        <w:ind w:left="400" w:right="600"/>
        <w:spacing w:after="0"/>
        <w:rPr>
          <w:sz w:val="20"/>
          <w:szCs w:val="20"/>
          <w:color w:val="auto"/>
        </w:rPr>
      </w:pPr>
      <w:r>
        <w:rPr>
          <w:rFonts w:ascii="Arial" w:cs="Arial" w:eastAsia="Arial" w:hAnsi="Arial"/>
          <w:sz w:val="18"/>
          <w:szCs w:val="18"/>
          <w:color w:val="auto"/>
        </w:rPr>
        <w:t>Shareholder feedback, including the support received by director nominees elected at our annual meeting of shareholders</w:t>
      </w:r>
    </w:p>
    <w:p>
      <w:pPr>
        <w:spacing w:after="0" w:line="32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180"/>
        <w:spacing w:after="0" w:line="403" w:lineRule="auto"/>
        <w:rPr>
          <w:sz w:val="20"/>
          <w:szCs w:val="20"/>
          <w:color w:val="auto"/>
        </w:rPr>
      </w:pPr>
      <w:r>
        <w:rPr>
          <w:rFonts w:ascii="Arial" w:cs="Arial" w:eastAsia="Arial" w:hAnsi="Arial"/>
          <w:sz w:val="18"/>
          <w:szCs w:val="18"/>
          <w:color w:val="auto"/>
        </w:rPr>
        <w:t>Attendance and participation at Board and committee meetings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-1200150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80"/>
        <w:spacing w:after="0"/>
        <w:rPr>
          <w:sz w:val="20"/>
          <w:szCs w:val="20"/>
          <w:color w:val="auto"/>
        </w:rPr>
      </w:pPr>
      <w:r>
        <w:rPr>
          <w:rFonts w:ascii="Arial" w:cs="Arial" w:eastAsia="Arial" w:hAnsi="Arial"/>
          <w:sz w:val="18"/>
          <w:szCs w:val="18"/>
          <w:color w:val="auto"/>
        </w:rPr>
        <w:t>Each of our director nominees has been recommended for election by our Governance Committee and approved for re-nomination by our Board.</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Governance Principles require a non-management director to offer not to stand for re-election in each calendar year following a year in which the director will be 72 or older. The Board (other than the affected director) then determines whether to accept the offer. The Board believes that, while refreshment of tenured members is an important consideration in assessing Board composition, the best interests of the Firm are served by taking advantage of all available talent, and evaluations as to director candidacy should not be determined solely on age.</w:t>
      </w:r>
    </w:p>
    <w:p>
      <w:pPr>
        <w:spacing w:after="0" w:line="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Consistent with this principle, two of our director nominees, Lee R. Raymond and Laban P. Jackson, Jr., offered not to stand for re-election this year. The Board reviewed their offers, taking into account their contributions, the results of the annual Board and committee self-assessment, ongoing succession planning for the Board and the other factors listed above. The Board noted that both directors continue to receive high levels of shareholder support, each having received the support of more than 94% of the votes cast by shareholders at our 2018 annual meeting. The Board believes that Mr. Raymond’s skills and experience complement those of the Board’s Chair and considered Mr. Raymond’s strong leadership as the Lead Independent Director and Chairman of the CMDC as well as his contributions as a member of the Governance Committee. In addition, Mr. Raymond participated in shareholder engagement on behalf of the Board, including speaking with certain of our shareholders about our strategy, risk management and business practices. The Board considered Mr. Jackson’s expertise in audit, governance and regulatory matters and significant interaction, on behalf of the Board, with management and regulators globally. The Board determined that Mr. Raymond and Mr. Jackson each possesses the capability, judgment, and other skills and attributes the Board looks for in a director, that each has broad experience both within and outside the Firm that continues to be of great value to the Board, that each has contributed to the Board’s overall balance of tenure and fresh perspective, and that their continued service as directors is in the best interests of the Firm’s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-4445</wp:posOffset>
            </wp:positionV>
            <wp:extent cx="66205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Following its review, the Board determined (with the affected director abstaining with respect to himself) that both Mr. Raymond and Mr. Jackson should be re-nominated for election as directors and therefore did not accept either offer not to stand for re-election. For specific information on each of Mr. Raymond’s and Mr. Jackson’s qualifications and their individual contributions to the Board, including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200"/>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-657860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their Board committee roles, see pages 17 and 16, respectively, of this proxy statement. For information regarding Mr. Raymond’s appointment as Lead Independent Director, see page 22 of this proxy statement. For a description of the annual Board and committee self-assessment process, see page 27 of this proxy statement.</w:t>
      </w:r>
    </w:p>
    <w:p>
      <w:pPr>
        <w:spacing w:after="0" w:line="404" w:lineRule="exact"/>
        <w:rPr>
          <w:sz w:val="20"/>
          <w:szCs w:val="20"/>
          <w:color w:val="auto"/>
        </w:rPr>
      </w:pPr>
    </w:p>
    <w:p>
      <w:pPr>
        <w:sectPr>
          <w:pgSz w:w="11900" w:h="16838" w:orient="portrait"/>
          <w:cols w:equalWidth="0" w:num="2">
            <w:col w:w="5500" w:space="320"/>
            <w:col w:w="5420"/>
          </w:cols>
          <w:pgMar w:left="240" w:top="459" w:right="419" w:bottom="1440" w:gutter="0" w:footer="0" w:header="0"/>
        </w:sectPr>
      </w:pPr>
    </w:p>
    <w:p>
      <w:pPr>
        <w:spacing w:after="0" w:line="15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How our Board conducts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Sound governance practices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Board is guided by its Governance Principles, and we adhere to the Commonsense Corporate Governance Principles and the</w:t>
      </w:r>
    </w:p>
    <w:p>
      <w:pPr>
        <w:ind w:left="200"/>
        <w:spacing w:after="0"/>
        <w:rPr>
          <w:sz w:val="20"/>
          <w:szCs w:val="20"/>
          <w:color w:val="auto"/>
        </w:rPr>
      </w:pPr>
      <w:r>
        <w:rPr>
          <w:rFonts w:ascii="Arial" w:cs="Arial" w:eastAsia="Arial" w:hAnsi="Arial"/>
          <w:sz w:val="18"/>
          <w:szCs w:val="18"/>
          <w:color w:val="auto"/>
        </w:rPr>
        <w:t>Investor Stewardship Group’s Corporate Governance Principles for U.S. Listed Companies. Our sound governance practices include:</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326"/>
        </w:trPr>
        <w:tc>
          <w:tcPr>
            <w:tcW w:w="500" w:type="dxa"/>
            <w:vAlign w:val="bottom"/>
            <w:tcBorders>
              <w:top w:val="single" w:sz="8" w:color="004876"/>
            </w:tcBorders>
            <w:vMerge w:val="restart"/>
            <w:shd w:val="clear" w:color="auto" w:fill="E5E5E5"/>
          </w:tcPr>
          <w:p>
            <w:pPr>
              <w:ind w:left="120"/>
              <w:spacing w:after="0" w:line="251" w:lineRule="exact"/>
              <w:rPr>
                <w:sz w:val="20"/>
                <w:szCs w:val="20"/>
                <w:color w:val="auto"/>
              </w:rPr>
            </w:pPr>
            <w:r>
              <w:rPr>
                <w:rFonts w:ascii="MS PGothic" w:cs="MS PGothic" w:eastAsia="MS PGothic" w:hAnsi="MS PGothic"/>
                <w:sz w:val="25"/>
                <w:szCs w:val="25"/>
                <w:color w:val="73A950"/>
                <w:shd w:val="clear" w:color="auto" w:fill="E5E5E5"/>
              </w:rPr>
              <w:t>✓</w:t>
            </w:r>
          </w:p>
        </w:tc>
        <w:tc>
          <w:tcPr>
            <w:tcW w:w="5060" w:type="dxa"/>
            <w:vAlign w:val="bottom"/>
            <w:tcBorders>
              <w:top w:val="single" w:sz="8" w:color="004876"/>
            </w:tcBorders>
            <w:vMerge w:val="restart"/>
            <w:shd w:val="clear" w:color="auto" w:fill="E5E5E5"/>
          </w:tcPr>
          <w:p>
            <w:pPr>
              <w:ind w:left="140"/>
              <w:spacing w:after="0"/>
              <w:rPr>
                <w:sz w:val="20"/>
                <w:szCs w:val="20"/>
                <w:color w:val="auto"/>
              </w:rPr>
            </w:pPr>
            <w:r>
              <w:rPr>
                <w:rFonts w:ascii="Arial" w:cs="Arial" w:eastAsia="Arial" w:hAnsi="Arial"/>
                <w:sz w:val="16"/>
                <w:szCs w:val="16"/>
                <w:color w:val="auto"/>
              </w:rPr>
              <w:t>Annual election of all directors</w:t>
            </w:r>
          </w:p>
        </w:tc>
        <w:tc>
          <w:tcPr>
            <w:tcW w:w="600" w:type="dxa"/>
            <w:vAlign w:val="bottom"/>
            <w:tcBorders>
              <w:top w:val="single" w:sz="8" w:color="004876"/>
            </w:tcBorders>
            <w:vMerge w:val="restart"/>
            <w:shd w:val="clear" w:color="auto" w:fill="E5E5E5"/>
          </w:tcPr>
          <w:p>
            <w:pPr>
              <w:ind w:left="260"/>
              <w:spacing w:after="0" w:line="251" w:lineRule="exact"/>
              <w:rPr>
                <w:sz w:val="20"/>
                <w:szCs w:val="20"/>
                <w:color w:val="auto"/>
              </w:rPr>
            </w:pPr>
            <w:r>
              <w:rPr>
                <w:rFonts w:ascii="MS PGothic" w:cs="MS PGothic" w:eastAsia="MS PGothic" w:hAnsi="MS PGothic"/>
                <w:sz w:val="25"/>
                <w:szCs w:val="25"/>
                <w:color w:val="73A950"/>
              </w:rPr>
              <w:t>✓</w:t>
            </w:r>
          </w:p>
        </w:tc>
        <w:tc>
          <w:tcPr>
            <w:tcW w:w="4860" w:type="dxa"/>
            <w:vAlign w:val="bottom"/>
            <w:tcBorders>
              <w:top w:val="single" w:sz="8" w:color="004876"/>
            </w:tcBorders>
            <w:shd w:val="clear" w:color="auto" w:fill="E5E5E5"/>
          </w:tcPr>
          <w:p>
            <w:pPr>
              <w:ind w:left="140"/>
              <w:spacing w:after="0"/>
              <w:rPr>
                <w:sz w:val="20"/>
                <w:szCs w:val="20"/>
                <w:color w:val="auto"/>
              </w:rPr>
            </w:pPr>
            <w:r>
              <w:rPr>
                <w:rFonts w:ascii="Arial" w:cs="Arial" w:eastAsia="Arial" w:hAnsi="Arial"/>
                <w:sz w:val="16"/>
                <w:szCs w:val="16"/>
                <w:color w:val="auto"/>
              </w:rPr>
              <w:t>Robust shareholder engagement process, including participation</w:t>
            </w:r>
          </w:p>
        </w:tc>
        <w:tc>
          <w:tcPr>
            <w:tcW w:w="0" w:type="dxa"/>
            <w:vAlign w:val="bottom"/>
          </w:tcPr>
          <w:p>
            <w:pPr>
              <w:spacing w:after="0"/>
              <w:rPr>
                <w:sz w:val="1"/>
                <w:szCs w:val="1"/>
                <w:color w:val="auto"/>
              </w:rPr>
            </w:pPr>
          </w:p>
        </w:tc>
      </w:tr>
      <w:tr>
        <w:trPr>
          <w:trHeight w:val="208"/>
        </w:trPr>
        <w:tc>
          <w:tcPr>
            <w:tcW w:w="500" w:type="dxa"/>
            <w:vAlign w:val="bottom"/>
            <w:tcBorders>
              <w:bottom w:val="single" w:sz="8" w:color="E5E5E5"/>
            </w:tcBorders>
            <w:vMerge w:val="continue"/>
            <w:shd w:val="clear" w:color="auto" w:fill="E5E5E5"/>
          </w:tcPr>
          <w:p>
            <w:pPr>
              <w:spacing w:after="0"/>
              <w:rPr>
                <w:sz w:val="18"/>
                <w:szCs w:val="18"/>
                <w:color w:val="auto"/>
              </w:rPr>
            </w:pPr>
          </w:p>
        </w:tc>
        <w:tc>
          <w:tcPr>
            <w:tcW w:w="5060" w:type="dxa"/>
            <w:vAlign w:val="bottom"/>
            <w:tcBorders>
              <w:bottom w:val="single" w:sz="8" w:color="E5E5E5"/>
            </w:tcBorders>
            <w:vMerge w:val="continue"/>
            <w:shd w:val="clear" w:color="auto" w:fill="E5E5E5"/>
          </w:tcPr>
          <w:p>
            <w:pPr>
              <w:spacing w:after="0"/>
              <w:rPr>
                <w:sz w:val="18"/>
                <w:szCs w:val="18"/>
                <w:color w:val="auto"/>
              </w:rPr>
            </w:pPr>
          </w:p>
        </w:tc>
        <w:tc>
          <w:tcPr>
            <w:tcW w:w="600" w:type="dxa"/>
            <w:vAlign w:val="bottom"/>
            <w:tcBorders>
              <w:bottom w:val="single" w:sz="8" w:color="E5E5E5"/>
            </w:tcBorders>
            <w:vMerge w:val="continue"/>
            <w:shd w:val="clear" w:color="auto" w:fill="E5E5E5"/>
          </w:tcPr>
          <w:p>
            <w:pPr>
              <w:spacing w:after="0"/>
              <w:rPr>
                <w:sz w:val="18"/>
                <w:szCs w:val="18"/>
                <w:color w:val="auto"/>
              </w:rPr>
            </w:pPr>
          </w:p>
        </w:tc>
        <w:tc>
          <w:tcPr>
            <w:tcW w:w="486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auto"/>
              </w:rPr>
              <w:t>by our Lead Independent Director</w:t>
            </w:r>
          </w:p>
        </w:tc>
        <w:tc>
          <w:tcPr>
            <w:tcW w:w="0" w:type="dxa"/>
            <w:vAlign w:val="bottom"/>
          </w:tcPr>
          <w:p>
            <w:pPr>
              <w:spacing w:after="0"/>
              <w:rPr>
                <w:sz w:val="1"/>
                <w:szCs w:val="1"/>
                <w:color w:val="auto"/>
              </w:rPr>
            </w:pPr>
          </w:p>
        </w:tc>
      </w:tr>
      <w:tr>
        <w:trPr>
          <w:trHeight w:val="338"/>
        </w:trPr>
        <w:tc>
          <w:tcPr>
            <w:tcW w:w="500" w:type="dxa"/>
            <w:vAlign w:val="bottom"/>
          </w:tcPr>
          <w:p>
            <w:pPr>
              <w:ind w:left="120"/>
              <w:spacing w:after="0" w:line="251" w:lineRule="exact"/>
              <w:rPr>
                <w:sz w:val="20"/>
                <w:szCs w:val="20"/>
                <w:color w:val="auto"/>
              </w:rPr>
            </w:pPr>
            <w:r>
              <w:rPr>
                <w:rFonts w:ascii="MS PGothic" w:cs="MS PGothic" w:eastAsia="MS PGothic" w:hAnsi="MS PGothic"/>
                <w:sz w:val="25"/>
                <w:szCs w:val="25"/>
                <w:color w:val="73A950"/>
              </w:rPr>
              <w:t>✓</w:t>
            </w:r>
          </w:p>
        </w:tc>
        <w:tc>
          <w:tcPr>
            <w:tcW w:w="5060" w:type="dxa"/>
            <w:vAlign w:val="bottom"/>
          </w:tcPr>
          <w:p>
            <w:pPr>
              <w:ind w:left="140"/>
              <w:spacing w:after="0"/>
              <w:rPr>
                <w:sz w:val="20"/>
                <w:szCs w:val="20"/>
                <w:color w:val="auto"/>
              </w:rPr>
            </w:pPr>
            <w:r>
              <w:rPr>
                <w:rFonts w:ascii="Arial" w:cs="Arial" w:eastAsia="Arial" w:hAnsi="Arial"/>
                <w:sz w:val="16"/>
                <w:szCs w:val="16"/>
                <w:color w:val="auto"/>
              </w:rPr>
              <w:t>Majority voting for director elections</w:t>
            </w:r>
          </w:p>
        </w:tc>
        <w:tc>
          <w:tcPr>
            <w:tcW w:w="600" w:type="dxa"/>
            <w:vAlign w:val="bottom"/>
          </w:tcPr>
          <w:p>
            <w:pPr>
              <w:ind w:left="260"/>
              <w:spacing w:after="0" w:line="251" w:lineRule="exact"/>
              <w:rPr>
                <w:sz w:val="20"/>
                <w:szCs w:val="20"/>
                <w:color w:val="auto"/>
              </w:rPr>
            </w:pPr>
            <w:r>
              <w:rPr>
                <w:rFonts w:ascii="MS PGothic" w:cs="MS PGothic" w:eastAsia="MS PGothic" w:hAnsi="MS PGothic"/>
                <w:sz w:val="25"/>
                <w:szCs w:val="25"/>
                <w:color w:val="73A950"/>
              </w:rPr>
              <w:t>✓</w:t>
            </w:r>
          </w:p>
        </w:tc>
        <w:tc>
          <w:tcPr>
            <w:tcW w:w="4860" w:type="dxa"/>
            <w:vAlign w:val="bottom"/>
          </w:tcPr>
          <w:p>
            <w:pPr>
              <w:ind w:left="140"/>
              <w:spacing w:after="0"/>
              <w:rPr>
                <w:sz w:val="20"/>
                <w:szCs w:val="20"/>
                <w:color w:val="auto"/>
              </w:rPr>
            </w:pPr>
            <w:r>
              <w:rPr>
                <w:rFonts w:ascii="Arial" w:cs="Arial" w:eastAsia="Arial" w:hAnsi="Arial"/>
                <w:sz w:val="16"/>
                <w:szCs w:val="16"/>
                <w:color w:val="auto"/>
              </w:rPr>
              <w:t>Semi-annual Board review of investor feedback</w:t>
            </w:r>
          </w:p>
        </w:tc>
        <w:tc>
          <w:tcPr>
            <w:tcW w:w="0" w:type="dxa"/>
            <w:vAlign w:val="bottom"/>
          </w:tcPr>
          <w:p>
            <w:pPr>
              <w:spacing w:after="0"/>
              <w:rPr>
                <w:sz w:val="1"/>
                <w:szCs w:val="1"/>
                <w:color w:val="auto"/>
              </w:rPr>
            </w:pPr>
          </w:p>
        </w:tc>
      </w:tr>
      <w:tr>
        <w:trPr>
          <w:trHeight w:val="191"/>
        </w:trPr>
        <w:tc>
          <w:tcPr>
            <w:tcW w:w="500" w:type="dxa"/>
            <w:vAlign w:val="bottom"/>
            <w:vMerge w:val="restart"/>
            <w:shd w:val="clear" w:color="auto" w:fill="E5E5E5"/>
          </w:tcPr>
          <w:p>
            <w:pPr>
              <w:ind w:left="120"/>
              <w:spacing w:after="0" w:line="251" w:lineRule="exact"/>
              <w:rPr>
                <w:sz w:val="20"/>
                <w:szCs w:val="20"/>
                <w:color w:val="auto"/>
              </w:rPr>
            </w:pPr>
            <w:r>
              <w:rPr>
                <w:rFonts w:ascii="MS PGothic" w:cs="MS PGothic" w:eastAsia="MS PGothic" w:hAnsi="MS PGothic"/>
                <w:sz w:val="25"/>
                <w:szCs w:val="25"/>
                <w:color w:val="73A950"/>
                <w:shd w:val="clear" w:color="auto" w:fill="E5E5E5"/>
              </w:rPr>
              <w:t>✓</w:t>
            </w:r>
          </w:p>
        </w:tc>
        <w:tc>
          <w:tcPr>
            <w:tcW w:w="5060" w:type="dxa"/>
            <w:vAlign w:val="bottom"/>
            <w:vMerge w:val="restart"/>
            <w:shd w:val="clear" w:color="auto" w:fill="E5E5E5"/>
          </w:tcPr>
          <w:p>
            <w:pPr>
              <w:ind w:left="140"/>
              <w:spacing w:after="0"/>
              <w:rPr>
                <w:sz w:val="20"/>
                <w:szCs w:val="20"/>
                <w:color w:val="auto"/>
              </w:rPr>
            </w:pPr>
            <w:r>
              <w:rPr>
                <w:rFonts w:ascii="Arial" w:cs="Arial" w:eastAsia="Arial" w:hAnsi="Arial"/>
                <w:sz w:val="16"/>
                <w:szCs w:val="16"/>
                <w:color w:val="auto"/>
              </w:rPr>
              <w:t>100% committee independence</w:t>
            </w:r>
          </w:p>
        </w:tc>
        <w:tc>
          <w:tcPr>
            <w:tcW w:w="600" w:type="dxa"/>
            <w:vAlign w:val="bottom"/>
            <w:vMerge w:val="restart"/>
            <w:shd w:val="clear" w:color="auto" w:fill="E5E5E5"/>
          </w:tcPr>
          <w:p>
            <w:pPr>
              <w:ind w:left="260"/>
              <w:spacing w:after="0" w:line="251" w:lineRule="exact"/>
              <w:rPr>
                <w:sz w:val="20"/>
                <w:szCs w:val="20"/>
                <w:color w:val="auto"/>
              </w:rPr>
            </w:pPr>
            <w:r>
              <w:rPr>
                <w:rFonts w:ascii="MS PGothic" w:cs="MS PGothic" w:eastAsia="MS PGothic" w:hAnsi="MS PGothic"/>
                <w:sz w:val="25"/>
                <w:szCs w:val="25"/>
                <w:color w:val="73A950"/>
              </w:rPr>
              <w:t>✓</w:t>
            </w:r>
          </w:p>
        </w:tc>
        <w:tc>
          <w:tcPr>
            <w:tcW w:w="48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Ongoing consideration of board composition and refreshment,</w:t>
            </w:r>
          </w:p>
        </w:tc>
        <w:tc>
          <w:tcPr>
            <w:tcW w:w="0" w:type="dxa"/>
            <w:vAlign w:val="bottom"/>
          </w:tcPr>
          <w:p>
            <w:pPr>
              <w:spacing w:after="0"/>
              <w:rPr>
                <w:sz w:val="1"/>
                <w:szCs w:val="1"/>
                <w:color w:val="auto"/>
              </w:rPr>
            </w:pPr>
          </w:p>
        </w:tc>
      </w:tr>
      <w:tr>
        <w:trPr>
          <w:trHeight w:val="208"/>
        </w:trPr>
        <w:tc>
          <w:tcPr>
            <w:tcW w:w="500" w:type="dxa"/>
            <w:vAlign w:val="bottom"/>
            <w:tcBorders>
              <w:bottom w:val="single" w:sz="8" w:color="E5E5E5"/>
            </w:tcBorders>
            <w:vMerge w:val="continue"/>
            <w:shd w:val="clear" w:color="auto" w:fill="E5E5E5"/>
          </w:tcPr>
          <w:p>
            <w:pPr>
              <w:spacing w:after="0"/>
              <w:rPr>
                <w:sz w:val="18"/>
                <w:szCs w:val="18"/>
                <w:color w:val="auto"/>
              </w:rPr>
            </w:pPr>
          </w:p>
        </w:tc>
        <w:tc>
          <w:tcPr>
            <w:tcW w:w="5060" w:type="dxa"/>
            <w:vAlign w:val="bottom"/>
            <w:tcBorders>
              <w:bottom w:val="single" w:sz="8" w:color="E5E5E5"/>
            </w:tcBorders>
            <w:vMerge w:val="continue"/>
            <w:shd w:val="clear" w:color="auto" w:fill="E5E5E5"/>
          </w:tcPr>
          <w:p>
            <w:pPr>
              <w:spacing w:after="0"/>
              <w:rPr>
                <w:sz w:val="18"/>
                <w:szCs w:val="18"/>
                <w:color w:val="auto"/>
              </w:rPr>
            </w:pPr>
          </w:p>
        </w:tc>
        <w:tc>
          <w:tcPr>
            <w:tcW w:w="600" w:type="dxa"/>
            <w:vAlign w:val="bottom"/>
            <w:tcBorders>
              <w:bottom w:val="single" w:sz="8" w:color="E5E5E5"/>
            </w:tcBorders>
            <w:vMerge w:val="continue"/>
            <w:shd w:val="clear" w:color="auto" w:fill="E5E5E5"/>
          </w:tcPr>
          <w:p>
            <w:pPr>
              <w:spacing w:after="0"/>
              <w:rPr>
                <w:sz w:val="18"/>
                <w:szCs w:val="18"/>
                <w:color w:val="auto"/>
              </w:rPr>
            </w:pPr>
          </w:p>
        </w:tc>
        <w:tc>
          <w:tcPr>
            <w:tcW w:w="486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auto"/>
              </w:rPr>
              <w:t>including diversity in director succession</w:t>
            </w:r>
          </w:p>
        </w:tc>
        <w:tc>
          <w:tcPr>
            <w:tcW w:w="0" w:type="dxa"/>
            <w:vAlign w:val="bottom"/>
          </w:tcPr>
          <w:p>
            <w:pPr>
              <w:spacing w:after="0"/>
              <w:rPr>
                <w:sz w:val="1"/>
                <w:szCs w:val="1"/>
                <w:color w:val="auto"/>
              </w:rPr>
            </w:pPr>
          </w:p>
        </w:tc>
      </w:tr>
      <w:tr>
        <w:trPr>
          <w:trHeight w:val="191"/>
        </w:trPr>
        <w:tc>
          <w:tcPr>
            <w:tcW w:w="500" w:type="dxa"/>
            <w:vAlign w:val="bottom"/>
            <w:vMerge w:val="restart"/>
          </w:tcPr>
          <w:p>
            <w:pPr>
              <w:ind w:left="120"/>
              <w:spacing w:after="0" w:line="251" w:lineRule="exact"/>
              <w:rPr>
                <w:sz w:val="20"/>
                <w:szCs w:val="20"/>
                <w:color w:val="auto"/>
              </w:rPr>
            </w:pPr>
            <w:r>
              <w:rPr>
                <w:rFonts w:ascii="MS PGothic" w:cs="MS PGothic" w:eastAsia="MS PGothic" w:hAnsi="MS PGothic"/>
                <w:sz w:val="25"/>
                <w:szCs w:val="25"/>
                <w:color w:val="73A950"/>
              </w:rPr>
              <w:t>✓</w:t>
            </w:r>
          </w:p>
        </w:tc>
        <w:tc>
          <w:tcPr>
            <w:tcW w:w="5060" w:type="dxa"/>
            <w:vAlign w:val="bottom"/>
            <w:vMerge w:val="restart"/>
          </w:tcPr>
          <w:p>
            <w:pPr>
              <w:ind w:left="140"/>
              <w:spacing w:after="0"/>
              <w:rPr>
                <w:sz w:val="20"/>
                <w:szCs w:val="20"/>
                <w:color w:val="auto"/>
              </w:rPr>
            </w:pPr>
            <w:r>
              <w:rPr>
                <w:rFonts w:ascii="Arial" w:cs="Arial" w:eastAsia="Arial" w:hAnsi="Arial"/>
                <w:sz w:val="16"/>
                <w:szCs w:val="16"/>
                <w:color w:val="auto"/>
              </w:rPr>
              <w:t>Lead Independent Director with clearly-defined responsibilities</w:t>
            </w:r>
          </w:p>
        </w:tc>
        <w:tc>
          <w:tcPr>
            <w:tcW w:w="600" w:type="dxa"/>
            <w:vAlign w:val="bottom"/>
            <w:vMerge w:val="restart"/>
          </w:tcPr>
          <w:p>
            <w:pPr>
              <w:ind w:left="260"/>
              <w:spacing w:after="0" w:line="251" w:lineRule="exact"/>
              <w:rPr>
                <w:sz w:val="20"/>
                <w:szCs w:val="20"/>
                <w:color w:val="auto"/>
              </w:rPr>
            </w:pPr>
            <w:r>
              <w:rPr>
                <w:rFonts w:ascii="MS PGothic" w:cs="MS PGothic" w:eastAsia="MS PGothic" w:hAnsi="MS PGothic"/>
                <w:sz w:val="25"/>
                <w:szCs w:val="25"/>
                <w:color w:val="73A950"/>
              </w:rPr>
              <w:t>✓</w:t>
            </w:r>
          </w:p>
        </w:tc>
        <w:tc>
          <w:tcPr>
            <w:tcW w:w="4860" w:type="dxa"/>
            <w:vAlign w:val="bottom"/>
          </w:tcPr>
          <w:p>
            <w:pPr>
              <w:ind w:left="140"/>
              <w:spacing w:after="0"/>
              <w:rPr>
                <w:sz w:val="20"/>
                <w:szCs w:val="20"/>
                <w:color w:val="auto"/>
              </w:rPr>
            </w:pPr>
            <w:r>
              <w:rPr>
                <w:rFonts w:ascii="Arial" w:cs="Arial" w:eastAsia="Arial" w:hAnsi="Arial"/>
                <w:sz w:val="16"/>
                <w:szCs w:val="16"/>
                <w:color w:val="auto"/>
              </w:rPr>
              <w:t>Each director attended 75% or more of total meetings of the</w:t>
            </w:r>
          </w:p>
        </w:tc>
        <w:tc>
          <w:tcPr>
            <w:tcW w:w="0" w:type="dxa"/>
            <w:vAlign w:val="bottom"/>
          </w:tcPr>
          <w:p>
            <w:pPr>
              <w:spacing w:after="0"/>
              <w:rPr>
                <w:sz w:val="1"/>
                <w:szCs w:val="1"/>
                <w:color w:val="auto"/>
              </w:rPr>
            </w:pPr>
          </w:p>
        </w:tc>
      </w:tr>
      <w:tr>
        <w:trPr>
          <w:trHeight w:val="207"/>
        </w:trPr>
        <w:tc>
          <w:tcPr>
            <w:tcW w:w="500" w:type="dxa"/>
            <w:vAlign w:val="bottom"/>
            <w:vMerge w:val="continue"/>
          </w:tcPr>
          <w:p>
            <w:pPr>
              <w:spacing w:after="0"/>
              <w:rPr>
                <w:sz w:val="17"/>
                <w:szCs w:val="17"/>
                <w:color w:val="auto"/>
              </w:rPr>
            </w:pPr>
          </w:p>
        </w:tc>
        <w:tc>
          <w:tcPr>
            <w:tcW w:w="50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6"/>
                <w:szCs w:val="16"/>
                <w:color w:val="auto"/>
              </w:rPr>
              <w:t>Board and committees on which he or she served during 2018</w:t>
            </w: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9"/>
        </w:trPr>
        <w:tc>
          <w:tcPr>
            <w:tcW w:w="500" w:type="dxa"/>
            <w:vAlign w:val="bottom"/>
            <w:tcBorders>
              <w:bottom w:val="single" w:sz="8" w:color="E5E5E5"/>
            </w:tcBorders>
            <w:shd w:val="clear" w:color="auto" w:fill="E5E5E5"/>
          </w:tcPr>
          <w:p>
            <w:pPr>
              <w:ind w:left="120"/>
              <w:spacing w:after="0" w:line="251" w:lineRule="exact"/>
              <w:rPr>
                <w:sz w:val="20"/>
                <w:szCs w:val="20"/>
                <w:color w:val="auto"/>
              </w:rPr>
            </w:pPr>
            <w:r>
              <w:rPr>
                <w:rFonts w:ascii="MS PGothic" w:cs="MS PGothic" w:eastAsia="MS PGothic" w:hAnsi="MS PGothic"/>
                <w:sz w:val="25"/>
                <w:szCs w:val="25"/>
                <w:color w:val="73A950"/>
                <w:shd w:val="clear" w:color="auto" w:fill="E5E5E5"/>
              </w:rPr>
              <w:t>✓</w:t>
            </w:r>
          </w:p>
        </w:tc>
        <w:tc>
          <w:tcPr>
            <w:tcW w:w="506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32"/>
                <w:szCs w:val="32"/>
                <w:color w:val="auto"/>
                <w:w w:val="89"/>
                <w:vertAlign w:val="subscript"/>
              </w:rPr>
              <w:t>meeting</w:t>
            </w:r>
            <w:r>
              <w:rPr>
                <w:rFonts w:ascii="Arial" w:cs="Arial" w:eastAsia="Arial" w:hAnsi="Arial"/>
                <w:sz w:val="16"/>
                <w:szCs w:val="16"/>
                <w:color w:val="auto"/>
                <w:w w:val="89"/>
              </w:rPr>
              <w:t>Executive sessions of independent directors at each regular Board</w:t>
            </w:r>
          </w:p>
        </w:tc>
        <w:tc>
          <w:tcPr>
            <w:tcW w:w="600" w:type="dxa"/>
            <w:vAlign w:val="bottom"/>
            <w:tcBorders>
              <w:bottom w:val="single" w:sz="8" w:color="E5E5E5"/>
            </w:tcBorders>
            <w:shd w:val="clear" w:color="auto" w:fill="E5E5E5"/>
          </w:tcPr>
          <w:p>
            <w:pPr>
              <w:ind w:left="260"/>
              <w:spacing w:after="0" w:line="251" w:lineRule="exact"/>
              <w:rPr>
                <w:sz w:val="20"/>
                <w:szCs w:val="20"/>
                <w:color w:val="auto"/>
              </w:rPr>
            </w:pPr>
            <w:r>
              <w:rPr>
                <w:rFonts w:ascii="MS PGothic" w:cs="MS PGothic" w:eastAsia="MS PGothic" w:hAnsi="MS PGothic"/>
                <w:sz w:val="25"/>
                <w:szCs w:val="25"/>
                <w:color w:val="73A950"/>
              </w:rPr>
              <w:t>✓</w:t>
            </w:r>
          </w:p>
        </w:tc>
        <w:tc>
          <w:tcPr>
            <w:tcW w:w="486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auto"/>
              </w:rPr>
              <w:t>Stock ownership requirements for directors</w:t>
            </w:r>
          </w:p>
        </w:tc>
        <w:tc>
          <w:tcPr>
            <w:tcW w:w="0" w:type="dxa"/>
            <w:vAlign w:val="bottom"/>
          </w:tcPr>
          <w:p>
            <w:pPr>
              <w:spacing w:after="0"/>
              <w:rPr>
                <w:sz w:val="1"/>
                <w:szCs w:val="1"/>
                <w:color w:val="auto"/>
              </w:rPr>
            </w:pPr>
          </w:p>
        </w:tc>
      </w:tr>
      <w:tr>
        <w:trPr>
          <w:trHeight w:val="191"/>
        </w:trPr>
        <w:tc>
          <w:tcPr>
            <w:tcW w:w="500" w:type="dxa"/>
            <w:vAlign w:val="bottom"/>
            <w:vMerge w:val="restart"/>
          </w:tcPr>
          <w:p>
            <w:pPr>
              <w:ind w:left="120"/>
              <w:spacing w:after="0" w:line="251" w:lineRule="exact"/>
              <w:rPr>
                <w:sz w:val="20"/>
                <w:szCs w:val="20"/>
                <w:color w:val="auto"/>
              </w:rPr>
            </w:pPr>
            <w:r>
              <w:rPr>
                <w:rFonts w:ascii="MS PGothic" w:cs="MS PGothic" w:eastAsia="MS PGothic" w:hAnsi="MS PGothic"/>
                <w:sz w:val="25"/>
                <w:szCs w:val="25"/>
                <w:color w:val="73A950"/>
              </w:rPr>
              <w:t>✓</w:t>
            </w:r>
          </w:p>
        </w:tc>
        <w:tc>
          <w:tcPr>
            <w:tcW w:w="5060" w:type="dxa"/>
            <w:vAlign w:val="bottom"/>
          </w:tcPr>
          <w:p>
            <w:pPr>
              <w:ind w:left="140"/>
              <w:spacing w:after="0"/>
              <w:rPr>
                <w:sz w:val="20"/>
                <w:szCs w:val="20"/>
                <w:color w:val="auto"/>
              </w:rPr>
            </w:pPr>
            <w:r>
              <w:rPr>
                <w:rFonts w:ascii="Arial" w:cs="Arial" w:eastAsia="Arial" w:hAnsi="Arial"/>
                <w:sz w:val="16"/>
                <w:szCs w:val="16"/>
                <w:color w:val="auto"/>
              </w:rPr>
              <w:t>Annual Board and committee self-assessment guided by Lead</w:t>
            </w:r>
          </w:p>
        </w:tc>
        <w:tc>
          <w:tcPr>
            <w:tcW w:w="600" w:type="dxa"/>
            <w:vAlign w:val="bottom"/>
            <w:vMerge w:val="restart"/>
          </w:tcPr>
          <w:p>
            <w:pPr>
              <w:ind w:left="260"/>
              <w:spacing w:after="0" w:line="251" w:lineRule="exact"/>
              <w:rPr>
                <w:sz w:val="20"/>
                <w:szCs w:val="20"/>
                <w:color w:val="auto"/>
              </w:rPr>
            </w:pPr>
            <w:r>
              <w:rPr>
                <w:rFonts w:ascii="MS PGothic" w:cs="MS PGothic" w:eastAsia="MS PGothic" w:hAnsi="MS PGothic"/>
                <w:sz w:val="25"/>
                <w:szCs w:val="25"/>
                <w:color w:val="73A950"/>
              </w:rPr>
              <w:t>✓</w:t>
            </w:r>
          </w:p>
        </w:tc>
        <w:tc>
          <w:tcPr>
            <w:tcW w:w="4860" w:type="dxa"/>
            <w:vAlign w:val="bottom"/>
            <w:vMerge w:val="restart"/>
          </w:tcPr>
          <w:p>
            <w:pPr>
              <w:ind w:left="140"/>
              <w:spacing w:after="0"/>
              <w:rPr>
                <w:sz w:val="20"/>
                <w:szCs w:val="20"/>
                <w:color w:val="auto"/>
              </w:rPr>
            </w:pPr>
            <w:r>
              <w:rPr>
                <w:rFonts w:ascii="Arial" w:cs="Arial" w:eastAsia="Arial" w:hAnsi="Arial"/>
                <w:sz w:val="16"/>
                <w:szCs w:val="16"/>
                <w:color w:val="auto"/>
              </w:rPr>
              <w:t>Board oversight of corporate responsibility/ESG matters</w:t>
            </w:r>
          </w:p>
        </w:tc>
        <w:tc>
          <w:tcPr>
            <w:tcW w:w="0" w:type="dxa"/>
            <w:vAlign w:val="bottom"/>
          </w:tcPr>
          <w:p>
            <w:pPr>
              <w:spacing w:after="0"/>
              <w:rPr>
                <w:sz w:val="1"/>
                <w:szCs w:val="1"/>
                <w:color w:val="auto"/>
              </w:rPr>
            </w:pPr>
          </w:p>
        </w:tc>
      </w:tr>
      <w:tr>
        <w:trPr>
          <w:trHeight w:val="207"/>
        </w:trPr>
        <w:tc>
          <w:tcPr>
            <w:tcW w:w="500" w:type="dxa"/>
            <w:vAlign w:val="bottom"/>
            <w:vMerge w:val="continue"/>
          </w:tcPr>
          <w:p>
            <w:pPr>
              <w:spacing w:after="0"/>
              <w:rPr>
                <w:sz w:val="17"/>
                <w:szCs w:val="17"/>
                <w:color w:val="auto"/>
              </w:rPr>
            </w:pPr>
          </w:p>
        </w:tc>
        <w:tc>
          <w:tcPr>
            <w:tcW w:w="5060" w:type="dxa"/>
            <w:vAlign w:val="bottom"/>
          </w:tcPr>
          <w:p>
            <w:pPr>
              <w:ind w:left="140"/>
              <w:spacing w:after="0"/>
              <w:rPr>
                <w:sz w:val="20"/>
                <w:szCs w:val="20"/>
                <w:color w:val="auto"/>
              </w:rPr>
            </w:pPr>
            <w:r>
              <w:rPr>
                <w:rFonts w:ascii="Arial" w:cs="Arial" w:eastAsia="Arial" w:hAnsi="Arial"/>
                <w:sz w:val="16"/>
                <w:szCs w:val="16"/>
                <w:color w:val="auto"/>
              </w:rPr>
              <w:t>Independent Director</w:t>
            </w:r>
          </w:p>
        </w:tc>
        <w:tc>
          <w:tcPr>
            <w:tcW w:w="600" w:type="dxa"/>
            <w:vAlign w:val="bottom"/>
            <w:vMerge w:val="continue"/>
          </w:tcPr>
          <w:p>
            <w:pPr>
              <w:spacing w:after="0"/>
              <w:rPr>
                <w:sz w:val="17"/>
                <w:szCs w:val="17"/>
                <w:color w:val="auto"/>
              </w:rPr>
            </w:pPr>
          </w:p>
        </w:tc>
        <w:tc>
          <w:tcPr>
            <w:tcW w:w="4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Borders>
              <w:bottom w:val="single" w:sz="8" w:color="E5E5E5"/>
            </w:tcBorders>
            <w:shd w:val="clear" w:color="auto" w:fill="E5E5E5"/>
          </w:tcPr>
          <w:p>
            <w:pPr>
              <w:ind w:left="120"/>
              <w:spacing w:after="0" w:line="251" w:lineRule="exact"/>
              <w:rPr>
                <w:sz w:val="20"/>
                <w:szCs w:val="20"/>
                <w:color w:val="auto"/>
              </w:rPr>
            </w:pPr>
            <w:r>
              <w:rPr>
                <w:rFonts w:ascii="MS PGothic" w:cs="MS PGothic" w:eastAsia="MS PGothic" w:hAnsi="MS PGothic"/>
                <w:sz w:val="25"/>
                <w:szCs w:val="25"/>
                <w:color w:val="73A950"/>
                <w:shd w:val="clear" w:color="auto" w:fill="E5E5E5"/>
              </w:rPr>
              <w:t>✓</w:t>
            </w:r>
          </w:p>
        </w:tc>
        <w:tc>
          <w:tcPr>
            <w:tcW w:w="506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auto"/>
              </w:rPr>
              <w:t>No poison pill</w:t>
            </w:r>
          </w:p>
        </w:tc>
        <w:tc>
          <w:tcPr>
            <w:tcW w:w="600" w:type="dxa"/>
            <w:vAlign w:val="bottom"/>
            <w:tcBorders>
              <w:bottom w:val="single" w:sz="8" w:color="E5E5E5"/>
            </w:tcBorders>
            <w:shd w:val="clear" w:color="auto" w:fill="E5E5E5"/>
          </w:tcPr>
          <w:p>
            <w:pPr>
              <w:ind w:left="260"/>
              <w:spacing w:after="0" w:line="251" w:lineRule="exact"/>
              <w:rPr>
                <w:sz w:val="20"/>
                <w:szCs w:val="20"/>
                <w:color w:val="auto"/>
              </w:rPr>
            </w:pPr>
            <w:r>
              <w:rPr>
                <w:rFonts w:ascii="MS PGothic" w:cs="MS PGothic" w:eastAsia="MS PGothic" w:hAnsi="MS PGothic"/>
                <w:sz w:val="25"/>
                <w:szCs w:val="25"/>
                <w:color w:val="73A950"/>
              </w:rPr>
              <w:t>✓</w:t>
            </w:r>
          </w:p>
        </w:tc>
        <w:tc>
          <w:tcPr>
            <w:tcW w:w="4860" w:type="dxa"/>
            <w:vAlign w:val="bottom"/>
            <w:tcBorders>
              <w:bottom w:val="single" w:sz="8" w:color="E5E5E5"/>
            </w:tcBorders>
            <w:shd w:val="clear" w:color="auto" w:fill="E5E5E5"/>
          </w:tcPr>
          <w:p>
            <w:pPr>
              <w:ind w:left="140"/>
              <w:spacing w:after="0"/>
              <w:rPr>
                <w:sz w:val="20"/>
                <w:szCs w:val="20"/>
                <w:color w:val="auto"/>
              </w:rPr>
            </w:pPr>
            <w:r>
              <w:rPr>
                <w:rFonts w:ascii="Arial" w:cs="Arial" w:eastAsia="Arial" w:hAnsi="Arial"/>
                <w:sz w:val="16"/>
                <w:szCs w:val="16"/>
                <w:color w:val="auto"/>
              </w:rPr>
              <w:t>Robust anti-hedging and anti-pledging policies</w:t>
            </w:r>
          </w:p>
        </w:tc>
        <w:tc>
          <w:tcPr>
            <w:tcW w:w="0" w:type="dxa"/>
            <w:vAlign w:val="bottom"/>
          </w:tcPr>
          <w:p>
            <w:pPr>
              <w:spacing w:after="0"/>
              <w:rPr>
                <w:sz w:val="1"/>
                <w:szCs w:val="1"/>
                <w:color w:val="auto"/>
              </w:rPr>
            </w:pPr>
          </w:p>
        </w:tc>
      </w:tr>
      <w:tr>
        <w:trPr>
          <w:trHeight w:val="351"/>
        </w:trPr>
        <w:tc>
          <w:tcPr>
            <w:tcW w:w="500" w:type="dxa"/>
            <w:vAlign w:val="bottom"/>
            <w:tcBorders>
              <w:bottom w:val="single" w:sz="8" w:color="004876"/>
            </w:tcBorders>
          </w:tcPr>
          <w:p>
            <w:pPr>
              <w:ind w:left="120"/>
              <w:spacing w:after="0" w:line="251" w:lineRule="exact"/>
              <w:rPr>
                <w:sz w:val="20"/>
                <w:szCs w:val="20"/>
                <w:color w:val="auto"/>
              </w:rPr>
            </w:pPr>
            <w:r>
              <w:rPr>
                <w:rFonts w:ascii="MS PGothic" w:cs="MS PGothic" w:eastAsia="MS PGothic" w:hAnsi="MS PGothic"/>
                <w:sz w:val="25"/>
                <w:szCs w:val="25"/>
                <w:color w:val="73A950"/>
              </w:rPr>
              <w:t>✓</w:t>
            </w:r>
          </w:p>
        </w:tc>
        <w:tc>
          <w:tcPr>
            <w:tcW w:w="5060" w:type="dxa"/>
            <w:vAlign w:val="bottom"/>
            <w:tcBorders>
              <w:bottom w:val="single" w:sz="8" w:color="004876"/>
            </w:tcBorders>
          </w:tcPr>
          <w:p>
            <w:pPr>
              <w:ind w:left="140"/>
              <w:spacing w:after="0"/>
              <w:rPr>
                <w:sz w:val="20"/>
                <w:szCs w:val="20"/>
                <w:color w:val="auto"/>
              </w:rPr>
            </w:pPr>
            <w:r>
              <w:rPr>
                <w:rFonts w:ascii="Arial" w:cs="Arial" w:eastAsia="Arial" w:hAnsi="Arial"/>
                <w:sz w:val="16"/>
                <w:szCs w:val="16"/>
                <w:color w:val="auto"/>
              </w:rPr>
              <w:t>Ongoing director education</w:t>
            </w:r>
          </w:p>
        </w:tc>
        <w:tc>
          <w:tcPr>
            <w:tcW w:w="600" w:type="dxa"/>
            <w:vAlign w:val="bottom"/>
            <w:tcBorders>
              <w:bottom w:val="single" w:sz="8" w:color="004876"/>
            </w:tcBorders>
          </w:tcPr>
          <w:p>
            <w:pPr>
              <w:ind w:left="260"/>
              <w:spacing w:after="0" w:line="251" w:lineRule="exact"/>
              <w:rPr>
                <w:sz w:val="20"/>
                <w:szCs w:val="20"/>
                <w:color w:val="auto"/>
              </w:rPr>
            </w:pPr>
            <w:r>
              <w:rPr>
                <w:rFonts w:ascii="MS PGothic" w:cs="MS PGothic" w:eastAsia="MS PGothic" w:hAnsi="MS PGothic"/>
                <w:sz w:val="25"/>
                <w:szCs w:val="25"/>
                <w:color w:val="73A950"/>
              </w:rPr>
              <w:t>✓</w:t>
            </w:r>
          </w:p>
        </w:tc>
        <w:tc>
          <w:tcPr>
            <w:tcW w:w="4860" w:type="dxa"/>
            <w:vAlign w:val="bottom"/>
            <w:tcBorders>
              <w:bottom w:val="single" w:sz="8" w:color="004876"/>
            </w:tcBorders>
          </w:tcPr>
          <w:p>
            <w:pPr>
              <w:ind w:left="140"/>
              <w:spacing w:after="0"/>
              <w:rPr>
                <w:sz w:val="20"/>
                <w:szCs w:val="20"/>
                <w:color w:val="auto"/>
              </w:rPr>
            </w:pPr>
            <w:r>
              <w:rPr>
                <w:rFonts w:ascii="Arial" w:cs="Arial" w:eastAsia="Arial" w:hAnsi="Arial"/>
                <w:sz w:val="16"/>
                <w:szCs w:val="16"/>
                <w:color w:val="auto"/>
              </w:rPr>
              <w:t>Direct Board access to management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spacing w:after="0" w:line="11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Our Board’s leadership structure</w:t>
      </w:r>
    </w:p>
    <w:p>
      <w:pPr>
        <w:spacing w:after="0" w:line="13"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The Board’s leadership structure is designed to promote Board effectiveness and to appropriately allocate authority and responsibility between the Board and management.</w:t>
      </w:r>
    </w:p>
    <w:p>
      <w:pPr>
        <w:spacing w:after="0" w:line="9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Board believes it is important to retain flexibility to determine its leadership structure based on the particular composition of the Board, the individuals serving in leadership positions, the needs and opportunities of the Firm as they change over time and the additional factors described below. The Board has separated the Chairman and CEO positions in the past and may do so again in the future if it believes that doing so would be in the best interest of the Firm and its shareholders.</w:t>
      </w:r>
    </w:p>
    <w:p>
      <w:pPr>
        <w:spacing w:after="0" w:line="100"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Currently, our CEO serves as Chairman of the Board, and a non-management director serves as the Board’s Lead Independent Director. The Board believes the present structure provides the Firm and the Board with strong leadership, appropriate independent oversight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of management and continuity of experience that complements ongoing Board refreshment. A combined CEO and Chairman allows the Firm to communicate its business and strategy to shareholders, clients, investors, employees, regulators and the public in a single voice.</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Firm’s Governance Principles require the independent directors to appoint a Lead Independent Director if the role of the Chairman is combined with that of the CEO. Our Lead Independent Director focuses on the Board’s priorities and processes, facilitates independent oversight of management and promotes open dialogue among the independent directors during Board meetings, at executive sessions without the presence of the CEO and between Board meetings.</w:t>
      </w:r>
    </w:p>
    <w:p>
      <w:pPr>
        <w:spacing w:after="0" w:line="10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Based on consideration of the factors described on the following page, our Board has determined that combining the roles of Chairman and CEO is, at this time, the most effective leadership structure for the Board.</w:t>
      </w:r>
    </w:p>
    <w:p>
      <w:pPr>
        <w:spacing w:after="0" w:line="212" w:lineRule="exact"/>
        <w:rPr>
          <w:sz w:val="20"/>
          <w:szCs w:val="20"/>
          <w:color w:val="auto"/>
        </w:rPr>
      </w:pPr>
    </w:p>
    <w:p>
      <w:pPr>
        <w:sectPr>
          <w:pgSz w:w="11900" w:h="16838" w:orient="portrait"/>
          <w:cols w:equalWidth="0" w:num="2">
            <w:col w:w="5400" w:space="420"/>
            <w:col w:w="5420"/>
          </w:cols>
          <w:pgMar w:left="240" w:top="459" w:right="419" w:bottom="1440" w:gutter="0" w:footer="0" w:header="0"/>
          <w:type w:val="continuous"/>
        </w:sectPr>
      </w:pPr>
    </w:p>
    <w:p>
      <w:pPr>
        <w:spacing w:after="0" w:line="7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21</w:t>
            </w:r>
          </w:p>
        </w:tc>
      </w:tr>
    </w:tbl>
    <w:p>
      <w:pPr>
        <w:sectPr>
          <w:pgSz w:w="11900" w:h="16838" w:orient="portrait"/>
          <w:cols w:equalWidth="0" w:num="1">
            <w:col w:w="11240"/>
          </w:cols>
          <w:pgMar w:left="240" w:top="459" w:right="41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the Board considers in reviewing its leadership structure</w:t>
      </w:r>
    </w:p>
    <w:p>
      <w:pPr>
        <w:spacing w:after="0" w:line="18"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The Board reviews its leadership structure not less than annually and conducted its most recent review in March 2019. In reviewing its leadership structure, the Board considered the following factors:</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particular composition of the Board</w:t>
      </w:r>
    </w:p>
    <w:p>
      <w:pPr>
        <w:spacing w:after="0" w:line="130" w:lineRule="exact"/>
        <w:rPr>
          <w:sz w:val="20"/>
          <w:szCs w:val="20"/>
          <w:color w:val="auto"/>
        </w:rPr>
      </w:pPr>
    </w:p>
    <w:p>
      <w:pPr>
        <w:ind w:left="440" w:right="700"/>
        <w:spacing w:after="0" w:line="246" w:lineRule="auto"/>
        <w:rPr>
          <w:sz w:val="20"/>
          <w:szCs w:val="20"/>
          <w:color w:val="auto"/>
        </w:rPr>
      </w:pPr>
      <w:r>
        <w:rPr>
          <w:rFonts w:ascii="Arial" w:cs="Arial" w:eastAsia="Arial" w:hAnsi="Arial"/>
          <w:sz w:val="18"/>
          <w:szCs w:val="18"/>
          <w:color w:val="auto"/>
        </w:rPr>
        <w:t>The respective responsibilities for the positions of Chairman, Lead Independent Director and CEO (see table below for detailed information)</w:t>
      </w:r>
    </w:p>
    <w:p>
      <w:pPr>
        <w:spacing w:after="0" w:line="102" w:lineRule="exact"/>
        <w:rPr>
          <w:sz w:val="20"/>
          <w:szCs w:val="20"/>
          <w:color w:val="auto"/>
        </w:rPr>
      </w:pPr>
    </w:p>
    <w:p>
      <w:pPr>
        <w:ind w:left="440" w:right="880"/>
        <w:spacing w:after="0" w:line="246" w:lineRule="auto"/>
        <w:rPr>
          <w:sz w:val="20"/>
          <w:szCs w:val="20"/>
          <w:color w:val="auto"/>
        </w:rPr>
      </w:pPr>
      <w:r>
        <w:rPr>
          <w:rFonts w:ascii="Arial" w:cs="Arial" w:eastAsia="Arial" w:hAnsi="Arial"/>
          <w:sz w:val="18"/>
          <w:szCs w:val="18"/>
          <w:color w:val="auto"/>
        </w:rPr>
        <w:t>The people currently in the roles of Chairman, Lead Independent Director and CEO and their record of strong leadership and performance in their roles</w:t>
      </w:r>
    </w:p>
    <w:p>
      <w:pPr>
        <w:spacing w:after="0" w:line="102" w:lineRule="exact"/>
        <w:rPr>
          <w:sz w:val="20"/>
          <w:szCs w:val="20"/>
          <w:color w:val="auto"/>
        </w:rPr>
      </w:pPr>
    </w:p>
    <w:p>
      <w:pPr>
        <w:ind w:left="440" w:right="280"/>
        <w:spacing w:after="0"/>
        <w:rPr>
          <w:sz w:val="20"/>
          <w:szCs w:val="20"/>
          <w:color w:val="auto"/>
        </w:rPr>
      </w:pPr>
      <w:r>
        <w:rPr>
          <w:rFonts w:ascii="Arial" w:cs="Arial" w:eastAsia="Arial" w:hAnsi="Arial"/>
          <w:sz w:val="18"/>
          <w:szCs w:val="18"/>
          <w:color w:val="auto"/>
        </w:rPr>
        <w:t>The policies and practices in place to provide independent Board oversight of management (including Board oversight of CEO performance and compensation, regular executive sessions of the independent directors, regular meetings of the CEO and the Lead Independent Director, Board input into agendas and meeting materials and Board self-assessment)</w:t>
      </w:r>
    </w:p>
    <w:p>
      <w:pPr>
        <w:spacing w:after="0" w:line="108" w:lineRule="exact"/>
        <w:rPr>
          <w:sz w:val="20"/>
          <w:szCs w:val="20"/>
          <w:color w:val="auto"/>
        </w:rPr>
      </w:pPr>
    </w:p>
    <w:p>
      <w:pPr>
        <w:ind w:left="440" w:right="5940"/>
        <w:spacing w:after="0" w:line="391" w:lineRule="auto"/>
        <w:rPr>
          <w:sz w:val="20"/>
          <w:szCs w:val="20"/>
          <w:color w:val="auto"/>
        </w:rPr>
      </w:pPr>
      <w:r>
        <w:rPr>
          <w:rFonts w:ascii="Arial" w:cs="Arial" w:eastAsia="Arial" w:hAnsi="Arial"/>
          <w:sz w:val="18"/>
          <w:szCs w:val="18"/>
          <w:color w:val="auto"/>
        </w:rPr>
        <w:t>The Firm’s circumstances, including its financial performance The views of our shareholders</w:t>
      </w:r>
    </w:p>
    <w:p>
      <w:pPr>
        <w:ind w:left="440" w:right="240"/>
        <w:spacing w:after="0" w:line="246" w:lineRule="auto"/>
        <w:rPr>
          <w:sz w:val="20"/>
          <w:szCs w:val="20"/>
          <w:color w:val="auto"/>
        </w:rPr>
      </w:pPr>
      <w:r>
        <w:rPr>
          <w:rFonts w:ascii="Arial" w:cs="Arial" w:eastAsia="Arial" w:hAnsi="Arial"/>
          <w:sz w:val="18"/>
          <w:szCs w:val="18"/>
          <w:color w:val="auto"/>
        </w:rPr>
        <w:t>Trends in corporate governance, including practices at other public companies, and studies on the impact of leadership structures on shareholder value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Such other factors as the Board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189865</wp:posOffset>
            </wp:positionV>
            <wp:extent cx="6997700" cy="1974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197485"/>
                    </a:xfrm>
                    <a:prstGeom prst="rect">
                      <a:avLst/>
                    </a:prstGeom>
                    <a:noFill/>
                  </pic:spPr>
                </pic:pic>
              </a:graphicData>
            </a:graphic>
          </wp:anchor>
        </w:drawing>
      </w:r>
    </w:p>
    <w:p>
      <w:pPr>
        <w:spacing w:after="0" w:line="292" w:lineRule="exact"/>
        <w:rPr>
          <w:sz w:val="20"/>
          <w:szCs w:val="20"/>
          <w:color w:val="auto"/>
        </w:rPr>
      </w:pPr>
    </w:p>
    <w:p>
      <w:pPr>
        <w:ind w:left="320" w:right="2800"/>
        <w:spacing w:after="0" w:line="319" w:lineRule="auto"/>
        <w:rPr>
          <w:sz w:val="20"/>
          <w:szCs w:val="20"/>
          <w:color w:val="auto"/>
        </w:rPr>
      </w:pPr>
      <w:r>
        <w:rPr>
          <w:rFonts w:ascii="Arial" w:cs="Arial" w:eastAsia="Arial" w:hAnsi="Arial"/>
          <w:sz w:val="20"/>
          <w:szCs w:val="20"/>
          <w:b w:val="1"/>
          <w:bCs w:val="1"/>
          <w:color w:val="FFFFFF"/>
        </w:rPr>
        <w:t>Respective duties and responsibilities of the Chairman and Lead Independent Director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-172720</wp:posOffset>
            </wp:positionV>
            <wp:extent cx="6997700" cy="1974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7700" cy="19748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1" w:lineRule="exact"/>
        <w:rPr>
          <w:sz w:val="20"/>
          <w:szCs w:val="20"/>
          <w:color w:val="auto"/>
        </w:rPr>
      </w:pPr>
    </w:p>
    <w:p>
      <w:pPr>
        <w:ind w:left="340"/>
        <w:spacing w:after="0" w:line="221" w:lineRule="exact"/>
        <w:rPr>
          <w:sz w:val="20"/>
          <w:szCs w:val="20"/>
          <w:color w:val="auto"/>
        </w:rPr>
      </w:pPr>
      <w:r>
        <w:rPr>
          <w:rFonts w:ascii="MS PGothic" w:cs="MS PGothic" w:eastAsia="MS PGothic" w:hAnsi="MS PGothic"/>
          <w:sz w:val="22"/>
          <w:szCs w:val="22"/>
          <w:color w:val="73A950"/>
          <w:shd w:val="clear" w:color="auto" w:fill="E5E5E5"/>
        </w:rPr>
        <w:t>✓</w:t>
      </w:r>
    </w:p>
    <w:p>
      <w:pPr>
        <w:spacing w:after="0" w:line="150" w:lineRule="exact"/>
        <w:rPr>
          <w:sz w:val="20"/>
          <w:szCs w:val="20"/>
          <w:color w:val="auto"/>
        </w:rPr>
      </w:pPr>
    </w:p>
    <w:p>
      <w:pPr>
        <w:ind w:left="340"/>
        <w:spacing w:after="0" w:line="221" w:lineRule="exact"/>
        <w:rPr>
          <w:sz w:val="20"/>
          <w:szCs w:val="20"/>
          <w:color w:val="auto"/>
        </w:rPr>
      </w:pPr>
      <w:r>
        <w:rPr>
          <w:rFonts w:ascii="MS PGothic" w:cs="MS PGothic" w:eastAsia="MS PGothic" w:hAnsi="MS PGothic"/>
          <w:sz w:val="22"/>
          <w:szCs w:val="22"/>
          <w:color w:val="73A950"/>
        </w:rPr>
        <w:t>✓</w:t>
      </w:r>
    </w:p>
    <w:p>
      <w:pPr>
        <w:spacing w:after="0" w:line="118" w:lineRule="exact"/>
        <w:rPr>
          <w:sz w:val="20"/>
          <w:szCs w:val="20"/>
          <w:color w:val="auto"/>
        </w:rPr>
      </w:pPr>
    </w:p>
    <w:p>
      <w:pPr>
        <w:ind w:left="340"/>
        <w:spacing w:after="0" w:line="221" w:lineRule="exact"/>
        <w:rPr>
          <w:sz w:val="20"/>
          <w:szCs w:val="20"/>
          <w:color w:val="auto"/>
        </w:rPr>
      </w:pPr>
      <w:r>
        <w:rPr>
          <w:rFonts w:ascii="MS PGothic" w:cs="MS PGothic" w:eastAsia="MS PGothic" w:hAnsi="MS PGothic"/>
          <w:sz w:val="22"/>
          <w:szCs w:val="22"/>
          <w:color w:val="73A950"/>
          <w:shd w:val="clear" w:color="auto" w:fill="E5E5E5"/>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calls Board and 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-151765</wp:posOffset>
            </wp:positionV>
            <wp:extent cx="699770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presides at Board and 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62230</wp:posOffset>
            </wp:positionV>
            <wp:extent cx="699770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approves Board meeting schedules, agendas and materials, subject to the approval of 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36195</wp:posOffset>
            </wp:positionV>
            <wp:extent cx="66808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80835" cy="2603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560" w:space="300"/>
            <w:col w:w="10380"/>
          </w:cols>
          <w:pgMar w:left="240" w:top="459" w:right="419" w:bottom="1440" w:gutter="0" w:footer="0" w:header="0"/>
          <w:type w:val="continuous"/>
        </w:sectPr>
      </w:pPr>
    </w:p>
    <w:p>
      <w:pPr>
        <w:ind w:left="320"/>
        <w:spacing w:after="0"/>
        <w:rPr>
          <w:sz w:val="20"/>
          <w:szCs w:val="20"/>
          <w:color w:val="auto"/>
        </w:rPr>
      </w:pPr>
      <w:r>
        <w:rPr>
          <w:rFonts w:ascii="Arial" w:cs="Arial" w:eastAsia="Arial" w:hAnsi="Arial"/>
          <w:sz w:val="19"/>
          <w:szCs w:val="19"/>
          <w:b w:val="1"/>
          <w:bCs w:val="1"/>
          <w:color w:val="FFFFFF"/>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-137795</wp:posOffset>
            </wp:positionV>
            <wp:extent cx="699770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43" w:lineRule="exact"/>
        <w:rPr>
          <w:sz w:val="20"/>
          <w:szCs w:val="20"/>
          <w:color w:val="auto"/>
        </w:rPr>
      </w:pPr>
    </w:p>
    <w:p>
      <w:pPr>
        <w:ind w:left="340"/>
        <w:spacing w:after="0" w:line="221" w:lineRule="exact"/>
        <w:rPr>
          <w:sz w:val="20"/>
          <w:szCs w:val="20"/>
          <w:color w:val="auto"/>
        </w:rPr>
      </w:pPr>
      <w:r>
        <w:rPr>
          <w:rFonts w:ascii="MS PGothic" w:cs="MS PGothic" w:eastAsia="MS PGothic" w:hAnsi="MS PGothic"/>
          <w:sz w:val="22"/>
          <w:szCs w:val="22"/>
          <w:color w:val="73A950"/>
          <w:shd w:val="clear" w:color="auto" w:fill="E5E5E5"/>
        </w:rPr>
        <w:t>✓</w:t>
      </w:r>
    </w:p>
    <w:p>
      <w:pPr>
        <w:spacing w:after="0" w:line="150" w:lineRule="exact"/>
        <w:rPr>
          <w:sz w:val="20"/>
          <w:szCs w:val="20"/>
          <w:color w:val="auto"/>
        </w:rPr>
      </w:pPr>
    </w:p>
    <w:p>
      <w:pPr>
        <w:ind w:left="340"/>
        <w:spacing w:after="0" w:line="221" w:lineRule="exact"/>
        <w:rPr>
          <w:sz w:val="20"/>
          <w:szCs w:val="20"/>
          <w:color w:val="auto"/>
        </w:rPr>
      </w:pPr>
      <w:r>
        <w:rPr>
          <w:rFonts w:ascii="MS PGothic" w:cs="MS PGothic" w:eastAsia="MS PGothic" w:hAnsi="MS PGothic"/>
          <w:sz w:val="22"/>
          <w:szCs w:val="22"/>
          <w:color w:val="73A950"/>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4"/>
        </w:trPr>
        <w:tc>
          <w:tcPr>
            <w:tcW w:w="4860" w:type="dxa"/>
            <w:vAlign w:val="bottom"/>
            <w:tcBorders>
              <w:bottom w:val="single" w:sz="8" w:color="E5E5E5"/>
            </w:tcBorders>
          </w:tcPr>
          <w:p>
            <w:pPr>
              <w:ind w:left="140"/>
              <w:spacing w:after="0"/>
              <w:rPr>
                <w:sz w:val="20"/>
                <w:szCs w:val="20"/>
                <w:color w:val="auto"/>
              </w:rPr>
            </w:pPr>
            <w:r>
              <w:rPr>
                <w:rFonts w:ascii="Arial" w:cs="Arial" w:eastAsia="Arial" w:hAnsi="Arial"/>
                <w:sz w:val="16"/>
                <w:szCs w:val="16"/>
                <w:color w:val="auto"/>
              </w:rPr>
              <w:t>acts as liaison between independent directors and the CEO</w:t>
            </w:r>
          </w:p>
        </w:tc>
        <w:tc>
          <w:tcPr>
            <w:tcW w:w="800" w:type="dxa"/>
            <w:vAlign w:val="bottom"/>
            <w:tcBorders>
              <w:bottom w:val="single" w:sz="8" w:color="E5E5E5"/>
            </w:tcBorders>
          </w:tcPr>
          <w:p>
            <w:pPr>
              <w:ind w:left="460"/>
              <w:spacing w:after="0" w:line="251" w:lineRule="exact"/>
              <w:rPr>
                <w:sz w:val="20"/>
                <w:szCs w:val="20"/>
                <w:color w:val="auto"/>
              </w:rPr>
            </w:pPr>
            <w:r>
              <w:rPr>
                <w:rFonts w:ascii="MS PGothic" w:cs="MS PGothic" w:eastAsia="MS PGothic" w:hAnsi="MS PGothic"/>
                <w:sz w:val="25"/>
                <w:szCs w:val="25"/>
                <w:color w:val="73A950"/>
              </w:rPr>
              <w:t>✓</w:t>
            </w:r>
          </w:p>
        </w:tc>
        <w:tc>
          <w:tcPr>
            <w:tcW w:w="4860" w:type="dxa"/>
            <w:vAlign w:val="bottom"/>
            <w:tcBorders>
              <w:bottom w:val="single" w:sz="8" w:color="E5E5E5"/>
            </w:tcBorders>
          </w:tcPr>
          <w:p>
            <w:pPr>
              <w:ind w:left="140"/>
              <w:spacing w:after="0"/>
              <w:rPr>
                <w:sz w:val="20"/>
                <w:szCs w:val="20"/>
                <w:color w:val="auto"/>
              </w:rPr>
            </w:pPr>
            <w:r>
              <w:rPr>
                <w:rFonts w:ascii="Arial" w:cs="Arial" w:eastAsia="Arial" w:hAnsi="Arial"/>
                <w:sz w:val="16"/>
                <w:szCs w:val="16"/>
                <w:color w:val="auto"/>
              </w:rPr>
              <w:t>presides over executive sessions of independent directors</w:t>
            </w:r>
          </w:p>
        </w:tc>
      </w:tr>
      <w:tr>
        <w:trPr>
          <w:trHeight w:val="243"/>
        </w:trPr>
        <w:tc>
          <w:tcPr>
            <w:tcW w:w="4860" w:type="dxa"/>
            <w:vAlign w:val="bottom"/>
          </w:tcPr>
          <w:p>
            <w:pPr>
              <w:ind w:left="140"/>
              <w:spacing w:after="0"/>
              <w:rPr>
                <w:sz w:val="20"/>
                <w:szCs w:val="20"/>
                <w:color w:val="auto"/>
              </w:rPr>
            </w:pPr>
            <w:r>
              <w:rPr>
                <w:rFonts w:ascii="Arial" w:cs="Arial" w:eastAsia="Arial" w:hAnsi="Arial"/>
                <w:sz w:val="16"/>
                <w:szCs w:val="16"/>
                <w:color w:val="auto"/>
              </w:rPr>
              <w:t>acts as a sounding board to the CEO</w:t>
            </w:r>
          </w:p>
        </w:tc>
        <w:tc>
          <w:tcPr>
            <w:tcW w:w="800" w:type="dxa"/>
            <w:vAlign w:val="bottom"/>
          </w:tcPr>
          <w:p>
            <w:pPr>
              <w:ind w:left="460"/>
              <w:spacing w:after="0" w:line="243" w:lineRule="exact"/>
              <w:rPr>
                <w:sz w:val="20"/>
                <w:szCs w:val="20"/>
                <w:color w:val="auto"/>
              </w:rPr>
            </w:pPr>
            <w:r>
              <w:rPr>
                <w:rFonts w:ascii="MS PGothic" w:cs="MS PGothic" w:eastAsia="MS PGothic" w:hAnsi="MS PGothic"/>
                <w:sz w:val="25"/>
                <w:szCs w:val="25"/>
                <w:color w:val="73A950"/>
              </w:rPr>
              <w:t>✓</w:t>
            </w:r>
          </w:p>
        </w:tc>
        <w:tc>
          <w:tcPr>
            <w:tcW w:w="4860" w:type="dxa"/>
            <w:vAlign w:val="bottom"/>
          </w:tcPr>
          <w:p>
            <w:pPr>
              <w:ind w:left="140"/>
              <w:spacing w:after="0"/>
              <w:rPr>
                <w:sz w:val="20"/>
                <w:szCs w:val="20"/>
                <w:color w:val="auto"/>
              </w:rPr>
            </w:pPr>
            <w:r>
              <w:rPr>
                <w:rFonts w:ascii="Arial" w:cs="Arial" w:eastAsia="Arial" w:hAnsi="Arial"/>
                <w:sz w:val="16"/>
                <w:szCs w:val="16"/>
                <w:color w:val="auto"/>
              </w:rPr>
              <w:t>engages and consults with major shareholders and other</w:t>
            </w:r>
          </w:p>
        </w:tc>
      </w:tr>
      <w:tr>
        <w:trPr>
          <w:trHeight w:val="171"/>
        </w:trPr>
        <w:tc>
          <w:tcPr>
            <w:tcW w:w="4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60" w:type="dxa"/>
            <w:vAlign w:val="bottom"/>
          </w:tcPr>
          <w:p>
            <w:pPr>
              <w:ind w:left="140"/>
              <w:spacing w:after="0" w:line="171" w:lineRule="exact"/>
              <w:rPr>
                <w:sz w:val="20"/>
                <w:szCs w:val="20"/>
                <w:color w:val="auto"/>
              </w:rPr>
            </w:pPr>
            <w:r>
              <w:rPr>
                <w:rFonts w:ascii="Arial" w:cs="Arial" w:eastAsia="Arial" w:hAnsi="Arial"/>
                <w:sz w:val="16"/>
                <w:szCs w:val="16"/>
                <w:color w:val="auto"/>
              </w:rPr>
              <w:t>constituencies, where appropriate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-476885</wp:posOffset>
            </wp:positionV>
            <wp:extent cx="699770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0" w:space="160"/>
            <w:col w:w="10520"/>
          </w:cols>
          <w:pgMar w:left="240" w:top="459" w:right="419" w:bottom="1440" w:gutter="0" w:footer="0" w:header="0"/>
          <w:type w:val="continuous"/>
        </w:sectPr>
      </w:pPr>
    </w:p>
    <w:tbl>
      <w:tblPr>
        <w:tblLayout w:type="fixed"/>
        <w:tblInd w:w="220" w:type="dxa"/>
        <w:tblCellMar>
          <w:top w:w="0" w:type="dxa"/>
          <w:left w:w="0" w:type="dxa"/>
          <w:bottom w:w="0" w:type="dxa"/>
          <w:right w:w="0" w:type="dxa"/>
        </w:tblCellMar>
      </w:tblPr>
      <w:tr>
        <w:trPr>
          <w:trHeight w:val="247"/>
        </w:trPr>
        <w:tc>
          <w:tcPr>
            <w:tcW w:w="500" w:type="dxa"/>
            <w:vAlign w:val="bottom"/>
            <w:shd w:val="clear" w:color="auto" w:fill="E5E5E5"/>
          </w:tcPr>
          <w:p>
            <w:pPr>
              <w:ind w:left="120"/>
              <w:spacing w:after="0" w:line="247" w:lineRule="exact"/>
              <w:rPr>
                <w:sz w:val="20"/>
                <w:szCs w:val="20"/>
                <w:color w:val="auto"/>
              </w:rPr>
            </w:pPr>
            <w:r>
              <w:rPr>
                <w:rFonts w:ascii="MS PGothic" w:cs="MS PGothic" w:eastAsia="MS PGothic" w:hAnsi="MS PGothic"/>
                <w:sz w:val="25"/>
                <w:szCs w:val="25"/>
                <w:color w:val="73A950"/>
              </w:rPr>
              <w:t>✓</w:t>
            </w:r>
          </w:p>
        </w:tc>
        <w:tc>
          <w:tcPr>
            <w:tcW w:w="5080" w:type="dxa"/>
            <w:vAlign w:val="bottom"/>
            <w:shd w:val="clear" w:color="auto" w:fill="E5E5E5"/>
          </w:tcPr>
          <w:p>
            <w:pPr>
              <w:ind w:left="140"/>
              <w:spacing w:after="0"/>
              <w:rPr>
                <w:sz w:val="20"/>
                <w:szCs w:val="20"/>
                <w:color w:val="auto"/>
              </w:rPr>
            </w:pPr>
            <w:r>
              <w:rPr>
                <w:rFonts w:ascii="Arial" w:cs="Arial" w:eastAsia="Arial" w:hAnsi="Arial"/>
                <w:sz w:val="16"/>
                <w:szCs w:val="16"/>
                <w:color w:val="auto"/>
              </w:rPr>
              <w:t>provides advice and guidance to the CEO on executing long-term</w:t>
            </w:r>
          </w:p>
        </w:tc>
        <w:tc>
          <w:tcPr>
            <w:tcW w:w="580" w:type="dxa"/>
            <w:vAlign w:val="bottom"/>
            <w:shd w:val="clear" w:color="auto" w:fill="E5E5E5"/>
          </w:tcPr>
          <w:p>
            <w:pPr>
              <w:ind w:left="240"/>
              <w:spacing w:after="0" w:line="247" w:lineRule="exact"/>
              <w:rPr>
                <w:sz w:val="20"/>
                <w:szCs w:val="20"/>
                <w:color w:val="auto"/>
              </w:rPr>
            </w:pPr>
            <w:r>
              <w:rPr>
                <w:rFonts w:ascii="MS PGothic" w:cs="MS PGothic" w:eastAsia="MS PGothic" w:hAnsi="MS PGothic"/>
                <w:sz w:val="25"/>
                <w:szCs w:val="25"/>
                <w:color w:val="73A950"/>
              </w:rPr>
              <w:t>✓</w:t>
            </w:r>
          </w:p>
        </w:tc>
        <w:tc>
          <w:tcPr>
            <w:tcW w:w="48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guides annual performance review of the CEO</w:t>
            </w:r>
          </w:p>
        </w:tc>
      </w:tr>
      <w:tr>
        <w:trPr>
          <w:trHeight w:val="156"/>
        </w:trPr>
        <w:tc>
          <w:tcPr>
            <w:tcW w:w="500" w:type="dxa"/>
            <w:vAlign w:val="bottom"/>
            <w:tcBorders>
              <w:bottom w:val="single" w:sz="8" w:color="E5E5E5"/>
            </w:tcBorders>
            <w:shd w:val="clear" w:color="auto" w:fill="E5E5E5"/>
          </w:tcPr>
          <w:p>
            <w:pPr>
              <w:spacing w:after="0"/>
              <w:rPr>
                <w:sz w:val="13"/>
                <w:szCs w:val="13"/>
                <w:color w:val="auto"/>
              </w:rPr>
            </w:pPr>
          </w:p>
        </w:tc>
        <w:tc>
          <w:tcPr>
            <w:tcW w:w="5080" w:type="dxa"/>
            <w:vAlign w:val="bottom"/>
            <w:tcBorders>
              <w:bottom w:val="single" w:sz="8" w:color="E5E5E5"/>
            </w:tcBorders>
            <w:shd w:val="clear" w:color="auto" w:fill="E5E5E5"/>
          </w:tcPr>
          <w:p>
            <w:pPr>
              <w:ind w:left="140"/>
              <w:spacing w:after="0" w:line="135" w:lineRule="exact"/>
              <w:rPr>
                <w:sz w:val="20"/>
                <w:szCs w:val="20"/>
                <w:color w:val="auto"/>
              </w:rPr>
            </w:pPr>
            <w:r>
              <w:rPr>
                <w:rFonts w:ascii="Arial" w:cs="Arial" w:eastAsia="Arial" w:hAnsi="Arial"/>
                <w:sz w:val="15"/>
                <w:szCs w:val="15"/>
                <w:color w:val="auto"/>
              </w:rPr>
              <w:t>strategy</w:t>
            </w:r>
          </w:p>
        </w:tc>
        <w:tc>
          <w:tcPr>
            <w:tcW w:w="580" w:type="dxa"/>
            <w:vAlign w:val="bottom"/>
            <w:tcBorders>
              <w:bottom w:val="single" w:sz="8" w:color="E5E5E5"/>
            </w:tcBorders>
            <w:shd w:val="clear" w:color="auto" w:fill="E5E5E5"/>
          </w:tcPr>
          <w:p>
            <w:pPr>
              <w:spacing w:after="0"/>
              <w:rPr>
                <w:sz w:val="13"/>
                <w:szCs w:val="13"/>
                <w:color w:val="auto"/>
              </w:rPr>
            </w:pPr>
          </w:p>
        </w:tc>
        <w:tc>
          <w:tcPr>
            <w:tcW w:w="4860" w:type="dxa"/>
            <w:vAlign w:val="bottom"/>
            <w:tcBorders>
              <w:bottom w:val="single" w:sz="8" w:color="E5E5E5"/>
            </w:tcBorders>
            <w:shd w:val="clear" w:color="auto" w:fill="E5E5E5"/>
          </w:tcPr>
          <w:p>
            <w:pPr>
              <w:spacing w:after="0"/>
              <w:rPr>
                <w:sz w:val="13"/>
                <w:szCs w:val="13"/>
                <w:color w:val="auto"/>
              </w:rPr>
            </w:pPr>
          </w:p>
        </w:tc>
      </w:tr>
      <w:tr>
        <w:trPr>
          <w:trHeight w:val="243"/>
        </w:trPr>
        <w:tc>
          <w:tcPr>
            <w:tcW w:w="500" w:type="dxa"/>
            <w:vAlign w:val="bottom"/>
          </w:tcPr>
          <w:p>
            <w:pPr>
              <w:ind w:left="120"/>
              <w:spacing w:after="0" w:line="243" w:lineRule="exact"/>
              <w:rPr>
                <w:sz w:val="20"/>
                <w:szCs w:val="20"/>
                <w:color w:val="auto"/>
              </w:rPr>
            </w:pPr>
            <w:r>
              <w:rPr>
                <w:rFonts w:ascii="MS PGothic" w:cs="MS PGothic" w:eastAsia="MS PGothic" w:hAnsi="MS PGothic"/>
                <w:sz w:val="25"/>
                <w:szCs w:val="25"/>
                <w:color w:val="73A950"/>
              </w:rPr>
              <w:t>✓</w:t>
            </w:r>
          </w:p>
        </w:tc>
        <w:tc>
          <w:tcPr>
            <w:tcW w:w="5080" w:type="dxa"/>
            <w:vAlign w:val="bottom"/>
          </w:tcPr>
          <w:p>
            <w:pPr>
              <w:ind w:left="140"/>
              <w:spacing w:after="0"/>
              <w:rPr>
                <w:sz w:val="20"/>
                <w:szCs w:val="20"/>
                <w:color w:val="auto"/>
              </w:rPr>
            </w:pPr>
            <w:r>
              <w:rPr>
                <w:rFonts w:ascii="Arial" w:cs="Arial" w:eastAsia="Arial" w:hAnsi="Arial"/>
                <w:sz w:val="16"/>
                <w:szCs w:val="16"/>
                <w:color w:val="auto"/>
              </w:rPr>
              <w:t>advises the CEO of the Board’s information needs</w:t>
            </w:r>
          </w:p>
        </w:tc>
        <w:tc>
          <w:tcPr>
            <w:tcW w:w="580" w:type="dxa"/>
            <w:vAlign w:val="bottom"/>
          </w:tcPr>
          <w:p>
            <w:pPr>
              <w:ind w:left="240"/>
              <w:spacing w:after="0" w:line="243" w:lineRule="exact"/>
              <w:rPr>
                <w:sz w:val="20"/>
                <w:szCs w:val="20"/>
                <w:color w:val="auto"/>
              </w:rPr>
            </w:pPr>
            <w:r>
              <w:rPr>
                <w:rFonts w:ascii="MS PGothic" w:cs="MS PGothic" w:eastAsia="MS PGothic" w:hAnsi="MS PGothic"/>
                <w:sz w:val="25"/>
                <w:szCs w:val="25"/>
                <w:color w:val="73A950"/>
              </w:rPr>
              <w:t>✓</w:t>
            </w:r>
          </w:p>
        </w:tc>
        <w:tc>
          <w:tcPr>
            <w:tcW w:w="4860" w:type="dxa"/>
            <w:vAlign w:val="bottom"/>
          </w:tcPr>
          <w:p>
            <w:pPr>
              <w:ind w:left="140"/>
              <w:spacing w:after="0"/>
              <w:rPr>
                <w:sz w:val="20"/>
                <w:szCs w:val="20"/>
                <w:color w:val="auto"/>
              </w:rPr>
            </w:pPr>
            <w:r>
              <w:rPr>
                <w:rFonts w:ascii="Arial" w:cs="Arial" w:eastAsia="Arial" w:hAnsi="Arial"/>
                <w:sz w:val="16"/>
                <w:szCs w:val="16"/>
                <w:color w:val="auto"/>
              </w:rPr>
              <w:t>guides the annual independent director consideration of CEO</w:t>
            </w:r>
          </w:p>
        </w:tc>
      </w:tr>
      <w:tr>
        <w:trPr>
          <w:trHeight w:val="176"/>
        </w:trPr>
        <w:tc>
          <w:tcPr>
            <w:tcW w:w="5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60" w:type="dxa"/>
            <w:vAlign w:val="bottom"/>
          </w:tcPr>
          <w:p>
            <w:pPr>
              <w:ind w:left="140"/>
              <w:spacing w:after="0" w:line="176" w:lineRule="exact"/>
              <w:rPr>
                <w:sz w:val="20"/>
                <w:szCs w:val="20"/>
                <w:color w:val="auto"/>
              </w:rPr>
            </w:pPr>
            <w:r>
              <w:rPr>
                <w:rFonts w:ascii="Arial" w:cs="Arial" w:eastAsia="Arial" w:hAnsi="Arial"/>
                <w:sz w:val="16"/>
                <w:szCs w:val="16"/>
                <w:color w:val="auto"/>
              </w:rPr>
              <w:t>compensation</w:t>
            </w:r>
          </w:p>
        </w:tc>
      </w:tr>
      <w:tr>
        <w:trPr>
          <w:trHeight w:val="243"/>
        </w:trPr>
        <w:tc>
          <w:tcPr>
            <w:tcW w:w="500" w:type="dxa"/>
            <w:vAlign w:val="bottom"/>
            <w:shd w:val="clear" w:color="auto" w:fill="E5E5E5"/>
          </w:tcPr>
          <w:p>
            <w:pPr>
              <w:ind w:left="120"/>
              <w:spacing w:after="0" w:line="243" w:lineRule="exact"/>
              <w:rPr>
                <w:sz w:val="20"/>
                <w:szCs w:val="20"/>
                <w:color w:val="auto"/>
              </w:rPr>
            </w:pPr>
            <w:r>
              <w:rPr>
                <w:rFonts w:ascii="MS PGothic" w:cs="MS PGothic" w:eastAsia="MS PGothic" w:hAnsi="MS PGothic"/>
                <w:sz w:val="25"/>
                <w:szCs w:val="25"/>
                <w:color w:val="73A950"/>
              </w:rPr>
              <w:t>✓</w:t>
            </w:r>
          </w:p>
        </w:tc>
        <w:tc>
          <w:tcPr>
            <w:tcW w:w="5080" w:type="dxa"/>
            <w:vAlign w:val="bottom"/>
            <w:shd w:val="clear" w:color="auto" w:fill="E5E5E5"/>
          </w:tcPr>
          <w:p>
            <w:pPr>
              <w:ind w:left="140"/>
              <w:spacing w:after="0"/>
              <w:rPr>
                <w:sz w:val="20"/>
                <w:szCs w:val="20"/>
                <w:color w:val="auto"/>
              </w:rPr>
            </w:pPr>
            <w:r>
              <w:rPr>
                <w:rFonts w:ascii="Arial" w:cs="Arial" w:eastAsia="Arial" w:hAnsi="Arial"/>
                <w:sz w:val="16"/>
                <w:szCs w:val="16"/>
                <w:color w:val="auto"/>
              </w:rPr>
              <w:t>meets one-on-one with the CEO following executive sessions of</w:t>
            </w:r>
          </w:p>
        </w:tc>
        <w:tc>
          <w:tcPr>
            <w:tcW w:w="580" w:type="dxa"/>
            <w:vAlign w:val="bottom"/>
            <w:shd w:val="clear" w:color="auto" w:fill="E5E5E5"/>
          </w:tcPr>
          <w:p>
            <w:pPr>
              <w:ind w:left="240"/>
              <w:spacing w:after="0" w:line="243" w:lineRule="exact"/>
              <w:rPr>
                <w:sz w:val="20"/>
                <w:szCs w:val="20"/>
                <w:color w:val="auto"/>
              </w:rPr>
            </w:pPr>
            <w:r>
              <w:rPr>
                <w:rFonts w:ascii="MS PGothic" w:cs="MS PGothic" w:eastAsia="MS PGothic" w:hAnsi="MS PGothic"/>
                <w:sz w:val="25"/>
                <w:szCs w:val="25"/>
                <w:color w:val="73A950"/>
              </w:rPr>
              <w:t>✓</w:t>
            </w:r>
          </w:p>
        </w:tc>
        <w:tc>
          <w:tcPr>
            <w:tcW w:w="4860" w:type="dxa"/>
            <w:vAlign w:val="bottom"/>
            <w:shd w:val="clear" w:color="auto" w:fill="E5E5E5"/>
          </w:tcPr>
          <w:p>
            <w:pPr>
              <w:ind w:left="140"/>
              <w:spacing w:after="0"/>
              <w:rPr>
                <w:sz w:val="20"/>
                <w:szCs w:val="20"/>
                <w:color w:val="auto"/>
              </w:rPr>
            </w:pPr>
            <w:r>
              <w:rPr>
                <w:rFonts w:ascii="Arial" w:cs="Arial" w:eastAsia="Arial" w:hAnsi="Arial"/>
                <w:sz w:val="16"/>
                <w:szCs w:val="16"/>
                <w:color w:val="auto"/>
              </w:rPr>
              <w:t>guides full Board consideration of CEO succession</w:t>
            </w:r>
          </w:p>
        </w:tc>
      </w:tr>
      <w:tr>
        <w:trPr>
          <w:trHeight w:val="135"/>
        </w:trPr>
        <w:tc>
          <w:tcPr>
            <w:tcW w:w="500" w:type="dxa"/>
            <w:vAlign w:val="bottom"/>
            <w:shd w:val="clear" w:color="auto" w:fill="E5E5E5"/>
          </w:tcPr>
          <w:p>
            <w:pPr>
              <w:spacing w:after="0"/>
              <w:rPr>
                <w:sz w:val="11"/>
                <w:szCs w:val="11"/>
                <w:color w:val="auto"/>
              </w:rPr>
            </w:pPr>
          </w:p>
        </w:tc>
        <w:tc>
          <w:tcPr>
            <w:tcW w:w="5080" w:type="dxa"/>
            <w:vAlign w:val="bottom"/>
            <w:shd w:val="clear" w:color="auto" w:fill="E5E5E5"/>
          </w:tcPr>
          <w:p>
            <w:pPr>
              <w:ind w:left="140"/>
              <w:spacing w:after="0" w:line="135" w:lineRule="exact"/>
              <w:rPr>
                <w:sz w:val="20"/>
                <w:szCs w:val="20"/>
                <w:color w:val="auto"/>
              </w:rPr>
            </w:pPr>
            <w:r>
              <w:rPr>
                <w:rFonts w:ascii="Arial" w:cs="Arial" w:eastAsia="Arial" w:hAnsi="Arial"/>
                <w:sz w:val="15"/>
                <w:szCs w:val="15"/>
                <w:color w:val="auto"/>
              </w:rPr>
              <w:t>independent directors</w:t>
            </w:r>
          </w:p>
        </w:tc>
        <w:tc>
          <w:tcPr>
            <w:tcW w:w="580" w:type="dxa"/>
            <w:vAlign w:val="bottom"/>
            <w:shd w:val="clear" w:color="auto" w:fill="E5E5E5"/>
          </w:tcPr>
          <w:p>
            <w:pPr>
              <w:spacing w:after="0"/>
              <w:rPr>
                <w:sz w:val="11"/>
                <w:szCs w:val="11"/>
                <w:color w:val="auto"/>
              </w:rPr>
            </w:pPr>
          </w:p>
        </w:tc>
        <w:tc>
          <w:tcPr>
            <w:tcW w:w="4860" w:type="dxa"/>
            <w:vAlign w:val="bottom"/>
            <w:shd w:val="clear" w:color="auto" w:fill="E5E5E5"/>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-239395</wp:posOffset>
            </wp:positionV>
            <wp:extent cx="6997700" cy="266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26606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42" w:lineRule="exact"/>
        <w:rPr>
          <w:sz w:val="20"/>
          <w:szCs w:val="20"/>
          <w:color w:val="auto"/>
        </w:rPr>
      </w:pPr>
    </w:p>
    <w:p>
      <w:pPr>
        <w:ind w:left="860" w:right="520" w:hanging="514"/>
        <w:spacing w:after="0" w:line="180" w:lineRule="auto"/>
        <w:tabs>
          <w:tab w:leader="none" w:pos="860" w:val="left"/>
        </w:tabs>
        <w:numPr>
          <w:ilvl w:val="0"/>
          <w:numId w:val="37"/>
        </w:numPr>
        <w:rPr>
          <w:rFonts w:ascii="MS PGothic" w:cs="MS PGothic" w:eastAsia="MS PGothic" w:hAnsi="MS PGothic"/>
          <w:sz w:val="35"/>
          <w:szCs w:val="35"/>
          <w:color w:val="73A950"/>
          <w:vertAlign w:val="subscript"/>
        </w:rPr>
      </w:pPr>
      <w:r>
        <w:rPr>
          <w:rFonts w:ascii="Arial" w:cs="Arial" w:eastAsia="Arial" w:hAnsi="Arial"/>
          <w:sz w:val="14"/>
          <w:szCs w:val="14"/>
          <w:color w:val="auto"/>
        </w:rPr>
        <w:t>has the authority to call for a Board meeting or a meeting of independent directors</w:t>
      </w:r>
    </w:p>
    <w:p>
      <w:pPr>
        <w:spacing w:after="0" w:line="35" w:lineRule="exact"/>
        <w:rPr>
          <w:rFonts w:ascii="MS PGothic" w:cs="MS PGothic" w:eastAsia="MS PGothic" w:hAnsi="MS PGothic"/>
          <w:sz w:val="35"/>
          <w:szCs w:val="35"/>
          <w:color w:val="73A950"/>
          <w:vertAlign w:val="subscript"/>
        </w:rPr>
      </w:pPr>
    </w:p>
    <w:p>
      <w:pPr>
        <w:ind w:left="860" w:hanging="514"/>
        <w:spacing w:after="0" w:line="180" w:lineRule="auto"/>
        <w:tabs>
          <w:tab w:leader="none" w:pos="860" w:val="left"/>
        </w:tabs>
        <w:numPr>
          <w:ilvl w:val="0"/>
          <w:numId w:val="37"/>
        </w:numPr>
        <w:rPr>
          <w:rFonts w:ascii="MS PGothic" w:cs="MS PGothic" w:eastAsia="MS PGothic" w:hAnsi="MS PGothic"/>
          <w:sz w:val="35"/>
          <w:szCs w:val="35"/>
          <w:color w:val="73A950"/>
          <w:vertAlign w:val="subscript"/>
        </w:rPr>
      </w:pPr>
      <w:r>
        <w:rPr>
          <w:rFonts w:ascii="Arial" w:cs="Arial" w:eastAsia="Arial" w:hAnsi="Arial"/>
          <w:sz w:val="14"/>
          <w:szCs w:val="14"/>
          <w:color w:val="auto"/>
        </w:rPr>
        <w:t>approves agendas and adds agenda items for Board meetings and meetings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-243840</wp:posOffset>
            </wp:positionV>
            <wp:extent cx="6997700" cy="266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489" w:hanging="489"/>
        <w:spacing w:after="0"/>
        <w:tabs>
          <w:tab w:leader="none" w:pos="489" w:val="left"/>
        </w:tabs>
        <w:numPr>
          <w:ilvl w:val="0"/>
          <w:numId w:val="38"/>
        </w:numPr>
        <w:rPr>
          <w:rFonts w:ascii="MS PGothic" w:cs="MS PGothic" w:eastAsia="MS PGothic" w:hAnsi="MS PGothic"/>
          <w:sz w:val="25"/>
          <w:szCs w:val="25"/>
          <w:color w:val="73A950"/>
        </w:rPr>
      </w:pPr>
      <w:r>
        <w:rPr>
          <w:rFonts w:ascii="Arial" w:cs="Arial" w:eastAsia="Arial" w:hAnsi="Arial"/>
          <w:sz w:val="16"/>
          <w:szCs w:val="16"/>
          <w:color w:val="auto"/>
        </w:rPr>
        <w:t>guides the self-assessment of the full Board</w:t>
      </w:r>
    </w:p>
    <w:p>
      <w:pPr>
        <w:spacing w:after="0" w:line="129" w:lineRule="exact"/>
        <w:rPr>
          <w:rFonts w:ascii="MS PGothic" w:cs="MS PGothic" w:eastAsia="MS PGothic" w:hAnsi="MS PGothic"/>
          <w:sz w:val="25"/>
          <w:szCs w:val="25"/>
          <w:color w:val="73A950"/>
        </w:rPr>
      </w:pPr>
    </w:p>
    <w:p>
      <w:pPr>
        <w:ind w:left="489" w:right="520" w:hanging="489"/>
        <w:spacing w:after="0" w:line="180" w:lineRule="auto"/>
        <w:tabs>
          <w:tab w:leader="none" w:pos="489" w:val="left"/>
        </w:tabs>
        <w:numPr>
          <w:ilvl w:val="0"/>
          <w:numId w:val="38"/>
        </w:numPr>
        <w:rPr>
          <w:rFonts w:ascii="MS PGothic" w:cs="MS PGothic" w:eastAsia="MS PGothic" w:hAnsi="MS PGothic"/>
          <w:sz w:val="35"/>
          <w:szCs w:val="35"/>
          <w:color w:val="73A950"/>
          <w:vertAlign w:val="subscript"/>
        </w:rPr>
      </w:pPr>
      <w:r>
        <w:rPr>
          <w:rFonts w:ascii="Arial" w:cs="Arial" w:eastAsia="Arial" w:hAnsi="Arial"/>
          <w:sz w:val="14"/>
          <w:szCs w:val="14"/>
          <w:color w:val="auto"/>
        </w:rPr>
        <w:t>presides at Board meetings in the CEO’s absence or when otherwise appropriate</w:t>
      </w:r>
    </w:p>
    <w:p>
      <w:pPr>
        <w:spacing w:after="0" w:line="141" w:lineRule="exact"/>
        <w:rPr>
          <w:sz w:val="20"/>
          <w:szCs w:val="20"/>
          <w:color w:val="auto"/>
        </w:rPr>
      </w:pPr>
    </w:p>
    <w:p>
      <w:pPr>
        <w:sectPr>
          <w:pgSz w:w="11900" w:h="16838" w:orient="portrait"/>
          <w:cols w:equalWidth="0" w:num="2">
            <w:col w:w="5660" w:space="371"/>
            <w:col w:w="5209"/>
          </w:cols>
          <w:pgMar w:left="240" w:top="459" w:right="419" w:bottom="1440" w:gutter="0" w:footer="0" w:header="0"/>
          <w:type w:val="continuous"/>
        </w:sectPr>
      </w:pPr>
    </w:p>
    <w:p>
      <w:pPr>
        <w:ind w:left="200" w:right="120"/>
        <w:spacing w:after="0" w:line="261" w:lineRule="auto"/>
        <w:rPr>
          <w:sz w:val="20"/>
          <w:szCs w:val="20"/>
          <w:color w:val="auto"/>
        </w:rPr>
      </w:pPr>
      <w:r>
        <w:rPr>
          <w:rFonts w:ascii="Arial" w:cs="Arial" w:eastAsia="Arial" w:hAnsi="Arial"/>
          <w:sz w:val="17"/>
          <w:szCs w:val="17"/>
          <w:color w:val="auto"/>
        </w:rPr>
        <w:t>Following review, the independent directors concluded that Mr. Raymond continues to use his independent judgment, his in-depth knowledge of the Firm and its business, and his strong interpersonal skills to serve as an effective intermediary for the independent directors of the Board and counterbalance to the Chairman, and elected Mr. Raymond to continue to serve as Lead Independent Director.</w:t>
      </w:r>
    </w:p>
    <w:p>
      <w:pPr>
        <w:spacing w:after="0" w:line="113"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22</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780" w:type="dxa"/>
            <w:vAlign w:val="bottom"/>
          </w:tcPr>
          <w:p>
            <w:pPr>
              <w:ind w:left="560"/>
              <w:spacing w:after="0"/>
              <w:rPr>
                <w:sz w:val="20"/>
                <w:szCs w:val="20"/>
                <w:color w:val="auto"/>
              </w:rPr>
            </w:pPr>
            <w:r>
              <w:rPr>
                <w:rFonts w:ascii="Arial" w:cs="Arial" w:eastAsia="Arial" w:hAnsi="Arial"/>
                <w:sz w:val="16"/>
                <w:szCs w:val="16"/>
                <w:color w:val="333333"/>
              </w:rPr>
              <w:t>CORPORATE GOVERNANCE</w:t>
            </w:r>
          </w:p>
        </w:tc>
        <w:tc>
          <w:tcPr>
            <w:tcW w:w="0" w:type="dxa"/>
            <w:vAlign w:val="bottom"/>
          </w:tcPr>
          <w:p>
            <w:pPr>
              <w:spacing w:after="0"/>
              <w:rPr>
                <w:sz w:val="1"/>
                <w:szCs w:val="1"/>
                <w:color w:val="auto"/>
              </w:rPr>
            </w:pPr>
          </w:p>
        </w:tc>
      </w:tr>
      <w:tr>
        <w:trPr>
          <w:trHeight w:val="375"/>
        </w:trPr>
        <w:tc>
          <w:tcPr>
            <w:tcW w:w="2460" w:type="dxa"/>
            <w:vAlign w:val="bottom"/>
            <w:gridSpan w:val="2"/>
          </w:tcPr>
          <w:p>
            <w:pPr>
              <w:spacing w:after="0"/>
              <w:rPr>
                <w:sz w:val="20"/>
                <w:szCs w:val="20"/>
                <w:color w:val="auto"/>
              </w:rPr>
            </w:pPr>
            <w:r>
              <w:rPr>
                <w:rFonts w:ascii="Arial" w:cs="Arial" w:eastAsia="Arial" w:hAnsi="Arial"/>
                <w:sz w:val="20"/>
                <w:szCs w:val="20"/>
                <w:b w:val="1"/>
                <w:bCs w:val="1"/>
                <w:color w:val="auto"/>
              </w:rPr>
              <w:t>Board meetings</w:t>
            </w:r>
          </w:p>
        </w:tc>
        <w:tc>
          <w:tcPr>
            <w:tcW w:w="28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24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3"/>
        </w:trPr>
        <w:tc>
          <w:tcPr>
            <w:tcW w:w="20" w:type="dxa"/>
            <w:vAlign w:val="bottom"/>
            <w:vMerge w:val="continue"/>
          </w:tcPr>
          <w:p>
            <w:pPr>
              <w:spacing w:after="0"/>
              <w:rPr>
                <w:sz w:val="24"/>
                <w:szCs w:val="24"/>
                <w:color w:val="auto"/>
              </w:rPr>
            </w:pPr>
          </w:p>
        </w:tc>
        <w:tc>
          <w:tcPr>
            <w:tcW w:w="2440" w:type="dxa"/>
            <w:vAlign w:val="bottom"/>
            <w:shd w:val="clear" w:color="auto" w:fill="E5E5E5"/>
          </w:tcPr>
          <w:p>
            <w:pPr>
              <w:ind w:left="220"/>
              <w:spacing w:after="0"/>
              <w:rPr>
                <w:sz w:val="20"/>
                <w:szCs w:val="20"/>
                <w:color w:val="auto"/>
              </w:rPr>
            </w:pPr>
            <w:r>
              <w:rPr>
                <w:rFonts w:ascii="Arial" w:cs="Arial" w:eastAsia="Arial" w:hAnsi="Arial"/>
                <w:sz w:val="43"/>
                <w:szCs w:val="43"/>
                <w:color w:val="004876"/>
              </w:rPr>
              <w:t>11</w:t>
            </w:r>
          </w:p>
        </w:tc>
        <w:tc>
          <w:tcPr>
            <w:tcW w:w="2820" w:type="dxa"/>
            <w:vAlign w:val="bottom"/>
            <w:shd w:val="clear" w:color="auto" w:fill="E5E5E5"/>
          </w:tcPr>
          <w:p>
            <w:pPr>
              <w:ind w:left="620"/>
              <w:spacing w:after="0"/>
              <w:rPr>
                <w:sz w:val="20"/>
                <w:szCs w:val="20"/>
                <w:color w:val="auto"/>
              </w:rPr>
            </w:pPr>
            <w:r>
              <w:rPr>
                <w:rFonts w:ascii="Arial" w:cs="Arial" w:eastAsia="Arial" w:hAnsi="Arial"/>
                <w:sz w:val="43"/>
                <w:szCs w:val="43"/>
                <w:color w:val="004876"/>
              </w:rPr>
              <w:t>8</w:t>
            </w:r>
          </w:p>
        </w:tc>
        <w:tc>
          <w:tcPr>
            <w:tcW w:w="2980" w:type="dxa"/>
            <w:vAlign w:val="bottom"/>
            <w:shd w:val="clear" w:color="auto" w:fill="E5E5E5"/>
          </w:tcPr>
          <w:p>
            <w:pPr>
              <w:ind w:left="560"/>
              <w:spacing w:after="0"/>
              <w:rPr>
                <w:sz w:val="20"/>
                <w:szCs w:val="20"/>
                <w:color w:val="auto"/>
              </w:rPr>
            </w:pPr>
            <w:r>
              <w:rPr>
                <w:rFonts w:ascii="Arial" w:cs="Arial" w:eastAsia="Arial" w:hAnsi="Arial"/>
                <w:sz w:val="43"/>
                <w:szCs w:val="43"/>
                <w:color w:val="004876"/>
              </w:rPr>
              <w:t>42</w:t>
            </w:r>
          </w:p>
        </w:tc>
        <w:tc>
          <w:tcPr>
            <w:tcW w:w="2780" w:type="dxa"/>
            <w:vAlign w:val="bottom"/>
            <w:shd w:val="clear" w:color="auto" w:fill="E5E5E5"/>
          </w:tcPr>
          <w:p>
            <w:pPr>
              <w:ind w:left="320"/>
              <w:spacing w:after="0"/>
              <w:rPr>
                <w:sz w:val="20"/>
                <w:szCs w:val="20"/>
                <w:color w:val="auto"/>
              </w:rPr>
            </w:pPr>
            <w:r>
              <w:rPr>
                <w:rFonts w:ascii="Arial" w:cs="Arial" w:eastAsia="Arial" w:hAnsi="Arial"/>
                <w:sz w:val="43"/>
                <w:szCs w:val="43"/>
                <w:color w:val="004876"/>
              </w:rPr>
              <w:t>26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40" w:type="dxa"/>
            <w:vAlign w:val="bottom"/>
            <w:shd w:val="clear" w:color="auto" w:fill="E5E5E5"/>
          </w:tcPr>
          <w:p>
            <w:pPr>
              <w:ind w:left="220"/>
              <w:spacing w:after="0"/>
              <w:rPr>
                <w:sz w:val="20"/>
                <w:szCs w:val="20"/>
                <w:color w:val="auto"/>
              </w:rPr>
            </w:pPr>
            <w:r>
              <w:rPr>
                <w:rFonts w:ascii="Arial" w:cs="Arial" w:eastAsia="Arial" w:hAnsi="Arial"/>
                <w:sz w:val="14"/>
                <w:szCs w:val="14"/>
                <w:b w:val="1"/>
                <w:bCs w:val="1"/>
                <w:color w:val="auto"/>
              </w:rPr>
              <w:t>Board Meetings</w:t>
            </w:r>
          </w:p>
        </w:tc>
        <w:tc>
          <w:tcPr>
            <w:tcW w:w="2820" w:type="dxa"/>
            <w:vAlign w:val="bottom"/>
            <w:shd w:val="clear" w:color="auto" w:fill="E5E5E5"/>
          </w:tcPr>
          <w:p>
            <w:pPr>
              <w:ind w:left="620"/>
              <w:spacing w:after="0"/>
              <w:rPr>
                <w:sz w:val="20"/>
                <w:szCs w:val="20"/>
                <w:color w:val="auto"/>
              </w:rPr>
            </w:pPr>
            <w:r>
              <w:rPr>
                <w:rFonts w:ascii="Arial" w:cs="Arial" w:eastAsia="Arial" w:hAnsi="Arial"/>
                <w:sz w:val="14"/>
                <w:szCs w:val="14"/>
                <w:b w:val="1"/>
                <w:bCs w:val="1"/>
                <w:color w:val="auto"/>
              </w:rPr>
              <w:t>Executive sessions of</w:t>
            </w:r>
          </w:p>
        </w:tc>
        <w:tc>
          <w:tcPr>
            <w:tcW w:w="2980" w:type="dxa"/>
            <w:vAlign w:val="bottom"/>
            <w:shd w:val="clear" w:color="auto" w:fill="E5E5E5"/>
          </w:tcPr>
          <w:p>
            <w:pPr>
              <w:ind w:left="560"/>
              <w:spacing w:after="0"/>
              <w:rPr>
                <w:sz w:val="20"/>
                <w:szCs w:val="20"/>
                <w:color w:val="auto"/>
              </w:rPr>
            </w:pPr>
            <w:r>
              <w:rPr>
                <w:rFonts w:ascii="Arial" w:cs="Arial" w:eastAsia="Arial" w:hAnsi="Arial"/>
                <w:sz w:val="14"/>
                <w:szCs w:val="14"/>
                <w:b w:val="1"/>
                <w:bCs w:val="1"/>
                <w:color w:val="auto"/>
              </w:rPr>
              <w:t>Meetings of Principal Standing</w:t>
            </w:r>
          </w:p>
        </w:tc>
        <w:tc>
          <w:tcPr>
            <w:tcW w:w="2780" w:type="dxa"/>
            <w:vAlign w:val="bottom"/>
            <w:shd w:val="clear" w:color="auto" w:fill="E5E5E5"/>
          </w:tcPr>
          <w:p>
            <w:pPr>
              <w:ind w:left="320"/>
              <w:spacing w:after="0"/>
              <w:rPr>
                <w:sz w:val="20"/>
                <w:szCs w:val="20"/>
                <w:color w:val="auto"/>
              </w:rPr>
            </w:pPr>
            <w:r>
              <w:rPr>
                <w:rFonts w:ascii="Arial" w:cs="Arial" w:eastAsia="Arial" w:hAnsi="Arial"/>
                <w:sz w:val="14"/>
                <w:szCs w:val="14"/>
                <w:b w:val="1"/>
                <w:bCs w:val="1"/>
                <w:color w:val="auto"/>
              </w:rPr>
              <w:t>Meetings of Specific Purpose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vMerge w:val="restart"/>
            <w:shd w:val="clear" w:color="auto" w:fill="E5E5E5"/>
          </w:tcPr>
          <w:p>
            <w:pPr>
              <w:ind w:left="220"/>
              <w:spacing w:after="0"/>
              <w:rPr>
                <w:sz w:val="20"/>
                <w:szCs w:val="20"/>
                <w:color w:val="auto"/>
              </w:rPr>
            </w:pPr>
            <w:r>
              <w:rPr>
                <w:rFonts w:ascii="Arial" w:cs="Arial" w:eastAsia="Arial" w:hAnsi="Arial"/>
                <w:sz w:val="14"/>
                <w:szCs w:val="14"/>
                <w:i w:val="1"/>
                <w:iCs w:val="1"/>
                <w:color w:val="auto"/>
              </w:rPr>
              <w:t>Communication between</w:t>
            </w:r>
          </w:p>
        </w:tc>
        <w:tc>
          <w:tcPr>
            <w:tcW w:w="2820" w:type="dxa"/>
            <w:vAlign w:val="bottom"/>
            <w:shd w:val="clear" w:color="auto" w:fill="E5E5E5"/>
          </w:tcPr>
          <w:p>
            <w:pPr>
              <w:ind w:left="620"/>
              <w:spacing w:after="0"/>
              <w:rPr>
                <w:sz w:val="20"/>
                <w:szCs w:val="20"/>
                <w:color w:val="auto"/>
              </w:rPr>
            </w:pPr>
            <w:r>
              <w:rPr>
                <w:rFonts w:ascii="Arial" w:cs="Arial" w:eastAsia="Arial" w:hAnsi="Arial"/>
                <w:sz w:val="14"/>
                <w:szCs w:val="14"/>
                <w:b w:val="1"/>
                <w:bCs w:val="1"/>
                <w:color w:val="auto"/>
              </w:rPr>
              <w:t>independent directors</w:t>
            </w:r>
          </w:p>
        </w:tc>
        <w:tc>
          <w:tcPr>
            <w:tcW w:w="2980" w:type="dxa"/>
            <w:vAlign w:val="bottom"/>
            <w:shd w:val="clear" w:color="auto" w:fill="E5E5E5"/>
          </w:tcPr>
          <w:p>
            <w:pPr>
              <w:ind w:left="560"/>
              <w:spacing w:after="0"/>
              <w:rPr>
                <w:sz w:val="20"/>
                <w:szCs w:val="20"/>
                <w:color w:val="auto"/>
              </w:rPr>
            </w:pPr>
            <w:r>
              <w:rPr>
                <w:rFonts w:ascii="Arial" w:cs="Arial" w:eastAsia="Arial" w:hAnsi="Arial"/>
                <w:sz w:val="14"/>
                <w:szCs w:val="14"/>
                <w:b w:val="1"/>
                <w:bCs w:val="1"/>
                <w:color w:val="auto"/>
              </w:rPr>
              <w:t>Committees</w:t>
            </w:r>
          </w:p>
        </w:tc>
        <w:tc>
          <w:tcPr>
            <w:tcW w:w="2780" w:type="dxa"/>
            <w:vAlign w:val="bottom"/>
            <w:shd w:val="clear" w:color="auto" w:fill="E5E5E5"/>
          </w:tcPr>
          <w:p>
            <w:pPr>
              <w:ind w:left="320"/>
              <w:spacing w:after="0"/>
              <w:rPr>
                <w:sz w:val="20"/>
                <w:szCs w:val="20"/>
                <w:color w:val="auto"/>
              </w:rPr>
            </w:pPr>
            <w:r>
              <w:rPr>
                <w:rFonts w:ascii="Arial" w:cs="Arial" w:eastAsia="Arial" w:hAnsi="Arial"/>
                <w:sz w:val="14"/>
                <w:szCs w:val="14"/>
                <w:b w:val="1"/>
                <w:bCs w:val="1"/>
                <w:color w:val="auto"/>
              </w:rPr>
              <w:t>Committees</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vMerge w:val="continue"/>
            <w:shd w:val="clear" w:color="auto" w:fill="E5E5E5"/>
          </w:tcPr>
          <w:p>
            <w:pPr>
              <w:spacing w:after="0"/>
              <w:rPr>
                <w:sz w:val="4"/>
                <w:szCs w:val="4"/>
                <w:color w:val="auto"/>
              </w:rPr>
            </w:pPr>
          </w:p>
        </w:tc>
        <w:tc>
          <w:tcPr>
            <w:tcW w:w="2820" w:type="dxa"/>
            <w:vAlign w:val="bottom"/>
            <w:shd w:val="clear" w:color="auto" w:fill="E5E5E5"/>
          </w:tcPr>
          <w:p>
            <w:pPr>
              <w:spacing w:after="0"/>
              <w:rPr>
                <w:sz w:val="4"/>
                <w:szCs w:val="4"/>
                <w:color w:val="auto"/>
              </w:rPr>
            </w:pPr>
          </w:p>
        </w:tc>
        <w:tc>
          <w:tcPr>
            <w:tcW w:w="2980" w:type="dxa"/>
            <w:vAlign w:val="bottom"/>
            <w:shd w:val="clear" w:color="auto" w:fill="E5E5E5"/>
          </w:tcPr>
          <w:p>
            <w:pPr>
              <w:spacing w:after="0"/>
              <w:rPr>
                <w:sz w:val="4"/>
                <w:szCs w:val="4"/>
                <w:color w:val="auto"/>
              </w:rPr>
            </w:pPr>
          </w:p>
        </w:tc>
        <w:tc>
          <w:tcPr>
            <w:tcW w:w="2780" w:type="dxa"/>
            <w:vAlign w:val="bottom"/>
            <w:shd w:val="clear" w:color="auto" w:fill="E5E5E5"/>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E5E5E5"/>
          </w:tcPr>
          <w:p>
            <w:pPr>
              <w:ind w:left="220"/>
              <w:spacing w:after="0"/>
              <w:rPr>
                <w:sz w:val="20"/>
                <w:szCs w:val="20"/>
                <w:color w:val="auto"/>
              </w:rPr>
            </w:pPr>
            <w:r>
              <w:rPr>
                <w:rFonts w:ascii="Arial" w:cs="Arial" w:eastAsia="Arial" w:hAnsi="Arial"/>
                <w:sz w:val="14"/>
                <w:szCs w:val="14"/>
                <w:i w:val="1"/>
                <w:iCs w:val="1"/>
                <w:color w:val="auto"/>
              </w:rPr>
              <w:t>meetings as appropriate</w:t>
            </w:r>
          </w:p>
        </w:tc>
        <w:tc>
          <w:tcPr>
            <w:tcW w:w="2820" w:type="dxa"/>
            <w:vAlign w:val="bottom"/>
            <w:shd w:val="clear" w:color="auto" w:fill="E5E5E5"/>
          </w:tcPr>
          <w:p>
            <w:pPr>
              <w:ind w:left="620"/>
              <w:spacing w:after="0"/>
              <w:rPr>
                <w:sz w:val="20"/>
                <w:szCs w:val="20"/>
                <w:color w:val="auto"/>
              </w:rPr>
            </w:pPr>
            <w:r>
              <w:rPr>
                <w:rFonts w:ascii="Arial" w:cs="Arial" w:eastAsia="Arial" w:hAnsi="Arial"/>
                <w:sz w:val="14"/>
                <w:szCs w:val="14"/>
                <w:i w:val="1"/>
                <w:iCs w:val="1"/>
                <w:color w:val="auto"/>
              </w:rPr>
              <w:t>Led by Lead Independent</w:t>
            </w:r>
          </w:p>
        </w:tc>
        <w:tc>
          <w:tcPr>
            <w:tcW w:w="2980" w:type="dxa"/>
            <w:vAlign w:val="bottom"/>
            <w:shd w:val="clear" w:color="auto" w:fill="E5E5E5"/>
          </w:tcPr>
          <w:p>
            <w:pPr>
              <w:spacing w:after="0"/>
              <w:rPr>
                <w:sz w:val="14"/>
                <w:szCs w:val="14"/>
                <w:color w:val="auto"/>
              </w:rPr>
            </w:pPr>
          </w:p>
        </w:tc>
        <w:tc>
          <w:tcPr>
            <w:tcW w:w="27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40" w:type="dxa"/>
            <w:vAlign w:val="bottom"/>
            <w:shd w:val="clear" w:color="auto" w:fill="E5E5E5"/>
          </w:tcPr>
          <w:p>
            <w:pPr>
              <w:spacing w:after="0"/>
              <w:rPr>
                <w:sz w:val="16"/>
                <w:szCs w:val="16"/>
                <w:color w:val="auto"/>
              </w:rPr>
            </w:pPr>
          </w:p>
        </w:tc>
        <w:tc>
          <w:tcPr>
            <w:tcW w:w="2820" w:type="dxa"/>
            <w:vAlign w:val="bottom"/>
            <w:shd w:val="clear" w:color="auto" w:fill="E5E5E5"/>
          </w:tcPr>
          <w:p>
            <w:pPr>
              <w:ind w:left="620"/>
              <w:spacing w:after="0"/>
              <w:rPr>
                <w:sz w:val="20"/>
                <w:szCs w:val="20"/>
                <w:color w:val="auto"/>
              </w:rPr>
            </w:pPr>
            <w:r>
              <w:rPr>
                <w:rFonts w:ascii="Arial" w:cs="Arial" w:eastAsia="Arial" w:hAnsi="Arial"/>
                <w:sz w:val="14"/>
                <w:szCs w:val="14"/>
                <w:i w:val="1"/>
                <w:iCs w:val="1"/>
                <w:color w:val="auto"/>
              </w:rPr>
              <w:t>Director</w:t>
            </w:r>
          </w:p>
        </w:tc>
        <w:tc>
          <w:tcPr>
            <w:tcW w:w="2980" w:type="dxa"/>
            <w:vAlign w:val="bottom"/>
            <w:shd w:val="clear" w:color="auto" w:fill="E5E5E5"/>
          </w:tcPr>
          <w:p>
            <w:pPr>
              <w:spacing w:after="0"/>
              <w:rPr>
                <w:sz w:val="16"/>
                <w:szCs w:val="16"/>
                <w:color w:val="auto"/>
              </w:rPr>
            </w:pPr>
          </w:p>
        </w:tc>
        <w:tc>
          <w:tcPr>
            <w:tcW w:w="27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40" w:type="dxa"/>
            <w:vAlign w:val="bottom"/>
            <w:shd w:val="clear" w:color="auto" w:fill="E5E5E5"/>
          </w:tcPr>
          <w:p>
            <w:pPr>
              <w:spacing w:after="0"/>
              <w:rPr>
                <w:sz w:val="10"/>
                <w:szCs w:val="10"/>
                <w:color w:val="auto"/>
              </w:rPr>
            </w:pPr>
          </w:p>
        </w:tc>
        <w:tc>
          <w:tcPr>
            <w:tcW w:w="2820" w:type="dxa"/>
            <w:vAlign w:val="bottom"/>
            <w:shd w:val="clear" w:color="auto" w:fill="E5E5E5"/>
          </w:tcPr>
          <w:p>
            <w:pPr>
              <w:spacing w:after="0"/>
              <w:rPr>
                <w:sz w:val="10"/>
                <w:szCs w:val="10"/>
                <w:color w:val="auto"/>
              </w:rPr>
            </w:pPr>
          </w:p>
        </w:tc>
        <w:tc>
          <w:tcPr>
            <w:tcW w:w="2980" w:type="dxa"/>
            <w:vAlign w:val="bottom"/>
            <w:shd w:val="clear" w:color="auto" w:fill="E5E5E5"/>
          </w:tcPr>
          <w:p>
            <w:pPr>
              <w:spacing w:after="0"/>
              <w:rPr>
                <w:sz w:val="10"/>
                <w:szCs w:val="10"/>
                <w:color w:val="auto"/>
              </w:rPr>
            </w:pPr>
          </w:p>
        </w:tc>
        <w:tc>
          <w:tcPr>
            <w:tcW w:w="278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-942975</wp:posOffset>
            </wp:positionV>
            <wp:extent cx="17145" cy="9436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 cy="94361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-942975</wp:posOffset>
            </wp:positionV>
            <wp:extent cx="17145" cy="943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 cy="94361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-942975</wp:posOffset>
            </wp:positionV>
            <wp:extent cx="17145" cy="943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 cy="94361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175"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The Board conducts its business as a group and through a well-developed committee structure in adherence to our Governance Principles. The Board has established practices and processes to actively manage its information flow, set meeting agendas and make sound, well-informed decisions.</w:t>
      </w:r>
    </w:p>
    <w:p>
      <w:pPr>
        <w:spacing w:after="0" w:line="95"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Board members have direct access to management and regularly receive information from and engage with management during and outside of formal Board meetings.</w:t>
      </w:r>
    </w:p>
    <w:p>
      <w:pPr>
        <w:spacing w:after="0" w:line="95"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In addition, the Board and each committee has the authority and resources to seek legal or other expert advice from sources independent of management.</w:t>
      </w:r>
    </w:p>
    <w:p>
      <w:pPr>
        <w:spacing w:after="0" w:line="95"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full Board met 11 times in 2018. In 2018, all of the members of our Board (other than Mr. Dimon) served on and/or chaired the principal standing committees and specific purpose committees of the Board. For more information on committees, see below. Each director attended 75% or more of the total meetings of the Board and the committees on which he or she served in 2018.</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Committees of the Board</w:t>
      </w:r>
    </w:p>
    <w:p>
      <w:pPr>
        <w:spacing w:after="0" w:line="13"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A significant portion of our Board’s oversight responsibilities is carried out through its five independent, principal standing committees: Audit Committee, CMDC, Governance Committee, Public Responsibility Committee and Directors’ Risk Policy Committee (“DRPC”). Allocating responsibilities among committees increases the amount of attention that can be devoted to the Board’s oversight of the business and affairs of the Firm.</w:t>
      </w:r>
    </w:p>
    <w:p>
      <w:pPr>
        <w:spacing w:after="0" w:line="84"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Committees meet regularly in conjunction with scheduled Board meetings and hold additional meetings as needed. Each committee receives reports from senior management and reports their actions to, and discusses their recommendations with, the full Board.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Each principal standing committee operates pursuant to a written charter. These charters are available on our website at jpmorganchase.com/committee-charters. Each charter is reviewed at least annually as part of the Board’s and each respective committee’s self-assessment.</w:t>
      </w:r>
    </w:p>
    <w:p>
      <w:pPr>
        <w:spacing w:after="0" w:line="95"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Governance Committee annually reviews the allocation of responsibility among the committees as part of the Board and committee self-assessment. For more information about the self-assessment process, see page 27.</w:t>
      </w:r>
    </w:p>
    <w:p>
      <w:pPr>
        <w:spacing w:after="0" w:line="9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Each committee has oversight of specific areas of business activities and risk and engages with the Firm’s senior management responsible for those areas.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committee chairs are appointed annually by our Board.</w:t>
      </w:r>
    </w:p>
    <w:p>
      <w:pPr>
        <w:spacing w:after="0"/>
        <w:rPr>
          <w:sz w:val="20"/>
          <w:szCs w:val="20"/>
          <w:color w:val="auto"/>
        </w:rPr>
      </w:pPr>
      <w:r>
        <w:rPr>
          <w:rFonts w:ascii="Arial" w:cs="Arial" w:eastAsia="Arial" w:hAnsi="Arial"/>
          <w:sz w:val="18"/>
          <w:szCs w:val="18"/>
          <w:color w:val="auto"/>
        </w:rPr>
        <w:t>Committee chairs are responsible for: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Calling meetings of their committees</w:t>
      </w:r>
    </w:p>
    <w:p>
      <w:pPr>
        <w:spacing w:after="0" w:line="130" w:lineRule="exact"/>
        <w:rPr>
          <w:sz w:val="20"/>
          <w:szCs w:val="20"/>
          <w:color w:val="auto"/>
        </w:rPr>
      </w:pPr>
    </w:p>
    <w:p>
      <w:pPr>
        <w:ind w:left="200" w:right="1360"/>
        <w:spacing w:after="0" w:line="414" w:lineRule="auto"/>
        <w:rPr>
          <w:sz w:val="20"/>
          <w:szCs w:val="20"/>
          <w:color w:val="auto"/>
        </w:rPr>
      </w:pPr>
      <w:r>
        <w:rPr>
          <w:rFonts w:ascii="Arial" w:cs="Arial" w:eastAsia="Arial" w:hAnsi="Arial"/>
          <w:sz w:val="17"/>
          <w:szCs w:val="17"/>
          <w:color w:val="auto"/>
        </w:rPr>
        <w:t>Approving agendas for their committee meetings Presiding at meetings of their committees</w:t>
      </w:r>
    </w:p>
    <w:p>
      <w:pPr>
        <w:ind w:left="200" w:right="600"/>
        <w:spacing w:after="0"/>
        <w:rPr>
          <w:sz w:val="20"/>
          <w:szCs w:val="20"/>
          <w:color w:val="auto"/>
        </w:rPr>
      </w:pPr>
      <w:r>
        <w:rPr>
          <w:rFonts w:ascii="Arial" w:cs="Arial" w:eastAsia="Arial" w:hAnsi="Arial"/>
          <w:sz w:val="18"/>
          <w:szCs w:val="18"/>
          <w:color w:val="auto"/>
        </w:rPr>
        <w:t>Serving as a liaison between committee members and the Board, and between committee members and senior management, including the CEO</w:t>
      </w:r>
    </w:p>
    <w:p>
      <w:pPr>
        <w:spacing w:after="0" w:line="108"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Working directly with the senior management responsible for committee mandates</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Board determined that each member of the Audit Committee in 2018 (James A. Bell, Timothy P. Flynn, Mellody Hobson and Laban P. Jackson, Jr.) is an audit committee financial expert in accordance with the definition established by the U.S. Securities and Exchange Commission (“SEC”) and that Ms. Bammann, the chair of the DRPC, has experience in identifying, assessing and managing risk exposures of large, complex financial firms in accordance with rules issued by the Board of Governors of the Federal Reserve System (“Federal Reserve”).</w:t>
      </w:r>
    </w:p>
    <w:p>
      <w:pPr>
        <w:spacing w:after="0" w:line="200"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spacing w:after="0" w:line="75"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23</w:t>
            </w:r>
          </w:p>
        </w:tc>
      </w:tr>
    </w:tbl>
    <w:p>
      <w:pPr>
        <w:sectPr>
          <w:pgSz w:w="11900" w:h="16838" w:orient="portrait"/>
          <w:cols w:equalWidth="0" w:num="1">
            <w:col w:w="11240"/>
          </w:cols>
          <w:pgMar w:left="240" w:top="459" w:right="4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205"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Board has determined that Mr. Bell’s service on the audit committees of the three other public companies for which he is a director does not impair his ability to effectively chair the Firm’s Audit Committee. The Board annually reviews this determination and most recently completed its annual review in September 2018.</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Principal standing committees</w:t>
      </w:r>
    </w:p>
    <w:p>
      <w:pPr>
        <w:spacing w:after="0" w:line="13"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The following highlights some of the key responsibilities of each principal standing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65405</wp:posOffset>
            </wp:positionV>
            <wp:extent cx="3353435" cy="5829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53435" cy="582930"/>
                    </a:xfrm>
                    <a:prstGeom prst="rect">
                      <a:avLst/>
                    </a:prstGeom>
                    <a:noFill/>
                  </pic:spPr>
                </pic:pic>
              </a:graphicData>
            </a:graphic>
          </wp:anchor>
        </w:drawing>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James A. Bell, Chair</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16 meetings in 2018</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Assists the Board in its oversight of:</w:t>
      </w:r>
    </w:p>
    <w:p>
      <w:pPr>
        <w:spacing w:after="0" w:line="71" w:lineRule="exact"/>
        <w:rPr>
          <w:sz w:val="20"/>
          <w:szCs w:val="20"/>
          <w:color w:val="auto"/>
        </w:rPr>
      </w:pPr>
    </w:p>
    <w:p>
      <w:pPr>
        <w:ind w:left="400" w:right="880"/>
        <w:spacing w:after="0" w:line="246" w:lineRule="auto"/>
        <w:rPr>
          <w:sz w:val="20"/>
          <w:szCs w:val="20"/>
          <w:color w:val="auto"/>
        </w:rPr>
      </w:pPr>
      <w:r>
        <w:rPr>
          <w:rFonts w:ascii="Arial" w:cs="Arial" w:eastAsia="Arial" w:hAnsi="Arial"/>
          <w:sz w:val="18"/>
          <w:szCs w:val="18"/>
          <w:color w:val="auto"/>
        </w:rPr>
        <w:t>The independent registered public accounting firm’s qualifications and independence</w:t>
      </w:r>
    </w:p>
    <w:p>
      <w:pPr>
        <w:spacing w:after="0" w:line="102" w:lineRule="exact"/>
        <w:rPr>
          <w:sz w:val="20"/>
          <w:szCs w:val="20"/>
          <w:color w:val="auto"/>
        </w:rPr>
      </w:pPr>
    </w:p>
    <w:p>
      <w:pPr>
        <w:ind w:left="400" w:right="720"/>
        <w:spacing w:after="0" w:line="246" w:lineRule="auto"/>
        <w:rPr>
          <w:sz w:val="20"/>
          <w:szCs w:val="20"/>
          <w:color w:val="auto"/>
        </w:rPr>
      </w:pPr>
      <w:r>
        <w:rPr>
          <w:rFonts w:ascii="Arial" w:cs="Arial" w:eastAsia="Arial" w:hAnsi="Arial"/>
          <w:sz w:val="18"/>
          <w:szCs w:val="18"/>
          <w:color w:val="auto"/>
        </w:rPr>
        <w:t>The performance of the internal audit function and the independent registered public accounting firm</w:t>
      </w:r>
    </w:p>
    <w:p>
      <w:pPr>
        <w:spacing w:after="0" w:line="102" w:lineRule="exact"/>
        <w:rPr>
          <w:sz w:val="20"/>
          <w:szCs w:val="20"/>
          <w:color w:val="auto"/>
        </w:rPr>
      </w:pPr>
    </w:p>
    <w:p>
      <w:pPr>
        <w:ind w:left="400" w:right="560"/>
        <w:spacing w:after="0" w:line="234" w:lineRule="auto"/>
        <w:rPr>
          <w:sz w:val="20"/>
          <w:szCs w:val="20"/>
          <w:color w:val="auto"/>
        </w:rPr>
      </w:pPr>
      <w:r>
        <w:rPr>
          <w:rFonts w:ascii="Arial" w:cs="Arial" w:eastAsia="Arial" w:hAnsi="Arial"/>
          <w:sz w:val="18"/>
          <w:szCs w:val="18"/>
          <w:color w:val="auto"/>
        </w:rPr>
        <w:t>Management’s responsibilities to assure that there is an effective system of controls reasonably designed to</w:t>
      </w:r>
    </w:p>
    <w:p>
      <w:pPr>
        <w:spacing w:after="0" w:line="47" w:lineRule="exact"/>
        <w:rPr>
          <w:sz w:val="20"/>
          <w:szCs w:val="20"/>
          <w:color w:val="auto"/>
        </w:rPr>
      </w:pPr>
    </w:p>
    <w:p>
      <w:pPr>
        <w:ind w:left="400" w:right="40"/>
        <w:spacing w:after="0" w:line="239" w:lineRule="auto"/>
        <w:rPr>
          <w:sz w:val="20"/>
          <w:szCs w:val="20"/>
          <w:color w:val="auto"/>
        </w:rPr>
      </w:pPr>
      <w:r>
        <w:rPr>
          <w:rFonts w:ascii="Arial" w:cs="Arial" w:eastAsia="Arial" w:hAnsi="Arial"/>
          <w:sz w:val="18"/>
          <w:szCs w:val="18"/>
          <w:color w:val="auto"/>
        </w:rPr>
        <w:t>(i) safeguard the assets and income of the Firm; (ii) assure the integrity of the Firm’s financial statements; and (iii) maintain compliance with the Firm’s ethical standards, policies, plans and procedures, and with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3353435" cy="7029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53435" cy="702945"/>
                    </a:xfrm>
                    <a:prstGeom prst="rect">
                      <a:avLst/>
                    </a:prstGeom>
                    <a:noFill/>
                  </pic:spPr>
                </pic:pic>
              </a:graphicData>
            </a:graphic>
          </wp:anchor>
        </w:drawing>
      </w:r>
    </w:p>
    <w:p>
      <w:pPr>
        <w:spacing w:after="0" w:line="160" w:lineRule="exact"/>
        <w:rPr>
          <w:sz w:val="20"/>
          <w:szCs w:val="20"/>
          <w:color w:val="auto"/>
        </w:rPr>
      </w:pPr>
    </w:p>
    <w:p>
      <w:pPr>
        <w:ind w:left="300" w:right="1340"/>
        <w:spacing w:after="0" w:line="271" w:lineRule="auto"/>
        <w:rPr>
          <w:sz w:val="20"/>
          <w:szCs w:val="20"/>
          <w:color w:val="auto"/>
        </w:rPr>
      </w:pPr>
      <w:r>
        <w:rPr>
          <w:rFonts w:ascii="Arial" w:cs="Arial" w:eastAsia="Arial" w:hAnsi="Arial"/>
          <w:sz w:val="18"/>
          <w:szCs w:val="18"/>
          <w:b w:val="1"/>
          <w:bCs w:val="1"/>
          <w:color w:val="auto"/>
        </w:rPr>
        <w:t>Compensation &amp; Management Development Committee</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Lee R. Raymond, Chair</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7 meetings in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Assists the Board in its oversight of:</w:t>
      </w:r>
    </w:p>
    <w:p>
      <w:pPr>
        <w:spacing w:after="0" w:line="71" w:lineRule="exact"/>
        <w:rPr>
          <w:sz w:val="20"/>
          <w:szCs w:val="20"/>
          <w:color w:val="auto"/>
        </w:rPr>
      </w:pPr>
    </w:p>
    <w:p>
      <w:pPr>
        <w:jc w:val="both"/>
        <w:ind w:left="400" w:right="960"/>
        <w:spacing w:after="0" w:line="440" w:lineRule="auto"/>
        <w:rPr>
          <w:sz w:val="20"/>
          <w:szCs w:val="20"/>
          <w:color w:val="auto"/>
        </w:rPr>
      </w:pPr>
      <w:r>
        <w:rPr>
          <w:rFonts w:ascii="Arial" w:cs="Arial" w:eastAsia="Arial" w:hAnsi="Arial"/>
          <w:sz w:val="17"/>
          <w:szCs w:val="17"/>
          <w:color w:val="auto"/>
        </w:rPr>
        <w:t>Development of and succession for key executives Compensation principles and practices, including:</w:t>
      </w:r>
    </w:p>
    <w:p>
      <w:pPr>
        <w:spacing w:after="0" w:line="4" w:lineRule="exact"/>
        <w:rPr>
          <w:sz w:val="20"/>
          <w:szCs w:val="20"/>
          <w:color w:val="auto"/>
        </w:rPr>
      </w:pPr>
    </w:p>
    <w:p>
      <w:pPr>
        <w:ind w:left="520" w:right="500" w:hanging="181"/>
        <w:spacing w:after="0" w:line="246" w:lineRule="auto"/>
        <w:tabs>
          <w:tab w:leader="none" w:pos="5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Reviewing and approving the Firm’s compensation and benefit programs</w:t>
      </w:r>
    </w:p>
    <w:p>
      <w:pPr>
        <w:spacing w:after="0" w:line="102" w:lineRule="exact"/>
        <w:rPr>
          <w:rFonts w:ascii="Arial" w:cs="Arial" w:eastAsia="Arial" w:hAnsi="Arial"/>
          <w:sz w:val="18"/>
          <w:szCs w:val="18"/>
          <w:color w:val="auto"/>
        </w:rPr>
      </w:pPr>
    </w:p>
    <w:p>
      <w:pPr>
        <w:ind w:left="520" w:hanging="181"/>
        <w:spacing w:after="0"/>
        <w:tabs>
          <w:tab w:leader="none" w:pos="5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Seeking to ensure the competitiveness of these programs</w:t>
      </w:r>
    </w:p>
    <w:p>
      <w:pPr>
        <w:spacing w:after="0" w:line="117" w:lineRule="exact"/>
        <w:rPr>
          <w:rFonts w:ascii="Arial" w:cs="Arial" w:eastAsia="Arial" w:hAnsi="Arial"/>
          <w:sz w:val="18"/>
          <w:szCs w:val="18"/>
          <w:color w:val="auto"/>
        </w:rPr>
      </w:pPr>
    </w:p>
    <w:p>
      <w:pPr>
        <w:ind w:left="520" w:hanging="181"/>
        <w:spacing w:after="0"/>
        <w:tabs>
          <w:tab w:leader="none" w:pos="5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Reviewing the relationship among risk, risk management and compensation in light of the Firm’s objectives, including its safety and</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right="800"/>
        <w:spacing w:after="0" w:line="246" w:lineRule="auto"/>
        <w:rPr>
          <w:sz w:val="20"/>
          <w:szCs w:val="20"/>
          <w:color w:val="auto"/>
        </w:rPr>
      </w:pPr>
      <w:r>
        <w:rPr>
          <w:rFonts w:ascii="Arial" w:cs="Arial" w:eastAsia="Arial" w:hAnsi="Arial"/>
          <w:sz w:val="18"/>
          <w:szCs w:val="18"/>
          <w:color w:val="auto"/>
        </w:rPr>
        <w:t>soundness and the avoidance of practices that would encourage excessive or unnecessary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-1057275</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6" w:lineRule="exact"/>
        <w:rPr>
          <w:sz w:val="20"/>
          <w:szCs w:val="20"/>
          <w:color w:val="auto"/>
        </w:rPr>
      </w:pPr>
    </w:p>
    <w:p>
      <w:pPr>
        <w:jc w:val="center"/>
        <w:ind w:left="200" w:right="1000"/>
        <w:spacing w:after="0" w:line="275" w:lineRule="auto"/>
        <w:rPr>
          <w:sz w:val="20"/>
          <w:szCs w:val="20"/>
          <w:color w:val="auto"/>
        </w:rPr>
      </w:pPr>
      <w:r>
        <w:rPr>
          <w:rFonts w:ascii="Arial" w:cs="Arial" w:eastAsia="Arial" w:hAnsi="Arial"/>
          <w:sz w:val="17"/>
          <w:szCs w:val="17"/>
          <w:color w:val="auto"/>
        </w:rPr>
        <w:t>The Firm’s culture, including reviewing updates from management regarding significant conduct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3422015" cy="5829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2015" cy="582930"/>
                    </a:xfrm>
                    <a:prstGeom prst="rect">
                      <a:avLst/>
                    </a:prstGeom>
                    <a:noFill/>
                  </pic:spPr>
                </pic:pic>
              </a:graphicData>
            </a:graphic>
          </wp:anchor>
        </w:drawing>
      </w:r>
    </w:p>
    <w:p>
      <w:pPr>
        <w:spacing w:after="0" w:line="191" w:lineRule="exact"/>
        <w:rPr>
          <w:sz w:val="20"/>
          <w:szCs w:val="20"/>
          <w:color w:val="auto"/>
        </w:rPr>
      </w:pPr>
    </w:p>
    <w:p>
      <w:pPr>
        <w:ind w:left="100" w:right="1100"/>
        <w:spacing w:after="0" w:line="362" w:lineRule="auto"/>
        <w:rPr>
          <w:sz w:val="20"/>
          <w:szCs w:val="20"/>
          <w:color w:val="auto"/>
        </w:rPr>
      </w:pPr>
      <w:r>
        <w:rPr>
          <w:rFonts w:ascii="Arial" w:cs="Arial" w:eastAsia="Arial" w:hAnsi="Arial"/>
          <w:sz w:val="18"/>
          <w:szCs w:val="18"/>
          <w:b w:val="1"/>
          <w:bCs w:val="1"/>
          <w:color w:val="auto"/>
        </w:rPr>
        <w:t>Corporate Governance &amp; Nominating Committee William C. Weldon, Chair* 7 meetings in 2018</w:t>
      </w:r>
    </w:p>
    <w:p>
      <w:pPr>
        <w:spacing w:after="0" w:line="351" w:lineRule="exact"/>
        <w:rPr>
          <w:sz w:val="20"/>
          <w:szCs w:val="20"/>
          <w:color w:val="auto"/>
        </w:rPr>
      </w:pPr>
    </w:p>
    <w:p>
      <w:pPr>
        <w:ind w:left="100" w:right="180" w:hanging="91"/>
        <w:spacing w:after="0" w:line="230" w:lineRule="auto"/>
        <w:tabs>
          <w:tab w:leader="none" w:pos="1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Mr. Weldon’s successor as chair of the committee will be elected by the Board following the annual meeting.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Exercises general oversight with respect to the governance of the</w:t>
      </w:r>
    </w:p>
    <w:p>
      <w:pPr>
        <w:spacing w:after="0"/>
        <w:rPr>
          <w:sz w:val="20"/>
          <w:szCs w:val="20"/>
          <w:color w:val="auto"/>
        </w:rPr>
      </w:pPr>
      <w:r>
        <w:rPr>
          <w:rFonts w:ascii="Arial" w:cs="Arial" w:eastAsia="Arial" w:hAnsi="Arial"/>
          <w:sz w:val="18"/>
          <w:szCs w:val="18"/>
          <w:color w:val="auto"/>
        </w:rPr>
        <w:t>Board, including:</w:t>
      </w:r>
    </w:p>
    <w:p>
      <w:pPr>
        <w:spacing w:after="0" w:line="71"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The review and recommendation of proposed nominees for election to the Board</w:t>
      </w:r>
    </w:p>
    <w:p>
      <w:pPr>
        <w:spacing w:after="0" w:line="102"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The evaluation and recommendation to the Board of corporate governance practices applicable to the Firm</w:t>
      </w:r>
    </w:p>
    <w:p>
      <w:pPr>
        <w:spacing w:after="0" w:line="102"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The appraisal of the framework for assessing the Board’s performance and the Board’s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111760</wp:posOffset>
            </wp:positionV>
            <wp:extent cx="3422015" cy="5829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2015" cy="582930"/>
                    </a:xfrm>
                    <a:prstGeom prst="rect">
                      <a:avLst/>
                    </a:prstGeom>
                    <a:noFill/>
                  </pic:spPr>
                </pic:pic>
              </a:graphicData>
            </a:graphic>
          </wp:anchor>
        </w:drawing>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Directors’ Risk Policy Committee</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Linda B. Bammann, Chair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meetings in 2018</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Assists the Board in its oversight of the operation of the Firm’s global risk management framework, approves and periodically reviews the primary risk management policies of the Firm, and oversees management’s exercise of its responsibility to assess and manage:</w:t>
      </w:r>
    </w:p>
    <w:p>
      <w:pPr>
        <w:spacing w:after="0" w:line="62"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The Firm’s credit risk, market risk, investment risk, liquidity risk, country risk, estimations and model risk, operational risk and compliance risk including fiduciary risk</w:t>
      </w:r>
    </w:p>
    <w:p>
      <w:pPr>
        <w:spacing w:after="0" w:line="108"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governance frameworks or policies for risk identification, risk appetite, reputational risk and conduct risk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Firm’s capital and liquidity planning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1905</wp:posOffset>
            </wp:positionV>
            <wp:extent cx="66205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00" w:space="420"/>
            <w:col w:w="536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3353435" cy="5829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534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Public Responsibility Committee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Timothy P. Flynn, Chair</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 meetings in 2018</w:t>
      </w:r>
    </w:p>
    <w:p>
      <w:pPr>
        <w:spacing w:after="0" w:line="220"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Provides oversight and review of the Firm’s positions and practices on public responsibility matters and other public policy issues that reflect the Firm’s values and character and impact the Firm’s reputation among all of its stakeholders, including:</w:t>
      </w:r>
    </w:p>
    <w:p>
      <w:pPr>
        <w:spacing w:after="0" w:line="61" w:lineRule="exact"/>
        <w:rPr>
          <w:sz w:val="20"/>
          <w:szCs w:val="20"/>
          <w:color w:val="auto"/>
        </w:rPr>
      </w:pPr>
    </w:p>
    <w:p>
      <w:pPr>
        <w:ind w:left="400" w:right="3180"/>
        <w:spacing w:after="0" w:line="414" w:lineRule="auto"/>
        <w:rPr>
          <w:sz w:val="20"/>
          <w:szCs w:val="20"/>
          <w:color w:val="auto"/>
        </w:rPr>
      </w:pPr>
      <w:r>
        <w:rPr>
          <w:rFonts w:ascii="Arial" w:cs="Arial" w:eastAsia="Arial" w:hAnsi="Arial"/>
          <w:sz w:val="17"/>
          <w:szCs w:val="17"/>
          <w:color w:val="auto"/>
        </w:rPr>
        <w:t>Community investment Fair lending</w:t>
      </w:r>
    </w:p>
    <w:p>
      <w:pPr>
        <w:ind w:left="220"/>
        <w:spacing w:after="0"/>
        <w:rPr>
          <w:sz w:val="20"/>
          <w:szCs w:val="20"/>
          <w:color w:val="auto"/>
        </w:rPr>
      </w:pPr>
      <w:r>
        <w:rPr>
          <w:rFonts w:ascii="Arial" w:cs="Arial" w:eastAsia="Arial" w:hAnsi="Arial"/>
          <w:sz w:val="18"/>
          <w:szCs w:val="18"/>
          <w:color w:val="auto"/>
        </w:rPr>
        <w:t>Sustainability</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Consumer practices</w:t>
      </w:r>
    </w:p>
    <w:p>
      <w:pPr>
        <w:spacing w:after="0" w:line="245"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Other standing committees</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Board has two additional standing committees:</w:t>
      </w:r>
    </w:p>
    <w:p>
      <w:pPr>
        <w:spacing w:after="0" w:line="82" w:lineRule="exact"/>
        <w:rPr>
          <w:sz w:val="20"/>
          <w:szCs w:val="20"/>
          <w:color w:val="auto"/>
        </w:rPr>
      </w:pPr>
    </w:p>
    <w:p>
      <w:pPr>
        <w:ind w:left="220" w:right="160"/>
        <w:spacing w:after="0" w:line="262" w:lineRule="auto"/>
        <w:rPr>
          <w:sz w:val="20"/>
          <w:szCs w:val="20"/>
          <w:color w:val="auto"/>
        </w:rPr>
      </w:pPr>
      <w:r>
        <w:rPr>
          <w:rFonts w:ascii="Arial" w:cs="Arial" w:eastAsia="Arial" w:hAnsi="Arial"/>
          <w:sz w:val="17"/>
          <w:szCs w:val="17"/>
          <w:b w:val="1"/>
          <w:bCs w:val="1"/>
          <w:color w:val="auto"/>
        </w:rPr>
        <w:t xml:space="preserve">Stock Committee: </w:t>
      </w:r>
      <w:r>
        <w:rPr>
          <w:rFonts w:ascii="Arial" w:cs="Arial" w:eastAsia="Arial" w:hAnsi="Arial"/>
          <w:sz w:val="17"/>
          <w:szCs w:val="17"/>
          <w:color w:val="auto"/>
        </w:rPr>
        <w:t>The committee is responsible for</w:t>
      </w:r>
      <w:r>
        <w:rPr>
          <w:rFonts w:ascii="Arial" w:cs="Arial" w:eastAsia="Arial" w:hAnsi="Arial"/>
          <w:sz w:val="17"/>
          <w:szCs w:val="17"/>
          <w:b w:val="1"/>
          <w:bCs w:val="1"/>
          <w:color w:val="auto"/>
        </w:rPr>
        <w:t xml:space="preserve"> </w:t>
      </w:r>
      <w:r>
        <w:rPr>
          <w:rFonts w:ascii="Arial" w:cs="Arial" w:eastAsia="Arial" w:hAnsi="Arial"/>
          <w:sz w:val="17"/>
          <w:szCs w:val="17"/>
          <w:color w:val="auto"/>
        </w:rPr>
        <w:t>implementing the declaration of dividends, authorizing the issuance of stock, administering the dividend reinvestment plan and implementing share repurchase plans. The committee acts within Board-approved limitations and capital plans.</w:t>
      </w:r>
    </w:p>
    <w:p>
      <w:pPr>
        <w:spacing w:after="0" w:line="54" w:lineRule="exact"/>
        <w:rPr>
          <w:sz w:val="20"/>
          <w:szCs w:val="20"/>
          <w:color w:val="auto"/>
        </w:rPr>
      </w:pPr>
    </w:p>
    <w:p>
      <w:pPr>
        <w:ind w:left="220" w:right="60"/>
        <w:spacing w:after="0" w:line="247"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The committee may exercise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of the Board that lawfully may be delegated, but with the expectation that it would not take material actions absent special circumstances.</w:t>
      </w:r>
    </w:p>
    <w:p>
      <w:pPr>
        <w:spacing w:after="0" w:line="88" w:lineRule="exact"/>
        <w:rPr>
          <w:sz w:val="20"/>
          <w:szCs w:val="20"/>
          <w:color w:val="auto"/>
        </w:rPr>
      </w:pPr>
    </w:p>
    <w:p>
      <w:pPr>
        <w:ind w:left="220" w:right="440"/>
        <w:spacing w:after="0" w:line="246" w:lineRule="auto"/>
        <w:rPr>
          <w:sz w:val="20"/>
          <w:szCs w:val="20"/>
          <w:color w:val="auto"/>
        </w:rPr>
      </w:pPr>
      <w:r>
        <w:rPr>
          <w:rFonts w:ascii="Arial" w:cs="Arial" w:eastAsia="Arial" w:hAnsi="Arial"/>
          <w:sz w:val="18"/>
          <w:szCs w:val="18"/>
          <w:color w:val="auto"/>
        </w:rPr>
        <w:t>The Board may establish additional standing committees as needed.</w:t>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-657860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Specific Purpose Committees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Board establishes Specific Purpose Committees as appropriate to address specific issues. The Board currently has four such committees. They met a total of 26 times in 2018.</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Three of the Specific Purpose Committees provide oversight in connection with certain regulatory orders (“Consent Orders”) issued by the Federal Reserve or the Office of the Comptroller of the Currency (“OCC”). These Specific Purpose Committees oversee particular aspects of our control agenda and monitor progress under action plans developed by management to address the issues identified under the applicable Consent Order. The committees are:</w:t>
      </w:r>
    </w:p>
    <w:p>
      <w:pPr>
        <w:spacing w:after="0" w:line="68" w:lineRule="exact"/>
        <w:rPr>
          <w:sz w:val="20"/>
          <w:szCs w:val="20"/>
          <w:color w:val="auto"/>
        </w:rPr>
      </w:pPr>
    </w:p>
    <w:p>
      <w:pPr>
        <w:ind w:left="200" w:right="920"/>
        <w:spacing w:after="0" w:line="246" w:lineRule="auto"/>
        <w:rPr>
          <w:sz w:val="20"/>
          <w:szCs w:val="20"/>
          <w:color w:val="auto"/>
        </w:rPr>
      </w:pPr>
      <w:r>
        <w:rPr>
          <w:rFonts w:ascii="Arial" w:cs="Arial" w:eastAsia="Arial" w:hAnsi="Arial"/>
          <w:sz w:val="18"/>
          <w:szCs w:val="18"/>
          <w:color w:val="auto"/>
        </w:rPr>
        <w:t>BSA/AML (Bank Secrecy Act/Anti-Money Laundering) Compliance Committee</w:t>
      </w:r>
    </w:p>
    <w:p>
      <w:pPr>
        <w:spacing w:after="0" w:line="102" w:lineRule="exact"/>
        <w:rPr>
          <w:sz w:val="20"/>
          <w:szCs w:val="20"/>
          <w:color w:val="auto"/>
        </w:rPr>
      </w:pPr>
    </w:p>
    <w:p>
      <w:pPr>
        <w:ind w:left="200" w:right="140"/>
        <w:spacing w:after="0" w:line="403" w:lineRule="auto"/>
        <w:rPr>
          <w:sz w:val="20"/>
          <w:szCs w:val="20"/>
          <w:color w:val="auto"/>
        </w:rPr>
      </w:pPr>
      <w:r>
        <w:rPr>
          <w:rFonts w:ascii="Arial" w:cs="Arial" w:eastAsia="Arial" w:hAnsi="Arial"/>
          <w:sz w:val="18"/>
          <w:szCs w:val="18"/>
          <w:color w:val="auto"/>
        </w:rPr>
        <w:t>FX (Foreign Exchange)/Markets Orders Compliance Committee Trading Compliance Committee</w:t>
      </w:r>
    </w:p>
    <w:p>
      <w:pPr>
        <w:spacing w:after="0" w:line="13"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The Omnibus Committee is a Specific Purpose Committee established to review matters, as needed and delegated by the Board.</w:t>
      </w:r>
    </w:p>
    <w:p>
      <w:pPr>
        <w:spacing w:after="0" w:line="9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As the Firm achieves its objectives in a specific area, the work of the relevant Specific Purpose Committee will be concluded and, subject to regulatory consent where applicable, the committee will be disbanded. Additional Specific Purpose Committees may be established from time to time in the future to address particular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00" w:space="420"/>
            <w:col w:w="540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chart summarizes the current Board committee memberships of our Directors: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Current Board committee membership</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b w:val="1"/>
                <w:bCs w:val="1"/>
                <w:color w:val="auto"/>
              </w:rPr>
              <w:t>Compensation &amp;</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Corporate</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Specific</w:t>
            </w:r>
          </w:p>
        </w:tc>
      </w:tr>
      <w:tr>
        <w:trPr>
          <w:trHeight w:val="162"/>
        </w:trPr>
        <w:tc>
          <w:tcPr>
            <w:tcW w:w="2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b w:val="1"/>
                <w:bCs w:val="1"/>
                <w:color w:val="auto"/>
              </w:rPr>
              <w:t>Management</w:t>
            </w:r>
          </w:p>
        </w:tc>
        <w:tc>
          <w:tcPr>
            <w:tcW w:w="1400" w:type="dxa"/>
            <w:vAlign w:val="bottom"/>
          </w:tcPr>
          <w:p>
            <w:pPr>
              <w:jc w:val="right"/>
              <w:ind w:right="168"/>
              <w:spacing w:after="0"/>
              <w:rPr>
                <w:sz w:val="20"/>
                <w:szCs w:val="20"/>
                <w:color w:val="auto"/>
              </w:rPr>
            </w:pPr>
            <w:r>
              <w:rPr>
                <w:rFonts w:ascii="Arial" w:cs="Arial" w:eastAsia="Arial" w:hAnsi="Arial"/>
                <w:sz w:val="14"/>
                <w:szCs w:val="14"/>
                <w:b w:val="1"/>
                <w:bCs w:val="1"/>
                <w:color w:val="auto"/>
              </w:rPr>
              <w:t>Governance &amp;</w:t>
            </w:r>
          </w:p>
        </w:tc>
        <w:tc>
          <w:tcPr>
            <w:tcW w:w="1340" w:type="dxa"/>
            <w:vAlign w:val="bottom"/>
          </w:tcPr>
          <w:p>
            <w:pPr>
              <w:jc w:val="right"/>
              <w:ind w:right="108"/>
              <w:spacing w:after="0"/>
              <w:rPr>
                <w:sz w:val="20"/>
                <w:szCs w:val="20"/>
                <w:color w:val="auto"/>
              </w:rPr>
            </w:pPr>
            <w:r>
              <w:rPr>
                <w:rFonts w:ascii="Arial" w:cs="Arial" w:eastAsia="Arial" w:hAnsi="Arial"/>
                <w:sz w:val="14"/>
                <w:szCs w:val="14"/>
                <w:b w:val="1"/>
                <w:bCs w:val="1"/>
                <w:color w:val="auto"/>
              </w:rPr>
              <w:t>Public</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auto"/>
              </w:rPr>
              <w:t>Directors’ Risk</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Purpose</w:t>
            </w:r>
          </w:p>
        </w:tc>
      </w:tr>
      <w:tr>
        <w:trPr>
          <w:trHeight w:val="189"/>
        </w:trPr>
        <w:tc>
          <w:tcPr>
            <w:tcW w:w="248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Director</w:t>
            </w:r>
          </w:p>
        </w:tc>
        <w:tc>
          <w:tcPr>
            <w:tcW w:w="178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Audit</w:t>
            </w:r>
          </w:p>
        </w:tc>
        <w:tc>
          <w:tcPr>
            <w:tcW w:w="150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Development</w:t>
            </w:r>
          </w:p>
        </w:tc>
        <w:tc>
          <w:tcPr>
            <w:tcW w:w="1400" w:type="dxa"/>
            <w:vAlign w:val="bottom"/>
            <w:tcBorders>
              <w:bottom w:val="single" w:sz="8" w:color="004876"/>
            </w:tcBorders>
          </w:tcPr>
          <w:p>
            <w:pPr>
              <w:jc w:val="right"/>
              <w:ind w:right="168"/>
              <w:spacing w:after="0"/>
              <w:rPr>
                <w:sz w:val="20"/>
                <w:szCs w:val="20"/>
                <w:color w:val="auto"/>
              </w:rPr>
            </w:pPr>
            <w:r>
              <w:rPr>
                <w:rFonts w:ascii="Arial" w:cs="Arial" w:eastAsia="Arial" w:hAnsi="Arial"/>
                <w:sz w:val="14"/>
                <w:szCs w:val="14"/>
                <w:b w:val="1"/>
                <w:bCs w:val="1"/>
                <w:color w:val="auto"/>
              </w:rPr>
              <w:t>Nominating</w:t>
            </w:r>
          </w:p>
        </w:tc>
        <w:tc>
          <w:tcPr>
            <w:tcW w:w="13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Responsibility</w:t>
            </w:r>
          </w:p>
        </w:tc>
        <w:tc>
          <w:tcPr>
            <w:tcW w:w="136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Policy</w:t>
            </w:r>
          </w:p>
        </w:tc>
        <w:tc>
          <w:tcPr>
            <w:tcW w:w="1160" w:type="dxa"/>
            <w:vAlign w:val="bottom"/>
            <w:tcBorders>
              <w:bottom w:val="single" w:sz="8" w:color="004876"/>
            </w:tcBorders>
          </w:tcPr>
          <w:p>
            <w:pPr>
              <w:jc w:val="right"/>
              <w:spacing w:after="0" w:line="189" w:lineRule="exact"/>
              <w:rPr>
                <w:sz w:val="20"/>
                <w:szCs w:val="20"/>
                <w:color w:val="auto"/>
              </w:rPr>
            </w:pPr>
            <w:r>
              <w:rPr>
                <w:rFonts w:ascii="Arial" w:cs="Arial" w:eastAsia="Arial" w:hAnsi="Arial"/>
                <w:sz w:val="13"/>
                <w:szCs w:val="13"/>
                <w:b w:val="1"/>
                <w:bCs w:val="1"/>
                <w:color w:val="auto"/>
              </w:rPr>
              <w:t xml:space="preserve">Committees </w:t>
            </w:r>
            <w:r>
              <w:rPr>
                <w:rFonts w:ascii="Arial" w:cs="Arial" w:eastAsia="Arial" w:hAnsi="Arial"/>
                <w:sz w:val="21"/>
                <w:szCs w:val="21"/>
                <w:b w:val="1"/>
                <w:bCs w:val="1"/>
                <w:color w:val="auto"/>
                <w:vertAlign w:val="superscript"/>
              </w:rPr>
              <w:t>1</w:t>
            </w:r>
          </w:p>
        </w:tc>
      </w:tr>
      <w:tr>
        <w:trPr>
          <w:trHeight w:val="223"/>
        </w:trPr>
        <w:tc>
          <w:tcPr>
            <w:tcW w:w="2480" w:type="dxa"/>
            <w:vAlign w:val="bottom"/>
            <w:shd w:val="clear" w:color="auto" w:fill="E5E5E5"/>
          </w:tcPr>
          <w:p>
            <w:pPr>
              <w:ind w:left="60"/>
              <w:spacing w:after="0"/>
              <w:rPr>
                <w:sz w:val="20"/>
                <w:szCs w:val="20"/>
                <w:color w:val="auto"/>
              </w:rPr>
            </w:pPr>
            <w:r>
              <w:rPr>
                <w:rFonts w:ascii="Arial" w:cs="Arial" w:eastAsia="Arial" w:hAnsi="Arial"/>
                <w:sz w:val="14"/>
                <w:szCs w:val="14"/>
                <w:color w:val="auto"/>
              </w:rPr>
              <w:t>Linda B. Bammann</w:t>
            </w:r>
          </w:p>
        </w:tc>
        <w:tc>
          <w:tcPr>
            <w:tcW w:w="1780" w:type="dxa"/>
            <w:vAlign w:val="bottom"/>
            <w:shd w:val="clear" w:color="auto" w:fill="E5E5E5"/>
          </w:tcPr>
          <w:p>
            <w:pPr>
              <w:spacing w:after="0"/>
              <w:rPr>
                <w:sz w:val="19"/>
                <w:szCs w:val="19"/>
                <w:color w:val="auto"/>
              </w:rPr>
            </w:pPr>
          </w:p>
        </w:tc>
        <w:tc>
          <w:tcPr>
            <w:tcW w:w="1500" w:type="dxa"/>
            <w:vAlign w:val="bottom"/>
            <w:shd w:val="clear" w:color="auto" w:fill="E5E5E5"/>
          </w:tcPr>
          <w:p>
            <w:pPr>
              <w:spacing w:after="0"/>
              <w:rPr>
                <w:sz w:val="19"/>
                <w:szCs w:val="19"/>
                <w:color w:val="auto"/>
              </w:rPr>
            </w:pPr>
          </w:p>
        </w:tc>
        <w:tc>
          <w:tcPr>
            <w:tcW w:w="1400" w:type="dxa"/>
            <w:vAlign w:val="bottom"/>
            <w:shd w:val="clear" w:color="auto" w:fill="E5E5E5"/>
          </w:tcPr>
          <w:p>
            <w:pPr>
              <w:spacing w:after="0"/>
              <w:rPr>
                <w:sz w:val="19"/>
                <w:szCs w:val="19"/>
                <w:color w:val="auto"/>
              </w:rPr>
            </w:pPr>
          </w:p>
        </w:tc>
        <w:tc>
          <w:tcPr>
            <w:tcW w:w="1340" w:type="dxa"/>
            <w:vAlign w:val="bottom"/>
            <w:shd w:val="clear" w:color="auto" w:fill="E5E5E5"/>
          </w:tcPr>
          <w:p>
            <w:pPr>
              <w:spacing w:after="0"/>
              <w:rPr>
                <w:sz w:val="19"/>
                <w:szCs w:val="19"/>
                <w:color w:val="auto"/>
              </w:rPr>
            </w:pPr>
          </w:p>
        </w:tc>
        <w:tc>
          <w:tcPr>
            <w:tcW w:w="13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Chair</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D</w:t>
            </w:r>
          </w:p>
        </w:tc>
      </w:tr>
      <w:tr>
        <w:trPr>
          <w:trHeight w:val="224"/>
        </w:trPr>
        <w:tc>
          <w:tcPr>
            <w:tcW w:w="2480" w:type="dxa"/>
            <w:vAlign w:val="bottom"/>
          </w:tcPr>
          <w:p>
            <w:pPr>
              <w:ind w:left="60"/>
              <w:spacing w:after="0"/>
              <w:rPr>
                <w:sz w:val="20"/>
                <w:szCs w:val="20"/>
                <w:color w:val="auto"/>
              </w:rPr>
            </w:pPr>
            <w:r>
              <w:rPr>
                <w:rFonts w:ascii="Arial" w:cs="Arial" w:eastAsia="Arial" w:hAnsi="Arial"/>
                <w:sz w:val="14"/>
                <w:szCs w:val="14"/>
                <w:color w:val="auto"/>
              </w:rPr>
              <w:t>James A. Bell</w:t>
            </w:r>
          </w:p>
        </w:tc>
        <w:tc>
          <w:tcPr>
            <w:tcW w:w="1780" w:type="dxa"/>
            <w:vAlign w:val="bottom"/>
          </w:tcPr>
          <w:p>
            <w:pPr>
              <w:jc w:val="right"/>
              <w:ind w:right="108"/>
              <w:spacing w:after="0"/>
              <w:rPr>
                <w:sz w:val="20"/>
                <w:szCs w:val="20"/>
                <w:color w:val="auto"/>
              </w:rPr>
            </w:pPr>
            <w:r>
              <w:rPr>
                <w:rFonts w:ascii="Arial" w:cs="Arial" w:eastAsia="Arial" w:hAnsi="Arial"/>
                <w:sz w:val="14"/>
                <w:szCs w:val="14"/>
                <w:color w:val="auto"/>
              </w:rPr>
              <w:t>Chair</w:t>
            </w: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A</w:t>
            </w:r>
          </w:p>
        </w:tc>
      </w:tr>
      <w:tr>
        <w:trPr>
          <w:trHeight w:val="236"/>
        </w:trPr>
        <w:tc>
          <w:tcPr>
            <w:tcW w:w="2480" w:type="dxa"/>
            <w:vAlign w:val="bottom"/>
            <w:shd w:val="clear" w:color="auto" w:fill="E5E5E5"/>
          </w:tcPr>
          <w:p>
            <w:pPr>
              <w:ind w:left="60"/>
              <w:spacing w:after="0"/>
              <w:rPr>
                <w:sz w:val="20"/>
                <w:szCs w:val="20"/>
                <w:color w:val="auto"/>
              </w:rPr>
            </w:pPr>
            <w:r>
              <w:rPr>
                <w:rFonts w:ascii="Arial" w:cs="Arial" w:eastAsia="Arial" w:hAnsi="Arial"/>
                <w:sz w:val="14"/>
                <w:szCs w:val="14"/>
                <w:color w:val="auto"/>
              </w:rPr>
              <w:t>Stephen B. Burke</w:t>
            </w:r>
          </w:p>
        </w:tc>
        <w:tc>
          <w:tcPr>
            <w:tcW w:w="1780" w:type="dxa"/>
            <w:vAlign w:val="bottom"/>
            <w:shd w:val="clear" w:color="auto" w:fill="E5E5E5"/>
          </w:tcPr>
          <w:p>
            <w:pPr>
              <w:spacing w:after="0"/>
              <w:rPr>
                <w:sz w:val="20"/>
                <w:szCs w:val="20"/>
                <w:color w:val="auto"/>
              </w:rPr>
            </w:pPr>
          </w:p>
        </w:tc>
        <w:tc>
          <w:tcPr>
            <w:tcW w:w="15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Member</w:t>
            </w:r>
          </w:p>
        </w:tc>
        <w:tc>
          <w:tcPr>
            <w:tcW w:w="14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Member</w:t>
            </w:r>
          </w:p>
        </w:tc>
        <w:tc>
          <w:tcPr>
            <w:tcW w:w="1340" w:type="dxa"/>
            <w:vAlign w:val="bottom"/>
            <w:shd w:val="clear" w:color="auto" w:fill="E5E5E5"/>
          </w:tcPr>
          <w:p>
            <w:pPr>
              <w:spacing w:after="0"/>
              <w:rPr>
                <w:sz w:val="20"/>
                <w:szCs w:val="20"/>
                <w:color w:val="auto"/>
              </w:rPr>
            </w:pPr>
          </w:p>
        </w:tc>
        <w:tc>
          <w:tcPr>
            <w:tcW w:w="136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r>
      <w:tr>
        <w:trPr>
          <w:trHeight w:val="224"/>
        </w:trPr>
        <w:tc>
          <w:tcPr>
            <w:tcW w:w="2480" w:type="dxa"/>
            <w:vAlign w:val="bottom"/>
          </w:tcPr>
          <w:p>
            <w:pPr>
              <w:ind w:left="60"/>
              <w:spacing w:after="0"/>
              <w:rPr>
                <w:sz w:val="20"/>
                <w:szCs w:val="20"/>
                <w:color w:val="auto"/>
              </w:rPr>
            </w:pPr>
            <w:r>
              <w:rPr>
                <w:rFonts w:ascii="Arial" w:cs="Arial" w:eastAsia="Arial" w:hAnsi="Arial"/>
                <w:sz w:val="14"/>
                <w:szCs w:val="14"/>
                <w:color w:val="auto"/>
              </w:rPr>
              <w:t>Todd A. Combs</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Member</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Member</w:t>
            </w:r>
          </w:p>
        </w:tc>
        <w:tc>
          <w:tcPr>
            <w:tcW w:w="1160" w:type="dxa"/>
            <w:vAlign w:val="bottom"/>
          </w:tcPr>
          <w:p>
            <w:pPr>
              <w:spacing w:after="0"/>
              <w:rPr>
                <w:sz w:val="19"/>
                <w:szCs w:val="19"/>
                <w:color w:val="auto"/>
              </w:rPr>
            </w:pPr>
          </w:p>
        </w:tc>
      </w:tr>
      <w:tr>
        <w:trPr>
          <w:trHeight w:val="236"/>
        </w:trPr>
        <w:tc>
          <w:tcPr>
            <w:tcW w:w="2480" w:type="dxa"/>
            <w:vAlign w:val="bottom"/>
            <w:shd w:val="clear" w:color="auto" w:fill="E5E5E5"/>
          </w:tcPr>
          <w:p>
            <w:pPr>
              <w:ind w:left="60"/>
              <w:spacing w:after="0"/>
              <w:rPr>
                <w:sz w:val="20"/>
                <w:szCs w:val="20"/>
                <w:color w:val="auto"/>
              </w:rPr>
            </w:pPr>
            <w:r>
              <w:rPr>
                <w:rFonts w:ascii="Arial" w:cs="Arial" w:eastAsia="Arial" w:hAnsi="Arial"/>
                <w:sz w:val="14"/>
                <w:szCs w:val="14"/>
                <w:color w:val="auto"/>
              </w:rPr>
              <w:t>James S. Crown</w:t>
            </w:r>
          </w:p>
        </w:tc>
        <w:tc>
          <w:tcPr>
            <w:tcW w:w="1780" w:type="dxa"/>
            <w:vAlign w:val="bottom"/>
            <w:shd w:val="clear" w:color="auto" w:fill="E5E5E5"/>
          </w:tcPr>
          <w:p>
            <w:pPr>
              <w:spacing w:after="0"/>
              <w:rPr>
                <w:sz w:val="20"/>
                <w:szCs w:val="20"/>
                <w:color w:val="auto"/>
              </w:rPr>
            </w:pPr>
          </w:p>
        </w:tc>
        <w:tc>
          <w:tcPr>
            <w:tcW w:w="1500" w:type="dxa"/>
            <w:vAlign w:val="bottom"/>
            <w:shd w:val="clear" w:color="auto" w:fill="E5E5E5"/>
          </w:tcPr>
          <w:p>
            <w:pPr>
              <w:spacing w:after="0"/>
              <w:rPr>
                <w:sz w:val="20"/>
                <w:szCs w:val="20"/>
                <w:color w:val="auto"/>
              </w:rPr>
            </w:pPr>
          </w:p>
        </w:tc>
        <w:tc>
          <w:tcPr>
            <w:tcW w:w="1400" w:type="dxa"/>
            <w:vAlign w:val="bottom"/>
            <w:shd w:val="clear" w:color="auto" w:fill="E5E5E5"/>
          </w:tcPr>
          <w:p>
            <w:pPr>
              <w:spacing w:after="0"/>
              <w:rPr>
                <w:sz w:val="20"/>
                <w:szCs w:val="20"/>
                <w:color w:val="auto"/>
              </w:rPr>
            </w:pPr>
          </w:p>
        </w:tc>
        <w:tc>
          <w:tcPr>
            <w:tcW w:w="1340" w:type="dxa"/>
            <w:vAlign w:val="bottom"/>
            <w:shd w:val="clear" w:color="auto" w:fill="E5E5E5"/>
          </w:tcPr>
          <w:p>
            <w:pPr>
              <w:spacing w:after="0"/>
              <w:rPr>
                <w:sz w:val="20"/>
                <w:szCs w:val="20"/>
                <w:color w:val="auto"/>
              </w:rPr>
            </w:pPr>
          </w:p>
        </w:tc>
        <w:tc>
          <w:tcPr>
            <w:tcW w:w="13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Member</w:t>
            </w: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D</w:t>
            </w:r>
          </w:p>
        </w:tc>
      </w:tr>
      <w:tr>
        <w:trPr>
          <w:trHeight w:val="224"/>
        </w:trPr>
        <w:tc>
          <w:tcPr>
            <w:tcW w:w="2480" w:type="dxa"/>
            <w:vAlign w:val="bottom"/>
          </w:tcPr>
          <w:p>
            <w:pPr>
              <w:ind w:left="60"/>
              <w:spacing w:after="0"/>
              <w:rPr>
                <w:sz w:val="20"/>
                <w:szCs w:val="20"/>
                <w:color w:val="auto"/>
              </w:rPr>
            </w:pPr>
            <w:r>
              <w:rPr>
                <w:rFonts w:ascii="Arial" w:cs="Arial" w:eastAsia="Arial" w:hAnsi="Arial"/>
                <w:sz w:val="14"/>
                <w:szCs w:val="14"/>
                <w:color w:val="auto"/>
              </w:rPr>
              <w:t>James Dimon</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6"/>
        </w:trPr>
        <w:tc>
          <w:tcPr>
            <w:tcW w:w="2480" w:type="dxa"/>
            <w:vAlign w:val="bottom"/>
            <w:shd w:val="clear" w:color="auto" w:fill="E5E5E5"/>
          </w:tcPr>
          <w:p>
            <w:pPr>
              <w:ind w:left="60"/>
              <w:spacing w:after="0"/>
              <w:rPr>
                <w:sz w:val="20"/>
                <w:szCs w:val="20"/>
                <w:color w:val="auto"/>
              </w:rPr>
            </w:pPr>
            <w:r>
              <w:rPr>
                <w:rFonts w:ascii="Arial" w:cs="Arial" w:eastAsia="Arial" w:hAnsi="Arial"/>
                <w:sz w:val="14"/>
                <w:szCs w:val="14"/>
                <w:color w:val="auto"/>
              </w:rPr>
              <w:t>Timothy P. Flynn</w:t>
            </w:r>
          </w:p>
        </w:tc>
        <w:tc>
          <w:tcPr>
            <w:tcW w:w="17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Member</w:t>
            </w:r>
          </w:p>
        </w:tc>
        <w:tc>
          <w:tcPr>
            <w:tcW w:w="1500" w:type="dxa"/>
            <w:vAlign w:val="bottom"/>
            <w:shd w:val="clear" w:color="auto" w:fill="E5E5E5"/>
          </w:tcPr>
          <w:p>
            <w:pPr>
              <w:spacing w:after="0"/>
              <w:rPr>
                <w:sz w:val="20"/>
                <w:szCs w:val="20"/>
                <w:color w:val="auto"/>
              </w:rPr>
            </w:pPr>
          </w:p>
        </w:tc>
        <w:tc>
          <w:tcPr>
            <w:tcW w:w="1400" w:type="dxa"/>
            <w:vAlign w:val="bottom"/>
            <w:shd w:val="clear" w:color="auto" w:fill="E5E5E5"/>
          </w:tcPr>
          <w:p>
            <w:pPr>
              <w:spacing w:after="0"/>
              <w:rPr>
                <w:sz w:val="20"/>
                <w:szCs w:val="20"/>
                <w:color w:val="auto"/>
              </w:rPr>
            </w:pPr>
          </w:p>
        </w:tc>
        <w:tc>
          <w:tcPr>
            <w:tcW w:w="13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Chair</w:t>
            </w:r>
          </w:p>
        </w:tc>
        <w:tc>
          <w:tcPr>
            <w:tcW w:w="1360" w:type="dxa"/>
            <w:vAlign w:val="bottom"/>
            <w:shd w:val="clear" w:color="auto" w:fill="E5E5E5"/>
          </w:tcPr>
          <w:p>
            <w:pPr>
              <w:spacing w:after="0"/>
              <w:rPr>
                <w:sz w:val="20"/>
                <w:szCs w:val="20"/>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A</w:t>
            </w:r>
          </w:p>
        </w:tc>
      </w:tr>
      <w:tr>
        <w:trPr>
          <w:trHeight w:val="224"/>
        </w:trPr>
        <w:tc>
          <w:tcPr>
            <w:tcW w:w="2480" w:type="dxa"/>
            <w:vAlign w:val="bottom"/>
          </w:tcPr>
          <w:p>
            <w:pPr>
              <w:ind w:left="60"/>
              <w:spacing w:after="0"/>
              <w:rPr>
                <w:sz w:val="20"/>
                <w:szCs w:val="20"/>
                <w:color w:val="auto"/>
              </w:rPr>
            </w:pPr>
            <w:r>
              <w:rPr>
                <w:rFonts w:ascii="Arial" w:cs="Arial" w:eastAsia="Arial" w:hAnsi="Arial"/>
                <w:sz w:val="14"/>
                <w:szCs w:val="14"/>
                <w:color w:val="auto"/>
              </w:rPr>
              <w:t>Mellody Hobson</w:t>
            </w:r>
          </w:p>
        </w:tc>
        <w:tc>
          <w:tcPr>
            <w:tcW w:w="1780" w:type="dxa"/>
            <w:vAlign w:val="bottom"/>
          </w:tcPr>
          <w:p>
            <w:pPr>
              <w:jc w:val="right"/>
              <w:ind w:right="108"/>
              <w:spacing w:after="0"/>
              <w:rPr>
                <w:sz w:val="20"/>
                <w:szCs w:val="20"/>
                <w:color w:val="auto"/>
              </w:rPr>
            </w:pPr>
            <w:r>
              <w:rPr>
                <w:rFonts w:ascii="Arial" w:cs="Arial" w:eastAsia="Arial" w:hAnsi="Arial"/>
                <w:sz w:val="14"/>
                <w:szCs w:val="14"/>
                <w:color w:val="auto"/>
              </w:rPr>
              <w:t>Member</w:t>
            </w: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Member</w:t>
            </w:r>
          </w:p>
        </w:tc>
        <w:tc>
          <w:tcPr>
            <w:tcW w:w="1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6"/>
        </w:trPr>
        <w:tc>
          <w:tcPr>
            <w:tcW w:w="2480" w:type="dxa"/>
            <w:vAlign w:val="bottom"/>
            <w:shd w:val="clear" w:color="auto" w:fill="E5E5E5"/>
          </w:tcPr>
          <w:p>
            <w:pPr>
              <w:ind w:left="60"/>
              <w:spacing w:after="0"/>
              <w:rPr>
                <w:sz w:val="20"/>
                <w:szCs w:val="20"/>
                <w:color w:val="auto"/>
              </w:rPr>
            </w:pPr>
            <w:r>
              <w:rPr>
                <w:rFonts w:ascii="Arial" w:cs="Arial" w:eastAsia="Arial" w:hAnsi="Arial"/>
                <w:sz w:val="14"/>
                <w:szCs w:val="14"/>
                <w:color w:val="auto"/>
              </w:rPr>
              <w:t>Laban P. Jackson, Jr.</w:t>
            </w:r>
          </w:p>
        </w:tc>
        <w:tc>
          <w:tcPr>
            <w:tcW w:w="17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Member</w:t>
            </w:r>
          </w:p>
        </w:tc>
        <w:tc>
          <w:tcPr>
            <w:tcW w:w="1500" w:type="dxa"/>
            <w:vAlign w:val="bottom"/>
            <w:shd w:val="clear" w:color="auto" w:fill="E5E5E5"/>
          </w:tcPr>
          <w:p>
            <w:pPr>
              <w:spacing w:after="0"/>
              <w:rPr>
                <w:sz w:val="20"/>
                <w:szCs w:val="20"/>
                <w:color w:val="auto"/>
              </w:rPr>
            </w:pPr>
          </w:p>
        </w:tc>
        <w:tc>
          <w:tcPr>
            <w:tcW w:w="1400" w:type="dxa"/>
            <w:vAlign w:val="bottom"/>
            <w:shd w:val="clear" w:color="auto" w:fill="E5E5E5"/>
          </w:tcPr>
          <w:p>
            <w:pPr>
              <w:spacing w:after="0"/>
              <w:rPr>
                <w:sz w:val="20"/>
                <w:szCs w:val="20"/>
                <w:color w:val="auto"/>
              </w:rPr>
            </w:pPr>
          </w:p>
        </w:tc>
        <w:tc>
          <w:tcPr>
            <w:tcW w:w="1340" w:type="dxa"/>
            <w:vAlign w:val="bottom"/>
            <w:shd w:val="clear" w:color="auto" w:fill="E5E5E5"/>
          </w:tcPr>
          <w:p>
            <w:pPr>
              <w:spacing w:after="0"/>
              <w:rPr>
                <w:sz w:val="20"/>
                <w:szCs w:val="20"/>
                <w:color w:val="auto"/>
              </w:rPr>
            </w:pPr>
          </w:p>
        </w:tc>
        <w:tc>
          <w:tcPr>
            <w:tcW w:w="1360" w:type="dxa"/>
            <w:vAlign w:val="bottom"/>
            <w:shd w:val="clear" w:color="auto" w:fill="E5E5E5"/>
          </w:tcPr>
          <w:p>
            <w:pPr>
              <w:spacing w:after="0"/>
              <w:rPr>
                <w:sz w:val="20"/>
                <w:szCs w:val="20"/>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A,B,C,D</w:t>
            </w:r>
          </w:p>
        </w:tc>
      </w:tr>
      <w:tr>
        <w:trPr>
          <w:trHeight w:val="224"/>
        </w:trPr>
        <w:tc>
          <w:tcPr>
            <w:tcW w:w="2480" w:type="dxa"/>
            <w:vAlign w:val="bottom"/>
          </w:tcPr>
          <w:p>
            <w:pPr>
              <w:ind w:left="60"/>
              <w:spacing w:after="0"/>
              <w:rPr>
                <w:sz w:val="20"/>
                <w:szCs w:val="20"/>
                <w:color w:val="auto"/>
              </w:rPr>
            </w:pPr>
            <w:r>
              <w:rPr>
                <w:rFonts w:ascii="Arial" w:cs="Arial" w:eastAsia="Arial" w:hAnsi="Arial"/>
                <w:sz w:val="14"/>
                <w:szCs w:val="14"/>
                <w:color w:val="auto"/>
              </w:rPr>
              <w:t>Michael A. Neal</w:t>
            </w:r>
          </w:p>
        </w:tc>
        <w:tc>
          <w:tcPr>
            <w:tcW w:w="1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Member</w:t>
            </w:r>
          </w:p>
        </w:tc>
        <w:tc>
          <w:tcPr>
            <w:tcW w:w="1160" w:type="dxa"/>
            <w:vAlign w:val="bottom"/>
          </w:tcPr>
          <w:p>
            <w:pPr>
              <w:jc w:val="right"/>
              <w:spacing w:after="0"/>
              <w:rPr>
                <w:sz w:val="20"/>
                <w:szCs w:val="20"/>
                <w:color w:val="auto"/>
              </w:rPr>
            </w:pPr>
            <w:r>
              <w:rPr>
                <w:rFonts w:ascii="Arial" w:cs="Arial" w:eastAsia="Arial" w:hAnsi="Arial"/>
                <w:sz w:val="14"/>
                <w:szCs w:val="14"/>
                <w:color w:val="auto"/>
              </w:rPr>
              <w:t>D</w:t>
            </w:r>
          </w:p>
        </w:tc>
      </w:tr>
      <w:tr>
        <w:trPr>
          <w:trHeight w:val="236"/>
        </w:trPr>
        <w:tc>
          <w:tcPr>
            <w:tcW w:w="2480" w:type="dxa"/>
            <w:vAlign w:val="bottom"/>
            <w:shd w:val="clear" w:color="auto" w:fill="E5E5E5"/>
          </w:tcPr>
          <w:p>
            <w:pPr>
              <w:ind w:left="60"/>
              <w:spacing w:after="0" w:line="235" w:lineRule="exact"/>
              <w:rPr>
                <w:sz w:val="20"/>
                <w:szCs w:val="20"/>
                <w:color w:val="auto"/>
              </w:rPr>
            </w:pPr>
            <w:r>
              <w:rPr>
                <w:rFonts w:ascii="Arial" w:cs="Arial" w:eastAsia="Arial" w:hAnsi="Arial"/>
                <w:sz w:val="14"/>
                <w:szCs w:val="14"/>
                <w:color w:val="auto"/>
              </w:rPr>
              <w:t xml:space="preserve">Lee R. Raymond </w:t>
            </w:r>
            <w:r>
              <w:rPr>
                <w:rFonts w:ascii="Arial" w:cs="Arial" w:eastAsia="Arial" w:hAnsi="Arial"/>
                <w:sz w:val="24"/>
                <w:szCs w:val="24"/>
                <w:color w:val="auto"/>
                <w:vertAlign w:val="superscript"/>
              </w:rPr>
              <w:t>2</w:t>
            </w:r>
          </w:p>
        </w:tc>
        <w:tc>
          <w:tcPr>
            <w:tcW w:w="1780" w:type="dxa"/>
            <w:vAlign w:val="bottom"/>
            <w:shd w:val="clear" w:color="auto" w:fill="E5E5E5"/>
          </w:tcPr>
          <w:p>
            <w:pPr>
              <w:spacing w:after="0"/>
              <w:rPr>
                <w:sz w:val="20"/>
                <w:szCs w:val="20"/>
                <w:color w:val="auto"/>
              </w:rPr>
            </w:pPr>
          </w:p>
        </w:tc>
        <w:tc>
          <w:tcPr>
            <w:tcW w:w="150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Chair</w:t>
            </w:r>
          </w:p>
        </w:tc>
        <w:tc>
          <w:tcPr>
            <w:tcW w:w="140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Member</w:t>
            </w:r>
          </w:p>
        </w:tc>
        <w:tc>
          <w:tcPr>
            <w:tcW w:w="1340" w:type="dxa"/>
            <w:vAlign w:val="bottom"/>
            <w:shd w:val="clear" w:color="auto" w:fill="E5E5E5"/>
          </w:tcPr>
          <w:p>
            <w:pPr>
              <w:spacing w:after="0"/>
              <w:rPr>
                <w:sz w:val="20"/>
                <w:szCs w:val="20"/>
                <w:color w:val="auto"/>
              </w:rPr>
            </w:pPr>
          </w:p>
        </w:tc>
        <w:tc>
          <w:tcPr>
            <w:tcW w:w="1360" w:type="dxa"/>
            <w:vAlign w:val="bottom"/>
            <w:shd w:val="clear" w:color="auto" w:fill="E5E5E5"/>
          </w:tcPr>
          <w:p>
            <w:pPr>
              <w:spacing w:after="0"/>
              <w:rPr>
                <w:sz w:val="20"/>
                <w:szCs w:val="20"/>
                <w:color w:val="auto"/>
              </w:rPr>
            </w:pPr>
          </w:p>
        </w:tc>
        <w:tc>
          <w:tcPr>
            <w:tcW w:w="1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B,C,D</w:t>
            </w:r>
          </w:p>
        </w:tc>
      </w:tr>
      <w:tr>
        <w:trPr>
          <w:trHeight w:val="351"/>
        </w:trPr>
        <w:tc>
          <w:tcPr>
            <w:tcW w:w="2480" w:type="dxa"/>
            <w:vAlign w:val="bottom"/>
          </w:tcPr>
          <w:p>
            <w:pPr>
              <w:ind w:left="60"/>
              <w:spacing w:after="0"/>
              <w:rPr>
                <w:sz w:val="20"/>
                <w:szCs w:val="20"/>
                <w:color w:val="auto"/>
              </w:rPr>
            </w:pPr>
            <w:r>
              <w:rPr>
                <w:rFonts w:ascii="Arial" w:cs="Arial" w:eastAsia="Arial" w:hAnsi="Arial"/>
                <w:sz w:val="14"/>
                <w:szCs w:val="14"/>
                <w:color w:val="auto"/>
              </w:rPr>
              <w:t>William C. Weldon</w:t>
            </w:r>
          </w:p>
        </w:tc>
        <w:tc>
          <w:tcPr>
            <w:tcW w:w="1780" w:type="dxa"/>
            <w:vAlign w:val="bottom"/>
          </w:tcPr>
          <w:p>
            <w:pPr>
              <w:spacing w:after="0"/>
              <w:rPr>
                <w:sz w:val="24"/>
                <w:szCs w:val="24"/>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Member</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Chair</w:t>
            </w:r>
            <w:r>
              <w:rPr>
                <w:rFonts w:ascii="Arial" w:cs="Arial" w:eastAsia="Arial" w:hAnsi="Arial"/>
                <w:sz w:val="24"/>
                <w:szCs w:val="24"/>
                <w:color w:val="auto"/>
                <w:vertAlign w:val="superscript"/>
              </w:rPr>
              <w:t>3</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B,C</w:t>
            </w:r>
          </w:p>
        </w:tc>
      </w:tr>
    </w:tbl>
    <w:p>
      <w:pPr>
        <w:ind w:left="440" w:hanging="222"/>
        <w:spacing w:after="0" w:line="189" w:lineRule="auto"/>
        <w:tabs>
          <w:tab w:leader="none" w:pos="4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The Board’s Specific Purpose Committees in 2018 were:</w:t>
      </w:r>
    </w:p>
    <w:p>
      <w:pPr>
        <w:spacing w:after="0" w:line="31" w:lineRule="exact"/>
        <w:rPr>
          <w:rFonts w:ascii="Arial" w:cs="Arial" w:eastAsia="Arial" w:hAnsi="Arial"/>
          <w:sz w:val="24"/>
          <w:szCs w:val="24"/>
          <w:color w:val="auto"/>
          <w:vertAlign w:val="superscript"/>
        </w:rPr>
      </w:pPr>
    </w:p>
    <w:p>
      <w:pPr>
        <w:ind w:left="420"/>
        <w:spacing w:after="0"/>
        <w:rPr>
          <w:rFonts w:ascii="Arial" w:cs="Arial" w:eastAsia="Arial" w:hAnsi="Arial"/>
          <w:sz w:val="24"/>
          <w:szCs w:val="24"/>
          <w:color w:val="auto"/>
          <w:vertAlign w:val="superscript"/>
        </w:rPr>
      </w:pPr>
      <w:r>
        <w:rPr>
          <w:rFonts w:ascii="Arial" w:cs="Arial" w:eastAsia="Arial" w:hAnsi="Arial"/>
          <w:sz w:val="14"/>
          <w:szCs w:val="14"/>
          <w:color w:val="auto"/>
        </w:rPr>
        <w:t>A – BSA/AML(Bank Secrecy Act/Anti-Money Laundering) Compliance Committee</w:t>
      </w:r>
    </w:p>
    <w:p>
      <w:pPr>
        <w:spacing w:after="0" w:line="41" w:lineRule="exact"/>
        <w:rPr>
          <w:rFonts w:ascii="Arial" w:cs="Arial" w:eastAsia="Arial" w:hAnsi="Arial"/>
          <w:sz w:val="24"/>
          <w:szCs w:val="24"/>
          <w:color w:val="auto"/>
          <w:vertAlign w:val="superscript"/>
        </w:rPr>
      </w:pPr>
    </w:p>
    <w:p>
      <w:pPr>
        <w:ind w:left="440" w:right="6500"/>
        <w:spacing w:after="0" w:line="291" w:lineRule="auto"/>
        <w:rPr>
          <w:rFonts w:ascii="Arial" w:cs="Arial" w:eastAsia="Arial" w:hAnsi="Arial"/>
          <w:sz w:val="24"/>
          <w:szCs w:val="24"/>
          <w:color w:val="auto"/>
          <w:vertAlign w:val="superscript"/>
        </w:rPr>
      </w:pPr>
      <w:r>
        <w:rPr>
          <w:rFonts w:ascii="Arial" w:cs="Arial" w:eastAsia="Arial" w:hAnsi="Arial"/>
          <w:sz w:val="14"/>
          <w:szCs w:val="14"/>
          <w:color w:val="auto"/>
        </w:rPr>
        <w:t>B – FX (Foreign Exchange)/Markets Orders Compliance Committee C – Trading Compliance Committee</w:t>
      </w:r>
    </w:p>
    <w:p>
      <w:pPr>
        <w:spacing w:after="0" w:line="1" w:lineRule="exact"/>
        <w:rPr>
          <w:rFonts w:ascii="Arial" w:cs="Arial" w:eastAsia="Arial" w:hAnsi="Arial"/>
          <w:sz w:val="24"/>
          <w:szCs w:val="24"/>
          <w:color w:val="auto"/>
          <w:vertAlign w:val="superscript"/>
        </w:rPr>
      </w:pPr>
    </w:p>
    <w:p>
      <w:pPr>
        <w:ind w:left="440"/>
        <w:spacing w:after="0"/>
        <w:rPr>
          <w:rFonts w:ascii="Arial" w:cs="Arial" w:eastAsia="Arial" w:hAnsi="Arial"/>
          <w:sz w:val="24"/>
          <w:szCs w:val="24"/>
          <w:color w:val="auto"/>
          <w:vertAlign w:val="superscript"/>
        </w:rPr>
      </w:pPr>
      <w:r>
        <w:rPr>
          <w:rFonts w:ascii="Arial" w:cs="Arial" w:eastAsia="Arial" w:hAnsi="Arial"/>
          <w:sz w:val="14"/>
          <w:szCs w:val="14"/>
          <w:color w:val="auto"/>
        </w:rPr>
        <w:t>D – Omnibus Committee</w:t>
      </w:r>
    </w:p>
    <w:p>
      <w:pPr>
        <w:ind w:left="420" w:hanging="176"/>
        <w:spacing w:after="0" w:line="185" w:lineRule="auto"/>
        <w:tabs>
          <w:tab w:leader="none" w:pos="42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Lead Independent Director</w:t>
      </w:r>
    </w:p>
    <w:p>
      <w:pPr>
        <w:spacing w:after="0" w:line="31" w:lineRule="exact"/>
        <w:rPr>
          <w:sz w:val="20"/>
          <w:szCs w:val="20"/>
          <w:color w:val="auto"/>
        </w:rPr>
      </w:pPr>
    </w:p>
    <w:p>
      <w:pPr>
        <w:ind w:left="420" w:right="220" w:hanging="176"/>
        <w:spacing w:after="0" w:line="183" w:lineRule="auto"/>
        <w:tabs>
          <w:tab w:leader="none" w:pos="42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Mr. Weldon is not standing for re-election when his term expires on the eve of this year’s annual meeting. A new Chair of the Governance Committee will be elected by the Board following the annual meeting.</w:t>
      </w:r>
    </w:p>
    <w:p>
      <w:pPr>
        <w:spacing w:after="0" w:line="134"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All of the directors of the Firm were elected in 2018 and comprise the full Boards of JPMorgan Chase Bank, National Association (the “Bank”), Chase Bank USA, National Association and JPMorgan Chase Holdings LLC (“Holdings LLC”). Mr. Weldon is the non-management Chairman of the Board of the Bank and of Chase Bank USA, National Association; Holdings LLC does not have a Chairman of the Board. A new Chair of the Board of the Bank and of Chase Bank USA, National Association will be elected by the Board following the annual meeting.</w:t>
      </w:r>
    </w:p>
    <w:p>
      <w:pPr>
        <w:spacing w:after="0" w:line="130"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26</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CORPORATE GOVERNANCE</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and Committee self-assessment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166370</wp:posOffset>
            </wp:positionV>
            <wp:extent cx="4433570" cy="3181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433570" cy="318135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Board conducts an annual self-assessment aimed at enhancing its effectiveness. Through regular assessment of its policies, procedures and performance, the Board identifies areas for further consideration and improvement. In assessing itself, the Board takes a multi-year perspective.</w:t>
      </w:r>
    </w:p>
    <w:p>
      <w:pPr>
        <w:spacing w:after="0" w:line="95"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Each of the principal standing committees also conducts an annual self-assessment. Each director participates in the self-assessment and provides feedback in multiple discussions on a range of issues. In 2018, discussion topics included, among others:</w:t>
      </w:r>
    </w:p>
    <w:p>
      <w:pPr>
        <w:spacing w:after="0" w:line="62" w:lineRule="exact"/>
        <w:rPr>
          <w:sz w:val="20"/>
          <w:szCs w:val="20"/>
          <w:color w:val="auto"/>
        </w:rPr>
      </w:pPr>
    </w:p>
    <w:p>
      <w:pPr>
        <w:ind w:left="400" w:right="3580"/>
        <w:spacing w:after="0" w:line="414" w:lineRule="auto"/>
        <w:rPr>
          <w:sz w:val="20"/>
          <w:szCs w:val="20"/>
          <w:color w:val="auto"/>
        </w:rPr>
      </w:pPr>
      <w:r>
        <w:rPr>
          <w:rFonts w:ascii="Arial" w:cs="Arial" w:eastAsia="Arial" w:hAnsi="Arial"/>
          <w:sz w:val="17"/>
          <w:szCs w:val="17"/>
          <w:color w:val="auto"/>
        </w:rPr>
        <w:t>Strategic priorities Board structure</w:t>
      </w:r>
    </w:p>
    <w:p>
      <w:pPr>
        <w:ind w:left="200"/>
        <w:spacing w:after="0"/>
        <w:rPr>
          <w:sz w:val="20"/>
          <w:szCs w:val="20"/>
          <w:color w:val="auto"/>
        </w:rPr>
      </w:pPr>
      <w:r>
        <w:rPr>
          <w:rFonts w:ascii="Arial" w:cs="Arial" w:eastAsia="Arial" w:hAnsi="Arial"/>
          <w:sz w:val="18"/>
          <w:szCs w:val="18"/>
          <w:color w:val="auto"/>
        </w:rPr>
        <w:t>How the Board spends its time</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Oversight and interaction with management</w:t>
      </w:r>
    </w:p>
    <w:p>
      <w:pPr>
        <w:spacing w:after="0" w:line="130" w:lineRule="exact"/>
        <w:rPr>
          <w:sz w:val="20"/>
          <w:szCs w:val="20"/>
          <w:color w:val="auto"/>
        </w:rPr>
      </w:pPr>
    </w:p>
    <w:p>
      <w:pPr>
        <w:ind w:left="400" w:right="580"/>
        <w:spacing w:after="0" w:line="246" w:lineRule="auto"/>
        <w:rPr>
          <w:sz w:val="20"/>
          <w:szCs w:val="20"/>
          <w:color w:val="auto"/>
        </w:rPr>
      </w:pPr>
      <w:r>
        <w:rPr>
          <w:rFonts w:ascii="Arial" w:cs="Arial" w:eastAsia="Arial" w:hAnsi="Arial"/>
          <w:sz w:val="18"/>
          <w:szCs w:val="18"/>
          <w:color w:val="auto"/>
        </w:rPr>
        <w:t>Oversight of culture, diversity and talent and related risk controls framework</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Committee effectiveness</w:t>
      </w:r>
    </w:p>
    <w:p>
      <w:pPr>
        <w:spacing w:after="0" w:line="16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The Board self-assessment is guided by the Lead Independent Director and is conducted in phases. The</w:t>
      </w:r>
    </w:p>
    <w:p>
      <w:pPr>
        <w:spacing w:after="0" w:line="25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self-assessment includes a review of actions taken in response to the Board’s feedback from the previous year’s self-assessment and an examination of the Board’s performance against regulatory requirements including its responsibilities under the OCC’s “Heightened Standards” for large national banks. The directors hold private one-on-one discussions with the General Counsel using a discussion guide that frames the self-assessment.</w:t>
      </w:r>
    </w:p>
    <w:p>
      <w:pPr>
        <w:spacing w:after="0" w:line="9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Committee self-assessments include a review of performance against committee charter requirements and focus on committee agenda planning and the flow of information received from management. Discussion topics generally include committee composition and effectiveness, leadership, and the content and quality of meeting materials.</w:t>
      </w:r>
    </w:p>
    <w:p>
      <w:pPr>
        <w:spacing w:after="0" w:line="9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Following discussions with the Committees and the directors, the General Counsel and Lead Independent Director report the feedback received to the Board. Appropriate action plans are developed and executed in partnership with management and considered in the self-assessment conducted in the following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20" w:space="400"/>
            <w:col w:w="5400"/>
          </w:cols>
          <w:pgMar w:left="24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Director education</w:t>
      </w:r>
    </w:p>
    <w:p>
      <w:pPr>
        <w:spacing w:after="0" w:line="18"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An ongoing director education program assists Board members in fulfilling their responsibilities. The director education program commences with an orientation program when a new director joins the Board. Ongoing education is provided through written materials, presentations in Board meetings and training outside the boardroom, including events intended to provide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directors with client, employee and other perspectives that can have a significant impact on the Firm. The program provides education on the Firm’s products, services and lines of business; cybersecurity and technology; significant and emerging risks; relevant laws, regulations and supervisory requirements; and other topics identified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-1703705</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380"/>
          </w:cols>
          <w:pgMar w:left="240" w:top="459" w:right="459" w:bottom="1440" w:gutter="0" w:footer="0" w:header="0"/>
        </w:sectPr>
      </w:pPr>
    </w:p>
    <w:p>
      <w:pPr>
        <w:spacing w:after="0" w:line="154"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4876"/>
        </w:rPr>
        <w:t>Board oversight of the business and affairs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110490</wp:posOffset>
            </wp:positionV>
            <wp:extent cx="6997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oversight</w:t>
      </w:r>
    </w:p>
    <w:p>
      <w:pPr>
        <w:spacing w:after="0" w:line="1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Board is responsible for setting the cultural “tone at the top” and for oversight of the business and affairs of the Firm on behalf of the Firm’s shareholders. Among its core responsibilities, the Board:</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Reviews the strategic objectives and plans of the Firm</w:t>
      </w:r>
    </w:p>
    <w:p>
      <w:pPr>
        <w:spacing w:after="0" w:line="130" w:lineRule="exact"/>
        <w:rPr>
          <w:sz w:val="20"/>
          <w:szCs w:val="20"/>
          <w:color w:val="auto"/>
        </w:rPr>
      </w:pPr>
    </w:p>
    <w:p>
      <w:pPr>
        <w:ind w:left="400" w:right="360"/>
        <w:spacing w:after="0" w:line="246" w:lineRule="auto"/>
        <w:rPr>
          <w:sz w:val="20"/>
          <w:szCs w:val="20"/>
          <w:color w:val="auto"/>
        </w:rPr>
      </w:pPr>
      <w:r>
        <w:rPr>
          <w:rFonts w:ascii="Arial" w:cs="Arial" w:eastAsia="Arial" w:hAnsi="Arial"/>
          <w:sz w:val="18"/>
          <w:szCs w:val="18"/>
          <w:color w:val="auto"/>
        </w:rPr>
        <w:t>Evaluates CEO performance and oversees executive talent management</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Oversees the Firm’s financial performance and condition</w:t>
      </w:r>
    </w:p>
    <w:p>
      <w:pPr>
        <w:spacing w:after="0" w:line="130" w:lineRule="exact"/>
        <w:rPr>
          <w:sz w:val="20"/>
          <w:szCs w:val="20"/>
          <w:color w:val="auto"/>
        </w:rPr>
      </w:pPr>
    </w:p>
    <w:p>
      <w:pPr>
        <w:ind w:left="400" w:right="460"/>
        <w:spacing w:after="0" w:line="246" w:lineRule="auto"/>
        <w:rPr>
          <w:sz w:val="20"/>
          <w:szCs w:val="20"/>
          <w:color w:val="auto"/>
        </w:rPr>
      </w:pPr>
      <w:r>
        <w:rPr>
          <w:rFonts w:ascii="Arial" w:cs="Arial" w:eastAsia="Arial" w:hAnsi="Arial"/>
          <w:sz w:val="18"/>
          <w:szCs w:val="18"/>
          <w:color w:val="auto"/>
        </w:rPr>
        <w:t>Oversees the Firm’s risk management and internal control frameworks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Oversees the Firm’s approach to ESG matters</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Strategic oversight</w:t>
      </w:r>
    </w:p>
    <w:p>
      <w:pPr>
        <w:spacing w:after="0" w:line="1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Firm’s Board of Directors actively oversees management’s formulation and implementation of the Firm’s strategic initiatives. Each year’s strategic plans include evaluating performance against the prior year’s initiatives, assessing the current operating environment, refining existing strategies and developing new strategic initiatives. Presentations by senior management regarding the strategic opportunities, priorities and implementation strategies for their respective lines of business, and by the CEO and CFO on the Firm’s overall strategic direction, are provided throughout the year. These management presentations and financial plans serve as the basis for active dialogue with, and feedback from, the Board about the strategic risks and opportunities facing the Firm and its businesses.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Executive performance and talent management</w:t>
      </w:r>
    </w:p>
    <w:p>
      <w:pPr>
        <w:spacing w:after="0" w:line="1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CMDC reviews the Firm’s performance periodically during the course of the year, and formally, at least annually. The CMDC’s review of the CEO’s performance is presented to the Board, generally in January, in connection with the Board’s review of executive officer</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annual compensation. The Board’s evaluation is conducted by the non-management directors, guided by the Lead Independent Director.</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Succession planning for the CEO and other members of the Operating Committee is considered at least annually. The CMDC also discusses at least annually the talent pipeline for specific critical roles. The Board has numerous opportunities to meet with, and assess development plans for, members of the Operating Committee and other high potential senior management leaders. This occurs through various means, including informal meetings, Board dinners and presentations to the Board and its committees. For further information, see Compensation Discussion and Analysis (“CD&amp;A”) on page 41.</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Oversight of financial performance and condition</w:t>
      </w:r>
    </w:p>
    <w:p>
      <w:pPr>
        <w:spacing w:after="0" w:line="1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Throughout the year, the Board reviews the Firm’s financial performance and condition, including overseeing management’s execution against the Firm’s capital, liquidity, strategic and financial operating plans.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Reports on the Firm’s financial performance and condition are presented at each regularly scheduled Board meeting throughout the year. The Firm’s annual Comprehensive Capital Analysis and Review (“CCAR”) submission, which contains the Firm’s proposed plans to make capital distributions, such as dividend payouts, stock repurchases and other capital actions, is reviewed and approved prior to its submission to the Federal Reserve. In addition, the Audit Committee of the Board assists the Board in the oversight of the Firm’s financial statements and internal control framework. The Audit Committee also assists the Board in the appointment, retention, compensation, evaluation and oversight of the Firm’s independent registered public accounting firm. For further information, see “Oversight of risk management and internal control framework” below.</w:t>
      </w:r>
    </w:p>
    <w:p>
      <w:pPr>
        <w:spacing w:after="0" w:line="875"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7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28</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right="520"/>
        <w:spacing w:after="0" w:line="239" w:lineRule="auto"/>
        <w:rPr>
          <w:sz w:val="20"/>
          <w:szCs w:val="20"/>
          <w:color w:val="auto"/>
        </w:rPr>
      </w:pPr>
      <w:r>
        <w:rPr>
          <w:rFonts w:ascii="Arial" w:cs="Arial" w:eastAsia="Arial" w:hAnsi="Arial"/>
          <w:sz w:val="20"/>
          <w:szCs w:val="20"/>
          <w:b w:val="1"/>
          <w:bCs w:val="1"/>
          <w:color w:val="auto"/>
        </w:rPr>
        <w:t>Oversight of risk management and internal control framework</w:t>
      </w:r>
    </w:p>
    <w:p>
      <w:pPr>
        <w:spacing w:after="0" w:line="1" w:lineRule="exact"/>
        <w:rPr>
          <w:sz w:val="20"/>
          <w:szCs w:val="20"/>
          <w:color w:val="auto"/>
        </w:rPr>
      </w:pPr>
    </w:p>
    <w:p>
      <w:pPr>
        <w:ind w:left="220" w:right="100"/>
        <w:spacing w:after="0" w:line="252" w:lineRule="auto"/>
        <w:rPr>
          <w:sz w:val="20"/>
          <w:szCs w:val="20"/>
          <w:color w:val="auto"/>
        </w:rPr>
      </w:pPr>
      <w:r>
        <w:rPr>
          <w:rFonts w:ascii="Arial" w:cs="Arial" w:eastAsia="Arial" w:hAnsi="Arial"/>
          <w:sz w:val="17"/>
          <w:szCs w:val="17"/>
          <w:color w:val="auto"/>
        </w:rPr>
        <w:t>Risk is an inherent part of JPMorgan Chase’s business activities. When the Firm extends a consumer or wholesale loan, advises customers on their investment decisions, makes markets in securities or offers other products or services, the Firm takes on some degree of risk. The Firm’s overall objective is to manage its businesses, and the associated risks, in a manner that balances serving the interests of its clients, customers and investors and protects the safety and soundness of the Firm.</w:t>
      </w:r>
    </w:p>
    <w:p>
      <w:pPr>
        <w:spacing w:after="0" w:line="87" w:lineRule="exact"/>
        <w:rPr>
          <w:sz w:val="20"/>
          <w:szCs w:val="20"/>
          <w:color w:val="auto"/>
        </w:rPr>
      </w:pPr>
    </w:p>
    <w:p>
      <w:pPr>
        <w:ind w:left="220" w:right="40"/>
        <w:spacing w:after="0" w:line="238" w:lineRule="auto"/>
        <w:rPr>
          <w:sz w:val="20"/>
          <w:szCs w:val="20"/>
          <w:color w:val="auto"/>
        </w:rPr>
      </w:pPr>
      <w:r>
        <w:rPr>
          <w:rFonts w:ascii="Arial" w:cs="Arial" w:eastAsia="Arial" w:hAnsi="Arial"/>
          <w:sz w:val="18"/>
          <w:szCs w:val="18"/>
          <w:color w:val="auto"/>
        </w:rPr>
        <w:t>In order that risks are properly monitored, reported, escalated and overseen, the Firm has established protocols for the timely communication of matters of significance to the Board, including protocols for matters that are time sensitive and significant that may arise during periods between meetings of the Board.</w:t>
      </w:r>
    </w:p>
    <w:p>
      <w:pPr>
        <w:spacing w:after="0" w:line="95"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The Firm has an Independent Risk Management (“IRM”) function, which consists of the Risk Management and Compliance organizations. The CEO appoints, subject to DRPC approval, the Firm’s Chief Risk Officer to lead the IRM organization and manage the risk governance structure of the Firm. The framework is subject to approval by the DRPC in the form of the primary risk management policies.</w:t>
      </w:r>
    </w:p>
    <w:p>
      <w:pPr>
        <w:spacing w:after="0" w:line="95" w:lineRule="exact"/>
        <w:rPr>
          <w:sz w:val="20"/>
          <w:szCs w:val="20"/>
          <w:color w:val="auto"/>
        </w:rPr>
      </w:pPr>
    </w:p>
    <w:p>
      <w:pPr>
        <w:ind w:left="220"/>
        <w:spacing w:after="0" w:line="238" w:lineRule="auto"/>
        <w:rPr>
          <w:sz w:val="20"/>
          <w:szCs w:val="20"/>
          <w:color w:val="auto"/>
        </w:rPr>
      </w:pPr>
      <w:r>
        <w:rPr>
          <w:rFonts w:ascii="Arial" w:cs="Arial" w:eastAsia="Arial" w:hAnsi="Arial"/>
          <w:sz w:val="18"/>
          <w:szCs w:val="18"/>
          <w:color w:val="auto"/>
        </w:rPr>
        <w:t>The key risk areas of the Firm are managed on an enterprise-wide basis. Certain risks, such as strategic risk, are overseen by the full Board. Board committees support the Board’s oversight responsibility by overseeing the risk categories related to such committee’s specific area of focus.</w:t>
      </w:r>
    </w:p>
    <w:p>
      <w:pPr>
        <w:spacing w:after="0" w:line="95" w:lineRule="exact"/>
        <w:rPr>
          <w:sz w:val="20"/>
          <w:szCs w:val="20"/>
          <w:color w:val="auto"/>
        </w:rPr>
      </w:pPr>
    </w:p>
    <w:p>
      <w:pPr>
        <w:ind w:left="220" w:right="140"/>
        <w:spacing w:after="0" w:line="239" w:lineRule="auto"/>
        <w:rPr>
          <w:sz w:val="20"/>
          <w:szCs w:val="20"/>
          <w:color w:val="auto"/>
        </w:rPr>
      </w:pPr>
      <w:r>
        <w:rPr>
          <w:rFonts w:ascii="Arial" w:cs="Arial" w:eastAsia="Arial" w:hAnsi="Arial"/>
          <w:sz w:val="18"/>
          <w:szCs w:val="18"/>
          <w:color w:val="auto"/>
        </w:rPr>
        <w:t>Committee chairs report significant matters discussed at committee meetings to the full Board. Issues escalated to the full Board may be dealt with in several ways, as appropriate: oversight of the risk issue may</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200"/>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-657860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remain with the particular principal standing committee of the Board, the Board may establish a Specific Purpose Committee to oversee management’s addressing of such risk matters, or the Board may ask management to present more frequently to the full Board on the issue.</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Oversight of conduct risk is shared by multiple Board committees. Conduct risk is the risk that any action or inaction by an employee or employees could lead to unfair client or customer outcomes, impact the integrity of the markets in which the Firm operates or compromise the Firm’s reputation. Each LOB and Corporate is accountable for identifying and managing its conduct risk to provide appropriate engagement, ownership and sustainability of a culture consistent with the Firm’s How We Do Business Principles (the “Business Principles”). The Business Principles set forth four central corporate tenets for the Firm: exceptional client service; operational excellence; a commitment to integrity, fairness and responsibility; and a great team and winning culture. The full set of Business Principles is included in “How We Do Business—The Report,” which is posted on our website at jpmorganchase.com/governance.</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With the Business Principles serving as a guide for how employees are expected to conduct themselves, the Firm’s Code of Conduct (“Code”) sets forth the Firm’s expectations for each employee. The Code provides the principles that govern employee conduct with clients, customers, shareholders and one another, as well as with the markets and communities in which the Firm does business. All employees are required to complete Code training and annually reaffirm their compliance with the Code. Each member of the Board also annually affirms his or her compliance with the Code. For further information, see “Code of Conduct” under “Other corporate governance policies and practices” on pages 34-35.</w:t>
      </w:r>
    </w:p>
    <w:p>
      <w:pPr>
        <w:spacing w:after="0" w:line="200" w:lineRule="exact"/>
        <w:rPr>
          <w:sz w:val="20"/>
          <w:szCs w:val="20"/>
          <w:color w:val="auto"/>
        </w:rPr>
      </w:pPr>
    </w:p>
    <w:p>
      <w:pPr>
        <w:spacing w:after="0" w:line="325"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151"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Board oversight of the key risks arising from the businesses and activities of the Firm are coordinated among Board committees generally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65405</wp:posOffset>
            </wp:positionV>
            <wp:extent cx="2804160" cy="283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04160" cy="283210"/>
                    </a:xfrm>
                    <a:prstGeom prst="rect">
                      <a:avLst/>
                    </a:prstGeom>
                    <a:noFill/>
                  </pic:spPr>
                </pic:pic>
              </a:graphicData>
            </a:graphic>
          </wp:anchor>
        </w:drawing>
      </w:r>
    </w:p>
    <w:p>
      <w:pPr>
        <w:spacing w:after="0" w:line="120" w:lineRule="exact"/>
        <w:rPr>
          <w:sz w:val="20"/>
          <w:szCs w:val="20"/>
          <w:color w:val="auto"/>
        </w:rPr>
      </w:pPr>
    </w:p>
    <w:p>
      <w:pPr>
        <w:ind w:left="4680"/>
        <w:spacing w:after="0"/>
        <w:rPr>
          <w:sz w:val="20"/>
          <w:szCs w:val="20"/>
          <w:color w:val="auto"/>
        </w:rPr>
      </w:pPr>
      <w:r>
        <w:rPr>
          <w:rFonts w:ascii="Arial" w:cs="Arial" w:eastAsia="Arial" w:hAnsi="Arial"/>
          <w:sz w:val="25"/>
          <w:szCs w:val="25"/>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76835</wp:posOffset>
            </wp:positionV>
            <wp:extent cx="5600065"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00065" cy="2146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40"/>
        <w:spacing w:after="0"/>
        <w:tabs>
          <w:tab w:leader="none" w:pos="3680" w:val="left"/>
          <w:tab w:leader="none" w:pos="5360" w:val="left"/>
          <w:tab w:leader="none" w:pos="7380" w:val="left"/>
          <w:tab w:leader="none" w:pos="9740" w:val="left"/>
        </w:tabs>
        <w:rPr>
          <w:sz w:val="20"/>
          <w:szCs w:val="20"/>
          <w:color w:val="auto"/>
        </w:rPr>
      </w:pPr>
      <w:r>
        <w:rPr>
          <w:rFonts w:ascii="Arial" w:cs="Arial" w:eastAsia="Arial" w:hAnsi="Arial"/>
          <w:sz w:val="16"/>
          <w:szCs w:val="16"/>
          <w:b w:val="1"/>
          <w:bCs w:val="1"/>
          <w:color w:val="auto"/>
        </w:rPr>
        <w:t>Audit</w:t>
      </w:r>
      <w:r>
        <w:rPr>
          <w:sz w:val="20"/>
          <w:szCs w:val="20"/>
          <w:color w:val="auto"/>
        </w:rPr>
        <w:tab/>
      </w:r>
      <w:r>
        <w:rPr>
          <w:rFonts w:ascii="Arial" w:cs="Arial" w:eastAsia="Arial" w:hAnsi="Arial"/>
          <w:sz w:val="16"/>
          <w:szCs w:val="16"/>
          <w:b w:val="1"/>
          <w:bCs w:val="1"/>
          <w:color w:val="auto"/>
        </w:rPr>
        <w:t>CMDC</w:t>
      </w:r>
      <w:r>
        <w:rPr>
          <w:sz w:val="20"/>
          <w:szCs w:val="20"/>
          <w:color w:val="auto"/>
        </w:rPr>
        <w:tab/>
      </w:r>
      <w:r>
        <w:rPr>
          <w:rFonts w:ascii="Arial" w:cs="Arial" w:eastAsia="Arial" w:hAnsi="Arial"/>
          <w:sz w:val="16"/>
          <w:szCs w:val="16"/>
          <w:b w:val="1"/>
          <w:bCs w:val="1"/>
          <w:color w:val="auto"/>
        </w:rPr>
        <w:t>DRPC</w:t>
      </w:r>
      <w:r>
        <w:rPr>
          <w:sz w:val="20"/>
          <w:szCs w:val="20"/>
          <w:color w:val="auto"/>
        </w:rPr>
        <w:tab/>
      </w:r>
      <w:r>
        <w:rPr>
          <w:rFonts w:ascii="Arial" w:cs="Arial" w:eastAsia="Arial" w:hAnsi="Arial"/>
          <w:sz w:val="16"/>
          <w:szCs w:val="16"/>
          <w:b w:val="1"/>
          <w:bCs w:val="1"/>
          <w:color w:val="auto"/>
        </w:rPr>
        <w:t>Public Responsibility</w:t>
      </w:r>
      <w:r>
        <w:rPr>
          <w:sz w:val="20"/>
          <w:szCs w:val="20"/>
          <w:color w:val="auto"/>
        </w:rPr>
        <w:tab/>
      </w:r>
      <w:r>
        <w:rPr>
          <w:rFonts w:ascii="Arial" w:cs="Arial" w:eastAsia="Arial" w:hAnsi="Arial"/>
          <w:sz w:val="16"/>
          <w:szCs w:val="16"/>
          <w:b w:val="1"/>
          <w:bCs w:val="1"/>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6997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Oversees:</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Internal control framework</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Integrity of financial statements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Legal risk</w:t>
      </w:r>
    </w:p>
    <w:p>
      <w:pPr>
        <w:spacing w:after="0" w:line="154" w:lineRule="exact"/>
        <w:rPr>
          <w:sz w:val="20"/>
          <w:szCs w:val="20"/>
          <w:color w:val="auto"/>
        </w:rPr>
      </w:pPr>
    </w:p>
    <w:p>
      <w:pPr>
        <w:ind w:left="340" w:right="660" w:hanging="8"/>
        <w:spacing w:after="0" w:line="278" w:lineRule="auto"/>
        <w:rPr>
          <w:sz w:val="20"/>
          <w:szCs w:val="20"/>
          <w:color w:val="auto"/>
        </w:rPr>
      </w:pPr>
      <w:r>
        <w:rPr>
          <w:rFonts w:ascii="Arial" w:cs="Arial" w:eastAsia="Arial" w:hAnsi="Arial"/>
          <w:sz w:val="16"/>
          <w:szCs w:val="16"/>
          <w:color w:val="auto"/>
        </w:rPr>
        <w:t>Technology and cybersecurity controls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Oversees:</w:t>
      </w:r>
    </w:p>
    <w:p>
      <w:pPr>
        <w:spacing w:after="0" w:line="11" w:lineRule="exact"/>
        <w:rPr>
          <w:sz w:val="20"/>
          <w:szCs w:val="20"/>
          <w:color w:val="auto"/>
        </w:rPr>
      </w:pPr>
    </w:p>
    <w:p>
      <w:pPr>
        <w:ind w:left="160" w:right="60" w:hanging="8"/>
        <w:spacing w:after="0" w:line="262" w:lineRule="auto"/>
        <w:rPr>
          <w:sz w:val="20"/>
          <w:szCs w:val="20"/>
          <w:color w:val="auto"/>
        </w:rPr>
      </w:pPr>
      <w:r>
        <w:rPr>
          <w:rFonts w:ascii="Arial" w:cs="Arial" w:eastAsia="Arial" w:hAnsi="Arial"/>
          <w:sz w:val="16"/>
          <w:szCs w:val="16"/>
          <w:color w:val="auto"/>
        </w:rPr>
        <w:t>Review and approval of compensation philosophy and practices</w:t>
      </w:r>
    </w:p>
    <w:p>
      <w:pPr>
        <w:spacing w:after="0" w:line="72" w:lineRule="exact"/>
        <w:rPr>
          <w:sz w:val="20"/>
          <w:szCs w:val="20"/>
          <w:color w:val="auto"/>
        </w:rPr>
      </w:pPr>
    </w:p>
    <w:p>
      <w:pPr>
        <w:ind w:left="160" w:right="320" w:hanging="8"/>
        <w:spacing w:after="0" w:line="278" w:lineRule="auto"/>
        <w:rPr>
          <w:sz w:val="20"/>
          <w:szCs w:val="20"/>
          <w:color w:val="auto"/>
        </w:rPr>
      </w:pPr>
      <w:r>
        <w:rPr>
          <w:rFonts w:ascii="Arial" w:cs="Arial" w:eastAsia="Arial" w:hAnsi="Arial"/>
          <w:sz w:val="16"/>
          <w:szCs w:val="16"/>
          <w:color w:val="auto"/>
        </w:rPr>
        <w:t>Compensation and benefit programs</w:t>
      </w:r>
    </w:p>
    <w:p>
      <w:pPr>
        <w:spacing w:after="0" w:line="100" w:lineRule="exact"/>
        <w:rPr>
          <w:sz w:val="20"/>
          <w:szCs w:val="20"/>
          <w:color w:val="auto"/>
        </w:rPr>
      </w:pPr>
    </w:p>
    <w:p>
      <w:pPr>
        <w:ind w:left="160" w:hanging="8"/>
        <w:spacing w:after="0" w:line="262" w:lineRule="auto"/>
        <w:rPr>
          <w:sz w:val="20"/>
          <w:szCs w:val="20"/>
          <w:color w:val="auto"/>
        </w:rPr>
      </w:pPr>
      <w:r>
        <w:rPr>
          <w:rFonts w:ascii="Arial" w:cs="Arial" w:eastAsia="Arial" w:hAnsi="Arial"/>
          <w:sz w:val="16"/>
          <w:szCs w:val="16"/>
          <w:color w:val="auto"/>
        </w:rPr>
        <w:t>Operating Committee performance assessments and compensation</w:t>
      </w:r>
    </w:p>
    <w:p>
      <w:pPr>
        <w:spacing w:after="0" w:line="113" w:lineRule="exact"/>
        <w:rPr>
          <w:sz w:val="20"/>
          <w:szCs w:val="20"/>
          <w:color w:val="auto"/>
        </w:rPr>
      </w:pPr>
    </w:p>
    <w:p>
      <w:pPr>
        <w:ind w:left="160" w:right="80" w:hanging="8"/>
        <w:spacing w:after="0" w:line="257" w:lineRule="auto"/>
        <w:rPr>
          <w:sz w:val="20"/>
          <w:szCs w:val="20"/>
          <w:color w:val="auto"/>
        </w:rPr>
      </w:pPr>
      <w:r>
        <w:rPr>
          <w:rFonts w:ascii="Arial" w:cs="Arial" w:eastAsia="Arial" w:hAnsi="Arial"/>
          <w:sz w:val="16"/>
          <w:szCs w:val="16"/>
          <w:color w:val="auto"/>
        </w:rPr>
        <w:t>Firm’s Business Principles, culture and significant employee conduct issues and any related actions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Oversees: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Global risk</w:t>
      </w:r>
    </w:p>
    <w:p>
      <w:pPr>
        <w:spacing w:after="0" w:line="40" w:lineRule="exact"/>
        <w:rPr>
          <w:sz w:val="20"/>
          <w:szCs w:val="20"/>
          <w:color w:val="auto"/>
        </w:rPr>
      </w:pPr>
    </w:p>
    <w:p>
      <w:pPr>
        <w:ind w:left="140" w:right="80"/>
        <w:spacing w:after="0" w:line="248" w:lineRule="auto"/>
        <w:rPr>
          <w:sz w:val="20"/>
          <w:szCs w:val="20"/>
          <w:color w:val="auto"/>
        </w:rPr>
      </w:pPr>
      <w:r>
        <w:rPr>
          <w:rFonts w:ascii="Arial" w:cs="Arial" w:eastAsia="Arial" w:hAnsi="Arial"/>
          <w:sz w:val="16"/>
          <w:szCs w:val="16"/>
          <w:color w:val="auto"/>
        </w:rPr>
        <w:t>management framework, including frameworks or policies for risk identification, risk appetite, reputational risk and conduct risk</w:t>
      </w:r>
    </w:p>
    <w:p>
      <w:pPr>
        <w:spacing w:after="0" w:line="65" w:lineRule="exact"/>
        <w:rPr>
          <w:sz w:val="20"/>
          <w:szCs w:val="20"/>
          <w:color w:val="auto"/>
        </w:rPr>
      </w:pPr>
    </w:p>
    <w:p>
      <w:pPr>
        <w:ind w:left="140" w:hanging="8"/>
        <w:spacing w:after="0" w:line="262" w:lineRule="auto"/>
        <w:rPr>
          <w:sz w:val="20"/>
          <w:szCs w:val="20"/>
          <w:color w:val="auto"/>
        </w:rPr>
      </w:pPr>
      <w:r>
        <w:rPr>
          <w:rFonts w:ascii="Arial" w:cs="Arial" w:eastAsia="Arial" w:hAnsi="Arial"/>
          <w:sz w:val="16"/>
          <w:szCs w:val="16"/>
          <w:color w:val="auto"/>
        </w:rPr>
        <w:t>Approval of primary risk management policies and risk appetite policy</w:t>
      </w:r>
    </w:p>
    <w:p>
      <w:pPr>
        <w:spacing w:after="0" w:line="113" w:lineRule="exact"/>
        <w:rPr>
          <w:sz w:val="20"/>
          <w:szCs w:val="20"/>
          <w:color w:val="auto"/>
        </w:rPr>
      </w:pPr>
    </w:p>
    <w:p>
      <w:pPr>
        <w:ind w:left="140" w:right="620"/>
        <w:spacing w:after="0" w:line="440" w:lineRule="auto"/>
        <w:rPr>
          <w:sz w:val="20"/>
          <w:szCs w:val="20"/>
          <w:color w:val="auto"/>
        </w:rPr>
      </w:pPr>
      <w:r>
        <w:rPr>
          <w:rFonts w:ascii="Arial" w:cs="Arial" w:eastAsia="Arial" w:hAnsi="Arial"/>
          <w:sz w:val="16"/>
          <w:szCs w:val="16"/>
          <w:color w:val="auto"/>
        </w:rPr>
        <w:t>Market risk Credit risk Country risk Investment risk Liquidity risk</w:t>
      </w:r>
    </w:p>
    <w:p>
      <w:pPr>
        <w:spacing w:after="0" w:line="2" w:lineRule="exact"/>
        <w:rPr>
          <w:sz w:val="20"/>
          <w:szCs w:val="20"/>
          <w:color w:val="auto"/>
        </w:rPr>
      </w:pPr>
    </w:p>
    <w:p>
      <w:pPr>
        <w:ind w:left="140" w:right="60" w:hanging="8"/>
        <w:spacing w:after="0" w:line="278" w:lineRule="auto"/>
        <w:rPr>
          <w:sz w:val="20"/>
          <w:szCs w:val="20"/>
          <w:color w:val="auto"/>
        </w:rPr>
      </w:pPr>
      <w:r>
        <w:rPr>
          <w:rFonts w:ascii="Arial" w:cs="Arial" w:eastAsia="Arial" w:hAnsi="Arial"/>
          <w:sz w:val="16"/>
          <w:szCs w:val="16"/>
          <w:color w:val="auto"/>
        </w:rPr>
        <w:t>Estimations and model risk</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20"/>
                <w:szCs w:val="20"/>
                <w:color w:val="auto"/>
              </w:rPr>
            </w:pPr>
            <w:r>
              <w:rPr>
                <w:rFonts w:ascii="Arial" w:cs="Arial" w:eastAsia="Arial" w:hAnsi="Arial"/>
                <w:sz w:val="16"/>
                <w:szCs w:val="16"/>
                <w:color w:val="auto"/>
              </w:rPr>
              <w:t>Oversees:</w:t>
            </w:r>
          </w:p>
        </w:tc>
        <w:tc>
          <w:tcPr>
            <w:tcW w:w="1820" w:type="dxa"/>
            <w:vAlign w:val="bottom"/>
          </w:tcPr>
          <w:p>
            <w:pPr>
              <w:ind w:left="140"/>
              <w:spacing w:after="0"/>
              <w:rPr>
                <w:sz w:val="20"/>
                <w:szCs w:val="20"/>
                <w:color w:val="auto"/>
              </w:rPr>
            </w:pPr>
            <w:r>
              <w:rPr>
                <w:rFonts w:ascii="Arial" w:cs="Arial" w:eastAsia="Arial" w:hAnsi="Arial"/>
                <w:sz w:val="16"/>
                <w:szCs w:val="16"/>
                <w:color w:val="auto"/>
              </w:rPr>
              <w:t>Oversees:</w:t>
            </w:r>
          </w:p>
        </w:tc>
        <w:tc>
          <w:tcPr>
            <w:tcW w:w="0" w:type="dxa"/>
            <w:vAlign w:val="bottom"/>
          </w:tcPr>
          <w:p>
            <w:pPr>
              <w:spacing w:after="0"/>
              <w:rPr>
                <w:sz w:val="1"/>
                <w:szCs w:val="1"/>
                <w:color w:val="auto"/>
              </w:rPr>
            </w:pPr>
          </w:p>
        </w:tc>
      </w:tr>
      <w:tr>
        <w:trPr>
          <w:trHeight w:val="265"/>
        </w:trPr>
        <w:tc>
          <w:tcPr>
            <w:tcW w:w="1840" w:type="dxa"/>
            <w:vAlign w:val="bottom"/>
          </w:tcPr>
          <w:p>
            <w:pPr>
              <w:spacing w:after="0"/>
              <w:rPr>
                <w:sz w:val="20"/>
                <w:szCs w:val="20"/>
                <w:color w:val="auto"/>
              </w:rPr>
            </w:pPr>
            <w:r>
              <w:rPr>
                <w:rFonts w:ascii="Arial" w:cs="Arial" w:eastAsia="Arial" w:hAnsi="Arial"/>
                <w:sz w:val="16"/>
                <w:szCs w:val="16"/>
                <w:color w:val="auto"/>
              </w:rPr>
              <w:t>Community investing</w:t>
            </w:r>
          </w:p>
        </w:tc>
        <w:tc>
          <w:tcPr>
            <w:tcW w:w="1820" w:type="dxa"/>
            <w:vAlign w:val="bottom"/>
          </w:tcPr>
          <w:p>
            <w:pPr>
              <w:ind w:left="140"/>
              <w:spacing w:after="0"/>
              <w:rPr>
                <w:sz w:val="20"/>
                <w:szCs w:val="20"/>
                <w:color w:val="auto"/>
              </w:rPr>
            </w:pPr>
            <w:r>
              <w:rPr>
                <w:rFonts w:ascii="Arial" w:cs="Arial" w:eastAsia="Arial" w:hAnsi="Arial"/>
                <w:sz w:val="16"/>
                <w:szCs w:val="16"/>
                <w:color w:val="auto"/>
              </w:rPr>
              <w:t>Governance risk</w:t>
            </w: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6"/>
                <w:szCs w:val="16"/>
                <w:color w:val="auto"/>
              </w:rPr>
              <w:t>and fair lending</w:t>
            </w:r>
          </w:p>
        </w:tc>
        <w:tc>
          <w:tcPr>
            <w:tcW w:w="1820" w:type="dxa"/>
            <w:vAlign w:val="bottom"/>
          </w:tcPr>
          <w:p>
            <w:pPr>
              <w:ind w:left="280"/>
              <w:spacing w:after="0"/>
              <w:rPr>
                <w:sz w:val="20"/>
                <w:szCs w:val="20"/>
                <w:color w:val="auto"/>
              </w:rPr>
            </w:pPr>
            <w:r>
              <w:rPr>
                <w:rFonts w:ascii="Arial" w:cs="Arial" w:eastAsia="Arial" w:hAnsi="Arial"/>
                <w:sz w:val="16"/>
                <w:szCs w:val="16"/>
                <w:color w:val="auto"/>
              </w:rPr>
              <w:t>including board</w:t>
            </w: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6"/>
                <w:szCs w:val="16"/>
                <w:color w:val="auto"/>
              </w:rPr>
              <w:t>practices</w:t>
            </w:r>
          </w:p>
        </w:tc>
        <w:tc>
          <w:tcPr>
            <w:tcW w:w="1820" w:type="dxa"/>
            <w:vAlign w:val="bottom"/>
          </w:tcPr>
          <w:p>
            <w:pPr>
              <w:ind w:left="280"/>
              <w:spacing w:after="0"/>
              <w:rPr>
                <w:sz w:val="20"/>
                <w:szCs w:val="20"/>
                <w:color w:val="auto"/>
              </w:rPr>
            </w:pPr>
            <w:r>
              <w:rPr>
                <w:rFonts w:ascii="Arial" w:cs="Arial" w:eastAsia="Arial" w:hAnsi="Arial"/>
                <w:sz w:val="16"/>
                <w:szCs w:val="16"/>
                <w:color w:val="auto"/>
              </w:rPr>
              <w:t>composition and</w:t>
            </w:r>
          </w:p>
        </w:tc>
        <w:tc>
          <w:tcPr>
            <w:tcW w:w="0" w:type="dxa"/>
            <w:vAlign w:val="bottom"/>
          </w:tcPr>
          <w:p>
            <w:pPr>
              <w:spacing w:after="0"/>
              <w:rPr>
                <w:sz w:val="1"/>
                <w:szCs w:val="1"/>
                <w:color w:val="auto"/>
              </w:rPr>
            </w:pPr>
          </w:p>
        </w:tc>
      </w:tr>
      <w:tr>
        <w:trPr>
          <w:trHeight w:val="195"/>
        </w:trPr>
        <w:tc>
          <w:tcPr>
            <w:tcW w:w="1840" w:type="dxa"/>
            <w:vAlign w:val="bottom"/>
            <w:vMerge w:val="restart"/>
          </w:tcPr>
          <w:p>
            <w:pPr>
              <w:spacing w:after="0"/>
              <w:rPr>
                <w:sz w:val="20"/>
                <w:szCs w:val="20"/>
                <w:color w:val="auto"/>
              </w:rPr>
            </w:pPr>
            <w:r>
              <w:rPr>
                <w:rFonts w:ascii="Arial" w:cs="Arial" w:eastAsia="Arial" w:hAnsi="Arial"/>
                <w:sz w:val="16"/>
                <w:szCs w:val="16"/>
                <w:color w:val="auto"/>
              </w:rPr>
              <w:t>Political contributions,</w:t>
            </w:r>
          </w:p>
        </w:tc>
        <w:tc>
          <w:tcPr>
            <w:tcW w:w="1820" w:type="dxa"/>
            <w:vAlign w:val="bottom"/>
          </w:tcPr>
          <w:p>
            <w:pPr>
              <w:ind w:left="280"/>
              <w:spacing w:after="0"/>
              <w:rPr>
                <w:sz w:val="20"/>
                <w:szCs w:val="20"/>
                <w:color w:val="auto"/>
              </w:rPr>
            </w:pPr>
            <w:r>
              <w:rPr>
                <w:rFonts w:ascii="Arial" w:cs="Arial" w:eastAsia="Arial" w:hAnsi="Arial"/>
                <w:sz w:val="16"/>
                <w:szCs w:val="16"/>
                <w:color w:val="auto"/>
                <w:w w:val="99"/>
              </w:rPr>
              <w:t>governance practices</w:t>
            </w:r>
          </w:p>
        </w:tc>
        <w:tc>
          <w:tcPr>
            <w:tcW w:w="0" w:type="dxa"/>
            <w:vAlign w:val="bottom"/>
          </w:tcPr>
          <w:p>
            <w:pPr>
              <w:spacing w:after="0"/>
              <w:rPr>
                <w:sz w:val="1"/>
                <w:szCs w:val="1"/>
                <w:color w:val="auto"/>
              </w:rPr>
            </w:pPr>
          </w:p>
        </w:tc>
      </w:tr>
      <w:tr>
        <w:trPr>
          <w:trHeight w:val="143"/>
        </w:trPr>
        <w:tc>
          <w:tcPr>
            <w:tcW w:w="184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6"/>
          <w:szCs w:val="16"/>
          <w:color w:val="auto"/>
        </w:rPr>
        <w:t>major lobbying priorities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and principal trade</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association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memberships related to</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public policy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Sustainability, including</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ESG policies and</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activities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Consumer practices</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including consumer</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experience, consumer</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complaint resolution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and consumer issues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related to disclosures,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fees or the introduction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of major new products</w:t>
      </w:r>
    </w:p>
    <w:p>
      <w:pPr>
        <w:spacing w:after="0" w:line="293" w:lineRule="exact"/>
        <w:rPr>
          <w:sz w:val="20"/>
          <w:szCs w:val="20"/>
          <w:color w:val="auto"/>
        </w:rPr>
      </w:pPr>
    </w:p>
    <w:p>
      <w:pPr>
        <w:sectPr>
          <w:pgSz w:w="11900" w:h="16838" w:orient="portrait"/>
          <w:cols w:equalWidth="0" w:num="4">
            <w:col w:w="2580" w:space="140"/>
            <w:col w:w="2360" w:space="200"/>
            <w:col w:w="1840" w:space="160"/>
            <w:col w:w="3880"/>
          </w:cols>
          <w:pgMar w:left="240" w:top="459" w:right="499" w:bottom="1440" w:gutter="0" w:footer="0" w:header="0"/>
          <w:type w:val="continuous"/>
        </w:sectPr>
      </w:pPr>
    </w:p>
    <w:p>
      <w:pPr>
        <w:ind w:left="5280"/>
        <w:spacing w:after="0"/>
        <w:rPr>
          <w:sz w:val="20"/>
          <w:szCs w:val="20"/>
          <w:color w:val="auto"/>
        </w:rPr>
      </w:pPr>
      <w:r>
        <w:rPr>
          <w:rFonts w:ascii="Arial" w:cs="Arial" w:eastAsia="Arial" w:hAnsi="Arial"/>
          <w:sz w:val="16"/>
          <w:szCs w:val="16"/>
          <w:color w:val="auto"/>
        </w:rPr>
        <w:t>Operational risk,</w:t>
      </w:r>
    </w:p>
    <w:p>
      <w:pPr>
        <w:spacing w:after="0" w:line="8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including technology</w:t>
      </w:r>
    </w:p>
    <w:p>
      <w:pPr>
        <w:spacing w:after="0" w:line="5"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and cybersecurity risk</w:t>
      </w:r>
    </w:p>
    <w:p>
      <w:pPr>
        <w:spacing w:after="0" w:line="7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Compliance risk,</w:t>
      </w:r>
    </w:p>
    <w:p>
      <w:pPr>
        <w:spacing w:after="0" w:line="8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including fiduciary risk</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more information about committee responsibilities, see “Committees of the Board” on pages 23-26.</w:t>
      </w:r>
    </w:p>
    <w:p>
      <w:pPr>
        <w:spacing w:after="0" w:line="104"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For more information about the Firm’s risk management, see the “Enterprise-wide risk management” section of the Firm’s Annual Report on Form 10-K for the year ended December 31, 2018 (“2018 Form 10-K”).</w:t>
      </w:r>
    </w:p>
    <w:p>
      <w:pPr>
        <w:spacing w:after="0" w:line="124"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30</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CORPORATE GOVERNANCE</w:t>
      </w:r>
    </w:p>
    <w:p>
      <w:pPr>
        <w:sectPr>
          <w:pgSz w:w="11900" w:h="16838" w:orient="portrait"/>
          <w:cols w:equalWidth="0" w:num="1">
            <w:col w:w="11220"/>
          </w:cols>
          <w:pgMar w:left="240" w:top="459" w:right="439" w:bottom="473" w:gutter="0" w:footer="0" w:header="0"/>
        </w:sectPr>
      </w:pPr>
    </w:p>
    <w:p>
      <w:pPr>
        <w:spacing w:after="0" w:line="200" w:lineRule="exact"/>
        <w:rPr>
          <w:sz w:val="20"/>
          <w:szCs w:val="20"/>
          <w:color w:val="auto"/>
        </w:rPr>
      </w:pPr>
    </w:p>
    <w:p>
      <w:pPr>
        <w:spacing w:after="0" w:line="221" w:lineRule="exact"/>
        <w:rPr>
          <w:sz w:val="20"/>
          <w:szCs w:val="20"/>
          <w:color w:val="auto"/>
        </w:rPr>
      </w:pPr>
    </w:p>
    <w:p>
      <w:pPr>
        <w:ind w:left="200" w:right="340"/>
        <w:spacing w:after="0" w:line="239" w:lineRule="auto"/>
        <w:rPr>
          <w:sz w:val="20"/>
          <w:szCs w:val="20"/>
          <w:color w:val="auto"/>
        </w:rPr>
      </w:pPr>
      <w:r>
        <w:rPr>
          <w:rFonts w:ascii="Arial" w:cs="Arial" w:eastAsia="Arial" w:hAnsi="Arial"/>
          <w:sz w:val="20"/>
          <w:szCs w:val="20"/>
          <w:b w:val="1"/>
          <w:bCs w:val="1"/>
          <w:color w:val="auto"/>
        </w:rPr>
        <w:t>Oversight of environmental, social and governance (“ESG”) matters</w:t>
      </w:r>
    </w:p>
    <w:p>
      <w:pPr>
        <w:spacing w:after="0" w:line="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Board oversees the Firm’s approach to ESG matters, including: the Firm’s governance-related policies and practices; our systems of risk management and controls; our human capital strategy; the manner in which we serve our customers and support our communities; and how we advance sustainability in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businesses and operations. The principal standing committees of the Board oversee a range of ESG matters in accordance with the scope of their charters. We know that the long-term success of our Firm requires a continued focus on these evolving topics and a commitment to regularly evaluating how we are doing and challenging ourselves to improve.</w:t>
      </w:r>
    </w:p>
    <w:p>
      <w:pPr>
        <w:spacing w:after="0" w:line="632" w:lineRule="exact"/>
        <w:rPr>
          <w:sz w:val="20"/>
          <w:szCs w:val="20"/>
          <w:color w:val="auto"/>
        </w:rPr>
      </w:pPr>
    </w:p>
    <w:p>
      <w:pPr>
        <w:sectPr>
          <w:pgSz w:w="11900" w:h="16838" w:orient="portrait"/>
          <w:cols w:equalWidth="0" w:num="2">
            <w:col w:w="5360" w:space="460"/>
            <w:col w:w="5400"/>
          </w:cols>
          <w:pgMar w:left="240" w:top="459" w:right="439" w:bottom="473" w:gutter="0" w:footer="0" w:header="0"/>
          <w:type w:val="continuous"/>
        </w:sectPr>
      </w:pPr>
    </w:p>
    <w:p>
      <w:pPr>
        <w:spacing w:after="0" w:line="154"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4876"/>
        </w:rPr>
        <w:t>Active Board engagement with the Firm’s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110490</wp:posOffset>
            </wp:positionV>
            <wp:extent cx="6997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473" w:gutter="0" w:footer="0" w:header="0"/>
          <w:type w:val="continuous"/>
        </w:sect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Active engagement</w:t>
      </w:r>
    </w:p>
    <w:p>
      <w:pPr>
        <w:spacing w:after="0" w:line="6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Board, as a group or as a subset of one or more directors, meets periodically throughout the year with the Firm’s shareholders, employees and regulators, and with non-governmental organizations, and other persons interested in our strategy, business practices, governance, culture and performance. For more information, see the CD&amp;A on pages 41-63.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To contact our Board of Directors, any Board member, including the Lead Independent Director, any committee chair, or the independent directors as a group, mail correspondence to: JPMorgan Chase &amp; Co., Attention (name of Board member(s)), Office of the Secretary, 4 New York Plaza, New York, NY 10004, or e-mail the Office of the Secretary at corporate.secretary@jpmchase.com.</w:t>
      </w:r>
    </w:p>
    <w:p>
      <w:pPr>
        <w:spacing w:after="0" w:line="200" w:lineRule="exact"/>
        <w:rPr>
          <w:sz w:val="20"/>
          <w:szCs w:val="20"/>
          <w:color w:val="auto"/>
        </w:rPr>
      </w:pPr>
    </w:p>
    <w:p>
      <w:pPr>
        <w:sectPr>
          <w:pgSz w:w="11900" w:h="16838" w:orient="portrait"/>
          <w:cols w:equalWidth="0" w:num="2">
            <w:col w:w="5360" w:space="460"/>
            <w:col w:w="5400"/>
          </w:cols>
          <w:pgMar w:left="240" w:top="459" w:right="439" w:bottom="473" w:gutter="0" w:footer="0" w:header="0"/>
          <w:type w:val="continuous"/>
        </w:sectPr>
      </w:pPr>
    </w:p>
    <w:p>
      <w:pPr>
        <w:spacing w:after="0" w:line="15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Engagement with shareholders</w:t>
      </w:r>
    </w:p>
    <w:p>
      <w:pPr>
        <w:spacing w:after="0" w:line="13" w:lineRule="exact"/>
        <w:rPr>
          <w:sz w:val="20"/>
          <w:szCs w:val="20"/>
          <w:color w:val="auto"/>
        </w:rPr>
      </w:pPr>
    </w:p>
    <w:p>
      <w:pPr>
        <w:ind w:left="200" w:right="780"/>
        <w:spacing w:after="0"/>
        <w:rPr>
          <w:sz w:val="20"/>
          <w:szCs w:val="20"/>
          <w:color w:val="auto"/>
        </w:rPr>
      </w:pPr>
      <w:r>
        <w:rPr>
          <w:rFonts w:ascii="Arial" w:cs="Arial" w:eastAsia="Arial" w:hAnsi="Arial"/>
          <w:sz w:val="18"/>
          <w:szCs w:val="18"/>
          <w:color w:val="auto"/>
        </w:rPr>
        <w:t>We have an active and ongoing approach to engagement on a wide variety of topics (e.g., strategy, performance, competitive environment) throughout the year. We interact with and receive feedback from our shareholders and other interested parties. Our shareholder engagement efforts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7031990" cy="51968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31990" cy="5196840"/>
                    </a:xfrm>
                    <a:prstGeom prst="rect">
                      <a:avLst/>
                    </a:prstGeom>
                    <a:noFill/>
                  </pic:spPr>
                </pic:pic>
              </a:graphicData>
            </a:graphic>
          </wp:anchor>
        </w:drawing>
      </w:r>
    </w:p>
    <w:p>
      <w:pPr>
        <w:sectPr>
          <w:pgSz w:w="11900" w:h="16838" w:orient="portrait"/>
          <w:cols w:equalWidth="0" w:num="1">
            <w:col w:w="11220"/>
          </w:cols>
          <w:pgMar w:left="240" w:top="459" w:right="439" w:bottom="47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80"/>
        <w:spacing w:after="0"/>
        <w:tabs>
          <w:tab w:leader="none" w:pos="10960" w:val="left"/>
        </w:tabs>
        <w:rPr>
          <w:sz w:val="20"/>
          <w:szCs w:val="20"/>
          <w:color w:val="auto"/>
        </w:rPr>
      </w:pPr>
      <w:r>
        <w:rPr>
          <w:rFonts w:ascii="Arial" w:cs="Arial" w:eastAsia="Arial" w:hAnsi="Arial"/>
          <w:sz w:val="13"/>
          <w:szCs w:val="13"/>
          <w:color w:val="auto"/>
        </w:rPr>
        <w:t>JPMORGAN CHASE &amp; CO. • 2019 PROXY STATEMENT</w:t>
      </w:r>
      <w:r>
        <w:rPr>
          <w:sz w:val="20"/>
          <w:szCs w:val="20"/>
          <w:color w:val="auto"/>
        </w:rPr>
        <w:tab/>
      </w: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473"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Engagement with employees</w:t>
      </w:r>
    </w:p>
    <w:p>
      <w:pPr>
        <w:spacing w:after="0" w:line="13" w:lineRule="exact"/>
        <w:rPr>
          <w:sz w:val="20"/>
          <w:szCs w:val="20"/>
          <w:color w:val="auto"/>
        </w:rPr>
      </w:pPr>
    </w:p>
    <w:p>
      <w:pPr>
        <w:ind w:left="220" w:right="60"/>
        <w:spacing w:after="0"/>
        <w:rPr>
          <w:sz w:val="20"/>
          <w:szCs w:val="20"/>
          <w:color w:val="auto"/>
        </w:rPr>
      </w:pPr>
      <w:r>
        <w:rPr>
          <w:rFonts w:ascii="Arial" w:cs="Arial" w:eastAsia="Arial" w:hAnsi="Arial"/>
          <w:sz w:val="18"/>
          <w:szCs w:val="18"/>
          <w:color w:val="auto"/>
        </w:rPr>
        <w:t>Our Board is committed to maintaining a strong corporate culture that instills and enhances a sense of personal accountability on the part of all of the Firm’s employees.</w:t>
      </w:r>
    </w:p>
    <w:p>
      <w:pPr>
        <w:spacing w:after="0" w:line="95"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In addition to discussions at Board meetings with senior management about these efforts, our directors participate in meetings with employees to emphasize this commitment. These meetings include employee town halls, lines of business and leadership team events, annual senior leaders’ meetings and informal sessions with members of the Operating Committee and other senior leaders.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Engagement with regulators</w:t>
      </w:r>
    </w:p>
    <w:p>
      <w:pPr>
        <w:spacing w:after="0" w:line="1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Our Board and senior leaders commit significant time meeting with regulators from the U.S. and from other countries. Frequent interaction helps us learn first-hand from regulators about matters of importance to them and their expectations of us. It also gives the Board and management a forum for keeping our regulators well-informed about the Firm’s performance and business practices.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Engagement with ESG stakeholders</w:t>
      </w:r>
    </w:p>
    <w:p>
      <w:pPr>
        <w:spacing w:after="0" w:line="13" w:lineRule="exact"/>
        <w:rPr>
          <w:sz w:val="20"/>
          <w:szCs w:val="20"/>
          <w:color w:val="auto"/>
        </w:rPr>
      </w:pPr>
    </w:p>
    <w:p>
      <w:pPr>
        <w:ind w:left="220" w:right="60"/>
        <w:spacing w:after="0" w:line="239" w:lineRule="auto"/>
        <w:rPr>
          <w:sz w:val="20"/>
          <w:szCs w:val="20"/>
          <w:color w:val="auto"/>
        </w:rPr>
      </w:pPr>
      <w:r>
        <w:rPr>
          <w:rFonts w:ascii="Arial" w:cs="Arial" w:eastAsia="Arial" w:hAnsi="Arial"/>
          <w:sz w:val="18"/>
          <w:szCs w:val="18"/>
          <w:color w:val="auto"/>
        </w:rPr>
        <w:t>We engage with numerous non-governmental organizations on a diverse range of issues that are important to communities and consumers about our business. For example, through the Chase Advisory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Panel program, senior executives engage with national consumer policy groups to discuss issues related to the Firm’s products, policies, customer-facing practices, communications and public policy issues. We also engage with organizations on environmental and social issues and provide philanthropic support to a broad range of nonprofit organizations that work on issues that are important to our Firm. Management shares insights and feedback from these relationships and engagements with the Board, providing the Board with valuable insights to the issues that matter to our various stakeholders. This helps us understand how the Firm’s products and services can better serve our stakeholders and the communities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-2493010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Firm is committed to being transparent about how we do business and reporting on our efforts. One way we do this is by publishing an annual ESG Report, which provides information on how we are addressing ESG matters that we and our stakeholders view as among the most important to our business. The Firm’s ESG report is available on our website at jpmorganchase.com/esg.</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Engagement and transparency with our stakeholders help our Firm gain useful feedback and help us improve our governance processes. Information garnered from these meetings is shared regularly with the Firm’s Board of Directors and senior management.</w:t>
      </w:r>
    </w:p>
    <w:p>
      <w:pPr>
        <w:spacing w:after="0" w:line="767" w:lineRule="exact"/>
        <w:rPr>
          <w:sz w:val="20"/>
          <w:szCs w:val="20"/>
          <w:color w:val="auto"/>
        </w:rPr>
      </w:pPr>
    </w:p>
    <w:p>
      <w:pPr>
        <w:sectPr>
          <w:pgSz w:w="11900" w:h="16838" w:orient="portrait"/>
          <w:cols w:equalWidth="0" w:num="2">
            <w:col w:w="5420" w:space="400"/>
            <w:col w:w="5400"/>
          </w:cols>
          <w:pgMar w:left="240" w:top="459" w:right="439" w:bottom="1440" w:gutter="0" w:footer="0" w:header="0"/>
        </w:sectPr>
      </w:pPr>
    </w:p>
    <w:p>
      <w:pPr>
        <w:spacing w:after="0" w:line="151"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4876"/>
        </w:rPr>
        <w:t>Other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110490</wp:posOffset>
            </wp:positionV>
            <wp:extent cx="6997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3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Shareholder rights</w:t>
      </w:r>
    </w:p>
    <w:p>
      <w:pPr>
        <w:spacing w:after="0" w:line="13" w:lineRule="exact"/>
        <w:rPr>
          <w:sz w:val="20"/>
          <w:szCs w:val="20"/>
          <w:color w:val="auto"/>
        </w:rPr>
      </w:pPr>
    </w:p>
    <w:p>
      <w:pPr>
        <w:ind w:left="200" w:right="600"/>
        <w:spacing w:after="0" w:line="246" w:lineRule="auto"/>
        <w:rPr>
          <w:sz w:val="20"/>
          <w:szCs w:val="20"/>
          <w:color w:val="auto"/>
        </w:rPr>
      </w:pPr>
      <w:r>
        <w:rPr>
          <w:rFonts w:ascii="Arial" w:cs="Arial" w:eastAsia="Arial" w:hAnsi="Arial"/>
          <w:sz w:val="18"/>
          <w:szCs w:val="18"/>
          <w:color w:val="auto"/>
        </w:rPr>
        <w:t>The Firm’s Certificate of Incorporation and By-laws provide shareholders with important rights, including:</w:t>
      </w:r>
    </w:p>
    <w:p>
      <w:pPr>
        <w:spacing w:after="0" w:line="56" w:lineRule="exact"/>
        <w:rPr>
          <w:sz w:val="20"/>
          <w:szCs w:val="20"/>
          <w:color w:val="auto"/>
        </w:rPr>
      </w:pPr>
    </w:p>
    <w:p>
      <w:pPr>
        <w:ind w:left="400" w:right="180"/>
        <w:spacing w:after="0" w:line="257" w:lineRule="auto"/>
        <w:rPr>
          <w:sz w:val="20"/>
          <w:szCs w:val="20"/>
          <w:color w:val="auto"/>
        </w:rPr>
      </w:pPr>
      <w:r>
        <w:rPr>
          <w:rFonts w:ascii="Arial" w:cs="Arial" w:eastAsia="Arial" w:hAnsi="Arial"/>
          <w:sz w:val="17"/>
          <w:szCs w:val="17"/>
          <w:color w:val="auto"/>
        </w:rPr>
        <w:t>Proxy access, which enables eligible shareholders to include their nominees for election as directors in the Firm’s proxy statement. For further information, see page 98, “Shareholder proposals and nominations for the 2020 annual meeting.”</w:t>
      </w:r>
    </w:p>
    <w:p>
      <w:pPr>
        <w:spacing w:after="0" w:line="94" w:lineRule="exact"/>
        <w:rPr>
          <w:sz w:val="20"/>
          <w:szCs w:val="20"/>
          <w:color w:val="auto"/>
        </w:rPr>
      </w:pPr>
    </w:p>
    <w:p>
      <w:pPr>
        <w:ind w:left="400" w:right="140"/>
        <w:spacing w:after="0"/>
        <w:rPr>
          <w:sz w:val="20"/>
          <w:szCs w:val="20"/>
          <w:color w:val="auto"/>
        </w:rPr>
      </w:pPr>
      <w:r>
        <w:rPr>
          <w:rFonts w:ascii="Arial" w:cs="Arial" w:eastAsia="Arial" w:hAnsi="Arial"/>
          <w:sz w:val="18"/>
          <w:szCs w:val="18"/>
          <w:color w:val="auto"/>
        </w:rPr>
        <w:t>The ability to call a special meeting by shareholders holding at least 20% of the outstanding shares of our common stock (net of hedges).</w:t>
      </w:r>
    </w:p>
    <w:p>
      <w:pPr>
        <w:spacing w:after="0" w:line="108" w:lineRule="exact"/>
        <w:rPr>
          <w:sz w:val="20"/>
          <w:szCs w:val="20"/>
          <w:color w:val="auto"/>
        </w:rPr>
      </w:pPr>
    </w:p>
    <w:p>
      <w:pPr>
        <w:ind w:left="400"/>
        <w:spacing w:after="0" w:line="238" w:lineRule="auto"/>
        <w:rPr>
          <w:sz w:val="20"/>
          <w:szCs w:val="20"/>
          <w:color w:val="auto"/>
        </w:rPr>
      </w:pPr>
      <w:r>
        <w:rPr>
          <w:rFonts w:ascii="Arial" w:cs="Arial" w:eastAsia="Arial" w:hAnsi="Arial"/>
          <w:sz w:val="18"/>
          <w:szCs w:val="18"/>
          <w:color w:val="auto"/>
        </w:rPr>
        <w:t>The ability of shareholders holding at least 20% of the outstanding shares of our common stock (net of hedges) to seek a corporate action by written consent without a meeting on terms substantially similar to the terms applicable to call special meetings.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200" w:right="2960"/>
        <w:spacing w:after="0" w:line="414" w:lineRule="auto"/>
        <w:rPr>
          <w:sz w:val="20"/>
          <w:szCs w:val="20"/>
          <w:color w:val="auto"/>
        </w:rPr>
      </w:pPr>
      <w:r>
        <w:rPr>
          <w:rFonts w:ascii="Arial" w:cs="Arial" w:eastAsia="Arial" w:hAnsi="Arial"/>
          <w:sz w:val="17"/>
          <w:szCs w:val="17"/>
          <w:color w:val="auto"/>
        </w:rPr>
        <w:t>Majority election of directors No “poison pill” in effect</w:t>
      </w:r>
    </w:p>
    <w:p>
      <w:pPr>
        <w:ind w:left="200" w:right="740"/>
        <w:spacing w:after="0" w:line="246" w:lineRule="auto"/>
        <w:rPr>
          <w:sz w:val="20"/>
          <w:szCs w:val="20"/>
          <w:color w:val="auto"/>
        </w:rPr>
      </w:pPr>
      <w:r>
        <w:rPr>
          <w:rFonts w:ascii="Arial" w:cs="Arial" w:eastAsia="Arial" w:hAnsi="Arial"/>
          <w:sz w:val="18"/>
          <w:szCs w:val="18"/>
          <w:color w:val="auto"/>
        </w:rPr>
        <w:t>No super-majority vote requirements in our Certificate of Incorporation or By-laws</w:t>
      </w:r>
    </w:p>
    <w:p>
      <w:pPr>
        <w:spacing w:after="0" w:line="9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Firm’s Certificate of Incorporation and By-laws are available on our website at jpmorganchase.com/governance.</w:t>
      </w:r>
    </w:p>
    <w:p>
      <w:pPr>
        <w:spacing w:after="0" w:line="170" w:lineRule="exact"/>
        <w:rPr>
          <w:sz w:val="20"/>
          <w:szCs w:val="20"/>
          <w:color w:val="auto"/>
        </w:rPr>
      </w:pPr>
    </w:p>
    <w:p>
      <w:pPr>
        <w:ind w:right="420"/>
        <w:spacing w:after="0" w:line="239" w:lineRule="auto"/>
        <w:rPr>
          <w:sz w:val="20"/>
          <w:szCs w:val="20"/>
          <w:color w:val="auto"/>
        </w:rPr>
      </w:pPr>
      <w:r>
        <w:rPr>
          <w:rFonts w:ascii="Arial" w:cs="Arial" w:eastAsia="Arial" w:hAnsi="Arial"/>
          <w:sz w:val="20"/>
          <w:szCs w:val="20"/>
          <w:b w:val="1"/>
          <w:bCs w:val="1"/>
          <w:color w:val="auto"/>
        </w:rPr>
        <w:t>Policies and procedures for approval of related party transactions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Firm has adopted a written Transactions with Related Persons Policy (“Policy”), which sets forth the Firm’s policies and procedures for reviewing and approving transactions with related persons – basically our directors, executive officers, their respective immediate family members and 5% shareholders. The transactions covered by the Policy include any financial</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81"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right="120"/>
        <w:spacing w:after="0" w:line="239" w:lineRule="auto"/>
        <w:rPr>
          <w:sz w:val="20"/>
          <w:szCs w:val="20"/>
          <w:color w:val="auto"/>
        </w:rPr>
      </w:pPr>
      <w:r>
        <w:rPr>
          <w:rFonts w:ascii="Arial" w:cs="Arial" w:eastAsia="Arial" w:hAnsi="Arial"/>
          <w:sz w:val="18"/>
          <w:szCs w:val="18"/>
          <w:color w:val="auto"/>
        </w:rPr>
        <w:t>transaction, arrangement or relationship in which the Firm is a participant, the related person has or will have a direct or indirect material interest and the aggregate amount involved will or may be expected to exceed $120,000 in any fiscal year.</w:t>
      </w:r>
    </w:p>
    <w:p>
      <w:pPr>
        <w:spacing w:after="0" w:line="94"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After becoming aware of any transaction which may be subject to the Policy, the related person is required to report all relevant facts with respect to the transaction to the General Counsel of the Firm. Upon determination by the General Counsel that a transaction requires review under the Policy, the material facts of the transaction and the related person’s interest in the transaction are provided to the Governance Committee. The transaction is then reviewed by the disinterested members of the Governance Committee, which then determines whether approval or ratification of the transaction shall be granted. In reviewing a transaction, the Governance Committee considers facts and circumstances that it deems relevant to its determination, such as: management’s assessment of the commercial reasonableness of the transaction; the materiality of the related person’s direct or indirect interest in the transaction; whether the transaction may involve an actual, or the appearance of, a conflict of interest; and, if the transaction involves a director, the impact of the transaction on the director’s independence.</w:t>
      </w:r>
    </w:p>
    <w:p>
      <w:pPr>
        <w:spacing w:after="0" w:line="106"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Certain types of transactions are pre-approved in accordance with the terms of the Policy. These include transactions in the ordinary course of business involving financial products and services provided by, or to, the Firm, including loans, provided such transactions are in compliance with the Sarbanes-Oxley Act of 2002, Federal Reserve Board Regulation O and other applicable laws and regulations.</w:t>
      </w:r>
    </w:p>
    <w:p>
      <w:pPr>
        <w:spacing w:after="0" w:line="177" w:lineRule="exact"/>
        <w:rPr>
          <w:sz w:val="20"/>
          <w:szCs w:val="20"/>
          <w:color w:val="auto"/>
        </w:rPr>
      </w:pPr>
    </w:p>
    <w:p>
      <w:pPr>
        <w:ind w:left="220" w:right="180"/>
        <w:spacing w:after="0" w:line="239" w:lineRule="auto"/>
        <w:rPr>
          <w:sz w:val="20"/>
          <w:szCs w:val="20"/>
          <w:color w:val="auto"/>
        </w:rPr>
      </w:pPr>
      <w:r>
        <w:rPr>
          <w:rFonts w:ascii="Arial" w:cs="Arial" w:eastAsia="Arial" w:hAnsi="Arial"/>
          <w:sz w:val="20"/>
          <w:szCs w:val="20"/>
          <w:b w:val="1"/>
          <w:bCs w:val="1"/>
          <w:color w:val="auto"/>
        </w:rPr>
        <w:t>Transactions with directors, executive officers and 5% shareholders</w:t>
      </w:r>
    </w:p>
    <w:p>
      <w:pPr>
        <w:spacing w:after="0" w:line="1"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Our directors and executive officers, and some of their immediate family members and affiliated entities, and BlackRock and Vanguard, beneficial owners of more than 5% of our outstanding common stock, were customers of, or had transactions with or involving, JPMorgan Chase or our banking or other subsidiaries in the ordinary course of business during 2018. Additional transactions may be expected to take place in the future.</w:t>
      </w:r>
    </w:p>
    <w:p>
      <w:pPr>
        <w:spacing w:after="0" w:line="95" w:lineRule="exact"/>
        <w:rPr>
          <w:sz w:val="20"/>
          <w:szCs w:val="20"/>
          <w:color w:val="auto"/>
        </w:rPr>
      </w:pPr>
    </w:p>
    <w:p>
      <w:pPr>
        <w:ind w:left="220" w:right="200"/>
        <w:spacing w:after="0" w:line="246" w:lineRule="auto"/>
        <w:rPr>
          <w:sz w:val="20"/>
          <w:szCs w:val="20"/>
          <w:color w:val="auto"/>
        </w:rPr>
      </w:pPr>
      <w:r>
        <w:rPr>
          <w:rFonts w:ascii="Arial" w:cs="Arial" w:eastAsia="Arial" w:hAnsi="Arial"/>
          <w:sz w:val="18"/>
          <w:szCs w:val="18"/>
          <w:color w:val="auto"/>
        </w:rPr>
        <w:t>Any outstanding loans to the foregoing persons and entities and any other transactions involving the Firm’s</w:t>
      </w:r>
    </w:p>
    <w:p>
      <w:pPr>
        <w:spacing w:after="0" w:line="200" w:lineRule="exact"/>
        <w:rPr>
          <w:sz w:val="20"/>
          <w:szCs w:val="20"/>
          <w:color w:val="auto"/>
        </w:rPr>
      </w:pPr>
    </w:p>
    <w:p>
      <w:pPr>
        <w:spacing w:after="0" w:line="23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200"/>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-657860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5"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financial products and services (such as banking, brokerage, investment, investment banking, and financial advisory products and services) provided to such persons and entities: (i) were made in the ordinary course of business, (ii) were made on substantially the same terms (including interest rates and collateral (where applicable)), as those prevailing at the time for comparable transactions with persons and entities not related to the Firm, (or, where eligible with respect to executive officers, immediate family members and affiliated entities, on such terms as are available under our employee benefit or compensation programs), and</w:t>
      </w:r>
    </w:p>
    <w:p>
      <w:pPr>
        <w:spacing w:after="0" w:line="6" w:lineRule="exact"/>
        <w:rPr>
          <w:sz w:val="20"/>
          <w:szCs w:val="20"/>
          <w:color w:val="auto"/>
        </w:rPr>
      </w:pPr>
    </w:p>
    <w:p>
      <w:pPr>
        <w:ind w:right="500" w:firstLine="9"/>
        <w:spacing w:after="0" w:line="246" w:lineRule="auto"/>
        <w:tabs>
          <w:tab w:leader="none" w:pos="2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did not involve more than the normal risk of collectibility or present other unfavorable features.</w:t>
      </w:r>
    </w:p>
    <w:p>
      <w:pPr>
        <w:spacing w:after="0" w:line="8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fiduciary committees for the JPMorgan Chase Retirement Plan and for the JPMorgan Chase 401(k) Savings Plan (each, a “Plan”) entered into agreements with BlackRock giving it discretionary authority to manage certain assets on behalf of each Plan. Pursuant to these agreements, fees of approximately $5.2 million were paid by the Plans to BlackRock in 2018. Subsidiaries of the Firm have subscribed to information services and received consulting services from BlackRock, including and related to select market data, analytics and modeling, and paid BlackRock approximately $6.5 million in 2018 for the services. JPMorgan Chase paid Blackrock approximately $5.0 million in 2018 to access its Aladdin</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9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Certain J.P. Morgan mutual funds and subsidiaries entered into a sub-transfer agency agreement with Vanguard and paid Vanguard approximately $500,000 in 2018 for services rendered, primarily accounting, recordkeeping and administrative services.</w:t>
      </w:r>
    </w:p>
    <w:p>
      <w:pPr>
        <w:spacing w:after="0" w:line="94"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January 2019, the Firm entered into agreements for the sale and redevelopment of a retail bank branch property in California to modernize the branch and monetize excess development rights. Following a solicitation and review of proposals from several major real estate developers, a company not affiliated with the Firm or its directors or executive officers was selected to lead the project. The development company is expected to make the purchase through an existing legal entity as a result of which Director James Crown and members of his immediate family are expected to hold indirect equity interests in the property which in the aggregate would exceed 10%. The purchase price will depend upon the development rights attained and is anticipated to exceed</w:t>
      </w:r>
    </w:p>
    <w:p>
      <w:pPr>
        <w:spacing w:after="0" w:line="9"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$32 million. The transaction has not been consummated and closing is subject to</w:t>
      </w:r>
    </w:p>
    <w:p>
      <w:pPr>
        <w:spacing w:after="0" w:line="273"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205" w:lineRule="exact"/>
        <w:rPr>
          <w:sz w:val="20"/>
          <w:szCs w:val="20"/>
          <w:color w:val="auto"/>
        </w:rPr>
      </w:pPr>
    </w:p>
    <w:p>
      <w:pPr>
        <w:ind w:left="220" w:right="260"/>
        <w:spacing w:after="0" w:line="237" w:lineRule="auto"/>
        <w:rPr>
          <w:sz w:val="20"/>
          <w:szCs w:val="20"/>
          <w:color w:val="auto"/>
        </w:rPr>
      </w:pPr>
      <w:r>
        <w:rPr>
          <w:rFonts w:ascii="Arial" w:cs="Arial" w:eastAsia="Arial" w:hAnsi="Arial"/>
          <w:sz w:val="18"/>
          <w:szCs w:val="18"/>
          <w:color w:val="auto"/>
        </w:rPr>
        <w:t>completion of the development entitlements process and satisfaction of other contractual conditions precedent. The transaction is not material to the overall investment holdings of Mr. Crown and members of his immediate family, and it was negotiated with the unaffiliated development company in the ordinary course of business.</w:t>
      </w:r>
    </w:p>
    <w:p>
      <w:pPr>
        <w:spacing w:after="0" w:line="178" w:lineRule="exact"/>
        <w:rPr>
          <w:sz w:val="20"/>
          <w:szCs w:val="20"/>
          <w:color w:val="auto"/>
        </w:rPr>
      </w:pPr>
    </w:p>
    <w:p>
      <w:pPr>
        <w:ind w:left="220" w:right="20"/>
        <w:spacing w:after="0" w:line="239" w:lineRule="auto"/>
        <w:rPr>
          <w:sz w:val="20"/>
          <w:szCs w:val="20"/>
          <w:color w:val="auto"/>
        </w:rPr>
      </w:pPr>
      <w:r>
        <w:rPr>
          <w:rFonts w:ascii="Arial" w:cs="Arial" w:eastAsia="Arial" w:hAnsi="Arial"/>
          <w:sz w:val="20"/>
          <w:szCs w:val="20"/>
          <w:b w:val="1"/>
          <w:bCs w:val="1"/>
          <w:color w:val="auto"/>
        </w:rPr>
        <w:t>Compensation &amp; Management Development Committee interlocks and insider participation</w:t>
      </w:r>
    </w:p>
    <w:p>
      <w:pPr>
        <w:spacing w:after="0" w:line="1" w:lineRule="exact"/>
        <w:rPr>
          <w:sz w:val="20"/>
          <w:szCs w:val="20"/>
          <w:color w:val="auto"/>
        </w:rPr>
      </w:pPr>
    </w:p>
    <w:p>
      <w:pPr>
        <w:ind w:left="220"/>
        <w:spacing w:after="0" w:line="235" w:lineRule="auto"/>
        <w:rPr>
          <w:sz w:val="20"/>
          <w:szCs w:val="20"/>
          <w:color w:val="auto"/>
        </w:rPr>
      </w:pPr>
      <w:r>
        <w:rPr>
          <w:rFonts w:ascii="Arial" w:cs="Arial" w:eastAsia="Arial" w:hAnsi="Arial"/>
          <w:sz w:val="18"/>
          <w:szCs w:val="18"/>
          <w:color w:val="auto"/>
        </w:rPr>
        <w:t>The members of the CMDC are listed on page 64 of this proxy statement. No member of the CMDC is or ever was a JPMorgan Chase officer or employee. No JPMorgan Chase executive officer is, or was during 2018, a member of the board of directors or compensation committee (or other committee serving an equivalent function) of another company that has, or had during 2018, an executive officer serving as a member of our Board or the CMDC. All of the members of the CMDC, and/or some of their immediate family members and affiliated entities, were customers of, or had transactions with or involving, JPMorgan Chase or our banking or other subsidiaries in the ordinary course of business during 2018. Additional transactions may be expected to take place in the future. Any outstanding loans to the directors serving on the CMDC and their immediate family members and affiliated entities, and any transactions involving other financial products and services provided by the Firm to such persons and entities, were made in accordance with the standards stated above for transactions with directors, executive officers and 5% shareholders.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Political activities and lobbying</w:t>
      </w:r>
    </w:p>
    <w:p>
      <w:pPr>
        <w:spacing w:after="0" w:line="13" w:lineRule="exact"/>
        <w:rPr>
          <w:sz w:val="20"/>
          <w:szCs w:val="20"/>
          <w:color w:val="auto"/>
        </w:rPr>
      </w:pPr>
    </w:p>
    <w:p>
      <w:pPr>
        <w:ind w:left="220" w:right="120"/>
        <w:spacing w:after="0" w:line="237" w:lineRule="auto"/>
        <w:rPr>
          <w:sz w:val="20"/>
          <w:szCs w:val="20"/>
          <w:color w:val="auto"/>
        </w:rPr>
      </w:pPr>
      <w:r>
        <w:rPr>
          <w:rFonts w:ascii="Arial" w:cs="Arial" w:eastAsia="Arial" w:hAnsi="Arial"/>
          <w:sz w:val="18"/>
          <w:szCs w:val="18"/>
          <w:color w:val="auto"/>
        </w:rPr>
        <w:t>JPMorgan Chase believes that responsible corporate citizenship demands a commitment to a healthy and informed democracy through civic and community involvement. Because of the potential impact public policy can have on our businesses, employees, communities and customers, we engage with policymakers in order to advance and protect the long-term interests of the Firm.</w:t>
      </w:r>
    </w:p>
    <w:p>
      <w:pPr>
        <w:spacing w:after="0" w:line="95" w:lineRule="exact"/>
        <w:rPr>
          <w:sz w:val="20"/>
          <w:szCs w:val="20"/>
          <w:color w:val="auto"/>
        </w:rPr>
      </w:pPr>
    </w:p>
    <w:p>
      <w:pPr>
        <w:ind w:left="220" w:right="80"/>
        <w:spacing w:after="0" w:line="257" w:lineRule="auto"/>
        <w:rPr>
          <w:sz w:val="20"/>
          <w:szCs w:val="20"/>
          <w:color w:val="auto"/>
        </w:rPr>
      </w:pPr>
      <w:r>
        <w:rPr>
          <w:rFonts w:ascii="Arial" w:cs="Arial" w:eastAsia="Arial" w:hAnsi="Arial"/>
          <w:sz w:val="17"/>
          <w:szCs w:val="17"/>
          <w:color w:val="auto"/>
        </w:rPr>
        <w:t>The Public Responsibility Committee oversees the Firm’s significant policies and practices regarding political contributions, major lobbying priorities and principal trade association memberships that relate to the Firm’s public policy objectives.</w:t>
      </w:r>
    </w:p>
    <w:p>
      <w:pPr>
        <w:spacing w:after="0" w:line="26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Firm’s policies and practices related to political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-919480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1"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Prohibit contributions of corporate funds to candidates, political party committees and political action committees</w:t>
      </w:r>
    </w:p>
    <w:p>
      <w:pPr>
        <w:spacing w:after="0" w:line="102"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Provide that the Firm restrict U.S. trade organizations and groups organized under Section 501(c)(4) of the Internal Revenue Code of which it is a member from using the Firm’s dues payments for any election-related activity</w:t>
      </w:r>
    </w:p>
    <w:p>
      <w:pPr>
        <w:spacing w:after="0" w:line="107"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Prohibit corporate funds from being used to make contributions to SuperPACs and political committees organized under Section 527 of the Internal Revenue Code to promote the election or defeat of candidates for office</w:t>
      </w:r>
    </w:p>
    <w:p>
      <w:pPr>
        <w:spacing w:after="0" w:line="107"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Prohibit the use of corporate funds to make independent political expenditures, including electioneering communications</w:t>
      </w:r>
    </w:p>
    <w:p>
      <w:pPr>
        <w:spacing w:after="0" w:line="13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Firm discloses on its website contributions made by the Firm’s Political Action Committees and contributions of corporate funds made in connection with ballot initiatives.</w:t>
      </w:r>
    </w:p>
    <w:p>
      <w:pPr>
        <w:spacing w:after="0" w:line="95"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For further information regarding the Firm’s policy engagement, political contributions and lobbying activity, see our website at jpmorganchase.com/policy-engagement.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Conduct</w:t>
      </w:r>
    </w:p>
    <w:p>
      <w:pPr>
        <w:spacing w:after="0" w:line="1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Employees are trained annually on the Code and are required to speak up about misconduct and report suspected or known violations of the Code, any internal Firm policy, or any law or regulation applicable to the Firm’s business. (For additional information on the Code, see “Oversight of risk management and internal control framework” on page 29.) We also provide guidelines to employees in our Human Resources, Global Security &amp; Investigations and Legal departments regarding the review and treatment of employee-initiated complaints, including the proper escalation of suspected or known violations of the Code, other Firm policy or the law. The Code prohibits retaliation against anyone who raises an issue or concern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-4445</wp:posOffset>
            </wp:positionV>
            <wp:extent cx="662051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40" w:space="380"/>
            <w:col w:w="540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CORPORATE GOVERNANCE</w:t>
      </w:r>
    </w:p>
    <w:p>
      <w:pPr>
        <w:sectPr>
          <w:pgSz w:w="11900" w:h="16838" w:orient="portrait"/>
          <w:cols w:equalWidth="0" w:num="1">
            <w:col w:w="11240"/>
          </w:cols>
          <w:pgMar w:left="240" w:top="459" w:right="419" w:bottom="1440" w:gutter="0" w:footer="0" w:header="0"/>
        </w:sectPr>
      </w:pPr>
    </w:p>
    <w:p>
      <w:pPr>
        <w:spacing w:after="0" w:line="326"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Employees can report any known or suspected violations of the Code in person or via the Code Reporting Hotline by phone or the internet. The Hotline is anonymous, except in certain non-U.S. jurisdictions where laws prohibit anonymous reporting, and is available 24/7 globally, with translation services. It is maintained by an outside service provider.</w:t>
      </w:r>
    </w:p>
    <w:p>
      <w:pPr>
        <w:spacing w:after="0" w:line="97"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Suspected violations of the Code, other Firm policy or the law are investigated by the Firm and may result in an employee being cleared of the suspected violation or in an escalating range of actions, including termination of employment, depending upon the facts and circumstances. Compliance and Human Resources report annually to the Audit Committee on the Code of Conduct program and provide an update on the employee completion rate for Code of Conduct training and affirmation. The CMDC periodically reviews reports from management regarding significant conduct issues and any related employee actions.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Code of Ethics for Finance Professionals</w:t>
      </w:r>
    </w:p>
    <w:p>
      <w:pPr>
        <w:spacing w:after="0" w:line="13"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The Code of Ethics for Finance Professionals applies to the CEO, CFO, Controller and all other professionals of the Firm worldwide serving in a finance, accounting, line of business treasury, tax or investor relations role. The purpose of our Code of Ethics is to promote honest and ethical conduct and adherence with the law in connection with the maintenance of the Firm’s financial books and records and the preparation of our financial statements.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Supplier Code of Conduct</w:t>
      </w:r>
    </w:p>
    <w:p>
      <w:pPr>
        <w:spacing w:after="0" w:line="1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Suppliers are expected to have high standards of business conduct, integrity and adherence to the law. The Supplier Code of Conduct applies to our suppliers, vendors, consultants, contractors and other third parties working on behalf of the Firm, as well as to the owners, officers, directors, employees and contractors of these supplier organizations and entities. The Supplier Code of Conduct communicates our expectations on a range of issues, including the Firm’s Business Principles and our suppliers’ responsibility to comply with laws and regulations and operate responsibly with respect to environmental, social and human rights matters.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16(a) beneficial ownership reporting compliance</w:t>
      </w:r>
    </w:p>
    <w:p>
      <w:pPr>
        <w:spacing w:after="0" w:line="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directors and certain senior officers filed reports with the SEC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Securities Exchange Act of 1934. We have reviewed the copies of the reports that we have received and written representations from the individuals required to file the reports. Based on this review, we believe that during 2018, each of our directors and executive officers filed reports required under Section 16(a) on a timely basis.</w:t>
      </w:r>
    </w:p>
    <w:p>
      <w:pPr>
        <w:spacing w:after="0" w:line="499"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15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4876"/>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110490</wp:posOffset>
            </wp:positionV>
            <wp:extent cx="6997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Governance Committee is responsible for reviewing director compensation and making recommendations to the Board. In making its recommendations, the Governance Committee annually reviews the Board’s responsibilities and the compensation practices of peer firms, which includes the same group of peer firms referenced with respect to the compensation of our NEOs. For more information see “Evaluating market practices” on page 50 of this proxy statement.</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believes a best practice is that director compensation be linked to the Firm’s performance; therefore, a significant portion is paid in common stock.</w:t>
      </w:r>
    </w:p>
    <w:p>
      <w:pPr>
        <w:spacing w:after="0" w:line="95"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The Firm’s Amended and Restated Long-Term Incentive Plan (“LTIP”), which incorporated our non-management director compensation plan, was last approved by shareholders on May 15, 2018. As specified in the LTIP,</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there were no changes in 2018 to the non-management director compensation plan.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compensation</w:t>
      </w:r>
    </w:p>
    <w:p>
      <w:pPr>
        <w:spacing w:after="0" w:line="1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2018, each non-management director received an annual cash retainer of $100,000 and an annual grant, made when annual employee incentive compensation was paid, of deferred stock units valued at $250,000 on the date of grant. Additional cash compensation was paid for certain committee and other service as described below.</w:t>
      </w:r>
    </w:p>
    <w:p>
      <w:pPr>
        <w:spacing w:after="0" w:line="9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Each deferred stock unit included in the annual grant to directors represents the right to receive one share of the Firm’s common stock and dividend equivalents payable in deferred stock units for any dividends paid. Deferred stock units have no voting rights. In January of the year immediately following a director’s</w:t>
      </w:r>
    </w:p>
    <w:p>
      <w:pPr>
        <w:spacing w:after="0" w:line="281" w:lineRule="exact"/>
        <w:rPr>
          <w:sz w:val="20"/>
          <w:szCs w:val="20"/>
          <w:color w:val="auto"/>
        </w:rPr>
      </w:pPr>
    </w:p>
    <w:p>
      <w:pPr>
        <w:sectPr>
          <w:pgSz w:w="11900" w:h="16838" w:orient="portrait"/>
          <w:cols w:equalWidth="0" w:num="2">
            <w:col w:w="5500" w:space="320"/>
            <w:col w:w="5420"/>
          </w:cols>
          <w:pgMar w:left="240" w:top="459" w:right="419" w:bottom="1440" w:gutter="0" w:footer="0" w:header="0"/>
          <w:type w:val="continuous"/>
        </w:sectPr>
      </w:pPr>
    </w:p>
    <w:p>
      <w:pPr>
        <w:spacing w:after="0" w:line="69"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35</w:t>
            </w:r>
          </w:p>
        </w:tc>
      </w:tr>
    </w:tbl>
    <w:p>
      <w:pPr>
        <w:sectPr>
          <w:pgSz w:w="11900" w:h="16838" w:orient="portrait"/>
          <w:cols w:equalWidth="0" w:num="1">
            <w:col w:w="11240"/>
          </w:cols>
          <w:pgMar w:left="240" w:top="459" w:right="41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CORPORATE GOVERNANCE</w:t>
      </w:r>
    </w:p>
    <w:p>
      <w:pPr>
        <w:spacing w:after="0" w:line="205" w:lineRule="exact"/>
        <w:rPr>
          <w:sz w:val="20"/>
          <w:szCs w:val="20"/>
          <w:color w:val="auto"/>
        </w:rPr>
      </w:pPr>
    </w:p>
    <w:p>
      <w:pPr>
        <w:ind w:left="200" w:right="200"/>
        <w:spacing w:after="0" w:line="261" w:lineRule="auto"/>
        <w:rPr>
          <w:sz w:val="20"/>
          <w:szCs w:val="20"/>
          <w:color w:val="auto"/>
        </w:rPr>
      </w:pPr>
      <w:r>
        <w:rPr>
          <w:rFonts w:ascii="Arial" w:cs="Arial" w:eastAsia="Arial" w:hAnsi="Arial"/>
          <w:sz w:val="17"/>
          <w:szCs w:val="17"/>
          <w:color w:val="auto"/>
        </w:rPr>
        <w:t>termination of service, deferred stock units are distributed in shares of the Firm’s common stock in either a lump sum or in annual installments for up to 15 years as elected by the director.</w:t>
      </w:r>
    </w:p>
    <w:p>
      <w:pPr>
        <w:spacing w:after="0" w:line="78"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The following table summarizes the 2018 annual compensation for non-management directors for service on the Boards of the Firm and the Bank. There is no additional compensation paid for service on the Boards of Chase Bank USA, National Association or Holdings LLC.</w:t>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364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Compensation</w:t>
            </w:r>
          </w:p>
        </w:tc>
        <w:tc>
          <w:tcPr>
            <w:tcW w:w="164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Amount ($)</w:t>
            </w:r>
          </w:p>
        </w:tc>
      </w:tr>
      <w:tr>
        <w:trPr>
          <w:trHeight w:val="203"/>
        </w:trPr>
        <w:tc>
          <w:tcPr>
            <w:tcW w:w="36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Board retainer</w:t>
            </w:r>
          </w:p>
        </w:tc>
        <w:tc>
          <w:tcPr>
            <w:tcW w:w="1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  100,000</w:t>
            </w:r>
          </w:p>
        </w:tc>
      </w:tr>
      <w:tr>
        <w:trPr>
          <w:trHeight w:val="204"/>
        </w:trPr>
        <w:tc>
          <w:tcPr>
            <w:tcW w:w="3640" w:type="dxa"/>
            <w:vAlign w:val="bottom"/>
          </w:tcPr>
          <w:p>
            <w:pPr>
              <w:ind w:left="60"/>
              <w:spacing w:after="0"/>
              <w:rPr>
                <w:sz w:val="20"/>
                <w:szCs w:val="20"/>
                <w:color w:val="auto"/>
              </w:rPr>
            </w:pPr>
            <w:r>
              <w:rPr>
                <w:rFonts w:ascii="Arial" w:cs="Arial" w:eastAsia="Arial" w:hAnsi="Arial"/>
                <w:sz w:val="14"/>
                <w:szCs w:val="14"/>
                <w:color w:val="auto"/>
              </w:rPr>
              <w:t>Lead Independent Director retainer</w:t>
            </w:r>
          </w:p>
        </w:tc>
        <w:tc>
          <w:tcPr>
            <w:tcW w:w="1640" w:type="dxa"/>
            <w:vAlign w:val="bottom"/>
          </w:tcPr>
          <w:p>
            <w:pPr>
              <w:jc w:val="right"/>
              <w:spacing w:after="0"/>
              <w:rPr>
                <w:sz w:val="20"/>
                <w:szCs w:val="20"/>
                <w:color w:val="auto"/>
              </w:rPr>
            </w:pPr>
            <w:r>
              <w:rPr>
                <w:rFonts w:ascii="Arial" w:cs="Arial" w:eastAsia="Arial" w:hAnsi="Arial"/>
                <w:sz w:val="14"/>
                <w:szCs w:val="14"/>
                <w:color w:val="auto"/>
              </w:rPr>
              <w:t>30,000</w:t>
            </w:r>
          </w:p>
        </w:tc>
      </w:tr>
      <w:tr>
        <w:trPr>
          <w:trHeight w:val="26"/>
        </w:trPr>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0"/>
        </w:trPr>
        <w:tc>
          <w:tcPr>
            <w:tcW w:w="36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Audit and Risk Committee chair retainer</w:t>
            </w:r>
          </w:p>
        </w:tc>
        <w:tc>
          <w:tcPr>
            <w:tcW w:w="1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25,000</w:t>
            </w:r>
          </w:p>
        </w:tc>
      </w:tr>
      <w:tr>
        <w:trPr>
          <w:trHeight w:val="204"/>
        </w:trPr>
        <w:tc>
          <w:tcPr>
            <w:tcW w:w="3640" w:type="dxa"/>
            <w:vAlign w:val="bottom"/>
          </w:tcPr>
          <w:p>
            <w:pPr>
              <w:ind w:left="60"/>
              <w:spacing w:after="0"/>
              <w:rPr>
                <w:sz w:val="20"/>
                <w:szCs w:val="20"/>
                <w:color w:val="auto"/>
              </w:rPr>
            </w:pPr>
            <w:r>
              <w:rPr>
                <w:rFonts w:ascii="Arial" w:cs="Arial" w:eastAsia="Arial" w:hAnsi="Arial"/>
                <w:sz w:val="14"/>
                <w:szCs w:val="14"/>
                <w:color w:val="auto"/>
              </w:rPr>
              <w:t>Audit and Risk Committee member retainer</w:t>
            </w:r>
          </w:p>
        </w:tc>
        <w:tc>
          <w:tcPr>
            <w:tcW w:w="164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6"/>
        </w:trPr>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0"/>
        </w:trPr>
        <w:tc>
          <w:tcPr>
            <w:tcW w:w="36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All other committees chair retainer</w:t>
            </w:r>
          </w:p>
        </w:tc>
        <w:tc>
          <w:tcPr>
            <w:tcW w:w="1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15,000</w:t>
            </w:r>
          </w:p>
        </w:tc>
      </w:tr>
      <w:tr>
        <w:trPr>
          <w:trHeight w:val="204"/>
        </w:trPr>
        <w:tc>
          <w:tcPr>
            <w:tcW w:w="3640" w:type="dxa"/>
            <w:vAlign w:val="bottom"/>
          </w:tcPr>
          <w:p>
            <w:pPr>
              <w:ind w:left="60"/>
              <w:spacing w:after="0"/>
              <w:rPr>
                <w:sz w:val="20"/>
                <w:szCs w:val="20"/>
                <w:color w:val="auto"/>
              </w:rPr>
            </w:pPr>
            <w:r>
              <w:rPr>
                <w:rFonts w:ascii="Arial" w:cs="Arial" w:eastAsia="Arial" w:hAnsi="Arial"/>
                <w:sz w:val="14"/>
                <w:szCs w:val="14"/>
                <w:color w:val="auto"/>
              </w:rPr>
              <w:t>Deferred stock unit grant</w:t>
            </w:r>
          </w:p>
        </w:tc>
        <w:tc>
          <w:tcPr>
            <w:tcW w:w="1640" w:type="dxa"/>
            <w:vAlign w:val="bottom"/>
          </w:tcPr>
          <w:p>
            <w:pPr>
              <w:jc w:val="right"/>
              <w:spacing w:after="0"/>
              <w:rPr>
                <w:sz w:val="20"/>
                <w:szCs w:val="20"/>
                <w:color w:val="auto"/>
              </w:rPr>
            </w:pPr>
            <w:r>
              <w:rPr>
                <w:rFonts w:ascii="Arial" w:cs="Arial" w:eastAsia="Arial" w:hAnsi="Arial"/>
                <w:sz w:val="14"/>
                <w:szCs w:val="14"/>
                <w:color w:val="auto"/>
              </w:rPr>
              <w:t>250,000</w:t>
            </w:r>
          </w:p>
        </w:tc>
      </w:tr>
      <w:tr>
        <w:trPr>
          <w:trHeight w:val="26"/>
        </w:trPr>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0"/>
        </w:trPr>
        <w:tc>
          <w:tcPr>
            <w:tcW w:w="36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Bank board retainer</w:t>
            </w:r>
          </w:p>
        </w:tc>
        <w:tc>
          <w:tcPr>
            <w:tcW w:w="16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15,000</w:t>
            </w:r>
          </w:p>
        </w:tc>
      </w:tr>
      <w:tr>
        <w:trPr>
          <w:trHeight w:val="204"/>
        </w:trPr>
        <w:tc>
          <w:tcPr>
            <w:tcW w:w="3640" w:type="dxa"/>
            <w:vAlign w:val="bottom"/>
          </w:tcPr>
          <w:p>
            <w:pPr>
              <w:ind w:left="60"/>
              <w:spacing w:after="0"/>
              <w:rPr>
                <w:sz w:val="20"/>
                <w:szCs w:val="20"/>
                <w:color w:val="auto"/>
              </w:rPr>
            </w:pPr>
            <w:r>
              <w:rPr>
                <w:rFonts w:ascii="Arial" w:cs="Arial" w:eastAsia="Arial" w:hAnsi="Arial"/>
                <w:sz w:val="14"/>
                <w:szCs w:val="14"/>
                <w:color w:val="auto"/>
              </w:rPr>
              <w:t>Bank board’s chair retainer</w:t>
            </w:r>
          </w:p>
        </w:tc>
        <w:tc>
          <w:tcPr>
            <w:tcW w:w="1640" w:type="dxa"/>
            <w:vAlign w:val="bottom"/>
          </w:tcPr>
          <w:p>
            <w:pPr>
              <w:jc w:val="right"/>
              <w:spacing w:after="0"/>
              <w:rPr>
                <w:sz w:val="20"/>
                <w:szCs w:val="20"/>
                <w:color w:val="auto"/>
              </w:rPr>
            </w:pPr>
            <w:r>
              <w:rPr>
                <w:rFonts w:ascii="Arial" w:cs="Arial" w:eastAsia="Arial" w:hAnsi="Arial"/>
                <w:sz w:val="14"/>
                <w:szCs w:val="14"/>
                <w:color w:val="auto"/>
              </w:rPr>
              <w:t>25,000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Board may periodically ask directors to serve on one or more Specific Purpose Committees or other committees that are not one of the Board’s principal standing committees or to serve on the board of directors of a subsidiary of the Firm. Any compensation for such service is included in the “2018 Director compensation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-1566545</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811" w:lineRule="exact"/>
        <w:rPr>
          <w:sz w:val="20"/>
          <w:szCs w:val="20"/>
          <w:color w:val="auto"/>
        </w:rPr>
      </w:pPr>
    </w:p>
    <w:p>
      <w:pPr>
        <w:sectPr>
          <w:pgSz w:w="11900" w:h="16838" w:orient="portrait"/>
          <w:cols w:equalWidth="0" w:num="2">
            <w:col w:w="5500" w:space="320"/>
            <w:col w:w="5420"/>
          </w:cols>
          <w:pgMar w:left="240" w:top="459" w:right="419" w:bottom="1440" w:gutter="0" w:footer="0" w:header="0"/>
        </w:sectPr>
      </w:pPr>
    </w:p>
    <w:p>
      <w:pPr>
        <w:spacing w:after="0" w:line="19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2018 Director compensation table</w:t>
      </w:r>
    </w:p>
    <w:p>
      <w:pPr>
        <w:spacing w:after="0" w:line="13"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The following table shows the compensation for each non-management director in 2018. The Board has determined that the earliest it would consider an increase in director compensation is 2020.</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3620" w:type="dxa"/>
            <w:vAlign w:val="bottom"/>
          </w:tcPr>
          <w:p>
            <w:pPr>
              <w:jc w:val="right"/>
              <w:ind w:right="109"/>
              <w:spacing w:after="0"/>
              <w:rPr>
                <w:sz w:val="20"/>
                <w:szCs w:val="20"/>
                <w:color w:val="auto"/>
              </w:rPr>
            </w:pPr>
            <w:r>
              <w:rPr>
                <w:rFonts w:ascii="Arial" w:cs="Arial" w:eastAsia="Arial" w:hAnsi="Arial"/>
                <w:sz w:val="14"/>
                <w:szCs w:val="14"/>
                <w:b w:val="1"/>
                <w:bCs w:val="1"/>
                <w:color w:val="auto"/>
              </w:rPr>
              <w:t>Fees earned or</w:t>
            </w:r>
          </w:p>
        </w:tc>
        <w:tc>
          <w:tcPr>
            <w:tcW w:w="1120" w:type="dxa"/>
            <w:vAlign w:val="bottom"/>
          </w:tcPr>
          <w:p>
            <w:pPr>
              <w:spacing w:after="0"/>
              <w:rPr>
                <w:sz w:val="14"/>
                <w:szCs w:val="14"/>
                <w:color w:val="auto"/>
              </w:rPr>
            </w:pPr>
          </w:p>
        </w:tc>
        <w:tc>
          <w:tcPr>
            <w:tcW w:w="1440" w:type="dxa"/>
            <w:vAlign w:val="bottom"/>
          </w:tcPr>
          <w:p>
            <w:pPr>
              <w:jc w:val="right"/>
              <w:ind w:right="69"/>
              <w:spacing w:after="0"/>
              <w:rPr>
                <w:sz w:val="20"/>
                <w:szCs w:val="20"/>
                <w:color w:val="auto"/>
              </w:rPr>
            </w:pPr>
            <w:r>
              <w:rPr>
                <w:rFonts w:ascii="Arial" w:cs="Arial" w:eastAsia="Arial" w:hAnsi="Arial"/>
                <w:sz w:val="14"/>
                <w:szCs w:val="14"/>
                <w:b w:val="1"/>
                <w:bCs w:val="1"/>
                <w:color w:val="auto"/>
              </w:rPr>
              <w:t>Other</w:t>
            </w:r>
          </w:p>
        </w:tc>
        <w:tc>
          <w:tcPr>
            <w:tcW w:w="1000" w:type="dxa"/>
            <w:vAlign w:val="bottom"/>
          </w:tcPr>
          <w:p>
            <w:pPr>
              <w:spacing w:after="0"/>
              <w:rPr>
                <w:sz w:val="14"/>
                <w:szCs w:val="14"/>
                <w:color w:val="auto"/>
              </w:rPr>
            </w:pPr>
          </w:p>
        </w:tc>
      </w:tr>
      <w:tr>
        <w:trPr>
          <w:trHeight w:val="159"/>
        </w:trPr>
        <w:tc>
          <w:tcPr>
            <w:tcW w:w="3840" w:type="dxa"/>
            <w:vAlign w:val="bottom"/>
          </w:tcPr>
          <w:p>
            <w:pPr>
              <w:spacing w:after="0"/>
              <w:rPr>
                <w:sz w:val="13"/>
                <w:szCs w:val="13"/>
                <w:color w:val="auto"/>
              </w:rPr>
            </w:pPr>
          </w:p>
        </w:tc>
        <w:tc>
          <w:tcPr>
            <w:tcW w:w="3620" w:type="dxa"/>
            <w:vAlign w:val="bottom"/>
          </w:tcPr>
          <w:p>
            <w:pPr>
              <w:jc w:val="right"/>
              <w:ind w:right="109"/>
              <w:spacing w:after="0" w:line="159" w:lineRule="exact"/>
              <w:rPr>
                <w:sz w:val="20"/>
                <w:szCs w:val="20"/>
                <w:color w:val="auto"/>
              </w:rPr>
            </w:pPr>
            <w:r>
              <w:rPr>
                <w:rFonts w:ascii="Arial" w:cs="Arial" w:eastAsia="Arial" w:hAnsi="Arial"/>
                <w:sz w:val="14"/>
                <w:szCs w:val="14"/>
                <w:b w:val="1"/>
                <w:bCs w:val="1"/>
                <w:color w:val="auto"/>
              </w:rPr>
              <w:t>paid in cash</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b w:val="1"/>
                <w:bCs w:val="1"/>
                <w:color w:val="auto"/>
              </w:rPr>
              <w:t>2018 Stock</w:t>
            </w:r>
          </w:p>
        </w:tc>
        <w:tc>
          <w:tcPr>
            <w:tcW w:w="1440" w:type="dxa"/>
            <w:vAlign w:val="bottom"/>
          </w:tcPr>
          <w:p>
            <w:pPr>
              <w:jc w:val="right"/>
              <w:ind w:right="69"/>
              <w:spacing w:after="0" w:line="159" w:lineRule="exact"/>
              <w:rPr>
                <w:sz w:val="20"/>
                <w:szCs w:val="20"/>
                <w:color w:val="auto"/>
              </w:rPr>
            </w:pPr>
            <w:r>
              <w:rPr>
                <w:rFonts w:ascii="Arial" w:cs="Arial" w:eastAsia="Arial" w:hAnsi="Arial"/>
                <w:sz w:val="14"/>
                <w:szCs w:val="14"/>
                <w:b w:val="1"/>
                <w:bCs w:val="1"/>
                <w:color w:val="auto"/>
              </w:rPr>
              <w:t>fees earned or</w:t>
            </w:r>
          </w:p>
        </w:tc>
        <w:tc>
          <w:tcPr>
            <w:tcW w:w="1000" w:type="dxa"/>
            <w:vAlign w:val="bottom"/>
          </w:tcPr>
          <w:p>
            <w:pPr>
              <w:spacing w:after="0"/>
              <w:rPr>
                <w:sz w:val="13"/>
                <w:szCs w:val="13"/>
                <w:color w:val="auto"/>
              </w:rPr>
            </w:pPr>
          </w:p>
        </w:tc>
      </w:tr>
      <w:tr>
        <w:trPr>
          <w:trHeight w:val="179"/>
        </w:trPr>
        <w:tc>
          <w:tcPr>
            <w:tcW w:w="384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Director</w:t>
            </w:r>
          </w:p>
        </w:tc>
        <w:tc>
          <w:tcPr>
            <w:tcW w:w="3620" w:type="dxa"/>
            <w:vAlign w:val="bottom"/>
            <w:tcBorders>
              <w:bottom w:val="single" w:sz="8" w:color="004876"/>
            </w:tcBorders>
          </w:tcPr>
          <w:p>
            <w:pPr>
              <w:jc w:val="right"/>
              <w:ind w:right="109"/>
              <w:spacing w:after="0" w:line="17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1120" w:type="dxa"/>
            <w:vAlign w:val="bottom"/>
            <w:tcBorders>
              <w:bottom w:val="single" w:sz="8" w:color="004876"/>
            </w:tcBorders>
          </w:tcPr>
          <w:p>
            <w:pPr>
              <w:jc w:val="right"/>
              <w:ind w:right="109"/>
              <w:spacing w:after="0" w:line="179" w:lineRule="exact"/>
              <w:rPr>
                <w:sz w:val="20"/>
                <w:szCs w:val="20"/>
                <w:color w:val="auto"/>
              </w:rPr>
            </w:pPr>
            <w:r>
              <w:rPr>
                <w:rFonts w:ascii="Arial" w:cs="Arial" w:eastAsia="Arial" w:hAnsi="Arial"/>
                <w:sz w:val="12"/>
                <w:szCs w:val="12"/>
                <w:b w:val="1"/>
                <w:bCs w:val="1"/>
                <w:color w:val="auto"/>
              </w:rPr>
              <w:t>award ($)</w:t>
            </w:r>
            <w:r>
              <w:rPr>
                <w:rFonts w:ascii="Arial" w:cs="Arial" w:eastAsia="Arial" w:hAnsi="Arial"/>
                <w:sz w:val="20"/>
                <w:szCs w:val="20"/>
                <w:b w:val="1"/>
                <w:bCs w:val="1"/>
                <w:color w:val="auto"/>
                <w:vertAlign w:val="superscript"/>
              </w:rPr>
              <w:t>2</w:t>
            </w:r>
          </w:p>
        </w:tc>
        <w:tc>
          <w:tcPr>
            <w:tcW w:w="1440" w:type="dxa"/>
            <w:vAlign w:val="bottom"/>
            <w:tcBorders>
              <w:bottom w:val="single" w:sz="8" w:color="004876"/>
            </w:tcBorders>
          </w:tcPr>
          <w:p>
            <w:pPr>
              <w:jc w:val="right"/>
              <w:ind w:right="69"/>
              <w:spacing w:after="0" w:line="179" w:lineRule="exact"/>
              <w:rPr>
                <w:sz w:val="20"/>
                <w:szCs w:val="20"/>
                <w:color w:val="auto"/>
              </w:rPr>
            </w:pPr>
            <w:r>
              <w:rPr>
                <w:rFonts w:ascii="Arial" w:cs="Arial" w:eastAsia="Arial" w:hAnsi="Arial"/>
                <w:sz w:val="12"/>
                <w:szCs w:val="12"/>
                <w:b w:val="1"/>
                <w:bCs w:val="1"/>
                <w:color w:val="auto"/>
              </w:rPr>
              <w:t>paid in cash ($)</w:t>
            </w:r>
            <w:r>
              <w:rPr>
                <w:rFonts w:ascii="Arial" w:cs="Arial" w:eastAsia="Arial" w:hAnsi="Arial"/>
                <w:sz w:val="20"/>
                <w:szCs w:val="20"/>
                <w:b w:val="1"/>
                <w:bCs w:val="1"/>
                <w:color w:val="auto"/>
                <w:vertAlign w:val="superscript"/>
              </w:rPr>
              <w:t>3</w:t>
            </w:r>
          </w:p>
        </w:tc>
        <w:tc>
          <w:tcPr>
            <w:tcW w:w="1000" w:type="dxa"/>
            <w:vAlign w:val="bottom"/>
            <w:tcBorders>
              <w:bottom w:val="single" w:sz="8" w:color="004876"/>
            </w:tcBorders>
          </w:tcPr>
          <w:p>
            <w:pPr>
              <w:jc w:val="right"/>
              <w:ind w:right="128"/>
              <w:spacing w:after="0"/>
              <w:rPr>
                <w:sz w:val="20"/>
                <w:szCs w:val="20"/>
                <w:color w:val="auto"/>
              </w:rPr>
            </w:pPr>
            <w:r>
              <w:rPr>
                <w:rFonts w:ascii="Arial" w:cs="Arial" w:eastAsia="Arial" w:hAnsi="Arial"/>
                <w:sz w:val="14"/>
                <w:szCs w:val="14"/>
                <w:b w:val="1"/>
                <w:bCs w:val="1"/>
                <w:color w:val="auto"/>
              </w:rPr>
              <w:t>Total ($)</w:t>
            </w:r>
          </w:p>
        </w:tc>
      </w:tr>
      <w:tr>
        <w:trPr>
          <w:trHeight w:val="203"/>
        </w:trPr>
        <w:tc>
          <w:tcPr>
            <w:tcW w:w="3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Linda B. Bammann</w:t>
            </w:r>
          </w:p>
        </w:tc>
        <w:tc>
          <w:tcPr>
            <w:tcW w:w="362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4"/>
                <w:szCs w:val="14"/>
                <w:color w:val="auto"/>
              </w:rPr>
              <w:t>$ 140,000</w:t>
            </w:r>
          </w:p>
        </w:tc>
        <w:tc>
          <w:tcPr>
            <w:tcW w:w="112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4"/>
                <w:szCs w:val="14"/>
                <w:color w:val="auto"/>
              </w:rPr>
              <w:t>$ 250,000</w:t>
            </w:r>
          </w:p>
        </w:tc>
        <w:tc>
          <w:tcPr>
            <w:tcW w:w="144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$ 15,000</w:t>
            </w:r>
          </w:p>
        </w:tc>
        <w:tc>
          <w:tcPr>
            <w:tcW w:w="100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$ 405,000</w:t>
            </w:r>
          </w:p>
        </w:tc>
      </w:tr>
      <w:tr>
        <w:trPr>
          <w:trHeight w:val="204"/>
        </w:trPr>
        <w:tc>
          <w:tcPr>
            <w:tcW w:w="3840" w:type="dxa"/>
            <w:vAlign w:val="bottom"/>
          </w:tcPr>
          <w:p>
            <w:pPr>
              <w:ind w:left="60"/>
              <w:spacing w:after="0"/>
              <w:rPr>
                <w:sz w:val="20"/>
                <w:szCs w:val="20"/>
                <w:color w:val="auto"/>
              </w:rPr>
            </w:pPr>
            <w:r>
              <w:rPr>
                <w:rFonts w:ascii="Arial" w:cs="Arial" w:eastAsia="Arial" w:hAnsi="Arial"/>
                <w:sz w:val="14"/>
                <w:szCs w:val="14"/>
                <w:color w:val="auto"/>
              </w:rPr>
              <w:t>James A. Bell</w:t>
            </w:r>
          </w:p>
        </w:tc>
        <w:tc>
          <w:tcPr>
            <w:tcW w:w="3620" w:type="dxa"/>
            <w:vAlign w:val="bottom"/>
          </w:tcPr>
          <w:p>
            <w:pPr>
              <w:jc w:val="right"/>
              <w:ind w:right="109"/>
              <w:spacing w:after="0"/>
              <w:rPr>
                <w:sz w:val="20"/>
                <w:szCs w:val="20"/>
                <w:color w:val="auto"/>
              </w:rPr>
            </w:pPr>
            <w:r>
              <w:rPr>
                <w:rFonts w:ascii="Arial" w:cs="Arial" w:eastAsia="Arial" w:hAnsi="Arial"/>
                <w:sz w:val="14"/>
                <w:szCs w:val="14"/>
                <w:color w:val="auto"/>
              </w:rPr>
              <w:t>140,000</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250,000</w:t>
            </w: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40,000</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430,000</w:t>
            </w:r>
          </w:p>
        </w:tc>
      </w:tr>
      <w:tr>
        <w:trPr>
          <w:trHeight w:val="26"/>
        </w:trPr>
        <w:tc>
          <w:tcPr>
            <w:tcW w:w="38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3840" w:type="dxa"/>
            <w:vAlign w:val="bottom"/>
            <w:shd w:val="clear" w:color="auto" w:fill="E5E5E5"/>
          </w:tcPr>
          <w:p>
            <w:pPr>
              <w:ind w:left="60"/>
              <w:spacing w:after="0" w:line="229" w:lineRule="exact"/>
              <w:rPr>
                <w:sz w:val="20"/>
                <w:szCs w:val="20"/>
                <w:color w:val="auto"/>
              </w:rPr>
            </w:pPr>
            <w:r>
              <w:rPr>
                <w:rFonts w:ascii="Arial" w:cs="Arial" w:eastAsia="Arial" w:hAnsi="Arial"/>
                <w:sz w:val="14"/>
                <w:szCs w:val="14"/>
                <w:color w:val="auto"/>
              </w:rPr>
              <w:t>Crandall C. Bowles</w:t>
            </w:r>
            <w:r>
              <w:rPr>
                <w:rFonts w:ascii="Arial" w:cs="Arial" w:eastAsia="Arial" w:hAnsi="Arial"/>
                <w:sz w:val="24"/>
                <w:szCs w:val="24"/>
                <w:color w:val="auto"/>
                <w:vertAlign w:val="superscript"/>
              </w:rPr>
              <w:t>4</w:t>
            </w:r>
          </w:p>
        </w:tc>
        <w:tc>
          <w:tcPr>
            <w:tcW w:w="3620" w:type="dxa"/>
            <w:vAlign w:val="bottom"/>
            <w:shd w:val="clear" w:color="auto" w:fill="E5E5E5"/>
          </w:tcPr>
          <w:p>
            <w:pPr>
              <w:jc w:val="right"/>
              <w:ind w:right="109"/>
              <w:spacing w:after="0"/>
              <w:rPr>
                <w:sz w:val="20"/>
                <w:szCs w:val="20"/>
                <w:color w:val="auto"/>
              </w:rPr>
            </w:pPr>
            <w:r>
              <w:rPr>
                <w:rFonts w:ascii="Arial" w:cs="Arial" w:eastAsia="Arial" w:hAnsi="Arial"/>
                <w:sz w:val="14"/>
                <w:szCs w:val="14"/>
                <w:color w:val="auto"/>
              </w:rPr>
              <w:t>48,214</w:t>
            </w:r>
          </w:p>
        </w:tc>
        <w:tc>
          <w:tcPr>
            <w:tcW w:w="1120" w:type="dxa"/>
            <w:vAlign w:val="bottom"/>
            <w:shd w:val="clear" w:color="auto" w:fill="E5E5E5"/>
          </w:tcPr>
          <w:p>
            <w:pPr>
              <w:jc w:val="right"/>
              <w:ind w:right="109"/>
              <w:spacing w:after="0"/>
              <w:rPr>
                <w:sz w:val="20"/>
                <w:szCs w:val="20"/>
                <w:color w:val="auto"/>
              </w:rPr>
            </w:pPr>
            <w:r>
              <w:rPr>
                <w:rFonts w:ascii="Arial" w:cs="Arial" w:eastAsia="Arial" w:hAnsi="Arial"/>
                <w:sz w:val="14"/>
                <w:szCs w:val="14"/>
                <w:color w:val="auto"/>
              </w:rPr>
              <w:t>250,000</w:t>
            </w:r>
          </w:p>
        </w:tc>
        <w:tc>
          <w:tcPr>
            <w:tcW w:w="1440" w:type="dxa"/>
            <w:vAlign w:val="bottom"/>
            <w:shd w:val="clear" w:color="auto" w:fill="E5E5E5"/>
          </w:tcPr>
          <w:p>
            <w:pPr>
              <w:jc w:val="right"/>
              <w:ind w:right="69"/>
              <w:spacing w:after="0"/>
              <w:rPr>
                <w:sz w:val="20"/>
                <w:szCs w:val="20"/>
                <w:color w:val="auto"/>
              </w:rPr>
            </w:pPr>
            <w:r>
              <w:rPr>
                <w:rFonts w:ascii="Arial" w:cs="Arial" w:eastAsia="Arial" w:hAnsi="Arial"/>
                <w:sz w:val="14"/>
                <w:szCs w:val="14"/>
                <w:color w:val="auto"/>
              </w:rPr>
              <w:t>13,063</w:t>
            </w:r>
          </w:p>
        </w:tc>
        <w:tc>
          <w:tcPr>
            <w:tcW w:w="10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311,277</w:t>
            </w:r>
          </w:p>
        </w:tc>
      </w:tr>
      <w:tr>
        <w:trPr>
          <w:trHeight w:val="204"/>
        </w:trPr>
        <w:tc>
          <w:tcPr>
            <w:tcW w:w="3840" w:type="dxa"/>
            <w:vAlign w:val="bottom"/>
          </w:tcPr>
          <w:p>
            <w:pPr>
              <w:ind w:left="60"/>
              <w:spacing w:after="0"/>
              <w:rPr>
                <w:sz w:val="20"/>
                <w:szCs w:val="20"/>
                <w:color w:val="auto"/>
              </w:rPr>
            </w:pPr>
            <w:r>
              <w:rPr>
                <w:rFonts w:ascii="Arial" w:cs="Arial" w:eastAsia="Arial" w:hAnsi="Arial"/>
                <w:sz w:val="14"/>
                <w:szCs w:val="14"/>
                <w:color w:val="auto"/>
              </w:rPr>
              <w:t>Stephen B. Burke</w:t>
            </w:r>
          </w:p>
        </w:tc>
        <w:tc>
          <w:tcPr>
            <w:tcW w:w="3620" w:type="dxa"/>
            <w:vAlign w:val="bottom"/>
          </w:tcPr>
          <w:p>
            <w:pPr>
              <w:jc w:val="right"/>
              <w:ind w:right="109"/>
              <w:spacing w:after="0"/>
              <w:rPr>
                <w:sz w:val="20"/>
                <w:szCs w:val="20"/>
                <w:color w:val="auto"/>
              </w:rPr>
            </w:pPr>
            <w:r>
              <w:rPr>
                <w:rFonts w:ascii="Arial" w:cs="Arial" w:eastAsia="Arial" w:hAnsi="Arial"/>
                <w:sz w:val="14"/>
                <w:szCs w:val="14"/>
                <w:color w:val="auto"/>
              </w:rPr>
              <w:t>100,000</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250,000</w:t>
            </w: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15,000</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365,000</w:t>
            </w:r>
          </w:p>
        </w:tc>
      </w:tr>
      <w:tr>
        <w:trPr>
          <w:trHeight w:val="26"/>
        </w:trPr>
        <w:tc>
          <w:tcPr>
            <w:tcW w:w="38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0"/>
        </w:trPr>
        <w:tc>
          <w:tcPr>
            <w:tcW w:w="3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Todd A. Combs</w:t>
            </w:r>
          </w:p>
        </w:tc>
        <w:tc>
          <w:tcPr>
            <w:tcW w:w="362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4"/>
                <w:szCs w:val="14"/>
                <w:color w:val="auto"/>
              </w:rPr>
              <w:t>115,000</w:t>
            </w:r>
          </w:p>
        </w:tc>
        <w:tc>
          <w:tcPr>
            <w:tcW w:w="112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4"/>
                <w:szCs w:val="14"/>
                <w:color w:val="auto"/>
              </w:rPr>
              <w:t>250,000</w:t>
            </w:r>
          </w:p>
        </w:tc>
        <w:tc>
          <w:tcPr>
            <w:tcW w:w="144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15,000</w:t>
            </w:r>
          </w:p>
        </w:tc>
        <w:tc>
          <w:tcPr>
            <w:tcW w:w="100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380,000</w:t>
            </w:r>
          </w:p>
        </w:tc>
      </w:tr>
      <w:tr>
        <w:trPr>
          <w:trHeight w:val="204"/>
        </w:trPr>
        <w:tc>
          <w:tcPr>
            <w:tcW w:w="3840" w:type="dxa"/>
            <w:vAlign w:val="bottom"/>
          </w:tcPr>
          <w:p>
            <w:pPr>
              <w:ind w:left="60"/>
              <w:spacing w:after="0"/>
              <w:rPr>
                <w:sz w:val="20"/>
                <w:szCs w:val="20"/>
                <w:color w:val="auto"/>
              </w:rPr>
            </w:pPr>
            <w:r>
              <w:rPr>
                <w:rFonts w:ascii="Arial" w:cs="Arial" w:eastAsia="Arial" w:hAnsi="Arial"/>
                <w:sz w:val="14"/>
                <w:szCs w:val="14"/>
                <w:color w:val="auto"/>
              </w:rPr>
              <w:t>James S. Crown</w:t>
            </w:r>
          </w:p>
        </w:tc>
        <w:tc>
          <w:tcPr>
            <w:tcW w:w="3620" w:type="dxa"/>
            <w:vAlign w:val="bottom"/>
          </w:tcPr>
          <w:p>
            <w:pPr>
              <w:jc w:val="right"/>
              <w:ind w:right="109"/>
              <w:spacing w:after="0"/>
              <w:rPr>
                <w:sz w:val="20"/>
                <w:szCs w:val="20"/>
                <w:color w:val="auto"/>
              </w:rPr>
            </w:pPr>
            <w:r>
              <w:rPr>
                <w:rFonts w:ascii="Arial" w:cs="Arial" w:eastAsia="Arial" w:hAnsi="Arial"/>
                <w:sz w:val="14"/>
                <w:szCs w:val="14"/>
                <w:color w:val="auto"/>
              </w:rPr>
              <w:t>115,000</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250,000</w:t>
            </w: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15,000</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380,000</w:t>
            </w:r>
          </w:p>
        </w:tc>
      </w:tr>
      <w:tr>
        <w:trPr>
          <w:trHeight w:val="26"/>
        </w:trPr>
        <w:tc>
          <w:tcPr>
            <w:tcW w:w="38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0"/>
        </w:trPr>
        <w:tc>
          <w:tcPr>
            <w:tcW w:w="3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Timothy P. Flynn</w:t>
            </w:r>
          </w:p>
        </w:tc>
        <w:tc>
          <w:tcPr>
            <w:tcW w:w="362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4"/>
                <w:szCs w:val="14"/>
                <w:color w:val="auto"/>
              </w:rPr>
              <w:t>124,437</w:t>
            </w:r>
          </w:p>
        </w:tc>
        <w:tc>
          <w:tcPr>
            <w:tcW w:w="112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4"/>
                <w:szCs w:val="14"/>
                <w:color w:val="auto"/>
              </w:rPr>
              <w:t>250,000</w:t>
            </w:r>
          </w:p>
        </w:tc>
        <w:tc>
          <w:tcPr>
            <w:tcW w:w="144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40,000</w:t>
            </w:r>
          </w:p>
        </w:tc>
        <w:tc>
          <w:tcPr>
            <w:tcW w:w="100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414,437</w:t>
            </w:r>
          </w:p>
        </w:tc>
      </w:tr>
      <w:tr>
        <w:trPr>
          <w:trHeight w:val="230"/>
        </w:trPr>
        <w:tc>
          <w:tcPr>
            <w:tcW w:w="3840" w:type="dxa"/>
            <w:vAlign w:val="bottom"/>
          </w:tcPr>
          <w:p>
            <w:pPr>
              <w:ind w:left="60"/>
              <w:spacing w:after="0" w:line="229" w:lineRule="exact"/>
              <w:rPr>
                <w:sz w:val="20"/>
                <w:szCs w:val="20"/>
                <w:color w:val="auto"/>
              </w:rPr>
            </w:pPr>
            <w:r>
              <w:rPr>
                <w:rFonts w:ascii="Arial" w:cs="Arial" w:eastAsia="Arial" w:hAnsi="Arial"/>
                <w:sz w:val="14"/>
                <w:szCs w:val="14"/>
                <w:color w:val="auto"/>
              </w:rPr>
              <w:t>Mellody Hobson</w:t>
            </w:r>
            <w:r>
              <w:rPr>
                <w:rFonts w:ascii="Arial" w:cs="Arial" w:eastAsia="Arial" w:hAnsi="Arial"/>
                <w:sz w:val="24"/>
                <w:szCs w:val="24"/>
                <w:color w:val="auto"/>
                <w:vertAlign w:val="superscript"/>
              </w:rPr>
              <w:t>4</w:t>
            </w:r>
          </w:p>
        </w:tc>
        <w:tc>
          <w:tcPr>
            <w:tcW w:w="3620" w:type="dxa"/>
            <w:vAlign w:val="bottom"/>
          </w:tcPr>
          <w:p>
            <w:pPr>
              <w:jc w:val="right"/>
              <w:ind w:right="109"/>
              <w:spacing w:after="0"/>
              <w:rPr>
                <w:sz w:val="20"/>
                <w:szCs w:val="20"/>
                <w:color w:val="auto"/>
              </w:rPr>
            </w:pPr>
            <w:r>
              <w:rPr>
                <w:rFonts w:ascii="Arial" w:cs="Arial" w:eastAsia="Arial" w:hAnsi="Arial"/>
                <w:sz w:val="14"/>
                <w:szCs w:val="14"/>
                <w:color w:val="auto"/>
              </w:rPr>
              <w:t>87,492</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11,708</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99,200</w:t>
            </w:r>
          </w:p>
        </w:tc>
      </w:tr>
      <w:tr>
        <w:trPr>
          <w:trHeight w:val="210"/>
        </w:trPr>
        <w:tc>
          <w:tcPr>
            <w:tcW w:w="3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Laban P. Jackson, Jr.</w:t>
            </w:r>
          </w:p>
        </w:tc>
        <w:tc>
          <w:tcPr>
            <w:tcW w:w="362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4"/>
                <w:szCs w:val="14"/>
                <w:color w:val="auto"/>
              </w:rPr>
              <w:t>115,000</w:t>
            </w:r>
          </w:p>
        </w:tc>
        <w:tc>
          <w:tcPr>
            <w:tcW w:w="112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4"/>
                <w:szCs w:val="14"/>
                <w:color w:val="auto"/>
              </w:rPr>
              <w:t>250,000</w:t>
            </w:r>
          </w:p>
        </w:tc>
        <w:tc>
          <w:tcPr>
            <w:tcW w:w="144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177,500</w:t>
            </w:r>
          </w:p>
        </w:tc>
        <w:tc>
          <w:tcPr>
            <w:tcW w:w="100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542,500</w:t>
            </w:r>
          </w:p>
        </w:tc>
      </w:tr>
      <w:tr>
        <w:trPr>
          <w:trHeight w:val="204"/>
        </w:trPr>
        <w:tc>
          <w:tcPr>
            <w:tcW w:w="3840" w:type="dxa"/>
            <w:vAlign w:val="bottom"/>
          </w:tcPr>
          <w:p>
            <w:pPr>
              <w:ind w:left="60"/>
              <w:spacing w:after="0"/>
              <w:rPr>
                <w:sz w:val="20"/>
                <w:szCs w:val="20"/>
                <w:color w:val="auto"/>
              </w:rPr>
            </w:pPr>
            <w:r>
              <w:rPr>
                <w:rFonts w:ascii="Arial" w:cs="Arial" w:eastAsia="Arial" w:hAnsi="Arial"/>
                <w:sz w:val="14"/>
                <w:szCs w:val="14"/>
                <w:color w:val="auto"/>
              </w:rPr>
              <w:t>Michael A. Neal</w:t>
            </w:r>
          </w:p>
        </w:tc>
        <w:tc>
          <w:tcPr>
            <w:tcW w:w="3620" w:type="dxa"/>
            <w:vAlign w:val="bottom"/>
          </w:tcPr>
          <w:p>
            <w:pPr>
              <w:jc w:val="right"/>
              <w:ind w:right="109"/>
              <w:spacing w:after="0"/>
              <w:rPr>
                <w:sz w:val="20"/>
                <w:szCs w:val="20"/>
                <w:color w:val="auto"/>
              </w:rPr>
            </w:pPr>
            <w:r>
              <w:rPr>
                <w:rFonts w:ascii="Arial" w:cs="Arial" w:eastAsia="Arial" w:hAnsi="Arial"/>
                <w:sz w:val="14"/>
                <w:szCs w:val="14"/>
                <w:color w:val="auto"/>
              </w:rPr>
              <w:t>115,000</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250,000</w:t>
            </w: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15,000</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380,000</w:t>
            </w:r>
          </w:p>
        </w:tc>
      </w:tr>
      <w:tr>
        <w:trPr>
          <w:trHeight w:val="26"/>
        </w:trPr>
        <w:tc>
          <w:tcPr>
            <w:tcW w:w="38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0"/>
        </w:trPr>
        <w:tc>
          <w:tcPr>
            <w:tcW w:w="38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Lee R. Raymond</w:t>
            </w:r>
          </w:p>
        </w:tc>
        <w:tc>
          <w:tcPr>
            <w:tcW w:w="362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4"/>
                <w:szCs w:val="14"/>
                <w:color w:val="auto"/>
              </w:rPr>
              <w:t>145,000</w:t>
            </w:r>
          </w:p>
        </w:tc>
        <w:tc>
          <w:tcPr>
            <w:tcW w:w="1120" w:type="dxa"/>
            <w:vAlign w:val="bottom"/>
            <w:tcBorders>
              <w:bottom w:val="single" w:sz="8" w:color="E5E5E5"/>
            </w:tcBorders>
            <w:shd w:val="clear" w:color="auto" w:fill="E5E5E5"/>
          </w:tcPr>
          <w:p>
            <w:pPr>
              <w:jc w:val="right"/>
              <w:ind w:right="109"/>
              <w:spacing w:after="0"/>
              <w:rPr>
                <w:sz w:val="20"/>
                <w:szCs w:val="20"/>
                <w:color w:val="auto"/>
              </w:rPr>
            </w:pPr>
            <w:r>
              <w:rPr>
                <w:rFonts w:ascii="Arial" w:cs="Arial" w:eastAsia="Arial" w:hAnsi="Arial"/>
                <w:sz w:val="14"/>
                <w:szCs w:val="14"/>
                <w:color w:val="auto"/>
              </w:rPr>
              <w:t>250,000</w:t>
            </w:r>
          </w:p>
        </w:tc>
        <w:tc>
          <w:tcPr>
            <w:tcW w:w="1440" w:type="dxa"/>
            <w:vAlign w:val="bottom"/>
            <w:tcBorders>
              <w:bottom w:val="single" w:sz="8" w:color="E5E5E5"/>
            </w:tcBorders>
            <w:shd w:val="clear" w:color="auto" w:fill="E5E5E5"/>
          </w:tcPr>
          <w:p>
            <w:pPr>
              <w:jc w:val="right"/>
              <w:ind w:right="69"/>
              <w:spacing w:after="0"/>
              <w:rPr>
                <w:sz w:val="20"/>
                <w:szCs w:val="20"/>
                <w:color w:val="auto"/>
              </w:rPr>
            </w:pPr>
            <w:r>
              <w:rPr>
                <w:rFonts w:ascii="Arial" w:cs="Arial" w:eastAsia="Arial" w:hAnsi="Arial"/>
                <w:sz w:val="14"/>
                <w:szCs w:val="14"/>
                <w:color w:val="auto"/>
              </w:rPr>
              <w:t>47,500</w:t>
            </w:r>
          </w:p>
        </w:tc>
        <w:tc>
          <w:tcPr>
            <w:tcW w:w="100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442,500</w:t>
            </w:r>
          </w:p>
        </w:tc>
      </w:tr>
      <w:tr>
        <w:trPr>
          <w:trHeight w:val="204"/>
        </w:trPr>
        <w:tc>
          <w:tcPr>
            <w:tcW w:w="3840" w:type="dxa"/>
            <w:vAlign w:val="bottom"/>
          </w:tcPr>
          <w:p>
            <w:pPr>
              <w:ind w:left="60"/>
              <w:spacing w:after="0"/>
              <w:rPr>
                <w:sz w:val="20"/>
                <w:szCs w:val="20"/>
                <w:color w:val="auto"/>
              </w:rPr>
            </w:pPr>
            <w:r>
              <w:rPr>
                <w:rFonts w:ascii="Arial" w:cs="Arial" w:eastAsia="Arial" w:hAnsi="Arial"/>
                <w:sz w:val="14"/>
                <w:szCs w:val="14"/>
                <w:color w:val="auto"/>
              </w:rPr>
              <w:t>William C. Weldon</w:t>
            </w:r>
          </w:p>
        </w:tc>
        <w:tc>
          <w:tcPr>
            <w:tcW w:w="3620" w:type="dxa"/>
            <w:vAlign w:val="bottom"/>
          </w:tcPr>
          <w:p>
            <w:pPr>
              <w:jc w:val="right"/>
              <w:ind w:right="109"/>
              <w:spacing w:after="0"/>
              <w:rPr>
                <w:sz w:val="20"/>
                <w:szCs w:val="20"/>
                <w:color w:val="auto"/>
              </w:rPr>
            </w:pPr>
            <w:r>
              <w:rPr>
                <w:rFonts w:ascii="Arial" w:cs="Arial" w:eastAsia="Arial" w:hAnsi="Arial"/>
                <w:sz w:val="14"/>
                <w:szCs w:val="14"/>
                <w:color w:val="auto"/>
              </w:rPr>
              <w:t>115,000</w:t>
            </w: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250,000</w:t>
            </w: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72,500</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437,500</w:t>
            </w:r>
          </w:p>
        </w:tc>
      </w:tr>
    </w:tbl>
    <w:p>
      <w:pPr>
        <w:spacing w:after="0" w:line="152" w:lineRule="exact"/>
        <w:rPr>
          <w:sz w:val="20"/>
          <w:szCs w:val="20"/>
          <w:color w:val="auto"/>
        </w:rPr>
      </w:pPr>
    </w:p>
    <w:p>
      <w:pPr>
        <w:ind w:left="420" w:right="440" w:hanging="176"/>
        <w:spacing w:after="0" w:line="183" w:lineRule="auto"/>
        <w:tabs>
          <w:tab w:leader="none" w:pos="42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Includes fees earned, whether paid in cash or deferred, for service on the Board of Directors. For additional information on each director’s service on committees of JPMorgan Chase, see “Committees of the Board” on pages 23-26 of this proxy statement.</w:t>
      </w:r>
    </w:p>
    <w:p>
      <w:pPr>
        <w:spacing w:after="0" w:line="58" w:lineRule="exact"/>
        <w:rPr>
          <w:sz w:val="20"/>
          <w:szCs w:val="20"/>
          <w:color w:val="auto"/>
        </w:rPr>
      </w:pPr>
    </w:p>
    <w:p>
      <w:pPr>
        <w:ind w:left="420" w:right="280" w:hanging="176"/>
        <w:spacing w:after="0" w:line="208" w:lineRule="auto"/>
        <w:tabs>
          <w:tab w:leader="none" w:pos="42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On January 16, 2018, each director received an annual grant of deferred stock units equal to $250,000, based on a grant date fair market value of the Firm’s common stock of $112.25 per share. The aggregate number of option awards and stock awards outstanding at December 31, 2018, for each current director is included in the “Security ownership of directors and executive officers” table on page 76 of this proxy statement under the columns “Options/SARs exercisable within 60 days” and “Additional underlying stock units,” respectively. All such awards are vested.</w:t>
      </w:r>
    </w:p>
    <w:p>
      <w:pPr>
        <w:spacing w:after="0" w:line="58" w:lineRule="exact"/>
        <w:rPr>
          <w:sz w:val="20"/>
          <w:szCs w:val="20"/>
          <w:color w:val="auto"/>
        </w:rPr>
      </w:pPr>
    </w:p>
    <w:p>
      <w:pPr>
        <w:ind w:left="420" w:right="500" w:hanging="176"/>
        <w:spacing w:after="0" w:line="208" w:lineRule="auto"/>
        <w:tabs>
          <w:tab w:leader="none" w:pos="42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Includes fees paid to the non-management directors for their service on the Board of Directors of the Bank or who are members of one or more Specific Purpose Committees. A fee of $2,500 is paid for each Specific Purpose Committee meeting attended (with the exception of the Omnibus Committee). Also includes for Mr. Jackson, $110,000 in compensation during 2018 in consideration of his service as a director of J.P. Morgan Securities plc, one of the Firm’s principal operating subsidiaries in the United Kingdom and a subsidiary of the Bank.</w:t>
      </w:r>
    </w:p>
    <w:p>
      <w:pPr>
        <w:spacing w:after="0" w:line="58" w:lineRule="exact"/>
        <w:rPr>
          <w:sz w:val="20"/>
          <w:szCs w:val="20"/>
          <w:color w:val="auto"/>
        </w:rPr>
      </w:pPr>
    </w:p>
    <w:p>
      <w:pPr>
        <w:ind w:left="420" w:right="120" w:hanging="176"/>
        <w:spacing w:after="0" w:line="183" w:lineRule="auto"/>
        <w:tabs>
          <w:tab w:leader="none" w:pos="42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Ms. Bowles retired from the Board in May 2018 on the eve of the 2018 annual meeting. Ms. Hobson joined the Board in March 2018. Retainers for Board and committee service were pro-rated.</w:t>
      </w:r>
    </w:p>
    <w:p>
      <w:pPr>
        <w:spacing w:after="0" w:line="12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Stock ownership: no sales, no hedging, no pledging</w:t>
      </w:r>
    </w:p>
    <w:p>
      <w:pPr>
        <w:spacing w:after="0" w:line="13"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As stated in the Governance Principles and further described in “Anti-hedging/anti-pledging provisions” on page 61 of this proxy statement, each director agrees to retain all shares of the Firm’s common stock he or she purchased on the open market or received pursuant to his or her service as a Board member for as long as he or she serves on our Board.</w:t>
      </w:r>
    </w:p>
    <w:p>
      <w:pPr>
        <w:spacing w:after="0" w:line="97" w:lineRule="exact"/>
        <w:rPr>
          <w:sz w:val="20"/>
          <w:szCs w:val="20"/>
          <w:color w:val="auto"/>
        </w:rPr>
      </w:pPr>
    </w:p>
    <w:p>
      <w:pPr>
        <w:ind w:left="220" w:right="260"/>
        <w:spacing w:after="0"/>
        <w:rPr>
          <w:sz w:val="20"/>
          <w:szCs w:val="20"/>
          <w:color w:val="auto"/>
        </w:rPr>
      </w:pPr>
      <w:r>
        <w:rPr>
          <w:rFonts w:ascii="Arial" w:cs="Arial" w:eastAsia="Arial" w:hAnsi="Arial"/>
          <w:sz w:val="18"/>
          <w:szCs w:val="18"/>
          <w:color w:val="auto"/>
        </w:rPr>
        <w:t>Shares held personally by a director may not be held in margin accounts or otherwise pledged as collateral, nor may the economic risk of such shares be hedged.</w:t>
      </w:r>
    </w:p>
    <w:p>
      <w:pPr>
        <w:spacing w:after="0" w:line="95" w:lineRule="exact"/>
        <w:rPr>
          <w:sz w:val="20"/>
          <w:szCs w:val="20"/>
          <w:color w:val="auto"/>
        </w:rPr>
      </w:pPr>
    </w:p>
    <w:p>
      <w:pPr>
        <w:ind w:left="220" w:right="80"/>
        <w:spacing w:after="0" w:line="248" w:lineRule="auto"/>
        <w:rPr>
          <w:sz w:val="20"/>
          <w:szCs w:val="20"/>
          <w:color w:val="auto"/>
        </w:rPr>
      </w:pPr>
      <w:r>
        <w:rPr>
          <w:rFonts w:ascii="Arial" w:cs="Arial" w:eastAsia="Arial" w:hAnsi="Arial"/>
          <w:sz w:val="17"/>
          <w:szCs w:val="17"/>
          <w:color w:val="auto"/>
        </w:rPr>
        <w:t>As detailed on page 76 of this proxy statement under “Security ownership of directors and executive officers,” Mr. Crown has ownership of certain shares attributed to him that arise from the business of Henry Crown and Company, an investment company where Mr. Crown serves as Chairman and CEO, and trusts of which Mr. Crown serves as trustee (the “Attributed Shares”).</w:t>
      </w:r>
    </w:p>
    <w:p>
      <w:pPr>
        <w:spacing w:after="0" w:line="4"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Mr. Crown disclaims beneficial ownership of such Attributed Shares, except to the extent of his pecuniary interest. The Attributed Shares are distinct from shares Mr. Crown or his spouse own individually, or shares held in trusts for the benefit of his children (the “Crown Personally Held Shares”). The Firm has reviewed the potential pledging of the Attributed Shares with Mr. Crown, recognizes Mr. Crown’s distinct obligations with respect to Henry Crown and Company and the trusts, and believes such Attributed Shares may be prudently pledged or held in margin loan accounts. Crown Personally Held Shares are not and may not be held in margin accounts or otherwise pledged as collateral, nor may the economic risk of such shares be hedged.</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-657860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w:t>
      </w:r>
    </w:p>
    <w:p>
      <w:pPr>
        <w:spacing w:after="0" w:line="1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Each year, non-management directors may elect to defer all or part of their cash compensation. A director’s right to receive future payments under any deferred compensation arrangement is an unsecured claim against JPMorgan Chase’s general assets. Cash amounts may be deferred into various investment equivalents, including deferred stock units. Upon retirement from the Board, compensation deferred into stock units will be distributed in stock; all other deferred cash compensation will be distributed in cash. Deferred compensation will be distributed in either a lump sum or in annual installments for up to 15 years as elected by the director commencing in January of the year following the director’s retirement from the Board.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Reimbursements and insurance</w:t>
      </w:r>
    </w:p>
    <w:p>
      <w:pPr>
        <w:spacing w:after="0" w:line="1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Firm reimburses directors for their expenses in connection with their Board service or pays such expenses directly. The Firm also pays the premiums on directors’ and officers’ liability insurance policies and on travel accident insurance policies covering directors as well as employees of the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60" w:space="360"/>
            <w:col w:w="540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1035685</wp:posOffset>
            </wp:positionV>
            <wp:extent cx="7002145" cy="415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02145" cy="41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45"/>
          <w:szCs w:val="45"/>
          <w:color w:val="00487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45"/>
          <w:szCs w:val="45"/>
          <w:color w:val="004876"/>
        </w:rPr>
        <w:t>PROPOSAL 2:</w:t>
      </w:r>
    </w:p>
    <w:p>
      <w:pPr>
        <w:spacing w:after="0" w:line="104" w:lineRule="exact"/>
        <w:rPr>
          <w:sz w:val="20"/>
          <w:szCs w:val="20"/>
          <w:color w:val="auto"/>
        </w:rPr>
      </w:pPr>
    </w:p>
    <w:p>
      <w:pPr>
        <w:ind w:left="200" w:right="2940"/>
        <w:spacing w:after="0" w:line="300" w:lineRule="auto"/>
        <w:rPr>
          <w:sz w:val="20"/>
          <w:szCs w:val="20"/>
          <w:color w:val="auto"/>
        </w:rPr>
      </w:pPr>
      <w:r>
        <w:rPr>
          <w:rFonts w:ascii="Arial" w:cs="Arial" w:eastAsia="Arial" w:hAnsi="Arial"/>
          <w:sz w:val="45"/>
          <w:szCs w:val="45"/>
          <w:color w:val="004876"/>
        </w:rPr>
        <w:t>Advisory resolution to approve executive compensation</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r>
              <w:rPr>
                <w:rFonts w:ascii="Arial" w:cs="Arial" w:eastAsia="Arial" w:hAnsi="Arial"/>
                <w:sz w:val="20"/>
                <w:szCs w:val="20"/>
                <w:color w:val="auto"/>
              </w:rPr>
              <w:t>Approve the Firm’s compensation practices and principles</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5460" w:type="dxa"/>
            <w:vAlign w:val="bottom"/>
            <w:vMerge w:val="restart"/>
          </w:tcPr>
          <w:p>
            <w:pPr>
              <w:spacing w:after="0" w:line="216" w:lineRule="exact"/>
              <w:rPr>
                <w:sz w:val="20"/>
                <w:szCs w:val="20"/>
                <w:color w:val="auto"/>
              </w:rPr>
            </w:pPr>
            <w:r>
              <w:rPr>
                <w:rFonts w:ascii="Arial" w:cs="Arial" w:eastAsia="Arial" w:hAnsi="Arial"/>
                <w:sz w:val="20"/>
                <w:szCs w:val="20"/>
                <w:color w:val="auto"/>
              </w:rPr>
              <w:t>and their implementation for 2018 for the compensation of</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5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5100" w:type="dxa"/>
            <w:vAlign w:val="bottom"/>
            <w:gridSpan w:val="3"/>
            <w:vMerge w:val="restart"/>
            <w:shd w:val="clear" w:color="auto" w:fill="E5E5E5"/>
          </w:tcPr>
          <w:p>
            <w:pPr>
              <w:ind w:left="360"/>
              <w:spacing w:after="0"/>
              <w:rPr>
                <w:sz w:val="20"/>
                <w:szCs w:val="20"/>
                <w:color w:val="auto"/>
              </w:rPr>
            </w:pPr>
            <w:r>
              <w:rPr>
                <w:rFonts w:ascii="Arial" w:cs="Arial" w:eastAsia="Arial" w:hAnsi="Arial"/>
                <w:sz w:val="20"/>
                <w:szCs w:val="20"/>
                <w:color w:val="auto"/>
              </w:rPr>
              <w:t>RECOMMENDATION:</w:t>
            </w:r>
          </w:p>
        </w:tc>
        <w:tc>
          <w:tcPr>
            <w:tcW w:w="0" w:type="dxa"/>
            <w:vAlign w:val="bottom"/>
          </w:tcPr>
          <w:p>
            <w:pPr>
              <w:spacing w:after="0"/>
              <w:rPr>
                <w:sz w:val="1"/>
                <w:szCs w:val="1"/>
                <w:color w:val="auto"/>
              </w:rPr>
            </w:pPr>
          </w:p>
        </w:tc>
      </w:tr>
      <w:tr>
        <w:trPr>
          <w:trHeight w:val="206"/>
        </w:trPr>
        <w:tc>
          <w:tcPr>
            <w:tcW w:w="5460" w:type="dxa"/>
            <w:vAlign w:val="bottom"/>
          </w:tcPr>
          <w:p>
            <w:pPr>
              <w:spacing w:after="0" w:line="206" w:lineRule="exact"/>
              <w:rPr>
                <w:sz w:val="20"/>
                <w:szCs w:val="20"/>
                <w:color w:val="auto"/>
              </w:rPr>
            </w:pPr>
            <w:r>
              <w:rPr>
                <w:rFonts w:ascii="Arial" w:cs="Arial" w:eastAsia="Arial" w:hAnsi="Arial"/>
                <w:sz w:val="20"/>
                <w:szCs w:val="20"/>
                <w:color w:val="auto"/>
              </w:rPr>
              <w:t>the Firm’s Named Executive Officers as discussed and</w:t>
            </w:r>
          </w:p>
        </w:tc>
        <w:tc>
          <w:tcPr>
            <w:tcW w:w="460" w:type="dxa"/>
            <w:vAlign w:val="bottom"/>
            <w:vMerge w:val="restart"/>
          </w:tcPr>
          <w:p>
            <w:pPr>
              <w:ind w:left="180"/>
              <w:spacing w:after="0" w:line="291" w:lineRule="exact"/>
              <w:rPr>
                <w:sz w:val="20"/>
                <w:szCs w:val="20"/>
                <w:color w:val="auto"/>
              </w:rPr>
            </w:pPr>
            <w:r>
              <w:rPr>
                <w:rFonts w:ascii="MS PGothic" w:cs="MS PGothic" w:eastAsia="MS PGothic" w:hAnsi="MS PGothic"/>
                <w:sz w:val="29"/>
                <w:szCs w:val="29"/>
                <w:color w:val="auto"/>
                <w:w w:val="89"/>
                <w:shd w:val="clear" w:color="auto" w:fill="73A950"/>
              </w:rPr>
              <w:t>✓</w:t>
            </w:r>
          </w:p>
        </w:tc>
        <w:tc>
          <w:tcPr>
            <w:tcW w:w="5100" w:type="dxa"/>
            <w:vAlign w:val="bottom"/>
            <w:gridSpan w:val="3"/>
            <w:vMerge w:val="continue"/>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line="197" w:lineRule="exact"/>
              <w:rPr>
                <w:sz w:val="20"/>
                <w:szCs w:val="20"/>
                <w:color w:val="auto"/>
              </w:rPr>
            </w:pPr>
            <w:r>
              <w:rPr>
                <w:rFonts w:ascii="Arial" w:cs="Arial" w:eastAsia="Arial" w:hAnsi="Arial"/>
                <w:sz w:val="20"/>
                <w:szCs w:val="20"/>
                <w:color w:val="auto"/>
              </w:rPr>
              <w:t>disclosed in the Compensation Discussion and Analysis, the</w:t>
            </w:r>
          </w:p>
        </w:tc>
        <w:tc>
          <w:tcPr>
            <w:tcW w:w="460" w:type="dxa"/>
            <w:vAlign w:val="bottom"/>
            <w:vMerge w:val="continue"/>
          </w:tcPr>
          <w:p>
            <w:pPr>
              <w:spacing w:after="0"/>
              <w:rPr>
                <w:sz w:val="18"/>
                <w:szCs w:val="18"/>
                <w:color w:val="auto"/>
              </w:rPr>
            </w:pPr>
          </w:p>
        </w:tc>
        <w:tc>
          <w:tcPr>
            <w:tcW w:w="5100" w:type="dxa"/>
            <w:vAlign w:val="bottom"/>
            <w:gridSpan w:val="3"/>
            <w:shd w:val="clear" w:color="auto" w:fill="E5E5E5"/>
          </w:tcPr>
          <w:p>
            <w:pPr>
              <w:ind w:left="360"/>
              <w:spacing w:after="0" w:line="197" w:lineRule="exact"/>
              <w:rPr>
                <w:sz w:val="20"/>
                <w:szCs w:val="20"/>
                <w:color w:val="auto"/>
              </w:rPr>
            </w:pPr>
            <w:r>
              <w:rPr>
                <w:rFonts w:ascii="Arial" w:cs="Arial" w:eastAsia="Arial" w:hAnsi="Arial"/>
                <w:sz w:val="20"/>
                <w:szCs w:val="20"/>
                <w:color w:val="auto"/>
              </w:rPr>
              <w:t xml:space="preserve">Vote </w:t>
            </w:r>
            <w:r>
              <w:rPr>
                <w:rFonts w:ascii="Arial" w:cs="Arial" w:eastAsia="Arial" w:hAnsi="Arial"/>
                <w:sz w:val="20"/>
                <w:szCs w:val="20"/>
                <w:b w:val="1"/>
                <w:bCs w:val="1"/>
                <w:color w:val="auto"/>
              </w:rPr>
              <w:t>FOR</w:t>
            </w:r>
            <w:r>
              <w:rPr>
                <w:rFonts w:ascii="Arial" w:cs="Arial" w:eastAsia="Arial" w:hAnsi="Arial"/>
                <w:sz w:val="20"/>
                <w:szCs w:val="20"/>
                <w:color w:val="auto"/>
              </w:rPr>
              <w:t xml:space="preserve"> approval of this advisory resolution to</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line="226" w:lineRule="exact"/>
              <w:rPr>
                <w:sz w:val="20"/>
                <w:szCs w:val="20"/>
                <w:color w:val="auto"/>
              </w:rPr>
            </w:pPr>
            <w:r>
              <w:rPr>
                <w:rFonts w:ascii="Arial" w:cs="Arial" w:eastAsia="Arial" w:hAnsi="Arial"/>
                <w:sz w:val="20"/>
                <w:szCs w:val="20"/>
                <w:color w:val="auto"/>
              </w:rPr>
              <w:t>compensation tables, and any related material contained in</w:t>
            </w:r>
          </w:p>
        </w:tc>
        <w:tc>
          <w:tcPr>
            <w:tcW w:w="460" w:type="dxa"/>
            <w:vAlign w:val="bottom"/>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4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5100" w:type="dxa"/>
            <w:vAlign w:val="bottom"/>
            <w:gridSpan w:val="3"/>
            <w:shd w:val="clear" w:color="auto" w:fill="E5E5E5"/>
          </w:tcPr>
          <w:p>
            <w:pPr>
              <w:ind w:left="360"/>
              <w:spacing w:after="0" w:line="206" w:lineRule="exact"/>
              <w:rPr>
                <w:sz w:val="20"/>
                <w:szCs w:val="20"/>
                <w:color w:val="auto"/>
              </w:rPr>
            </w:pPr>
            <w:r>
              <w:rPr>
                <w:rFonts w:ascii="Arial" w:cs="Arial" w:eastAsia="Arial" w:hAnsi="Arial"/>
                <w:sz w:val="20"/>
                <w:szCs w:val="20"/>
                <w:color w:val="auto"/>
              </w:rPr>
              <w:t>approve executive compensation</w:t>
            </w:r>
          </w:p>
        </w:tc>
        <w:tc>
          <w:tcPr>
            <w:tcW w:w="0" w:type="dxa"/>
            <w:vAlign w:val="bottom"/>
          </w:tcPr>
          <w:p>
            <w:pPr>
              <w:spacing w:after="0"/>
              <w:rPr>
                <w:sz w:val="1"/>
                <w:szCs w:val="1"/>
                <w:color w:val="auto"/>
              </w:rPr>
            </w:pPr>
          </w:p>
        </w:tc>
      </w:tr>
      <w:tr>
        <w:trPr>
          <w:trHeight w:val="71"/>
        </w:trPr>
        <w:tc>
          <w:tcPr>
            <w:tcW w:w="5460" w:type="dxa"/>
            <w:vAlign w:val="bottom"/>
            <w:vMerge w:val="restart"/>
          </w:tcPr>
          <w:p>
            <w:pPr>
              <w:spacing w:after="0"/>
              <w:rPr>
                <w:sz w:val="20"/>
                <w:szCs w:val="20"/>
                <w:color w:val="auto"/>
              </w:rPr>
            </w:pPr>
            <w:r>
              <w:rPr>
                <w:rFonts w:ascii="Arial" w:cs="Arial" w:eastAsia="Arial" w:hAnsi="Arial"/>
                <w:sz w:val="20"/>
                <w:szCs w:val="20"/>
                <w:color w:val="auto"/>
              </w:rPr>
              <w:t>this proxy statement.</w:t>
            </w:r>
          </w:p>
        </w:tc>
        <w:tc>
          <w:tcPr>
            <w:tcW w:w="460" w:type="dxa"/>
            <w:vAlign w:val="bottom"/>
          </w:tcPr>
          <w:p>
            <w:pPr>
              <w:spacing w:after="0"/>
              <w:rPr>
                <w:sz w:val="6"/>
                <w:szCs w:val="6"/>
                <w:color w:val="auto"/>
              </w:rPr>
            </w:pPr>
          </w:p>
        </w:tc>
        <w:tc>
          <w:tcPr>
            <w:tcW w:w="800" w:type="dxa"/>
            <w:vAlign w:val="bottom"/>
            <w:shd w:val="clear" w:color="auto" w:fill="E5E5E5"/>
          </w:tcPr>
          <w:p>
            <w:pPr>
              <w:spacing w:after="0"/>
              <w:rPr>
                <w:sz w:val="6"/>
                <w:szCs w:val="6"/>
                <w:color w:val="auto"/>
              </w:rPr>
            </w:pPr>
          </w:p>
        </w:tc>
        <w:tc>
          <w:tcPr>
            <w:tcW w:w="420" w:type="dxa"/>
            <w:vAlign w:val="bottom"/>
            <w:shd w:val="clear" w:color="auto" w:fill="E5E5E5"/>
          </w:tcPr>
          <w:p>
            <w:pPr>
              <w:spacing w:after="0"/>
              <w:rPr>
                <w:sz w:val="6"/>
                <w:szCs w:val="6"/>
                <w:color w:val="auto"/>
              </w:rPr>
            </w:pPr>
          </w:p>
        </w:tc>
        <w:tc>
          <w:tcPr>
            <w:tcW w:w="388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54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838200</wp:posOffset>
            </wp:positionV>
            <wp:extent cx="6997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38</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45"/>
          <w:szCs w:val="45"/>
          <w:b w:val="1"/>
          <w:bCs w:val="1"/>
          <w:color w:val="004876"/>
        </w:rPr>
        <w:t>Executive Summary</w:t>
      </w:r>
    </w:p>
    <w:p>
      <w:pPr>
        <w:spacing w:after="0" w:line="200" w:lineRule="exact"/>
        <w:rPr>
          <w:sz w:val="20"/>
          <w:szCs w:val="20"/>
          <w:color w:val="auto"/>
        </w:rPr>
      </w:pPr>
    </w:p>
    <w:p>
      <w:pPr>
        <w:spacing w:after="0" w:line="272" w:lineRule="exact"/>
        <w:rPr>
          <w:sz w:val="20"/>
          <w:szCs w:val="20"/>
          <w:color w:val="auto"/>
        </w:rPr>
      </w:pPr>
    </w:p>
    <w:p>
      <w:pPr>
        <w:ind w:left="220" w:right="2800"/>
        <w:spacing w:after="0" w:line="236" w:lineRule="auto"/>
        <w:rPr>
          <w:sz w:val="20"/>
          <w:szCs w:val="20"/>
          <w:color w:val="auto"/>
        </w:rPr>
      </w:pPr>
      <w:r>
        <w:rPr>
          <w:rFonts w:ascii="Arial" w:cs="Arial" w:eastAsia="Arial" w:hAnsi="Arial"/>
          <w:sz w:val="18"/>
          <w:szCs w:val="18"/>
          <w:color w:val="auto"/>
        </w:rPr>
        <w:t>The Firm’s Board of Directors believes that JPMorgan Chase’s long-term success as a premier financial services firm depends in large measure on the talents of our employees and a proper alignment of their compensation with performance and sustained shareholder value. The Firm’s compensation programs play a significant role in our ability to attract, retain and properly motivate the highest quality workforce. The principal underpinnings of our compensation practices are a sharp focus on performance within a well controlled environment, alignment with the interests of shareholders, sensitivity to the relevant marketplace and a long-term orientation.</w:t>
      </w:r>
    </w:p>
    <w:p>
      <w:pPr>
        <w:spacing w:after="0" w:line="98" w:lineRule="exact"/>
        <w:rPr>
          <w:sz w:val="20"/>
          <w:szCs w:val="20"/>
          <w:color w:val="auto"/>
        </w:rPr>
      </w:pPr>
    </w:p>
    <w:p>
      <w:pPr>
        <w:ind w:left="220" w:right="2760"/>
        <w:spacing w:after="0" w:line="236" w:lineRule="auto"/>
        <w:rPr>
          <w:sz w:val="20"/>
          <w:szCs w:val="20"/>
          <w:color w:val="auto"/>
        </w:rPr>
      </w:pPr>
      <w:r>
        <w:rPr>
          <w:rFonts w:ascii="Arial" w:cs="Arial" w:eastAsia="Arial" w:hAnsi="Arial"/>
          <w:sz w:val="18"/>
          <w:szCs w:val="18"/>
          <w:color w:val="auto"/>
        </w:rPr>
        <w:t>The Compensation Discussion and Analysis that follows describes our pay-for-performance framework and compensation philosophy, and discusses how our compensation for the Firm’s NEOs is closely aligned with Firm performance and with our shareholders’ interests. We are seeking an advisory vote to approve the compensation of our NEOs. The advisory vote will not be binding upon the Board of Directors. However, the CMDC will take into account the outcome of the vote when considering future executive compensation arrangements. For additional information, see page 41.</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333333"/>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-4445</wp:posOffset>
            </wp:positionV>
            <wp:extent cx="3429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8240" w:space="720"/>
            <w:col w:w="226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Proposal 2 – Advisory resolution to approve executive compensation</w:t>
      </w:r>
    </w:p>
    <w:p>
      <w:pPr>
        <w:spacing w:after="0" w:line="115" w:lineRule="exact"/>
        <w:rPr>
          <w:sz w:val="20"/>
          <w:szCs w:val="20"/>
          <w:color w:val="auto"/>
        </w:rPr>
      </w:pPr>
    </w:p>
    <w:p>
      <w:pPr>
        <w:ind w:left="200" w:right="440"/>
        <w:spacing w:after="0" w:line="246" w:lineRule="auto"/>
        <w:rPr>
          <w:sz w:val="20"/>
          <w:szCs w:val="20"/>
          <w:color w:val="auto"/>
        </w:rPr>
      </w:pPr>
      <w:r>
        <w:rPr>
          <w:rFonts w:ascii="Arial" w:cs="Arial" w:eastAsia="Arial" w:hAnsi="Arial"/>
          <w:sz w:val="18"/>
          <w:szCs w:val="18"/>
          <w:color w:val="auto"/>
        </w:rPr>
        <w:t>As required by Section 14A of the Securities Exchange Act of 1934, as amended, this proposal seeks a shareholder advisory vote to approve the compensation of our NEOs as disclosed pursuant to Item 402 of Regulation S-K through the following resolution:</w:t>
      </w:r>
    </w:p>
    <w:p>
      <w:pPr>
        <w:spacing w:after="0" w:line="67" w:lineRule="exact"/>
        <w:rPr>
          <w:sz w:val="20"/>
          <w:szCs w:val="20"/>
          <w:color w:val="auto"/>
        </w:rPr>
      </w:pPr>
    </w:p>
    <w:p>
      <w:pPr>
        <w:ind w:left="200" w:right="220"/>
        <w:spacing w:after="0" w:line="253" w:lineRule="auto"/>
        <w:rPr>
          <w:sz w:val="20"/>
          <w:szCs w:val="20"/>
          <w:color w:val="auto"/>
        </w:rPr>
      </w:pPr>
      <w:r>
        <w:rPr>
          <w:rFonts w:ascii="Arial" w:cs="Arial" w:eastAsia="Arial" w:hAnsi="Arial"/>
          <w:sz w:val="18"/>
          <w:szCs w:val="18"/>
          <w:b w:val="1"/>
          <w:bCs w:val="1"/>
          <w:color w:val="auto"/>
        </w:rPr>
        <w:t>“Resolved, that shareholders approve the Firm’s compensation practices and principles and their implementation for 2018 for the compensation of the Firm’s Named Executive Officers as discussed and disclosed in the Compensation Discussion and Analysis, the compensation tables, and any related material contained in this proxy statement.”</w:t>
      </w:r>
    </w:p>
    <w:p>
      <w:pPr>
        <w:spacing w:after="0" w:line="8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Because this is an advisory vote, it will not be binding upon the Board of Directors. However, the CMDC will take into account the outcome of the vote when considering future executive compensation arrangements.</w:t>
      </w:r>
    </w:p>
    <w:p>
      <w:pPr>
        <w:spacing w:after="0" w:line="124"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40</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EXECUTIVE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4876"/>
        </w:rPr>
        <w:t>Compensation discussion and analysis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CD&amp;A is organized around five key factors we believe shareholders should consider in their evaluation of our Say-on-Pay proposal.</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4876"/>
        </w:rPr>
        <w:t>Summary of factors for shareholder consideration</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700" w:hanging="346"/>
        <w:spacing w:after="0"/>
        <w:tabs>
          <w:tab w:leader="none" w:pos="700" w:val="left"/>
        </w:tabs>
        <w:numPr>
          <w:ilvl w:val="0"/>
          <w:numId w:val="61"/>
        </w:numPr>
        <w:rPr>
          <w:rFonts w:ascii="Arial" w:cs="Arial" w:eastAsia="Arial" w:hAnsi="Arial"/>
          <w:sz w:val="25"/>
          <w:szCs w:val="25"/>
          <w:color w:val="FFFFFF"/>
          <w:shd w:val="clear" w:color="auto" w:fill="004876"/>
        </w:rPr>
      </w:pPr>
      <w:r>
        <w:rPr>
          <w:rFonts w:ascii="Arial" w:cs="Arial" w:eastAsia="Arial" w:hAnsi="Arial"/>
          <w:sz w:val="22"/>
          <w:szCs w:val="22"/>
          <w:b w:val="1"/>
          <w:bCs w:val="1"/>
          <w:color w:val="004876"/>
        </w:rPr>
        <w:t>Strong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53975</wp:posOffset>
            </wp:positionV>
            <wp:extent cx="30784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62865</wp:posOffset>
            </wp:positionV>
            <wp:extent cx="17145" cy="814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 cy="814705"/>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62865</wp:posOffset>
            </wp:positionV>
            <wp:extent cx="17145" cy="814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81470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62865</wp:posOffset>
            </wp:positionV>
            <wp:extent cx="17145" cy="814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 cy="814705"/>
                    </a:xfrm>
                    <a:prstGeom prst="rect">
                      <a:avLst/>
                    </a:prstGeom>
                    <a:noFill/>
                  </pic:spPr>
                </pic:pic>
              </a:graphicData>
            </a:graphic>
          </wp:anchor>
        </w:drawing>
      </w:r>
    </w:p>
    <w:p>
      <w:pPr>
        <w:spacing w:after="0" w:line="79" w:lineRule="exact"/>
        <w:rPr>
          <w:sz w:val="20"/>
          <w:szCs w:val="20"/>
          <w:color w:val="auto"/>
        </w:rPr>
      </w:pPr>
    </w:p>
    <w:tbl>
      <w:tblPr>
        <w:tblLayout w:type="fixed"/>
        <w:tblInd w:w="220" w:type="dxa"/>
        <w:tblCellMar>
          <w:top w:w="0" w:type="dxa"/>
          <w:left w:w="0" w:type="dxa"/>
          <w:bottom w:w="0" w:type="dxa"/>
          <w:right w:w="0" w:type="dxa"/>
        </w:tblCellMar>
      </w:tblPr>
      <w:tr>
        <w:trPr>
          <w:trHeight w:val="394"/>
        </w:trPr>
        <w:tc>
          <w:tcPr>
            <w:tcW w:w="1360" w:type="dxa"/>
            <w:vAlign w:val="bottom"/>
            <w:vMerge w:val="restart"/>
            <w:shd w:val="clear" w:color="auto" w:fill="E5E5E5"/>
          </w:tcPr>
          <w:p>
            <w:pPr>
              <w:ind w:left="280"/>
              <w:spacing w:after="0"/>
              <w:rPr>
                <w:sz w:val="20"/>
                <w:szCs w:val="20"/>
                <w:color w:val="auto"/>
              </w:rPr>
            </w:pPr>
            <w:r>
              <w:rPr>
                <w:rFonts w:ascii="Arial" w:cs="Arial" w:eastAsia="Arial" w:hAnsi="Arial"/>
                <w:sz w:val="25"/>
                <w:szCs w:val="25"/>
                <w:b w:val="1"/>
                <w:bCs w:val="1"/>
                <w:color w:val="004876"/>
              </w:rPr>
              <w:t>$32.5B</w:t>
            </w:r>
          </w:p>
        </w:tc>
        <w:tc>
          <w:tcPr>
            <w:tcW w:w="1260" w:type="dxa"/>
            <w:vAlign w:val="bottom"/>
            <w:vMerge w:val="restart"/>
            <w:shd w:val="clear" w:color="auto" w:fill="E5E5E5"/>
          </w:tcPr>
          <w:p>
            <w:pPr>
              <w:jc w:val="right"/>
              <w:ind w:right="256"/>
              <w:spacing w:after="0"/>
              <w:rPr>
                <w:sz w:val="20"/>
                <w:szCs w:val="20"/>
                <w:color w:val="auto"/>
              </w:rPr>
            </w:pPr>
            <w:r>
              <w:rPr>
                <w:rFonts w:ascii="Arial" w:cs="Arial" w:eastAsia="Arial" w:hAnsi="Arial"/>
                <w:sz w:val="25"/>
                <w:szCs w:val="25"/>
                <w:b w:val="1"/>
                <w:bCs w:val="1"/>
                <w:color w:val="004876"/>
              </w:rPr>
              <w:t>$9.00</w:t>
            </w:r>
          </w:p>
        </w:tc>
        <w:tc>
          <w:tcPr>
            <w:tcW w:w="1280" w:type="dxa"/>
            <w:vAlign w:val="bottom"/>
            <w:shd w:val="clear" w:color="auto" w:fill="E5E5E5"/>
          </w:tcPr>
          <w:p>
            <w:pPr>
              <w:jc w:val="center"/>
              <w:spacing w:after="0"/>
              <w:rPr>
                <w:sz w:val="20"/>
                <w:szCs w:val="20"/>
                <w:color w:val="auto"/>
              </w:rPr>
            </w:pPr>
            <w:r>
              <w:rPr>
                <w:rFonts w:ascii="Arial" w:cs="Arial" w:eastAsia="Arial" w:hAnsi="Arial"/>
                <w:sz w:val="25"/>
                <w:szCs w:val="25"/>
                <w:b w:val="1"/>
                <w:bCs w:val="1"/>
                <w:color w:val="004876"/>
                <w:w w:val="99"/>
              </w:rPr>
              <w:t>13%</w:t>
            </w:r>
          </w:p>
        </w:tc>
        <w:tc>
          <w:tcPr>
            <w:tcW w:w="1380" w:type="dxa"/>
            <w:vAlign w:val="bottom"/>
            <w:vMerge w:val="restart"/>
            <w:shd w:val="clear" w:color="auto" w:fill="E5E5E5"/>
          </w:tcPr>
          <w:p>
            <w:pPr>
              <w:jc w:val="center"/>
              <w:ind w:left="12"/>
              <w:spacing w:after="0"/>
              <w:rPr>
                <w:sz w:val="20"/>
                <w:szCs w:val="20"/>
                <w:color w:val="auto"/>
              </w:rPr>
            </w:pPr>
            <w:r>
              <w:rPr>
                <w:rFonts w:ascii="Arial" w:cs="Arial" w:eastAsia="Arial" w:hAnsi="Arial"/>
                <w:sz w:val="25"/>
                <w:szCs w:val="25"/>
                <w:b w:val="1"/>
                <w:bCs w:val="1"/>
                <w:color w:val="004876"/>
                <w:w w:val="99"/>
              </w:rPr>
              <w:t>$28.5B</w:t>
            </w:r>
          </w:p>
        </w:tc>
        <w:tc>
          <w:tcPr>
            <w:tcW w:w="0" w:type="dxa"/>
            <w:vAlign w:val="bottom"/>
          </w:tcPr>
          <w:p>
            <w:pPr>
              <w:spacing w:after="0"/>
              <w:rPr>
                <w:sz w:val="1"/>
                <w:szCs w:val="1"/>
                <w:color w:val="auto"/>
              </w:rPr>
            </w:pPr>
          </w:p>
        </w:tc>
      </w:tr>
      <w:tr>
        <w:trPr>
          <w:trHeight w:val="228"/>
        </w:trPr>
        <w:tc>
          <w:tcPr>
            <w:tcW w:w="1360" w:type="dxa"/>
            <w:vAlign w:val="bottom"/>
            <w:vMerge w:val="continue"/>
            <w:shd w:val="clear" w:color="auto" w:fill="E5E5E5"/>
          </w:tcPr>
          <w:p>
            <w:pPr>
              <w:spacing w:after="0"/>
              <w:rPr>
                <w:sz w:val="19"/>
                <w:szCs w:val="19"/>
                <w:color w:val="auto"/>
              </w:rPr>
            </w:pPr>
          </w:p>
        </w:tc>
        <w:tc>
          <w:tcPr>
            <w:tcW w:w="1260" w:type="dxa"/>
            <w:vAlign w:val="bottom"/>
            <w:vMerge w:val="continue"/>
            <w:shd w:val="clear" w:color="auto" w:fill="E5E5E5"/>
          </w:tcPr>
          <w:p>
            <w:pPr>
              <w:spacing w:after="0"/>
              <w:rPr>
                <w:sz w:val="19"/>
                <w:szCs w:val="19"/>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ROE</w:t>
            </w:r>
          </w:p>
        </w:tc>
        <w:tc>
          <w:tcPr>
            <w:tcW w:w="138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36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Net income</w:t>
            </w:r>
          </w:p>
        </w:tc>
        <w:tc>
          <w:tcPr>
            <w:tcW w:w="126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9"/>
              </w:rPr>
              <w:t>EPS</w:t>
            </w:r>
          </w:p>
        </w:tc>
        <w:tc>
          <w:tcPr>
            <w:tcW w:w="1280" w:type="dxa"/>
            <w:vAlign w:val="bottom"/>
            <w:vMerge w:val="restart"/>
            <w:shd w:val="clear" w:color="auto" w:fill="E5E5E5"/>
          </w:tcPr>
          <w:p>
            <w:pPr>
              <w:jc w:val="center"/>
              <w:spacing w:after="0"/>
              <w:rPr>
                <w:sz w:val="20"/>
                <w:szCs w:val="20"/>
                <w:color w:val="auto"/>
              </w:rPr>
            </w:pPr>
            <w:r>
              <w:rPr>
                <w:rFonts w:ascii="Arial" w:cs="Arial" w:eastAsia="Arial" w:hAnsi="Arial"/>
                <w:sz w:val="25"/>
                <w:szCs w:val="25"/>
                <w:b w:val="1"/>
                <w:bCs w:val="1"/>
                <w:color w:val="004876"/>
                <w:w w:val="99"/>
              </w:rPr>
              <w:t>17%</w:t>
            </w:r>
          </w:p>
        </w:tc>
        <w:tc>
          <w:tcPr>
            <w:tcW w:w="1380" w:type="dxa"/>
            <w:vAlign w:val="bottom"/>
            <w:shd w:val="clear" w:color="auto" w:fill="E5E5E5"/>
          </w:tcPr>
          <w:p>
            <w:pPr>
              <w:jc w:val="center"/>
              <w:ind w:left="12"/>
              <w:spacing w:after="0" w:line="159" w:lineRule="exact"/>
              <w:rPr>
                <w:sz w:val="20"/>
                <w:szCs w:val="20"/>
                <w:color w:val="auto"/>
              </w:rPr>
            </w:pPr>
            <w:r>
              <w:rPr>
                <w:rFonts w:ascii="Arial" w:cs="Arial" w:eastAsia="Arial" w:hAnsi="Arial"/>
                <w:sz w:val="16"/>
                <w:szCs w:val="16"/>
                <w:color w:val="auto"/>
              </w:rPr>
              <w:t>Net capital</w:t>
            </w:r>
          </w:p>
        </w:tc>
        <w:tc>
          <w:tcPr>
            <w:tcW w:w="0" w:type="dxa"/>
            <w:vAlign w:val="bottom"/>
          </w:tcPr>
          <w:p>
            <w:pPr>
              <w:spacing w:after="0"/>
              <w:rPr>
                <w:sz w:val="1"/>
                <w:szCs w:val="1"/>
                <w:color w:val="auto"/>
              </w:rPr>
            </w:pPr>
          </w:p>
        </w:tc>
      </w:tr>
      <w:tr>
        <w:trPr>
          <w:trHeight w:val="65"/>
        </w:trPr>
        <w:tc>
          <w:tcPr>
            <w:tcW w:w="1360" w:type="dxa"/>
            <w:vAlign w:val="bottom"/>
            <w:vMerge w:val="continue"/>
            <w:shd w:val="clear" w:color="auto" w:fill="E5E5E5"/>
          </w:tcPr>
          <w:p>
            <w:pPr>
              <w:spacing w:after="0"/>
              <w:rPr>
                <w:sz w:val="5"/>
                <w:szCs w:val="5"/>
                <w:color w:val="auto"/>
              </w:rPr>
            </w:pPr>
          </w:p>
        </w:tc>
        <w:tc>
          <w:tcPr>
            <w:tcW w:w="1260" w:type="dxa"/>
            <w:vAlign w:val="bottom"/>
            <w:vMerge w:val="continue"/>
            <w:shd w:val="clear" w:color="auto" w:fill="E5E5E5"/>
          </w:tcPr>
          <w:p>
            <w:pPr>
              <w:spacing w:after="0"/>
              <w:rPr>
                <w:sz w:val="5"/>
                <w:szCs w:val="5"/>
                <w:color w:val="auto"/>
              </w:rPr>
            </w:pPr>
          </w:p>
        </w:tc>
        <w:tc>
          <w:tcPr>
            <w:tcW w:w="1280" w:type="dxa"/>
            <w:vAlign w:val="bottom"/>
            <w:vMerge w:val="continue"/>
            <w:shd w:val="clear" w:color="auto" w:fill="E5E5E5"/>
          </w:tcPr>
          <w:p>
            <w:pPr>
              <w:spacing w:after="0"/>
              <w:rPr>
                <w:sz w:val="5"/>
                <w:szCs w:val="5"/>
                <w:color w:val="auto"/>
              </w:rPr>
            </w:pPr>
          </w:p>
        </w:tc>
        <w:tc>
          <w:tcPr>
            <w:tcW w:w="1380" w:type="dxa"/>
            <w:vAlign w:val="bottom"/>
            <w:vMerge w:val="restart"/>
            <w:shd w:val="clear" w:color="auto" w:fill="E5E5E5"/>
          </w:tcPr>
          <w:p>
            <w:pPr>
              <w:jc w:val="center"/>
              <w:ind w:left="32"/>
              <w:spacing w:after="0" w:line="152" w:lineRule="exact"/>
              <w:rPr>
                <w:sz w:val="20"/>
                <w:szCs w:val="20"/>
                <w:color w:val="auto"/>
              </w:rPr>
            </w:pPr>
            <w:r>
              <w:rPr>
                <w:rFonts w:ascii="Arial" w:cs="Arial" w:eastAsia="Arial" w:hAnsi="Arial"/>
                <w:sz w:val="11"/>
                <w:szCs w:val="11"/>
                <w:color w:val="auto"/>
              </w:rPr>
              <w:t>distributions</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87"/>
        </w:trPr>
        <w:tc>
          <w:tcPr>
            <w:tcW w:w="1360" w:type="dxa"/>
            <w:vAlign w:val="bottom"/>
            <w:vMerge w:val="continue"/>
            <w:shd w:val="clear" w:color="auto" w:fill="E5E5E5"/>
          </w:tcPr>
          <w:p>
            <w:pPr>
              <w:spacing w:after="0"/>
              <w:rPr>
                <w:sz w:val="7"/>
                <w:szCs w:val="7"/>
                <w:color w:val="auto"/>
              </w:rPr>
            </w:pPr>
          </w:p>
        </w:tc>
        <w:tc>
          <w:tcPr>
            <w:tcW w:w="1260" w:type="dxa"/>
            <w:vAlign w:val="bottom"/>
            <w:shd w:val="clear" w:color="auto" w:fill="E5E5E5"/>
          </w:tcPr>
          <w:p>
            <w:pPr>
              <w:spacing w:after="0"/>
              <w:rPr>
                <w:sz w:val="7"/>
                <w:szCs w:val="7"/>
                <w:color w:val="auto"/>
              </w:rPr>
            </w:pPr>
          </w:p>
        </w:tc>
        <w:tc>
          <w:tcPr>
            <w:tcW w:w="1280" w:type="dxa"/>
            <w:vAlign w:val="bottom"/>
            <w:vMerge w:val="continue"/>
            <w:shd w:val="clear" w:color="auto" w:fill="E5E5E5"/>
          </w:tcPr>
          <w:p>
            <w:pPr>
              <w:spacing w:after="0"/>
              <w:rPr>
                <w:sz w:val="7"/>
                <w:szCs w:val="7"/>
                <w:color w:val="auto"/>
              </w:rPr>
            </w:pPr>
          </w:p>
        </w:tc>
        <w:tc>
          <w:tcPr>
            <w:tcW w:w="1380" w:type="dxa"/>
            <w:vAlign w:val="bottom"/>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360" w:type="dxa"/>
            <w:vAlign w:val="bottom"/>
            <w:shd w:val="clear" w:color="auto" w:fill="E5E5E5"/>
          </w:tcPr>
          <w:p>
            <w:pPr>
              <w:spacing w:after="0"/>
              <w:rPr>
                <w:sz w:val="24"/>
                <w:szCs w:val="24"/>
                <w:color w:val="auto"/>
              </w:rPr>
            </w:pPr>
          </w:p>
        </w:tc>
        <w:tc>
          <w:tcPr>
            <w:tcW w:w="1260" w:type="dxa"/>
            <w:vAlign w:val="bottom"/>
            <w:shd w:val="clear" w:color="auto" w:fill="E5E5E5"/>
          </w:tcPr>
          <w:p>
            <w:pPr>
              <w:spacing w:after="0"/>
              <w:rPr>
                <w:sz w:val="24"/>
                <w:szCs w:val="24"/>
                <w:color w:val="auto"/>
              </w:rPr>
            </w:pPr>
          </w:p>
        </w:tc>
        <w:tc>
          <w:tcPr>
            <w:tcW w:w="128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6"/>
              </w:rPr>
              <w:t>ROTCE</w:t>
            </w:r>
            <w:r>
              <w:rPr>
                <w:rFonts w:ascii="Arial" w:cs="Arial" w:eastAsia="Arial" w:hAnsi="Arial"/>
                <w:sz w:val="27"/>
                <w:szCs w:val="27"/>
                <w:color w:val="auto"/>
                <w:w w:val="96"/>
                <w:vertAlign w:val="superscript"/>
              </w:rPr>
              <w:t>1</w:t>
            </w:r>
          </w:p>
        </w:tc>
        <w:tc>
          <w:tcPr>
            <w:tcW w:w="138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Controls, and Conduct</w:t>
      </w:r>
    </w:p>
    <w:p>
      <w:pPr>
        <w:spacing w:after="0" w:line="32" w:lineRule="exact"/>
        <w:rPr>
          <w:sz w:val="20"/>
          <w:szCs w:val="20"/>
          <w:color w:val="auto"/>
        </w:rPr>
      </w:pPr>
    </w:p>
    <w:p>
      <w:pPr>
        <w:ind w:left="380" w:right="780"/>
        <w:spacing w:after="0" w:line="399" w:lineRule="auto"/>
        <w:rPr>
          <w:sz w:val="20"/>
          <w:szCs w:val="20"/>
          <w:color w:val="auto"/>
        </w:rPr>
      </w:pPr>
      <w:r>
        <w:rPr>
          <w:rFonts w:ascii="Arial" w:cs="Arial" w:eastAsia="Arial" w:hAnsi="Arial"/>
          <w:sz w:val="14"/>
          <w:szCs w:val="14"/>
          <w:color w:val="auto"/>
        </w:rPr>
        <w:t>Continued to embed conduct risk in our risk management processes Continued to invest in our cybersecurity capabilities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Client/Customer/Stakeholder Focus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Examples of external recognition</w:t>
      </w:r>
      <w:r>
        <w:rPr>
          <w:rFonts w:ascii="Arial" w:cs="Arial" w:eastAsia="Arial" w:hAnsi="Arial"/>
          <w:sz w:val="24"/>
          <w:szCs w:val="24"/>
          <w:color w:val="auto"/>
          <w:vertAlign w:val="superscript"/>
        </w:rPr>
        <w:t>3</w:t>
      </w:r>
      <w:r>
        <w:rPr>
          <w:rFonts w:ascii="Arial" w:cs="Arial" w:eastAsia="Arial" w:hAnsi="Arial"/>
          <w:sz w:val="14"/>
          <w:szCs w:val="14"/>
          <w:color w:val="auto"/>
        </w:rPr>
        <w:t xml:space="preserve"> we received in 2018 include:</w:t>
      </w:r>
    </w:p>
    <w:p>
      <w:pPr>
        <w:spacing w:after="0" w:line="2" w:lineRule="exact"/>
        <w:rPr>
          <w:sz w:val="20"/>
          <w:szCs w:val="20"/>
          <w:color w:val="auto"/>
        </w:rPr>
      </w:pPr>
    </w:p>
    <w:p>
      <w:pPr>
        <w:ind w:left="460" w:hanging="81"/>
        <w:spacing w:after="0"/>
        <w:tabs>
          <w:tab w:leader="none" w:pos="460" w:val="left"/>
        </w:tabs>
        <w:numPr>
          <w:ilvl w:val="1"/>
          <w:numId w:val="63"/>
        </w:numPr>
        <w:rPr>
          <w:rFonts w:ascii="Arial" w:cs="Arial" w:eastAsia="Arial" w:hAnsi="Arial"/>
          <w:sz w:val="12"/>
          <w:szCs w:val="12"/>
          <w:color w:val="auto"/>
        </w:rPr>
      </w:pPr>
      <w:r>
        <w:rPr>
          <w:rFonts w:ascii="Arial" w:cs="Arial" w:eastAsia="Arial" w:hAnsi="Arial"/>
          <w:sz w:val="14"/>
          <w:szCs w:val="14"/>
          <w:b w:val="1"/>
          <w:bCs w:val="1"/>
          <w:color w:val="auto"/>
        </w:rPr>
        <w:t xml:space="preserve">CCB:  </w:t>
      </w:r>
      <w:r>
        <w:rPr>
          <w:rFonts w:ascii="Arial" w:cs="Arial" w:eastAsia="Arial" w:hAnsi="Arial"/>
          <w:sz w:val="14"/>
          <w:szCs w:val="14"/>
          <w:color w:val="auto"/>
        </w:rPr>
        <w:t>#1 in overall customer satisfaction among national banks</w:t>
      </w:r>
    </w:p>
    <w:p>
      <w:pPr>
        <w:spacing w:after="0" w:line="1" w:lineRule="exact"/>
        <w:rPr>
          <w:rFonts w:ascii="Arial" w:cs="Arial" w:eastAsia="Arial" w:hAnsi="Arial"/>
          <w:sz w:val="12"/>
          <w:szCs w:val="12"/>
          <w:color w:val="auto"/>
        </w:rPr>
      </w:pPr>
    </w:p>
    <w:p>
      <w:pPr>
        <w:ind w:left="460" w:hanging="81"/>
        <w:spacing w:after="0"/>
        <w:tabs>
          <w:tab w:leader="none" w:pos="460" w:val="left"/>
        </w:tabs>
        <w:numPr>
          <w:ilvl w:val="1"/>
          <w:numId w:val="63"/>
        </w:numPr>
        <w:rPr>
          <w:rFonts w:ascii="Arial" w:cs="Arial" w:eastAsia="Arial" w:hAnsi="Arial"/>
          <w:sz w:val="12"/>
          <w:szCs w:val="12"/>
          <w:color w:val="auto"/>
        </w:rPr>
      </w:pPr>
      <w:r>
        <w:rPr>
          <w:rFonts w:ascii="Arial" w:cs="Arial" w:eastAsia="Arial" w:hAnsi="Arial"/>
          <w:sz w:val="14"/>
          <w:szCs w:val="14"/>
          <w:b w:val="1"/>
          <w:bCs w:val="1"/>
          <w:color w:val="auto"/>
        </w:rPr>
        <w:t xml:space="preserve">CIB:   </w:t>
      </w:r>
      <w:r>
        <w:rPr>
          <w:rFonts w:ascii="Arial" w:cs="Arial" w:eastAsia="Arial" w:hAnsi="Arial"/>
          <w:sz w:val="14"/>
          <w:szCs w:val="14"/>
          <w:color w:val="auto"/>
        </w:rPr>
        <w:t>#1 in global Markets revenue and Investment Banking fees</w:t>
      </w:r>
    </w:p>
    <w:p>
      <w:pPr>
        <w:spacing w:after="0" w:line="1" w:lineRule="exact"/>
        <w:rPr>
          <w:rFonts w:ascii="Arial" w:cs="Arial" w:eastAsia="Arial" w:hAnsi="Arial"/>
          <w:sz w:val="12"/>
          <w:szCs w:val="12"/>
          <w:color w:val="auto"/>
        </w:rPr>
      </w:pPr>
    </w:p>
    <w:p>
      <w:pPr>
        <w:ind w:left="460" w:hanging="81"/>
        <w:spacing w:after="0"/>
        <w:tabs>
          <w:tab w:leader="none" w:pos="460" w:val="left"/>
        </w:tabs>
        <w:numPr>
          <w:ilvl w:val="1"/>
          <w:numId w:val="63"/>
        </w:numPr>
        <w:rPr>
          <w:rFonts w:ascii="Arial" w:cs="Arial" w:eastAsia="Arial" w:hAnsi="Arial"/>
          <w:sz w:val="12"/>
          <w:szCs w:val="12"/>
          <w:color w:val="auto"/>
        </w:rPr>
      </w:pPr>
      <w:r>
        <w:rPr>
          <w:rFonts w:ascii="Arial" w:cs="Arial" w:eastAsia="Arial" w:hAnsi="Arial"/>
          <w:sz w:val="14"/>
          <w:szCs w:val="14"/>
          <w:b w:val="1"/>
          <w:bCs w:val="1"/>
          <w:color w:val="auto"/>
        </w:rPr>
        <w:t xml:space="preserve">CB:   </w:t>
      </w:r>
      <w:r>
        <w:rPr>
          <w:rFonts w:ascii="Arial" w:cs="Arial" w:eastAsia="Arial" w:hAnsi="Arial"/>
          <w:sz w:val="14"/>
          <w:szCs w:val="14"/>
          <w:color w:val="auto"/>
        </w:rPr>
        <w:t>#1 multifamily lender</w:t>
      </w:r>
    </w:p>
    <w:p>
      <w:pPr>
        <w:spacing w:after="0" w:line="1" w:lineRule="exact"/>
        <w:rPr>
          <w:rFonts w:ascii="Arial" w:cs="Arial" w:eastAsia="Arial" w:hAnsi="Arial"/>
          <w:sz w:val="12"/>
          <w:szCs w:val="12"/>
          <w:color w:val="auto"/>
        </w:rPr>
      </w:pPr>
    </w:p>
    <w:p>
      <w:pPr>
        <w:ind w:left="460" w:hanging="81"/>
        <w:spacing w:after="0"/>
        <w:tabs>
          <w:tab w:leader="none" w:pos="460" w:val="left"/>
        </w:tabs>
        <w:numPr>
          <w:ilvl w:val="1"/>
          <w:numId w:val="63"/>
        </w:numPr>
        <w:rPr>
          <w:rFonts w:ascii="Arial" w:cs="Arial" w:eastAsia="Arial" w:hAnsi="Arial"/>
          <w:sz w:val="12"/>
          <w:szCs w:val="12"/>
          <w:color w:val="auto"/>
        </w:rPr>
      </w:pPr>
      <w:r>
        <w:rPr>
          <w:rFonts w:ascii="Arial" w:cs="Arial" w:eastAsia="Arial" w:hAnsi="Arial"/>
          <w:sz w:val="14"/>
          <w:szCs w:val="14"/>
          <w:b w:val="1"/>
          <w:bCs w:val="1"/>
          <w:color w:val="auto"/>
        </w:rPr>
        <w:t xml:space="preserve">AWM: </w:t>
      </w:r>
      <w:r>
        <w:rPr>
          <w:rFonts w:ascii="Arial" w:cs="Arial" w:eastAsia="Arial" w:hAnsi="Arial"/>
          <w:sz w:val="14"/>
          <w:szCs w:val="14"/>
          <w:color w:val="auto"/>
        </w:rPr>
        <w:t>ETF Issuer of the Year</w:t>
      </w:r>
    </w:p>
    <w:p>
      <w:pPr>
        <w:spacing w:after="0" w:line="11" w:lineRule="exact"/>
        <w:rPr>
          <w:rFonts w:ascii="Arial" w:cs="Arial" w:eastAsia="Arial" w:hAnsi="Arial"/>
          <w:sz w:val="12"/>
          <w:szCs w:val="12"/>
          <w:color w:val="auto"/>
        </w:rPr>
      </w:pPr>
    </w:p>
    <w:p>
      <w:pPr>
        <w:ind w:left="380" w:right="280"/>
        <w:spacing w:after="0" w:line="258" w:lineRule="auto"/>
        <w:rPr>
          <w:rFonts w:ascii="Arial" w:cs="Arial" w:eastAsia="Arial" w:hAnsi="Arial"/>
          <w:sz w:val="12"/>
          <w:szCs w:val="12"/>
          <w:color w:val="auto"/>
        </w:rPr>
      </w:pPr>
      <w:r>
        <w:rPr>
          <w:rFonts w:ascii="Arial" w:cs="Arial" w:eastAsia="Arial" w:hAnsi="Arial"/>
          <w:sz w:val="14"/>
          <w:szCs w:val="14"/>
          <w:color w:val="auto"/>
        </w:rPr>
        <w:t>Continued to make significant investments in enhancing customer and client experience through new and expanded digital capabilities</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Teamwork &amp; Leadership</w:t>
      </w:r>
    </w:p>
    <w:p>
      <w:pPr>
        <w:spacing w:after="0" w:line="13" w:lineRule="exact"/>
        <w:rPr>
          <w:sz w:val="20"/>
          <w:szCs w:val="20"/>
          <w:color w:val="auto"/>
        </w:rPr>
      </w:pPr>
    </w:p>
    <w:p>
      <w:pPr>
        <w:ind w:left="380" w:right="300"/>
        <w:spacing w:after="0" w:line="256" w:lineRule="auto"/>
        <w:rPr>
          <w:sz w:val="20"/>
          <w:szCs w:val="20"/>
          <w:color w:val="auto"/>
        </w:rPr>
      </w:pPr>
      <w:r>
        <w:rPr>
          <w:rFonts w:ascii="Arial" w:cs="Arial" w:eastAsia="Arial" w:hAnsi="Arial"/>
          <w:sz w:val="14"/>
          <w:szCs w:val="14"/>
          <w:color w:val="auto"/>
        </w:rPr>
        <w:t>Continued to invest significant time and effort on diversity and inclusion best practices</w:t>
      </w:r>
    </w:p>
    <w:p>
      <w:pPr>
        <w:ind w:left="380" w:right="260"/>
        <w:spacing w:after="0" w:line="258" w:lineRule="auto"/>
        <w:rPr>
          <w:sz w:val="20"/>
          <w:szCs w:val="20"/>
          <w:color w:val="auto"/>
        </w:rPr>
      </w:pPr>
      <w:r>
        <w:rPr>
          <w:rFonts w:ascii="Arial" w:cs="Arial" w:eastAsia="Arial" w:hAnsi="Arial"/>
          <w:sz w:val="14"/>
          <w:szCs w:val="14"/>
          <w:color w:val="auto"/>
        </w:rPr>
        <w:t>Increased hourly wages 10% on average for 22,000 employees and lowered medical plan deductibles by $750 for employees making less than $60,000</w:t>
      </w:r>
    </w:p>
    <w:p>
      <w:pPr>
        <w:spacing w:after="0" w:line="177"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260" w:type="dxa"/>
            <w:vAlign w:val="bottom"/>
            <w:vMerge w:val="restart"/>
          </w:tcPr>
          <w:p>
            <w:pPr>
              <w:jc w:val="right"/>
              <w:spacing w:after="0"/>
              <w:rPr>
                <w:sz w:val="20"/>
                <w:szCs w:val="20"/>
                <w:color w:val="auto"/>
              </w:rPr>
            </w:pPr>
            <w:r>
              <w:rPr>
                <w:rFonts w:ascii="Arial" w:cs="Arial" w:eastAsia="Arial" w:hAnsi="Arial"/>
                <w:sz w:val="25"/>
                <w:szCs w:val="25"/>
                <w:color w:val="FFFFFF"/>
                <w:w w:val="85"/>
              </w:rPr>
              <w:t>2</w:t>
            </w:r>
          </w:p>
        </w:tc>
        <w:tc>
          <w:tcPr>
            <w:tcW w:w="3140" w:type="dxa"/>
            <w:vAlign w:val="bottom"/>
          </w:tcPr>
          <w:p>
            <w:pPr>
              <w:ind w:left="100"/>
              <w:spacing w:after="0"/>
              <w:rPr>
                <w:sz w:val="20"/>
                <w:szCs w:val="20"/>
                <w:color w:val="auto"/>
              </w:rPr>
            </w:pPr>
            <w:r>
              <w:rPr>
                <w:rFonts w:ascii="Arial" w:cs="Arial" w:eastAsia="Arial" w:hAnsi="Arial"/>
                <w:sz w:val="22"/>
                <w:szCs w:val="22"/>
                <w:b w:val="1"/>
                <w:bCs w:val="1"/>
                <w:color w:val="004876"/>
              </w:rPr>
              <w:t>Disciplined performance</w:t>
            </w:r>
          </w:p>
        </w:tc>
        <w:tc>
          <w:tcPr>
            <w:tcW w:w="0" w:type="dxa"/>
            <w:vAlign w:val="bottom"/>
          </w:tcPr>
          <w:p>
            <w:pPr>
              <w:spacing w:after="0"/>
              <w:rPr>
                <w:sz w:val="1"/>
                <w:szCs w:val="1"/>
                <w:color w:val="auto"/>
              </w:rPr>
            </w:pPr>
          </w:p>
        </w:tc>
      </w:tr>
      <w:tr>
        <w:trPr>
          <w:trHeight w:val="286"/>
        </w:trPr>
        <w:tc>
          <w:tcPr>
            <w:tcW w:w="260" w:type="dxa"/>
            <w:vAlign w:val="bottom"/>
            <w:vMerge w:val="continue"/>
          </w:tcPr>
          <w:p>
            <w:pPr>
              <w:spacing w:after="0"/>
              <w:rPr>
                <w:sz w:val="24"/>
                <w:szCs w:val="24"/>
                <w:color w:val="auto"/>
              </w:rPr>
            </w:pPr>
          </w:p>
        </w:tc>
        <w:tc>
          <w:tcPr>
            <w:tcW w:w="3140" w:type="dxa"/>
            <w:vAlign w:val="bottom"/>
          </w:tcPr>
          <w:p>
            <w:pPr>
              <w:ind w:left="100"/>
              <w:spacing w:after="0"/>
              <w:rPr>
                <w:sz w:val="20"/>
                <w:szCs w:val="20"/>
                <w:color w:val="auto"/>
              </w:rPr>
            </w:pPr>
            <w:r>
              <w:rPr>
                <w:rFonts w:ascii="Arial" w:cs="Arial" w:eastAsia="Arial" w:hAnsi="Arial"/>
                <w:sz w:val="22"/>
                <w:szCs w:val="22"/>
                <w:b w:val="1"/>
                <w:bCs w:val="1"/>
                <w:color w:val="004876"/>
                <w:w w:val="98"/>
              </w:rPr>
              <w:t>assessment to determine pay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-314325</wp:posOffset>
            </wp:positionV>
            <wp:extent cx="300355" cy="3771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00355" cy="377190"/>
                    </a:xfrm>
                    <a:prstGeom prst="rect">
                      <a:avLst/>
                    </a:prstGeom>
                    <a:noFill/>
                  </pic:spPr>
                </pic:pic>
              </a:graphicData>
            </a:graphic>
          </wp:anchor>
        </w:drawing>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Balanced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-125095</wp:posOffset>
            </wp:positionV>
            <wp:extent cx="30530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Variable pay award levels based on four broad categories:</w:t>
      </w:r>
    </w:p>
    <w:p>
      <w:pPr>
        <w:spacing w:after="0" w:line="11"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4"/>
          <w:szCs w:val="14"/>
          <w:color w:val="auto"/>
        </w:rPr>
        <w:t>Business Results</w:t>
      </w:r>
      <w:r>
        <w:rPr>
          <w:sz w:val="20"/>
          <w:szCs w:val="20"/>
          <w:color w:val="auto"/>
        </w:rPr>
        <w:tab/>
      </w:r>
      <w:r>
        <w:rPr>
          <w:rFonts w:ascii="Arial" w:cs="Arial" w:eastAsia="Arial" w:hAnsi="Arial"/>
          <w:sz w:val="14"/>
          <w:szCs w:val="14"/>
          <w:color w:val="auto"/>
        </w:rPr>
        <w:t>Client/Customer/Stakeholder Focus</w:t>
      </w:r>
    </w:p>
    <w:p>
      <w:pPr>
        <w:spacing w:after="0" w:line="101" w:lineRule="exact"/>
        <w:rPr>
          <w:sz w:val="20"/>
          <w:szCs w:val="20"/>
          <w:color w:val="auto"/>
        </w:rPr>
      </w:pPr>
    </w:p>
    <w:p>
      <w:pPr>
        <w:ind w:left="200"/>
        <w:spacing w:after="0"/>
        <w:tabs>
          <w:tab w:leader="none" w:pos="2840" w:val="left"/>
        </w:tabs>
        <w:rPr>
          <w:sz w:val="20"/>
          <w:szCs w:val="20"/>
          <w:color w:val="auto"/>
        </w:rPr>
      </w:pPr>
      <w:r>
        <w:rPr>
          <w:rFonts w:ascii="Arial" w:cs="Arial" w:eastAsia="Arial" w:hAnsi="Arial"/>
          <w:sz w:val="14"/>
          <w:szCs w:val="14"/>
          <w:color w:val="auto"/>
        </w:rPr>
        <w:t>Risk, Controls &amp; Conduct</w:t>
      </w:r>
      <w:r>
        <w:rPr>
          <w:sz w:val="20"/>
          <w:szCs w:val="20"/>
          <w:color w:val="auto"/>
        </w:rPr>
        <w:tab/>
      </w:r>
      <w:r>
        <w:rPr>
          <w:rFonts w:ascii="Arial" w:cs="Arial" w:eastAsia="Arial" w:hAnsi="Arial"/>
          <w:sz w:val="14"/>
          <w:szCs w:val="14"/>
          <w:color w:val="auto"/>
        </w:rPr>
        <w:t>Teamwork &amp; Leadership</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50"/>
          <w:szCs w:val="50"/>
          <w:color w:val="FFFFFF"/>
          <w:vertAlign w:val="subscript"/>
        </w:rPr>
        <w:t>4</w:t>
      </w:r>
      <w:r>
        <w:rPr>
          <w:rFonts w:ascii="Arial" w:cs="Arial" w:eastAsia="Arial" w:hAnsi="Arial"/>
          <w:sz w:val="22"/>
          <w:szCs w:val="22"/>
          <w:b w:val="1"/>
          <w:bCs w:val="1"/>
          <w:color w:val="004876"/>
        </w:rPr>
        <w:t xml:space="preserve">  Pay is aligned with performance</w:t>
      </w:r>
    </w:p>
    <w:p>
      <w:pPr>
        <w:spacing w:after="0" w:line="96" w:lineRule="exact"/>
        <w:rPr>
          <w:sz w:val="20"/>
          <w:szCs w:val="20"/>
          <w:color w:val="auto"/>
        </w:rPr>
      </w:pPr>
    </w:p>
    <w:p>
      <w:pPr>
        <w:ind w:left="180" w:right="340"/>
        <w:spacing w:after="0" w:line="258" w:lineRule="auto"/>
        <w:rPr>
          <w:sz w:val="20"/>
          <w:szCs w:val="20"/>
          <w:color w:val="auto"/>
        </w:rPr>
      </w:pPr>
      <w:r>
        <w:rPr>
          <w:rFonts w:ascii="Arial" w:cs="Arial" w:eastAsia="Arial" w:hAnsi="Arial"/>
          <w:sz w:val="14"/>
          <w:szCs w:val="14"/>
          <w:color w:val="auto"/>
        </w:rPr>
        <w:t>The Board awarded Mr. Dimon $31 million of total compensation for 2018, an increase of $1.5 million from 2017</w:t>
      </w:r>
    </w:p>
    <w:p>
      <w:pPr>
        <w:spacing w:after="0" w:line="39" w:lineRule="exact"/>
        <w:rPr>
          <w:sz w:val="20"/>
          <w:szCs w:val="20"/>
          <w:color w:val="auto"/>
        </w:rPr>
      </w:pPr>
    </w:p>
    <w:p>
      <w:pPr>
        <w:ind w:left="180" w:right="400"/>
        <w:spacing w:after="0" w:line="258" w:lineRule="auto"/>
        <w:rPr>
          <w:sz w:val="20"/>
          <w:szCs w:val="20"/>
          <w:color w:val="auto"/>
        </w:rPr>
      </w:pPr>
      <w:r>
        <w:rPr>
          <w:rFonts w:ascii="Arial" w:cs="Arial" w:eastAsia="Arial" w:hAnsi="Arial"/>
          <w:sz w:val="14"/>
          <w:szCs w:val="14"/>
          <w:color w:val="auto"/>
        </w:rPr>
        <w:t>The Board considered the Firm’s consistently strong multi-year performance under Mr. Dimon’s 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-880745</wp:posOffset>
            </wp:positionV>
            <wp:extent cx="6997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-734695</wp:posOffset>
            </wp:positionV>
            <wp:extent cx="3422015" cy="274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2015" cy="274320"/>
                    </a:xfrm>
                    <a:prstGeom prst="rect">
                      <a:avLst/>
                    </a:prstGeom>
                    <a:noFill/>
                  </pic:spPr>
                </pic:pic>
              </a:graphicData>
            </a:graphic>
          </wp:anchor>
        </w:drawing>
        <w:drawing>
          <wp:anchor simplePos="0" relativeHeight="251657728" behindDoc="1" locked="0" layoutInCell="0" allowOverlap="1">
            <wp:simplePos x="0" y="0"/>
            <wp:positionH relativeFrom="column">
              <wp:posOffset>417195</wp:posOffset>
            </wp:positionH>
            <wp:positionV relativeFrom="paragraph">
              <wp:posOffset>53975</wp:posOffset>
            </wp:positionV>
            <wp:extent cx="2598420" cy="2769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9842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Feedback</w:t>
      </w:r>
    </w:p>
    <w:p>
      <w:pPr>
        <w:spacing w:after="0" w:line="13" w:lineRule="exact"/>
        <w:rPr>
          <w:sz w:val="20"/>
          <w:szCs w:val="20"/>
          <w:color w:val="auto"/>
        </w:rPr>
      </w:pPr>
    </w:p>
    <w:p>
      <w:pPr>
        <w:ind w:left="180" w:right="160"/>
        <w:spacing w:after="0" w:line="258" w:lineRule="auto"/>
        <w:rPr>
          <w:sz w:val="20"/>
          <w:szCs w:val="20"/>
          <w:color w:val="auto"/>
        </w:rPr>
      </w:pPr>
      <w:r>
        <w:rPr>
          <w:rFonts w:ascii="Arial" w:cs="Arial" w:eastAsia="Arial" w:hAnsi="Arial"/>
          <w:sz w:val="14"/>
          <w:szCs w:val="14"/>
          <w:color w:val="auto"/>
        </w:rPr>
        <w:t>In response to our 93% Say-on-Pay support and positive shareholder feedback, the CMDC maintained the key features of our compensation program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Update</w:t>
      </w:r>
    </w:p>
    <w:p>
      <w:pPr>
        <w:spacing w:after="0" w:line="13" w:lineRule="exact"/>
        <w:rPr>
          <w:sz w:val="20"/>
          <w:szCs w:val="20"/>
          <w:color w:val="auto"/>
        </w:rPr>
      </w:pPr>
    </w:p>
    <w:p>
      <w:pPr>
        <w:ind w:left="180" w:right="200"/>
        <w:spacing w:after="0" w:line="258" w:lineRule="auto"/>
        <w:rPr>
          <w:sz w:val="20"/>
          <w:szCs w:val="20"/>
          <w:color w:val="auto"/>
        </w:rPr>
      </w:pPr>
      <w:r>
        <w:rPr>
          <w:rFonts w:ascii="Arial" w:cs="Arial" w:eastAsia="Arial" w:hAnsi="Arial"/>
          <w:sz w:val="14"/>
          <w:szCs w:val="14"/>
          <w:color w:val="auto"/>
        </w:rPr>
        <w:t>Calibrated the Absolute ROTCE goal for the 2018 PSU award to 18% based on current forecast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300355" cy="4286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0355" cy="428625"/>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5500" w:space="320"/>
            <w:col w:w="5420"/>
          </w:cols>
          <w:pgMar w:left="240" w:top="459" w:right="419" w:bottom="1440" w:gutter="0" w:footer="0" w:header="0"/>
          <w:type w:val="continuous"/>
        </w:sectPr>
      </w:pPr>
    </w:p>
    <w:p>
      <w:pPr>
        <w:spacing w:after="0" w:line="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Formula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PSUs link ultimate payout to pre-established absolute and relative ROTCE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300355" cy="2743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00355" cy="274320"/>
                    </a:xfrm>
                    <a:prstGeom prst="rect">
                      <a:avLst/>
                    </a:prstGeom>
                    <a:noFill/>
                  </pic:spPr>
                </pic:pic>
              </a:graphicData>
            </a:graphic>
          </wp:anchor>
        </w:drawing>
      </w:r>
    </w:p>
    <w:p>
      <w:pPr>
        <w:spacing w:after="0" w:line="239" w:lineRule="exact"/>
        <w:rPr>
          <w:sz w:val="20"/>
          <w:szCs w:val="20"/>
          <w:color w:val="auto"/>
        </w:rPr>
      </w:pPr>
    </w:p>
    <w:p>
      <w:pPr>
        <w:ind w:left="740" w:hanging="365"/>
        <w:spacing w:after="0"/>
        <w:tabs>
          <w:tab w:leader="none" w:pos="740" w:val="left"/>
        </w:tabs>
        <w:numPr>
          <w:ilvl w:val="0"/>
          <w:numId w:val="68"/>
        </w:numPr>
        <w:rPr>
          <w:rFonts w:ascii="Arial" w:cs="Arial" w:eastAsia="Arial" w:hAnsi="Arial"/>
          <w:sz w:val="25"/>
          <w:szCs w:val="25"/>
          <w:color w:val="FFFFFF"/>
        </w:rPr>
      </w:pPr>
      <w:r>
        <w:rPr>
          <w:rFonts w:ascii="Arial" w:cs="Arial" w:eastAsia="Arial" w:hAnsi="Arial"/>
          <w:sz w:val="22"/>
          <w:szCs w:val="22"/>
          <w:b w:val="1"/>
          <w:bCs w:val="1"/>
          <w:color w:val="004876"/>
        </w:rPr>
        <w:t>Sound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53975</wp:posOffset>
            </wp:positionV>
            <wp:extent cx="30530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86" w:lineRule="exact"/>
        <w:rPr>
          <w:sz w:val="20"/>
          <w:szCs w:val="20"/>
          <w:color w:val="auto"/>
        </w:rPr>
      </w:pPr>
    </w:p>
    <w:p>
      <w:pPr>
        <w:ind w:left="200"/>
        <w:spacing w:after="0" w:line="161" w:lineRule="exact"/>
        <w:tabs>
          <w:tab w:leader="none" w:pos="2880" w:val="left"/>
        </w:tabs>
        <w:rPr>
          <w:sz w:val="20"/>
          <w:szCs w:val="20"/>
          <w:color w:val="auto"/>
        </w:rPr>
      </w:pPr>
      <w:r>
        <w:rPr>
          <w:rFonts w:ascii="MS PGothic" w:cs="MS PGothic" w:eastAsia="MS PGothic" w:hAnsi="MS PGothic"/>
          <w:sz w:val="14"/>
          <w:szCs w:val="14"/>
          <w:color w:val="73A950"/>
        </w:rPr>
        <w:t>✓</w:t>
      </w:r>
      <w:r>
        <w:rPr>
          <w:rFonts w:ascii="Arial" w:cs="Arial" w:eastAsia="Arial" w:hAnsi="Arial"/>
          <w:sz w:val="14"/>
          <w:szCs w:val="14"/>
          <w:color w:val="auto"/>
        </w:rPr>
        <w:t xml:space="preserve"> Shareholder-aligned</w:t>
      </w:r>
      <w:r>
        <w:rPr>
          <w:sz w:val="20"/>
          <w:szCs w:val="20"/>
          <w:color w:val="auto"/>
        </w:rPr>
        <w:tab/>
      </w:r>
      <w:r>
        <w:rPr>
          <w:rFonts w:ascii="MS PGothic" w:cs="MS PGothic" w:eastAsia="MS PGothic" w:hAnsi="MS PGothic"/>
          <w:sz w:val="14"/>
          <w:szCs w:val="14"/>
          <w:color w:val="73A950"/>
        </w:rPr>
        <w:t xml:space="preserve">✓ </w:t>
      </w:r>
      <w:r>
        <w:rPr>
          <w:rFonts w:ascii="Arial" w:cs="Arial" w:eastAsia="Arial" w:hAnsi="Arial"/>
          <w:sz w:val="14"/>
          <w:szCs w:val="14"/>
          <w:color w:val="000000"/>
        </w:rPr>
        <w:t>Responsible use of equity</w:t>
      </w:r>
    </w:p>
    <w:p>
      <w:pPr>
        <w:spacing w:after="0" w:line="52" w:lineRule="exact"/>
        <w:rPr>
          <w:sz w:val="20"/>
          <w:szCs w:val="20"/>
          <w:color w:val="auto"/>
        </w:rPr>
      </w:pPr>
    </w:p>
    <w:p>
      <w:pPr>
        <w:ind w:left="400"/>
        <w:spacing w:after="0"/>
        <w:tabs>
          <w:tab w:leader="none" w:pos="3080" w:val="left"/>
        </w:tabs>
        <w:rPr>
          <w:sz w:val="20"/>
          <w:szCs w:val="20"/>
          <w:color w:val="auto"/>
        </w:rPr>
      </w:pPr>
      <w:r>
        <w:rPr>
          <w:rFonts w:ascii="Arial" w:cs="Arial" w:eastAsia="Arial" w:hAnsi="Arial"/>
          <w:sz w:val="14"/>
          <w:szCs w:val="14"/>
          <w:color w:val="auto"/>
        </w:rPr>
        <w:t>compensation philosophy</w:t>
      </w:r>
      <w:r>
        <w:rPr>
          <w:sz w:val="20"/>
          <w:szCs w:val="20"/>
          <w:color w:val="auto"/>
        </w:rPr>
        <w:tab/>
      </w:r>
      <w:r>
        <w:rPr>
          <w:rFonts w:ascii="Arial" w:cs="Arial" w:eastAsia="Arial" w:hAnsi="Arial"/>
          <w:sz w:val="14"/>
          <w:szCs w:val="14"/>
          <w:color w:val="auto"/>
        </w:rPr>
        <w:t>for employee compensation</w:t>
      </w:r>
    </w:p>
    <w:p>
      <w:pPr>
        <w:spacing w:after="0" w:line="45" w:lineRule="exact"/>
        <w:rPr>
          <w:sz w:val="20"/>
          <w:szCs w:val="20"/>
          <w:color w:val="auto"/>
        </w:rPr>
      </w:pPr>
    </w:p>
    <w:p>
      <w:pPr>
        <w:ind w:left="200"/>
        <w:spacing w:after="0" w:line="161" w:lineRule="exact"/>
        <w:rPr>
          <w:sz w:val="20"/>
          <w:szCs w:val="20"/>
          <w:color w:val="auto"/>
        </w:rPr>
      </w:pPr>
      <w:r>
        <w:rPr>
          <w:rFonts w:ascii="MS PGothic" w:cs="MS PGothic" w:eastAsia="MS PGothic" w:hAnsi="MS PGothic"/>
          <w:sz w:val="14"/>
          <w:szCs w:val="14"/>
          <w:color w:val="73A950"/>
        </w:rPr>
        <w:t>✓</w:t>
      </w:r>
      <w:r>
        <w:rPr>
          <w:rFonts w:ascii="Arial" w:cs="Arial" w:eastAsia="Arial" w:hAnsi="Arial"/>
          <w:sz w:val="14"/>
          <w:szCs w:val="14"/>
          <w:color w:val="auto"/>
        </w:rPr>
        <w:t xml:space="preserve"> Strong stock ownership             </w:t>
      </w:r>
      <w:r>
        <w:rPr>
          <w:sz w:val="1"/>
          <w:szCs w:val="1"/>
          <w:color w:val="auto"/>
        </w:rPr>
        <w:drawing>
          <wp:inline distT="0" distB="0" distL="0" distR="0">
            <wp:extent cx="77470" cy="6858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68580"/>
                    </a:xfrm>
                    <a:prstGeom prst="rect">
                      <a:avLst/>
                    </a:prstGeom>
                    <a:noFill/>
                    <a:ln>
                      <a:noFill/>
                    </a:ln>
                  </pic:spPr>
                </pic:pic>
              </a:graphicData>
            </a:graphic>
          </wp:inline>
        </w:drawing>
      </w:r>
      <w:r>
        <w:rPr>
          <w:rFonts w:ascii="Arial" w:cs="Arial" w:eastAsia="Arial" w:hAnsi="Arial"/>
          <w:sz w:val="14"/>
          <w:szCs w:val="14"/>
          <w:color w:val="auto"/>
        </w:rPr>
        <w:t xml:space="preserve"> No special executive</w:t>
      </w:r>
    </w:p>
    <w:p>
      <w:pPr>
        <w:spacing w:after="0" w:line="26" w:lineRule="exact"/>
        <w:rPr>
          <w:sz w:val="20"/>
          <w:szCs w:val="20"/>
          <w:color w:val="auto"/>
        </w:rPr>
      </w:pPr>
    </w:p>
    <w:p>
      <w:pPr>
        <w:ind w:left="400"/>
        <w:spacing w:after="0"/>
        <w:tabs>
          <w:tab w:leader="none" w:pos="3080" w:val="left"/>
        </w:tabs>
        <w:rPr>
          <w:sz w:val="20"/>
          <w:szCs w:val="20"/>
          <w:color w:val="auto"/>
        </w:rPr>
      </w:pPr>
      <w:r>
        <w:rPr>
          <w:rFonts w:ascii="Arial" w:cs="Arial" w:eastAsia="Arial" w:hAnsi="Arial"/>
          <w:sz w:val="14"/>
          <w:szCs w:val="14"/>
          <w:color w:val="auto"/>
        </w:rPr>
        <w:t>guidelines and retention</w:t>
      </w:r>
      <w:r>
        <w:rPr>
          <w:sz w:val="20"/>
          <w:szCs w:val="20"/>
          <w:color w:val="auto"/>
        </w:rPr>
        <w:tab/>
      </w:r>
      <w:r>
        <w:rPr>
          <w:rFonts w:ascii="Arial" w:cs="Arial" w:eastAsia="Arial" w:hAnsi="Arial"/>
          <w:sz w:val="14"/>
          <w:szCs w:val="14"/>
          <w:color w:val="auto"/>
        </w:rPr>
        <w:t>benefits/severance or</w:t>
      </w:r>
    </w:p>
    <w:p>
      <w:pPr>
        <w:spacing w:after="0" w:line="1" w:lineRule="exact"/>
        <w:rPr>
          <w:sz w:val="20"/>
          <w:szCs w:val="20"/>
          <w:color w:val="auto"/>
        </w:rPr>
      </w:pPr>
    </w:p>
    <w:p>
      <w:pPr>
        <w:ind w:left="400"/>
        <w:spacing w:after="0"/>
        <w:tabs>
          <w:tab w:leader="none" w:pos="3080" w:val="left"/>
        </w:tabs>
        <w:rPr>
          <w:sz w:val="20"/>
          <w:szCs w:val="20"/>
          <w:color w:val="auto"/>
        </w:rPr>
      </w:pPr>
      <w:r>
        <w:rPr>
          <w:rFonts w:ascii="Arial" w:cs="Arial" w:eastAsia="Arial" w:hAnsi="Arial"/>
          <w:sz w:val="14"/>
          <w:szCs w:val="14"/>
          <w:color w:val="auto"/>
        </w:rPr>
        <w:t>requirements</w:t>
      </w:r>
      <w:r>
        <w:rPr>
          <w:sz w:val="20"/>
          <w:szCs w:val="20"/>
          <w:color w:val="auto"/>
        </w:rPr>
        <w:tab/>
      </w:r>
      <w:r>
        <w:rPr>
          <w:rFonts w:ascii="Arial" w:cs="Arial" w:eastAsia="Arial" w:hAnsi="Arial"/>
          <w:sz w:val="14"/>
          <w:szCs w:val="14"/>
          <w:color w:val="auto"/>
        </w:rPr>
        <w:t>golden parachutes</w:t>
      </w:r>
    </w:p>
    <w:p>
      <w:pPr>
        <w:spacing w:after="0" w:line="20" w:lineRule="exact"/>
        <w:rPr>
          <w:sz w:val="20"/>
          <w:szCs w:val="20"/>
          <w:color w:val="auto"/>
        </w:rPr>
      </w:pPr>
      <w:r>
        <w:rPr>
          <w:sz w:val="20"/>
          <w:szCs w:val="20"/>
          <w:color w:val="auto"/>
        </w:rPr>
        <w:br w:type="column"/>
      </w:r>
    </w:p>
    <w:p>
      <w:pPr>
        <w:ind w:left="540" w:right="1960" w:hanging="364"/>
        <w:spacing w:after="0" w:line="181" w:lineRule="auto"/>
        <w:tabs>
          <w:tab w:leader="none" w:pos="540" w:val="left"/>
        </w:tabs>
        <w:numPr>
          <w:ilvl w:val="1"/>
          <w:numId w:val="69"/>
        </w:numPr>
        <w:rPr>
          <w:rFonts w:ascii="Arial" w:cs="Arial" w:eastAsia="Arial" w:hAnsi="Arial"/>
          <w:sz w:val="39"/>
          <w:szCs w:val="39"/>
          <w:color w:val="FFFFFF"/>
          <w:vertAlign w:val="subscript"/>
        </w:rPr>
      </w:pPr>
      <w:r>
        <w:rPr>
          <w:rFonts w:ascii="Arial" w:cs="Arial" w:eastAsia="Arial" w:hAnsi="Arial"/>
          <w:sz w:val="19"/>
          <w:szCs w:val="19"/>
          <w:b w:val="1"/>
          <w:bCs w:val="1"/>
          <w:color w:val="004876"/>
        </w:rPr>
        <w:t>Rigorous accountability and recovery provisions</w:t>
      </w:r>
    </w:p>
    <w:p>
      <w:pPr>
        <w:spacing w:after="0" w:line="51" w:lineRule="exact"/>
        <w:rPr>
          <w:rFonts w:ascii="Arial" w:cs="Arial" w:eastAsia="Arial" w:hAnsi="Arial"/>
          <w:sz w:val="39"/>
          <w:szCs w:val="39"/>
          <w:color w:val="FFFFFF"/>
          <w:vertAlign w:val="subscript"/>
        </w:rPr>
      </w:pPr>
    </w:p>
    <w:p>
      <w:pPr>
        <w:ind w:left="180" w:right="60"/>
        <w:spacing w:after="0" w:line="243" w:lineRule="auto"/>
        <w:rPr>
          <w:rFonts w:ascii="Arial" w:cs="Arial" w:eastAsia="Arial" w:hAnsi="Arial"/>
          <w:sz w:val="39"/>
          <w:szCs w:val="39"/>
          <w:color w:val="FFFFFF"/>
          <w:vertAlign w:val="subscript"/>
        </w:rPr>
      </w:pPr>
      <w:r>
        <w:rPr>
          <w:rFonts w:ascii="Arial" w:cs="Arial" w:eastAsia="Arial" w:hAnsi="Arial"/>
          <w:sz w:val="14"/>
          <w:szCs w:val="14"/>
          <w:color w:val="auto"/>
        </w:rPr>
        <w:t>Robust risk, controls and conduct review process can impact compensation pools and individual pay</w:t>
      </w:r>
    </w:p>
    <w:p>
      <w:pPr>
        <w:spacing w:after="0" w:line="49" w:lineRule="exact"/>
        <w:rPr>
          <w:rFonts w:ascii="Arial" w:cs="Arial" w:eastAsia="Arial" w:hAnsi="Arial"/>
          <w:sz w:val="39"/>
          <w:szCs w:val="39"/>
          <w:color w:val="FFFFFF"/>
          <w:vertAlign w:val="subscript"/>
        </w:rPr>
      </w:pPr>
    </w:p>
    <w:p>
      <w:pPr>
        <w:spacing w:after="0"/>
        <w:rPr>
          <w:rFonts w:ascii="Arial" w:cs="Arial" w:eastAsia="Arial" w:hAnsi="Arial"/>
          <w:sz w:val="39"/>
          <w:szCs w:val="39"/>
          <w:color w:val="FFFFFF"/>
          <w:vertAlign w:val="subscript"/>
        </w:rPr>
      </w:pPr>
      <w:r>
        <w:rPr>
          <w:rFonts w:ascii="Arial" w:cs="Arial" w:eastAsia="Arial" w:hAnsi="Arial"/>
          <w:sz w:val="14"/>
          <w:szCs w:val="14"/>
          <w:color w:val="auto"/>
        </w:rPr>
        <w:t>Strong cancellation and clawback provisions cover both cash and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-318770</wp:posOffset>
            </wp:positionV>
            <wp:extent cx="31216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300" w:type="dxa"/>
            <w:vAlign w:val="bottom"/>
            <w:tcBorders>
              <w:bottom w:val="single" w:sz="8" w:color="004876"/>
            </w:tcBorders>
          </w:tcPr>
          <w:p>
            <w:pPr>
              <w:ind w:left="80"/>
              <w:spacing w:after="0"/>
              <w:rPr>
                <w:sz w:val="20"/>
                <w:szCs w:val="20"/>
                <w:color w:val="auto"/>
              </w:rPr>
            </w:pPr>
            <w:r>
              <w:rPr>
                <w:rFonts w:ascii="Arial" w:cs="Arial" w:eastAsia="Arial" w:hAnsi="Arial"/>
                <w:sz w:val="16"/>
                <w:szCs w:val="16"/>
                <w:b w:val="1"/>
                <w:bCs w:val="1"/>
                <w:color w:val="auto"/>
              </w:rPr>
              <w:t>TRIGGER</w:t>
            </w:r>
            <w:r>
              <w:rPr>
                <w:rFonts w:ascii="Arial" w:cs="Arial" w:eastAsia="Arial" w:hAnsi="Arial"/>
                <w:sz w:val="27"/>
                <w:szCs w:val="27"/>
                <w:b w:val="1"/>
                <w:bCs w:val="1"/>
                <w:color w:val="auto"/>
                <w:vertAlign w:val="superscript"/>
              </w:rPr>
              <w:t>5</w:t>
            </w:r>
          </w:p>
        </w:tc>
        <w:tc>
          <w:tcPr>
            <w:tcW w:w="2000" w:type="dxa"/>
            <w:vAlign w:val="bottom"/>
            <w:tcBorders>
              <w:bottom w:val="single" w:sz="8" w:color="004876"/>
            </w:tcBorders>
          </w:tcPr>
          <w:p>
            <w:pPr>
              <w:ind w:left="1140"/>
              <w:spacing w:after="0"/>
              <w:rPr>
                <w:sz w:val="20"/>
                <w:szCs w:val="20"/>
                <w:color w:val="auto"/>
              </w:rPr>
            </w:pPr>
            <w:r>
              <w:rPr>
                <w:rFonts w:ascii="Arial" w:cs="Arial" w:eastAsia="Arial" w:hAnsi="Arial"/>
                <w:sz w:val="16"/>
                <w:szCs w:val="16"/>
                <w:b w:val="1"/>
                <w:bCs w:val="1"/>
                <w:color w:val="auto"/>
              </w:rPr>
              <w:t>VESTED</w:t>
            </w:r>
          </w:p>
        </w:tc>
        <w:tc>
          <w:tcPr>
            <w:tcW w:w="1100" w:type="dxa"/>
            <w:vAlign w:val="bottom"/>
            <w:tcBorders>
              <w:bottom w:val="single" w:sz="8" w:color="004876"/>
            </w:tcBorders>
          </w:tcPr>
          <w:p>
            <w:pPr>
              <w:ind w:left="220"/>
              <w:spacing w:after="0"/>
              <w:rPr>
                <w:sz w:val="20"/>
                <w:szCs w:val="20"/>
                <w:color w:val="auto"/>
              </w:rPr>
            </w:pPr>
            <w:r>
              <w:rPr>
                <w:rFonts w:ascii="Arial" w:cs="Arial" w:eastAsia="Arial" w:hAnsi="Arial"/>
                <w:sz w:val="16"/>
                <w:szCs w:val="16"/>
                <w:b w:val="1"/>
                <w:bCs w:val="1"/>
                <w:color w:val="auto"/>
                <w:w w:val="98"/>
              </w:rPr>
              <w:t>UNVESTED</w:t>
            </w:r>
          </w:p>
        </w:tc>
      </w:tr>
      <w:tr>
        <w:trPr>
          <w:trHeight w:val="264"/>
        </w:trPr>
        <w:tc>
          <w:tcPr>
            <w:tcW w:w="2300" w:type="dxa"/>
            <w:vAlign w:val="bottom"/>
            <w:shd w:val="clear" w:color="auto" w:fill="E5E5E5"/>
          </w:tcPr>
          <w:p>
            <w:pPr>
              <w:ind w:left="80"/>
              <w:spacing w:after="0"/>
              <w:rPr>
                <w:sz w:val="20"/>
                <w:szCs w:val="20"/>
                <w:color w:val="auto"/>
              </w:rPr>
            </w:pPr>
            <w:r>
              <w:rPr>
                <w:rFonts w:ascii="Arial" w:cs="Arial" w:eastAsia="Arial" w:hAnsi="Arial"/>
                <w:sz w:val="14"/>
                <w:szCs w:val="14"/>
                <w:color w:val="auto"/>
              </w:rPr>
              <w:t>Restatement</w:t>
            </w:r>
          </w:p>
        </w:tc>
        <w:tc>
          <w:tcPr>
            <w:tcW w:w="2000" w:type="dxa"/>
            <w:vAlign w:val="bottom"/>
            <w:shd w:val="clear" w:color="auto" w:fill="E5E5E5"/>
          </w:tcPr>
          <w:p>
            <w:pPr>
              <w:ind w:left="1360"/>
              <w:spacing w:after="0" w:line="161" w:lineRule="exact"/>
              <w:rPr>
                <w:sz w:val="20"/>
                <w:szCs w:val="20"/>
                <w:color w:val="auto"/>
              </w:rPr>
            </w:pPr>
            <w:r>
              <w:rPr>
                <w:rFonts w:ascii="MS PGothic" w:cs="MS PGothic" w:eastAsia="MS PGothic" w:hAnsi="MS PGothic"/>
                <w:sz w:val="16"/>
                <w:szCs w:val="16"/>
                <w:color w:val="73A950"/>
              </w:rPr>
              <w:t>✓</w:t>
            </w:r>
          </w:p>
        </w:tc>
        <w:tc>
          <w:tcPr>
            <w:tcW w:w="1100" w:type="dxa"/>
            <w:vAlign w:val="bottom"/>
            <w:shd w:val="clear" w:color="auto" w:fill="E5E5E5"/>
          </w:tcPr>
          <w:p>
            <w:pPr>
              <w:ind w:left="560"/>
              <w:spacing w:after="0" w:line="161" w:lineRule="exact"/>
              <w:rPr>
                <w:sz w:val="20"/>
                <w:szCs w:val="20"/>
                <w:color w:val="auto"/>
              </w:rPr>
            </w:pPr>
            <w:r>
              <w:rPr>
                <w:rFonts w:ascii="MS PGothic" w:cs="MS PGothic" w:eastAsia="MS PGothic" w:hAnsi="MS PGothic"/>
                <w:sz w:val="16"/>
                <w:szCs w:val="16"/>
                <w:color w:val="73A950"/>
              </w:rPr>
              <w:t>✓</w:t>
            </w:r>
          </w:p>
        </w:tc>
      </w:tr>
      <w:tr>
        <w:trPr>
          <w:trHeight w:val="263"/>
        </w:trPr>
        <w:tc>
          <w:tcPr>
            <w:tcW w:w="2300" w:type="dxa"/>
            <w:vAlign w:val="bottom"/>
          </w:tcPr>
          <w:p>
            <w:pPr>
              <w:ind w:left="80"/>
              <w:spacing w:after="0"/>
              <w:rPr>
                <w:sz w:val="20"/>
                <w:szCs w:val="20"/>
                <w:color w:val="auto"/>
              </w:rPr>
            </w:pPr>
            <w:r>
              <w:rPr>
                <w:rFonts w:ascii="Arial" w:cs="Arial" w:eastAsia="Arial" w:hAnsi="Arial"/>
                <w:sz w:val="14"/>
                <w:szCs w:val="14"/>
                <w:color w:val="auto"/>
              </w:rPr>
              <w:t>Misconduct</w:t>
            </w:r>
          </w:p>
        </w:tc>
        <w:tc>
          <w:tcPr>
            <w:tcW w:w="2000" w:type="dxa"/>
            <w:vAlign w:val="bottom"/>
          </w:tcPr>
          <w:p>
            <w:pPr>
              <w:ind w:left="1360"/>
              <w:spacing w:after="0" w:line="161" w:lineRule="exact"/>
              <w:rPr>
                <w:sz w:val="20"/>
                <w:szCs w:val="20"/>
                <w:color w:val="auto"/>
              </w:rPr>
            </w:pPr>
            <w:r>
              <w:rPr>
                <w:rFonts w:ascii="MS PGothic" w:cs="MS PGothic" w:eastAsia="MS PGothic" w:hAnsi="MS PGothic"/>
                <w:sz w:val="16"/>
                <w:szCs w:val="16"/>
                <w:color w:val="73A950"/>
              </w:rPr>
              <w:t>✓</w:t>
            </w:r>
          </w:p>
        </w:tc>
        <w:tc>
          <w:tcPr>
            <w:tcW w:w="1100" w:type="dxa"/>
            <w:vAlign w:val="bottom"/>
          </w:tcPr>
          <w:p>
            <w:pPr>
              <w:ind w:left="560"/>
              <w:spacing w:after="0" w:line="161" w:lineRule="exact"/>
              <w:rPr>
                <w:sz w:val="20"/>
                <w:szCs w:val="20"/>
                <w:color w:val="auto"/>
              </w:rPr>
            </w:pPr>
            <w:r>
              <w:rPr>
                <w:rFonts w:ascii="MS PGothic" w:cs="MS PGothic" w:eastAsia="MS PGothic" w:hAnsi="MS PGothic"/>
                <w:sz w:val="16"/>
                <w:szCs w:val="16"/>
                <w:color w:val="73A950"/>
              </w:rPr>
              <w:t>✓</w:t>
            </w:r>
          </w:p>
        </w:tc>
      </w:tr>
      <w:tr>
        <w:trPr>
          <w:trHeight w:val="278"/>
        </w:trPr>
        <w:tc>
          <w:tcPr>
            <w:tcW w:w="2300" w:type="dxa"/>
            <w:vAlign w:val="bottom"/>
            <w:shd w:val="clear" w:color="auto" w:fill="E5E5E5"/>
          </w:tcPr>
          <w:p>
            <w:pPr>
              <w:ind w:left="80"/>
              <w:spacing w:after="0"/>
              <w:rPr>
                <w:sz w:val="20"/>
                <w:szCs w:val="20"/>
                <w:color w:val="auto"/>
              </w:rPr>
            </w:pPr>
            <w:r>
              <w:rPr>
                <w:rFonts w:ascii="Arial" w:cs="Arial" w:eastAsia="Arial" w:hAnsi="Arial"/>
                <w:sz w:val="14"/>
                <w:szCs w:val="14"/>
                <w:color w:val="auto"/>
              </w:rPr>
              <w:t>Risk-related</w:t>
            </w:r>
          </w:p>
        </w:tc>
        <w:tc>
          <w:tcPr>
            <w:tcW w:w="2000" w:type="dxa"/>
            <w:vAlign w:val="bottom"/>
            <w:shd w:val="clear" w:color="auto" w:fill="E5E5E5"/>
          </w:tcPr>
          <w:p>
            <w:pPr>
              <w:ind w:left="1360"/>
              <w:spacing w:after="0" w:line="161" w:lineRule="exact"/>
              <w:rPr>
                <w:sz w:val="20"/>
                <w:szCs w:val="20"/>
                <w:color w:val="auto"/>
              </w:rPr>
            </w:pPr>
            <w:r>
              <w:rPr>
                <w:rFonts w:ascii="MS PGothic" w:cs="MS PGothic" w:eastAsia="MS PGothic" w:hAnsi="MS PGothic"/>
                <w:sz w:val="16"/>
                <w:szCs w:val="16"/>
                <w:color w:val="73A950"/>
              </w:rPr>
              <w:t>✓</w:t>
            </w:r>
          </w:p>
        </w:tc>
        <w:tc>
          <w:tcPr>
            <w:tcW w:w="1100" w:type="dxa"/>
            <w:vAlign w:val="bottom"/>
            <w:shd w:val="clear" w:color="auto" w:fill="E5E5E5"/>
          </w:tcPr>
          <w:p>
            <w:pPr>
              <w:ind w:left="560"/>
              <w:spacing w:after="0" w:line="161" w:lineRule="exact"/>
              <w:rPr>
                <w:sz w:val="20"/>
                <w:szCs w:val="20"/>
                <w:color w:val="auto"/>
              </w:rPr>
            </w:pPr>
            <w:r>
              <w:rPr>
                <w:rFonts w:ascii="MS PGothic" w:cs="MS PGothic" w:eastAsia="MS PGothic" w:hAnsi="MS PGothic"/>
                <w:sz w:val="16"/>
                <w:szCs w:val="16"/>
                <w:color w:val="73A950"/>
              </w:rPr>
              <w:t>✓</w:t>
            </w:r>
          </w:p>
        </w:tc>
      </w:tr>
      <w:tr>
        <w:trPr>
          <w:trHeight w:val="255"/>
        </w:trPr>
        <w:tc>
          <w:tcPr>
            <w:tcW w:w="2300" w:type="dxa"/>
            <w:vAlign w:val="bottom"/>
          </w:tcPr>
          <w:p>
            <w:pPr>
              <w:ind w:left="80"/>
              <w:spacing w:after="0"/>
              <w:rPr>
                <w:sz w:val="20"/>
                <w:szCs w:val="20"/>
                <w:color w:val="auto"/>
              </w:rPr>
            </w:pPr>
            <w:r>
              <w:rPr>
                <w:rFonts w:ascii="Arial" w:cs="Arial" w:eastAsia="Arial" w:hAnsi="Arial"/>
                <w:sz w:val="14"/>
                <w:szCs w:val="14"/>
                <w:color w:val="auto"/>
              </w:rPr>
              <w:t>Protection-based</w:t>
            </w:r>
          </w:p>
        </w:tc>
        <w:tc>
          <w:tcPr>
            <w:tcW w:w="2000" w:type="dxa"/>
            <w:vAlign w:val="bottom"/>
          </w:tcPr>
          <w:p>
            <w:pPr>
              <w:spacing w:after="0"/>
              <w:rPr>
                <w:sz w:val="22"/>
                <w:szCs w:val="22"/>
                <w:color w:val="auto"/>
              </w:rPr>
            </w:pPr>
          </w:p>
        </w:tc>
        <w:tc>
          <w:tcPr>
            <w:tcW w:w="1100" w:type="dxa"/>
            <w:vAlign w:val="bottom"/>
          </w:tcPr>
          <w:p>
            <w:pPr>
              <w:ind w:left="560"/>
              <w:spacing w:after="0" w:line="161" w:lineRule="exact"/>
              <w:rPr>
                <w:sz w:val="20"/>
                <w:szCs w:val="20"/>
                <w:color w:val="auto"/>
              </w:rPr>
            </w:pPr>
            <w:r>
              <w:rPr>
                <w:rFonts w:ascii="MS PGothic" w:cs="MS PGothic" w:eastAsia="MS PGothic" w:hAnsi="MS PGothic"/>
                <w:sz w:val="16"/>
                <w:szCs w:val="16"/>
                <w:color w:val="73A950"/>
              </w:rPr>
              <w:t>✓</w:t>
            </w:r>
          </w:p>
        </w:tc>
      </w:tr>
    </w:tbl>
    <w:p>
      <w:pPr>
        <w:spacing w:after="0" w:line="200" w:lineRule="exact"/>
        <w:rPr>
          <w:sz w:val="20"/>
          <w:szCs w:val="20"/>
          <w:color w:val="auto"/>
        </w:rPr>
      </w:pPr>
    </w:p>
    <w:p>
      <w:pPr>
        <w:sectPr>
          <w:pgSz w:w="11900" w:h="16838" w:orient="portrait"/>
          <w:cols w:equalWidth="0" w:num="2">
            <w:col w:w="5320" w:space="500"/>
            <w:col w:w="5420"/>
          </w:cols>
          <w:pgMar w:left="240" w:top="459" w:right="419" w:bottom="1440" w:gutter="0" w:footer="0" w:header="0"/>
          <w:type w:val="continuous"/>
        </w:sectPr>
      </w:pPr>
    </w:p>
    <w:p>
      <w:pPr>
        <w:spacing w:after="0" w:line="147" w:lineRule="exact"/>
        <w:rPr>
          <w:sz w:val="20"/>
          <w:szCs w:val="20"/>
          <w:color w:val="auto"/>
        </w:rPr>
      </w:pPr>
    </w:p>
    <w:p>
      <w:pPr>
        <w:ind w:left="420" w:hanging="202"/>
        <w:spacing w:after="0"/>
        <w:tabs>
          <w:tab w:leader="none" w:pos="420" w:val="left"/>
        </w:tabs>
        <w:numPr>
          <w:ilvl w:val="0"/>
          <w:numId w:val="70"/>
        </w:numPr>
        <w:rPr>
          <w:rFonts w:ascii="Arial" w:cs="Arial" w:eastAsia="Arial" w:hAnsi="Arial"/>
          <w:sz w:val="11"/>
          <w:szCs w:val="11"/>
          <w:color w:val="auto"/>
        </w:rPr>
      </w:pPr>
      <w:r>
        <w:rPr>
          <w:rFonts w:ascii="Arial" w:cs="Arial" w:eastAsia="Arial" w:hAnsi="Arial"/>
          <w:sz w:val="13"/>
          <w:szCs w:val="13"/>
          <w:color w:val="auto"/>
        </w:rPr>
        <w:t>ROTCE is a non-GAAP financial measure; for a reconciliation and further explanation, see page 99 of this proxy statement.</w:t>
      </w:r>
    </w:p>
    <w:p>
      <w:pPr>
        <w:spacing w:after="0" w:line="12"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Reflects common dividends and common stock repurchases, net of common stock issued to employees.</w:t>
      </w:r>
    </w:p>
    <w:p>
      <w:pPr>
        <w:spacing w:after="0" w:line="24" w:lineRule="exact"/>
        <w:rPr>
          <w:rFonts w:ascii="Arial" w:cs="Arial" w:eastAsia="Arial" w:hAnsi="Arial"/>
          <w:sz w:val="11"/>
          <w:szCs w:val="11"/>
          <w:color w:val="auto"/>
        </w:rPr>
      </w:pPr>
    </w:p>
    <w:p>
      <w:pPr>
        <w:ind w:left="420" w:right="100" w:hanging="202"/>
        <w:spacing w:after="0" w:line="234" w:lineRule="auto"/>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For external recognition sources for CIB and AWM, refer to pages 59-60 of this proxy statement. CCB recognition is from J.D. Power’s 2018 National Banking Study; CB recognition is from S&amp;P</w:t>
      </w:r>
      <w:r>
        <w:rPr>
          <w:rFonts w:ascii="Arial" w:cs="Arial" w:eastAsia="Arial" w:hAnsi="Arial"/>
          <w:sz w:val="11"/>
          <w:szCs w:val="11"/>
          <w:color w:val="auto"/>
        </w:rPr>
        <w:t xml:space="preserve"> </w:t>
      </w:r>
      <w:r>
        <w:rPr>
          <w:rFonts w:ascii="Arial" w:cs="Arial" w:eastAsia="Arial" w:hAnsi="Arial"/>
          <w:sz w:val="12"/>
          <w:szCs w:val="12"/>
          <w:color w:val="auto"/>
        </w:rPr>
        <w:t>Global Market Intelligence as of December 31, 2018.</w:t>
      </w:r>
    </w:p>
    <w:p>
      <w:pPr>
        <w:spacing w:after="0" w:line="1" w:lineRule="exact"/>
        <w:rPr>
          <w:rFonts w:ascii="Arial" w:cs="Arial" w:eastAsia="Arial" w:hAnsi="Arial"/>
          <w:sz w:val="11"/>
          <w:szCs w:val="11"/>
          <w:color w:val="auto"/>
        </w:rPr>
      </w:pPr>
    </w:p>
    <w:p>
      <w:pPr>
        <w:ind w:left="420" w:right="640" w:hanging="202"/>
        <w:spacing w:after="0" w:line="234" w:lineRule="auto"/>
        <w:rPr>
          <w:rFonts w:ascii="Arial" w:cs="Arial" w:eastAsia="Arial" w:hAnsi="Arial"/>
          <w:sz w:val="11"/>
          <w:szCs w:val="11"/>
          <w:color w:val="auto"/>
        </w:rPr>
      </w:pPr>
      <w:r>
        <w:rPr>
          <w:rFonts w:ascii="Arial" w:cs="Arial" w:eastAsia="Arial" w:hAnsi="Arial"/>
          <w:sz w:val="11"/>
          <w:szCs w:val="11"/>
          <w:color w:val="auto"/>
        </w:rPr>
        <w:t xml:space="preserve">4 </w:t>
      </w:r>
      <w:r>
        <w:rPr>
          <w:rFonts w:ascii="Arial" w:cs="Arial" w:eastAsia="Arial" w:hAnsi="Arial"/>
          <w:sz w:val="12"/>
          <w:szCs w:val="12"/>
          <w:color w:val="auto"/>
        </w:rPr>
        <w:t>Total compensation range for Other NEOs includes Mr. Pinto. Pay Mix components for Other NEOs exclude Mr. Pinto. The terms and conditions of Mr. Pinto’s compensation reflect the</w:t>
      </w:r>
      <w:r>
        <w:rPr>
          <w:rFonts w:ascii="Arial" w:cs="Arial" w:eastAsia="Arial" w:hAnsi="Arial"/>
          <w:sz w:val="11"/>
          <w:szCs w:val="11"/>
          <w:color w:val="auto"/>
        </w:rPr>
        <w:t xml:space="preserve"> </w:t>
      </w:r>
      <w:r>
        <w:rPr>
          <w:rFonts w:ascii="Arial" w:cs="Arial" w:eastAsia="Arial" w:hAnsi="Arial"/>
          <w:sz w:val="12"/>
          <w:szCs w:val="12"/>
          <w:color w:val="auto"/>
        </w:rPr>
        <w:t>requirements of E.U. and U.K. regulations. For additional information on Mr. Pinto’s pay mix, see footnote 1 on page 52.</w:t>
      </w:r>
    </w:p>
    <w:p>
      <w:pPr>
        <w:spacing w:after="0" w:line="1"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1"/>
          <w:szCs w:val="11"/>
          <w:color w:val="auto"/>
        </w:rPr>
        <w:t xml:space="preserve">5   </w:t>
      </w:r>
      <w:r>
        <w:rPr>
          <w:rFonts w:ascii="Arial" w:cs="Arial" w:eastAsia="Arial" w:hAnsi="Arial"/>
          <w:sz w:val="12"/>
          <w:szCs w:val="12"/>
          <w:color w:val="auto"/>
        </w:rPr>
        <w:t>See page 63 for more details on clawbacks.</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41</w:t>
            </w:r>
          </w:p>
        </w:tc>
      </w:tr>
    </w:tbl>
    <w:p>
      <w:pPr>
        <w:sectPr>
          <w:pgSz w:w="11900" w:h="16838" w:orient="portrait"/>
          <w:cols w:equalWidth="0" w:num="1">
            <w:col w:w="11240"/>
          </w:cols>
          <w:pgMar w:left="240" w:top="459" w:right="41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4876"/>
        </w:rPr>
        <w:t>1. Strong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179705</wp:posOffset>
            </wp:positionV>
            <wp:extent cx="6997700" cy="4457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7700" cy="445770"/>
                    </a:xfrm>
                    <a:prstGeom prst="rect">
                      <a:avLst/>
                    </a:prstGeom>
                    <a:noFill/>
                  </pic:spPr>
                </pic:pic>
              </a:graphicData>
            </a:graphic>
          </wp:anchor>
        </w:drawing>
      </w:r>
    </w:p>
    <w:p>
      <w:pPr>
        <w:spacing w:after="0" w:line="303" w:lineRule="exact"/>
        <w:rPr>
          <w:sz w:val="20"/>
          <w:szCs w:val="20"/>
          <w:color w:val="auto"/>
        </w:rPr>
      </w:pPr>
    </w:p>
    <w:p>
      <w:pPr>
        <w:jc w:val="center"/>
        <w:ind w:left="440" w:right="260"/>
        <w:spacing w:after="0"/>
        <w:rPr>
          <w:sz w:val="20"/>
          <w:szCs w:val="20"/>
          <w:color w:val="auto"/>
        </w:rPr>
      </w:pPr>
      <w:r>
        <w:rPr>
          <w:rFonts w:ascii="Arial" w:cs="Arial" w:eastAsia="Arial" w:hAnsi="Arial"/>
          <w:sz w:val="18"/>
          <w:szCs w:val="18"/>
          <w:color w:val="004876"/>
        </w:rPr>
        <w:t>We continued to deliver strong multi-year financial performance, invest in our future, strengthen our risk and control environment, reinforce the importance of our culture and values, deliver on our long-standing commitment to serve our customers, employees and communities, and conduct business in a responsible way to drive inclusive growth.</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assessing the Firm’s performance in 2018, the CMDC considered the following factors: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I.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Key Highlights</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2018, the Firm delivered record net income of $32.5 billion, record EPS of $9.00, ROE of 13% and ROTCE</w:t>
      </w:r>
      <w:r>
        <w:rPr>
          <w:rFonts w:ascii="Arial" w:cs="Arial" w:eastAsia="Arial" w:hAnsi="Arial"/>
          <w:sz w:val="15"/>
          <w:szCs w:val="15"/>
          <w:color w:val="auto"/>
        </w:rPr>
        <w:t>1</w:t>
      </w:r>
      <w:r>
        <w:rPr>
          <w:rFonts w:ascii="Arial" w:cs="Arial" w:eastAsia="Arial" w:hAnsi="Arial"/>
          <w:sz w:val="18"/>
          <w:szCs w:val="18"/>
          <w:color w:val="auto"/>
        </w:rPr>
        <w:t xml:space="preserve"> of 17%. We returned</w:t>
      </w:r>
    </w:p>
    <w:p>
      <w:pPr>
        <w:ind w:left="200" w:right="100"/>
        <w:spacing w:after="0" w:line="249" w:lineRule="auto"/>
        <w:rPr>
          <w:sz w:val="20"/>
          <w:szCs w:val="20"/>
          <w:color w:val="auto"/>
        </w:rPr>
      </w:pPr>
      <w:r>
        <w:rPr>
          <w:rFonts w:ascii="Arial" w:cs="Arial" w:eastAsia="Arial" w:hAnsi="Arial"/>
          <w:sz w:val="18"/>
          <w:szCs w:val="18"/>
          <w:color w:val="auto"/>
        </w:rPr>
        <w:t>$28.5 billion of net capital</w:t>
      </w:r>
      <w:r>
        <w:rPr>
          <w:rFonts w:ascii="Arial" w:cs="Arial" w:eastAsia="Arial" w:hAnsi="Arial"/>
          <w:sz w:val="15"/>
          <w:szCs w:val="15"/>
          <w:color w:val="auto"/>
        </w:rPr>
        <w:t>2</w:t>
      </w:r>
      <w:r>
        <w:rPr>
          <w:rFonts w:ascii="Arial" w:cs="Arial" w:eastAsia="Arial" w:hAnsi="Arial"/>
          <w:sz w:val="18"/>
          <w:szCs w:val="18"/>
          <w:color w:val="auto"/>
        </w:rPr>
        <w:t xml:space="preserve"> to shareholders. We maintained or gained market share across our businesses, demonstrated strong expense discipline, continued to achieve high customer satisfaction scores and maintained a fortress balance sheet.</w:t>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2480" w:type="dxa"/>
            <w:vAlign w:val="bottom"/>
            <w:shd w:val="clear" w:color="auto" w:fill="E5E5E5"/>
          </w:tcPr>
          <w:p>
            <w:pPr>
              <w:jc w:val="center"/>
              <w:ind w:right="130"/>
              <w:spacing w:after="0"/>
              <w:rPr>
                <w:sz w:val="20"/>
                <w:szCs w:val="20"/>
                <w:color w:val="auto"/>
              </w:rPr>
            </w:pPr>
            <w:r>
              <w:rPr>
                <w:rFonts w:ascii="Arial" w:cs="Arial" w:eastAsia="Arial" w:hAnsi="Arial"/>
                <w:sz w:val="18"/>
                <w:szCs w:val="18"/>
                <w:color w:val="auto"/>
                <w:w w:val="99"/>
              </w:rPr>
              <w:t>Record</w:t>
            </w:r>
          </w:p>
        </w:tc>
        <w:tc>
          <w:tcPr>
            <w:tcW w:w="1940" w:type="dxa"/>
            <w:vAlign w:val="bottom"/>
            <w:shd w:val="clear" w:color="auto" w:fill="E5E5E5"/>
          </w:tcPr>
          <w:p>
            <w:pPr>
              <w:jc w:val="center"/>
              <w:ind w:left="30"/>
              <w:spacing w:after="0"/>
              <w:rPr>
                <w:sz w:val="20"/>
                <w:szCs w:val="20"/>
                <w:color w:val="auto"/>
              </w:rPr>
            </w:pPr>
            <w:r>
              <w:rPr>
                <w:rFonts w:ascii="Arial" w:cs="Arial" w:eastAsia="Arial" w:hAnsi="Arial"/>
                <w:sz w:val="18"/>
                <w:szCs w:val="18"/>
                <w:color w:val="auto"/>
                <w:w w:val="99"/>
              </w:rPr>
              <w:t>Record</w:t>
            </w:r>
          </w:p>
        </w:tc>
        <w:tc>
          <w:tcPr>
            <w:tcW w:w="2280" w:type="dxa"/>
            <w:vAlign w:val="bottom"/>
            <w:vMerge w:val="restart"/>
            <w:shd w:val="clear" w:color="auto" w:fill="E5E5E5"/>
          </w:tcPr>
          <w:p>
            <w:pPr>
              <w:jc w:val="center"/>
              <w:ind w:left="230"/>
              <w:spacing w:after="0"/>
              <w:rPr>
                <w:sz w:val="20"/>
                <w:szCs w:val="20"/>
                <w:color w:val="auto"/>
              </w:rPr>
            </w:pPr>
            <w:r>
              <w:rPr>
                <w:rFonts w:ascii="Arial" w:cs="Arial" w:eastAsia="Arial" w:hAnsi="Arial"/>
                <w:sz w:val="18"/>
                <w:szCs w:val="18"/>
                <w:color w:val="auto"/>
                <w:w w:val="99"/>
              </w:rPr>
              <w:t xml:space="preserve">ROE of </w:t>
            </w:r>
            <w:r>
              <w:rPr>
                <w:rFonts w:ascii="Arial" w:cs="Arial" w:eastAsia="Arial" w:hAnsi="Arial"/>
                <w:sz w:val="18"/>
                <w:szCs w:val="18"/>
                <w:b w:val="1"/>
                <w:bCs w:val="1"/>
                <w:color w:val="auto"/>
                <w:w w:val="99"/>
              </w:rPr>
              <w:t>13%</w:t>
            </w:r>
          </w:p>
        </w:tc>
        <w:tc>
          <w:tcPr>
            <w:tcW w:w="2180" w:type="dxa"/>
            <w:vAlign w:val="bottom"/>
            <w:vMerge w:val="restart"/>
            <w:shd w:val="clear" w:color="auto" w:fill="E5E5E5"/>
          </w:tcPr>
          <w:p>
            <w:pPr>
              <w:jc w:val="center"/>
              <w:ind w:right="10"/>
              <w:spacing w:after="0"/>
              <w:rPr>
                <w:sz w:val="20"/>
                <w:szCs w:val="20"/>
                <w:color w:val="auto"/>
              </w:rPr>
            </w:pPr>
            <w:r>
              <w:rPr>
                <w:rFonts w:ascii="Arial" w:cs="Arial" w:eastAsia="Arial" w:hAnsi="Arial"/>
                <w:sz w:val="18"/>
                <w:szCs w:val="18"/>
                <w:color w:val="auto"/>
                <w:w w:val="99"/>
              </w:rPr>
              <w:t xml:space="preserve">BVPS of </w:t>
            </w:r>
            <w:r>
              <w:rPr>
                <w:rFonts w:ascii="Arial" w:cs="Arial" w:eastAsia="Arial" w:hAnsi="Arial"/>
                <w:sz w:val="18"/>
                <w:szCs w:val="18"/>
                <w:b w:val="1"/>
                <w:bCs w:val="1"/>
                <w:color w:val="auto"/>
                <w:w w:val="99"/>
              </w:rPr>
              <w:t>$70.35</w:t>
            </w:r>
          </w:p>
        </w:tc>
        <w:tc>
          <w:tcPr>
            <w:tcW w:w="21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Distributed</w:t>
            </w:r>
          </w:p>
        </w:tc>
        <w:tc>
          <w:tcPr>
            <w:tcW w:w="0" w:type="dxa"/>
            <w:vAlign w:val="bottom"/>
          </w:tcPr>
          <w:p>
            <w:pPr>
              <w:spacing w:after="0"/>
              <w:rPr>
                <w:sz w:val="1"/>
                <w:szCs w:val="1"/>
                <w:color w:val="auto"/>
              </w:rPr>
            </w:pPr>
          </w:p>
        </w:tc>
      </w:tr>
      <w:tr>
        <w:trPr>
          <w:trHeight w:val="95"/>
        </w:trPr>
        <w:tc>
          <w:tcPr>
            <w:tcW w:w="2480" w:type="dxa"/>
            <w:vAlign w:val="bottom"/>
            <w:vMerge w:val="restart"/>
            <w:shd w:val="clear" w:color="auto" w:fill="E5E5E5"/>
          </w:tcPr>
          <w:p>
            <w:pPr>
              <w:jc w:val="center"/>
              <w:ind w:right="150"/>
              <w:spacing w:after="0" w:line="202" w:lineRule="exact"/>
              <w:rPr>
                <w:sz w:val="20"/>
                <w:szCs w:val="20"/>
                <w:color w:val="auto"/>
              </w:rPr>
            </w:pPr>
            <w:r>
              <w:rPr>
                <w:rFonts w:ascii="Arial" w:cs="Arial" w:eastAsia="Arial" w:hAnsi="Arial"/>
                <w:sz w:val="18"/>
                <w:szCs w:val="18"/>
                <w:color w:val="auto"/>
                <w:w w:val="99"/>
              </w:rPr>
              <w:t>net income of</w:t>
            </w:r>
          </w:p>
        </w:tc>
        <w:tc>
          <w:tcPr>
            <w:tcW w:w="1940" w:type="dxa"/>
            <w:vAlign w:val="bottom"/>
            <w:vMerge w:val="restart"/>
            <w:shd w:val="clear" w:color="auto" w:fill="E5E5E5"/>
          </w:tcPr>
          <w:p>
            <w:pPr>
              <w:jc w:val="center"/>
              <w:ind w:left="10"/>
              <w:spacing w:after="0" w:line="202" w:lineRule="exact"/>
              <w:rPr>
                <w:sz w:val="20"/>
                <w:szCs w:val="20"/>
                <w:color w:val="auto"/>
              </w:rPr>
            </w:pPr>
            <w:r>
              <w:rPr>
                <w:rFonts w:ascii="Arial" w:cs="Arial" w:eastAsia="Arial" w:hAnsi="Arial"/>
                <w:sz w:val="18"/>
                <w:szCs w:val="18"/>
                <w:color w:val="auto"/>
                <w:w w:val="99"/>
              </w:rPr>
              <w:t>EPS of</w:t>
            </w:r>
          </w:p>
        </w:tc>
        <w:tc>
          <w:tcPr>
            <w:tcW w:w="2280" w:type="dxa"/>
            <w:vAlign w:val="bottom"/>
            <w:vMerge w:val="continue"/>
            <w:shd w:val="clear" w:color="auto" w:fill="E5E5E5"/>
          </w:tcPr>
          <w:p>
            <w:pPr>
              <w:spacing w:after="0"/>
              <w:rPr>
                <w:sz w:val="8"/>
                <w:szCs w:val="8"/>
                <w:color w:val="auto"/>
              </w:rPr>
            </w:pPr>
          </w:p>
        </w:tc>
        <w:tc>
          <w:tcPr>
            <w:tcW w:w="2180" w:type="dxa"/>
            <w:vAlign w:val="bottom"/>
            <w:vMerge w:val="continue"/>
            <w:shd w:val="clear" w:color="auto" w:fill="E5E5E5"/>
          </w:tcPr>
          <w:p>
            <w:pPr>
              <w:spacing w:after="0"/>
              <w:rPr>
                <w:sz w:val="8"/>
                <w:szCs w:val="8"/>
                <w:color w:val="auto"/>
              </w:rPr>
            </w:pPr>
          </w:p>
        </w:tc>
        <w:tc>
          <w:tcPr>
            <w:tcW w:w="2140" w:type="dxa"/>
            <w:vAlign w:val="bottom"/>
            <w:vMerge w:val="restart"/>
            <w:shd w:val="clear" w:color="auto" w:fill="E5E5E5"/>
          </w:tcPr>
          <w:p>
            <w:pPr>
              <w:jc w:val="center"/>
              <w:spacing w:after="0" w:line="202" w:lineRule="exact"/>
              <w:rPr>
                <w:sz w:val="20"/>
                <w:szCs w:val="20"/>
                <w:color w:val="auto"/>
              </w:rPr>
            </w:pPr>
            <w:r>
              <w:rPr>
                <w:rFonts w:ascii="Arial" w:cs="Arial" w:eastAsia="Arial" w:hAnsi="Arial"/>
                <w:sz w:val="18"/>
                <w:szCs w:val="18"/>
                <w:b w:val="1"/>
                <w:bCs w:val="1"/>
                <w:color w:val="auto"/>
                <w:w w:val="99"/>
              </w:rPr>
              <w:t>$28.5 BILLION</w:t>
            </w:r>
          </w:p>
        </w:tc>
        <w:tc>
          <w:tcPr>
            <w:tcW w:w="0" w:type="dxa"/>
            <w:vAlign w:val="bottom"/>
          </w:tcPr>
          <w:p>
            <w:pPr>
              <w:spacing w:after="0"/>
              <w:rPr>
                <w:sz w:val="1"/>
                <w:szCs w:val="1"/>
                <w:color w:val="auto"/>
              </w:rPr>
            </w:pPr>
          </w:p>
        </w:tc>
      </w:tr>
      <w:tr>
        <w:trPr>
          <w:trHeight w:val="108"/>
        </w:trPr>
        <w:tc>
          <w:tcPr>
            <w:tcW w:w="2480" w:type="dxa"/>
            <w:vAlign w:val="bottom"/>
            <w:vMerge w:val="continue"/>
            <w:shd w:val="clear" w:color="auto" w:fill="E5E5E5"/>
          </w:tcPr>
          <w:p>
            <w:pPr>
              <w:spacing w:after="0"/>
              <w:rPr>
                <w:sz w:val="9"/>
                <w:szCs w:val="9"/>
                <w:color w:val="auto"/>
              </w:rPr>
            </w:pPr>
          </w:p>
        </w:tc>
        <w:tc>
          <w:tcPr>
            <w:tcW w:w="1940" w:type="dxa"/>
            <w:vAlign w:val="bottom"/>
            <w:vMerge w:val="continue"/>
            <w:shd w:val="clear" w:color="auto" w:fill="E5E5E5"/>
          </w:tcPr>
          <w:p>
            <w:pPr>
              <w:spacing w:after="0"/>
              <w:rPr>
                <w:sz w:val="9"/>
                <w:szCs w:val="9"/>
                <w:color w:val="auto"/>
              </w:rPr>
            </w:pPr>
          </w:p>
        </w:tc>
        <w:tc>
          <w:tcPr>
            <w:tcW w:w="2280" w:type="dxa"/>
            <w:vAlign w:val="bottom"/>
            <w:vMerge w:val="restart"/>
            <w:shd w:val="clear" w:color="auto" w:fill="E5E5E5"/>
          </w:tcPr>
          <w:p>
            <w:pPr>
              <w:jc w:val="center"/>
              <w:ind w:left="210"/>
              <w:spacing w:after="0"/>
              <w:rPr>
                <w:sz w:val="20"/>
                <w:szCs w:val="20"/>
                <w:color w:val="auto"/>
              </w:rPr>
            </w:pPr>
            <w:r>
              <w:rPr>
                <w:rFonts w:ascii="Arial" w:cs="Arial" w:eastAsia="Arial" w:hAnsi="Arial"/>
                <w:sz w:val="18"/>
                <w:szCs w:val="18"/>
                <w:color w:val="auto"/>
              </w:rPr>
              <w:t>ROTCE</w:t>
            </w:r>
            <w:r>
              <w:rPr>
                <w:rFonts w:ascii="Arial" w:cs="Arial" w:eastAsia="Arial" w:hAnsi="Arial"/>
                <w:sz w:val="15"/>
                <w:szCs w:val="15"/>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17%</w:t>
            </w:r>
          </w:p>
        </w:tc>
        <w:tc>
          <w:tcPr>
            <w:tcW w:w="218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auto"/>
                <w:w w:val="98"/>
              </w:rPr>
              <w:t>TBVPS</w:t>
            </w:r>
            <w:r>
              <w:rPr>
                <w:rFonts w:ascii="Arial" w:cs="Arial" w:eastAsia="Arial" w:hAnsi="Arial"/>
                <w:sz w:val="15"/>
                <w:szCs w:val="15"/>
                <w:color w:val="auto"/>
                <w:w w:val="98"/>
              </w:rPr>
              <w:t>1</w:t>
            </w:r>
            <w:r>
              <w:rPr>
                <w:rFonts w:ascii="Arial" w:cs="Arial" w:eastAsia="Arial" w:hAnsi="Arial"/>
                <w:sz w:val="18"/>
                <w:szCs w:val="18"/>
                <w:color w:val="auto"/>
                <w:w w:val="98"/>
              </w:rPr>
              <w:t xml:space="preserve"> of </w:t>
            </w:r>
            <w:r>
              <w:rPr>
                <w:rFonts w:ascii="Arial" w:cs="Arial" w:eastAsia="Arial" w:hAnsi="Arial"/>
                <w:sz w:val="18"/>
                <w:szCs w:val="18"/>
                <w:b w:val="1"/>
                <w:bCs w:val="1"/>
                <w:color w:val="auto"/>
                <w:w w:val="98"/>
              </w:rPr>
              <w:t>$56.33</w:t>
            </w:r>
          </w:p>
        </w:tc>
        <w:tc>
          <w:tcPr>
            <w:tcW w:w="214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480" w:type="dxa"/>
            <w:vAlign w:val="bottom"/>
            <w:vMerge w:val="restart"/>
            <w:shd w:val="clear" w:color="auto" w:fill="E5E5E5"/>
          </w:tcPr>
          <w:p>
            <w:pPr>
              <w:jc w:val="center"/>
              <w:ind w:right="130"/>
              <w:spacing w:after="0"/>
              <w:rPr>
                <w:sz w:val="20"/>
                <w:szCs w:val="20"/>
                <w:color w:val="auto"/>
              </w:rPr>
            </w:pPr>
            <w:r>
              <w:rPr>
                <w:rFonts w:ascii="Arial" w:cs="Arial" w:eastAsia="Arial" w:hAnsi="Arial"/>
                <w:sz w:val="18"/>
                <w:szCs w:val="18"/>
                <w:b w:val="1"/>
                <w:bCs w:val="1"/>
                <w:color w:val="auto"/>
                <w:w w:val="99"/>
              </w:rPr>
              <w:t>$32.5 BILLION</w:t>
            </w:r>
          </w:p>
        </w:tc>
        <w:tc>
          <w:tcPr>
            <w:tcW w:w="1940" w:type="dxa"/>
            <w:vAlign w:val="bottom"/>
            <w:vMerge w:val="restart"/>
            <w:shd w:val="clear" w:color="auto" w:fill="E5E5E5"/>
          </w:tcPr>
          <w:p>
            <w:pPr>
              <w:jc w:val="center"/>
              <w:ind w:left="10"/>
              <w:spacing w:after="0"/>
              <w:rPr>
                <w:sz w:val="20"/>
                <w:szCs w:val="20"/>
                <w:color w:val="auto"/>
              </w:rPr>
            </w:pPr>
            <w:r>
              <w:rPr>
                <w:rFonts w:ascii="Arial" w:cs="Arial" w:eastAsia="Arial" w:hAnsi="Arial"/>
                <w:sz w:val="18"/>
                <w:szCs w:val="18"/>
                <w:b w:val="1"/>
                <w:bCs w:val="1"/>
                <w:color w:val="auto"/>
                <w:w w:val="97"/>
              </w:rPr>
              <w:t>$9.00</w:t>
            </w:r>
          </w:p>
        </w:tc>
        <w:tc>
          <w:tcPr>
            <w:tcW w:w="2280" w:type="dxa"/>
            <w:vAlign w:val="bottom"/>
            <w:vMerge w:val="continue"/>
            <w:shd w:val="clear" w:color="auto" w:fill="E5E5E5"/>
          </w:tcPr>
          <w:p>
            <w:pPr>
              <w:spacing w:after="0"/>
              <w:rPr>
                <w:sz w:val="11"/>
                <w:szCs w:val="11"/>
                <w:color w:val="auto"/>
              </w:rPr>
            </w:pPr>
          </w:p>
        </w:tc>
        <w:tc>
          <w:tcPr>
            <w:tcW w:w="2180" w:type="dxa"/>
            <w:vAlign w:val="bottom"/>
            <w:vMerge w:val="continue"/>
            <w:shd w:val="clear" w:color="auto" w:fill="E5E5E5"/>
          </w:tcPr>
          <w:p>
            <w:pPr>
              <w:spacing w:after="0"/>
              <w:rPr>
                <w:sz w:val="11"/>
                <w:szCs w:val="11"/>
                <w:color w:val="auto"/>
              </w:rPr>
            </w:pPr>
          </w:p>
        </w:tc>
        <w:tc>
          <w:tcPr>
            <w:tcW w:w="2140" w:type="dxa"/>
            <w:vAlign w:val="bottom"/>
            <w:vMerge w:val="restart"/>
            <w:shd w:val="clear" w:color="auto" w:fill="E5E5E5"/>
          </w:tcPr>
          <w:p>
            <w:pPr>
              <w:jc w:val="center"/>
              <w:ind w:right="10"/>
              <w:spacing w:after="0"/>
              <w:rPr>
                <w:sz w:val="20"/>
                <w:szCs w:val="20"/>
                <w:color w:val="auto"/>
              </w:rPr>
            </w:pPr>
            <w:r>
              <w:rPr>
                <w:rFonts w:ascii="Arial" w:cs="Arial" w:eastAsia="Arial" w:hAnsi="Arial"/>
                <w:sz w:val="18"/>
                <w:szCs w:val="18"/>
                <w:color w:val="auto"/>
                <w:w w:val="99"/>
              </w:rPr>
              <w:t>to shareholders</w:t>
            </w:r>
          </w:p>
        </w:tc>
        <w:tc>
          <w:tcPr>
            <w:tcW w:w="0" w:type="dxa"/>
            <w:vAlign w:val="bottom"/>
          </w:tcPr>
          <w:p>
            <w:pPr>
              <w:spacing w:after="0"/>
              <w:rPr>
                <w:sz w:val="1"/>
                <w:szCs w:val="1"/>
                <w:color w:val="auto"/>
              </w:rPr>
            </w:pPr>
          </w:p>
        </w:tc>
      </w:tr>
      <w:tr>
        <w:trPr>
          <w:trHeight w:val="108"/>
        </w:trPr>
        <w:tc>
          <w:tcPr>
            <w:tcW w:w="2480" w:type="dxa"/>
            <w:vAlign w:val="bottom"/>
            <w:vMerge w:val="continue"/>
            <w:shd w:val="clear" w:color="auto" w:fill="E5E5E5"/>
          </w:tcPr>
          <w:p>
            <w:pPr>
              <w:spacing w:after="0"/>
              <w:rPr>
                <w:sz w:val="9"/>
                <w:szCs w:val="9"/>
                <w:color w:val="auto"/>
              </w:rPr>
            </w:pPr>
          </w:p>
        </w:tc>
        <w:tc>
          <w:tcPr>
            <w:tcW w:w="1940" w:type="dxa"/>
            <w:vAlign w:val="bottom"/>
            <w:vMerge w:val="continue"/>
            <w:shd w:val="clear" w:color="auto" w:fill="E5E5E5"/>
          </w:tcPr>
          <w:p>
            <w:pPr>
              <w:spacing w:after="0"/>
              <w:rPr>
                <w:sz w:val="9"/>
                <w:szCs w:val="9"/>
                <w:color w:val="auto"/>
              </w:rPr>
            </w:pPr>
          </w:p>
        </w:tc>
        <w:tc>
          <w:tcPr>
            <w:tcW w:w="2280" w:type="dxa"/>
            <w:vAlign w:val="bottom"/>
            <w:shd w:val="clear" w:color="auto" w:fill="E5E5E5"/>
          </w:tcPr>
          <w:p>
            <w:pPr>
              <w:spacing w:after="0"/>
              <w:rPr>
                <w:sz w:val="9"/>
                <w:szCs w:val="9"/>
                <w:color w:val="auto"/>
              </w:rPr>
            </w:pPr>
          </w:p>
        </w:tc>
        <w:tc>
          <w:tcPr>
            <w:tcW w:w="2180" w:type="dxa"/>
            <w:vAlign w:val="bottom"/>
            <w:shd w:val="clear" w:color="auto" w:fill="E5E5E5"/>
          </w:tcPr>
          <w:p>
            <w:pPr>
              <w:spacing w:after="0"/>
              <w:rPr>
                <w:sz w:val="9"/>
                <w:szCs w:val="9"/>
                <w:color w:val="auto"/>
              </w:rPr>
            </w:pPr>
          </w:p>
        </w:tc>
        <w:tc>
          <w:tcPr>
            <w:tcW w:w="214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-393700</wp:posOffset>
            </wp:positionV>
            <wp:extent cx="43180" cy="394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39433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-393700</wp:posOffset>
            </wp:positionV>
            <wp:extent cx="43180" cy="394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39433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-393700</wp:posOffset>
            </wp:positionV>
            <wp:extent cx="43180" cy="394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39433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-393700</wp:posOffset>
            </wp:positionV>
            <wp:extent cx="43180" cy="3943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394335"/>
                    </a:xfrm>
                    <a:prstGeom prst="rect">
                      <a:avLst/>
                    </a:prstGeom>
                    <a:noFill/>
                  </pic:spPr>
                </pic:pic>
              </a:graphicData>
            </a:graphic>
          </wp:anchor>
        </w:drawing>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Financial Performance</w:t>
      </w:r>
    </w:p>
    <w:p>
      <w:pPr>
        <w:spacing w:after="0" w:line="18"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We have generated strong ROE and ROTCE over the past 10 years, while growing average common equity by over 50% from $146 billion to $229 billion and almost doubling average TCE</w:t>
      </w:r>
      <w:r>
        <w:rPr>
          <w:rFonts w:ascii="Arial" w:cs="Arial" w:eastAsia="Arial" w:hAnsi="Arial"/>
          <w:sz w:val="15"/>
          <w:szCs w:val="15"/>
          <w:color w:val="auto"/>
        </w:rPr>
        <w:t>1</w:t>
      </w:r>
      <w:r>
        <w:rPr>
          <w:rFonts w:ascii="Arial" w:cs="Arial" w:eastAsia="Arial" w:hAnsi="Arial"/>
          <w:sz w:val="18"/>
          <w:szCs w:val="18"/>
          <w:color w:val="auto"/>
        </w:rPr>
        <w:t xml:space="preserve"> from $95 billion to $183 billion, reflecting a compound annual growth rate of 5% and 8%, respectively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69215</wp:posOffset>
            </wp:positionV>
            <wp:extent cx="7031990" cy="20326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3199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right="120"/>
        <w:spacing w:after="0" w:line="249" w:lineRule="auto"/>
        <w:rPr>
          <w:sz w:val="20"/>
          <w:szCs w:val="20"/>
          <w:color w:val="auto"/>
        </w:rPr>
      </w:pPr>
      <w:r>
        <w:rPr>
          <w:rFonts w:ascii="Arial" w:cs="Arial" w:eastAsia="Arial" w:hAnsi="Arial"/>
          <w:sz w:val="18"/>
          <w:szCs w:val="18"/>
          <w:color w:val="auto"/>
        </w:rPr>
        <w:t>We have also delivered sustained growth in EPS, BVPS and TBVPS</w:t>
      </w:r>
      <w:r>
        <w:rPr>
          <w:rFonts w:ascii="Arial" w:cs="Arial" w:eastAsia="Arial" w:hAnsi="Arial"/>
          <w:sz w:val="15"/>
          <w:szCs w:val="15"/>
          <w:color w:val="auto"/>
        </w:rPr>
        <w:t>1</w:t>
      </w:r>
      <w:r>
        <w:rPr>
          <w:rFonts w:ascii="Arial" w:cs="Arial" w:eastAsia="Arial" w:hAnsi="Arial"/>
          <w:sz w:val="18"/>
          <w:szCs w:val="18"/>
          <w:color w:val="auto"/>
        </w:rPr>
        <w:t xml:space="preserve"> over the past 10 years, reflecting compound annual growth rates of 17%, 7% and 8%, respectively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7031990" cy="24701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03199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0" w:hanging="167"/>
        <w:spacing w:after="0"/>
        <w:tabs>
          <w:tab w:leader="none" w:pos="420" w:val="left"/>
        </w:tabs>
        <w:numPr>
          <w:ilvl w:val="0"/>
          <w:numId w:val="71"/>
        </w:numPr>
        <w:rPr>
          <w:rFonts w:ascii="Arial" w:cs="Arial" w:eastAsia="Arial" w:hAnsi="Arial"/>
          <w:sz w:val="11"/>
          <w:szCs w:val="11"/>
          <w:color w:val="auto"/>
        </w:rPr>
      </w:pPr>
      <w:r>
        <w:rPr>
          <w:rFonts w:ascii="Arial" w:cs="Arial" w:eastAsia="Arial" w:hAnsi="Arial"/>
          <w:sz w:val="13"/>
          <w:szCs w:val="13"/>
          <w:color w:val="auto"/>
        </w:rPr>
        <w:t>ROTCE, TBVPS and average TCE are each non-GAAP financial measures; for a reconciliation and further explanation, see page 99.</w:t>
      </w:r>
    </w:p>
    <w:p>
      <w:pPr>
        <w:spacing w:after="0" w:line="12" w:lineRule="exact"/>
        <w:rPr>
          <w:rFonts w:ascii="Arial" w:cs="Arial" w:eastAsia="Arial" w:hAnsi="Arial"/>
          <w:sz w:val="11"/>
          <w:szCs w:val="11"/>
          <w:color w:val="auto"/>
        </w:rPr>
      </w:pPr>
    </w:p>
    <w:p>
      <w:pPr>
        <w:ind w:left="26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Refer to note 2 on page 41 of this proxy statement.</w:t>
      </w:r>
    </w:p>
    <w:p>
      <w:pPr>
        <w:spacing w:after="0" w:line="24" w:lineRule="exact"/>
        <w:rPr>
          <w:rFonts w:ascii="Arial" w:cs="Arial" w:eastAsia="Arial" w:hAnsi="Arial"/>
          <w:sz w:val="11"/>
          <w:szCs w:val="11"/>
          <w:color w:val="auto"/>
        </w:rPr>
      </w:pPr>
    </w:p>
    <w:p>
      <w:pPr>
        <w:ind w:left="420" w:right="180" w:hanging="167"/>
        <w:spacing w:after="0" w:line="259" w:lineRule="auto"/>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Excluding the impact of the enactment of the Tax Cuts and Jobs Act (“TCJA”) of $(2.4) billion and a legal benefit of $406 million (after-tax) in 2017, adjusted ROTCE would have been 13% and</w:t>
      </w:r>
      <w:r>
        <w:rPr>
          <w:rFonts w:ascii="Arial" w:cs="Arial" w:eastAsia="Arial" w:hAnsi="Arial"/>
          <w:sz w:val="11"/>
          <w:szCs w:val="11"/>
          <w:color w:val="auto"/>
        </w:rPr>
        <w:t xml:space="preserve"> </w:t>
      </w:r>
      <w:r>
        <w:rPr>
          <w:rFonts w:ascii="Arial" w:cs="Arial" w:eastAsia="Arial" w:hAnsi="Arial"/>
          <w:sz w:val="12"/>
          <w:szCs w:val="12"/>
          <w:color w:val="auto"/>
        </w:rPr>
        <w:t>adjusted EPS would have been $6.87. Adjusted ROTCE and adjusted EPS are each non-GAAP financial measures; for further explanation, see page 99 of this proxy statement.</w:t>
      </w:r>
    </w:p>
    <w:p>
      <w:pPr>
        <w:spacing w:after="0" w:line="121"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EXECUTIVE COMPENSATION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Shareholder Return</w:t>
      </w:r>
    </w:p>
    <w:p>
      <w:pPr>
        <w:spacing w:after="0" w:line="15" w:lineRule="exact"/>
        <w:rPr>
          <w:sz w:val="20"/>
          <w:szCs w:val="20"/>
          <w:color w:val="auto"/>
        </w:rPr>
      </w:pPr>
    </w:p>
    <w:p>
      <w:pPr>
        <w:ind w:left="200" w:right="480"/>
        <w:spacing w:after="0" w:line="239" w:lineRule="auto"/>
        <w:rPr>
          <w:sz w:val="20"/>
          <w:szCs w:val="20"/>
          <w:color w:val="auto"/>
        </w:rPr>
      </w:pPr>
      <w:r>
        <w:rPr>
          <w:rFonts w:ascii="Arial" w:cs="Arial" w:eastAsia="Arial" w:hAnsi="Arial"/>
          <w:sz w:val="18"/>
          <w:szCs w:val="18"/>
          <w:color w:val="auto"/>
        </w:rPr>
        <w:t>TSR</w:t>
      </w:r>
      <w:r>
        <w:rPr>
          <w:rFonts w:ascii="Arial" w:cs="Arial" w:eastAsia="Arial" w:hAnsi="Arial"/>
          <w:sz w:val="15"/>
          <w:szCs w:val="15"/>
          <w:color w:val="auto"/>
        </w:rPr>
        <w:t>1</w:t>
      </w:r>
      <w:r>
        <w:rPr>
          <w:rFonts w:ascii="Arial" w:cs="Arial" w:eastAsia="Arial" w:hAnsi="Arial"/>
          <w:sz w:val="18"/>
          <w:szCs w:val="18"/>
          <w:color w:val="auto"/>
        </w:rPr>
        <w:t xml:space="preserve"> was (7)% in 2018, following a TSR of 27% in 2017 and 35% in 2016, for a combined three-year TSR of 59%. The graph below shows our TSR expressed as cumulative return to shareholders over the past decade. As illustrated, a $100 investment in JPMorgan Chase on December 31, 2008 would be valued at $388 as of December 31, 2018, significantly outperforming the financial services industry over the period, as measured by the S&amp;P Financials Index and the KBW Bank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147320</wp:posOffset>
            </wp:positionV>
            <wp:extent cx="7031990" cy="37477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31990"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hanging="167"/>
        <w:spacing w:after="0"/>
        <w:tabs>
          <w:tab w:leader="none" w:pos="420" w:val="left"/>
        </w:tabs>
        <w:numPr>
          <w:ilvl w:val="0"/>
          <w:numId w:val="72"/>
        </w:numPr>
        <w:rPr>
          <w:rFonts w:ascii="Arial" w:cs="Arial" w:eastAsia="Arial" w:hAnsi="Arial"/>
          <w:sz w:val="11"/>
          <w:szCs w:val="11"/>
          <w:color w:val="auto"/>
        </w:rPr>
      </w:pPr>
      <w:r>
        <w:rPr>
          <w:rFonts w:ascii="Arial" w:cs="Arial" w:eastAsia="Arial" w:hAnsi="Arial"/>
          <w:sz w:val="13"/>
          <w:szCs w:val="13"/>
          <w:color w:val="auto"/>
        </w:rPr>
        <w:t>TSR shows the actual return of the stock price, with dividends reinvested.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II. Committed to a strong control environment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Improving our control environment</w:t>
      </w:r>
    </w:p>
    <w:p>
      <w:pPr>
        <w:spacing w:after="0" w:line="1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believe a strong control environment is fundamental to the success of our Firm. We continue to invest in strengthening our controls and infrastructure as part of our commitment to operate an effective and efficient risk and control environment. The LOBs, Risk Management and Compliance, Finance, Legal, and Internal Audit continue to focus on identifying our risks and enhancing our control environment. We are also working on becoming more effective and efficient in addressing risks and controls while improving the client and customer experience.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Cybersecurity</w:t>
      </w:r>
    </w:p>
    <w:p>
      <w:pPr>
        <w:spacing w:after="0" w:line="54"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The Firm devotes significant resources to protect the security of our computer systems, software, networks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and other assets. We continue to make significant investments in enhancing our cyberdefense capabilities and to strengthen our partnerships with the appropriate government and law enforcement agencies and other businesses in order to understand the full spectrum of cybersecurity risks in the operating environment, and improve resiliency against cybersecurity threats.</w:t>
      </w:r>
    </w:p>
    <w:p>
      <w:pPr>
        <w:spacing w:after="0" w:line="9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Globally, thousands of employees are focused on cybersecurity — working across the Firm and with many partners to maintain our defenses and enhance our resiliency to threats. Three global security operations centers monitor our systems 24 hours a day, seven days a week. All of our employees annually receive Cybersecurity Awareness education.</w:t>
      </w:r>
    </w:p>
    <w:p>
      <w:pPr>
        <w:spacing w:after="0" w:line="559" w:lineRule="exact"/>
        <w:rPr>
          <w:sz w:val="20"/>
          <w:szCs w:val="20"/>
          <w:color w:val="auto"/>
        </w:rPr>
      </w:pPr>
    </w:p>
    <w:p>
      <w:pPr>
        <w:sectPr>
          <w:pgSz w:w="11900" w:h="16838" w:orient="portrait"/>
          <w:cols w:equalWidth="0" w:num="2">
            <w:col w:w="5420" w:space="400"/>
            <w:col w:w="5420"/>
          </w:cols>
          <w:pgMar w:left="240" w:top="459" w:right="419" w:bottom="1440" w:gutter="0" w:footer="0" w:header="0"/>
          <w:type w:val="continuous"/>
        </w:sectPr>
      </w:pPr>
    </w:p>
    <w:p>
      <w:pPr>
        <w:spacing w:after="0" w:line="51"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43</w:t>
            </w:r>
          </w:p>
        </w:tc>
      </w:tr>
    </w:tbl>
    <w:p>
      <w:pPr>
        <w:sectPr>
          <w:pgSz w:w="11900" w:h="16838" w:orient="portrait"/>
          <w:cols w:equalWidth="0" w:num="1">
            <w:col w:w="11240"/>
          </w:cols>
          <w:pgMar w:left="240" w:top="459" w:right="41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326"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The Audit Committee of the Board of Directors is updated at least annually on the Firm’s Information Security Program and any recommended changes, cybersecurity policies and practices, ongoing efforts to improve security, as well as on our efforts regarding significant cybersecurity events.</w:t>
      </w:r>
    </w:p>
    <w:p>
      <w:pPr>
        <w:spacing w:after="0" w:line="181" w:lineRule="exact"/>
        <w:rPr>
          <w:sz w:val="20"/>
          <w:szCs w:val="20"/>
          <w:color w:val="auto"/>
        </w:rPr>
      </w:pPr>
    </w:p>
    <w:p>
      <w:pPr>
        <w:ind w:left="220" w:right="40"/>
        <w:spacing w:after="0" w:line="241" w:lineRule="auto"/>
        <w:rPr>
          <w:sz w:val="20"/>
          <w:szCs w:val="20"/>
          <w:color w:val="auto"/>
        </w:rPr>
      </w:pPr>
      <w:r>
        <w:rPr>
          <w:rFonts w:ascii="Arial" w:cs="Arial" w:eastAsia="Arial" w:hAnsi="Arial"/>
          <w:sz w:val="18"/>
          <w:szCs w:val="18"/>
          <w:b w:val="1"/>
          <w:bCs w:val="1"/>
          <w:color w:val="auto"/>
        </w:rPr>
        <w:t xml:space="preserve">Continued focus on culture and conduct risk management </w:t>
      </w:r>
      <w:r>
        <w:rPr>
          <w:rFonts w:ascii="Arial" w:cs="Arial" w:eastAsia="Arial" w:hAnsi="Arial"/>
          <w:sz w:val="18"/>
          <w:szCs w:val="18"/>
          <w:color w:val="auto"/>
        </w:rPr>
        <w:t>Our “How We Do Business” principles are embedded throughout the employee life cycle, starting with the onboarding process and extending to training, compensation, promoting and rewarding employees; and our performance development and compensation processes are designed to hold employees accountable for their conduct, where appropriate.</w:t>
      </w:r>
    </w:p>
    <w:p>
      <w:pPr>
        <w:spacing w:after="0" w:line="93" w:lineRule="exact"/>
        <w:rPr>
          <w:sz w:val="20"/>
          <w:szCs w:val="20"/>
          <w:color w:val="auto"/>
        </w:rPr>
      </w:pPr>
    </w:p>
    <w:p>
      <w:pPr>
        <w:ind w:left="220" w:right="80"/>
        <w:spacing w:after="0" w:line="237" w:lineRule="auto"/>
        <w:rPr>
          <w:sz w:val="20"/>
          <w:szCs w:val="20"/>
          <w:color w:val="auto"/>
        </w:rPr>
      </w:pPr>
      <w:r>
        <w:rPr>
          <w:rFonts w:ascii="Arial" w:cs="Arial" w:eastAsia="Arial" w:hAnsi="Arial"/>
          <w:sz w:val="18"/>
          <w:szCs w:val="18"/>
          <w:color w:val="auto"/>
        </w:rPr>
        <w:t>We strive to clearly and frequently communicate our expectations that all employee conduct must adhere to the highest ethical standards encompassed by our business principles; including through town hall meetings and senior leadership messages and by including culture and conduct related themes in our employee surveys.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Culture</w:t>
      </w:r>
    </w:p>
    <w:p>
      <w:pPr>
        <w:spacing w:after="0" w:line="54"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The Firm endeavors to promote a culture of respect that allows every employee to feel safe and empowered at work. To that end, the Firm has in place employee training and protocols for preventing, reporting and addressing sexual, discriminatory or other misconduct and prohibits retaliation against an individual because the person reported a concern or assisted with any inquiry or investigation.</w:t>
      </w:r>
    </w:p>
    <w:p>
      <w:pPr>
        <w:spacing w:after="0" w:line="95"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We use a principles-based approach to reinforce and communicate our Firmwide culture expectations and initiatives, with management and execution occurring at the LOB and Corporate level. Management teams are expected to drive culture activities and initiatives that are consistent with our business principles and to escalate issues when appropriate.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Conduct risk management</w:t>
      </w:r>
    </w:p>
    <w:p>
      <w:pPr>
        <w:spacing w:after="0" w:line="54"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In 2016, the Firm developed a Conduct Risk Program in conjunction with the Firm’s overall effort to enhance our qualitative risk appetite. This program is governed by the Conduct Risk Governance Policy which establishes the framework for ownership, assessment, management and escalation of conduct risk within the</w:t>
      </w:r>
    </w:p>
    <w:p>
      <w:pPr>
        <w:spacing w:after="0" w:line="26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Firm. Each LOB and Corporate is responsible for completing a quarterly assessment of conduct risk, reviewing metrics and issues which may involve misconduct and for providing business conduct training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-1388745</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2018, a senior management Conduct Risk Steering Committee (“CRSC”) was formed. The CRSC provides holistic oversight of conduct-related initiatives and risks across the Firm and connects key programs being executed at the LOB and Corporate level in order to identify opportunities and emerging areas of focus. The CRSC may escalate systemic conduct risk issues to the Firmwide Risk Committee, when appropriate.</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actual or potential misconduct of individuals who may be involved in material risk and control issues is escalated through the HR Control Forum process, which is discussed in further detail on page 62 of this proxy statement.</w:t>
      </w:r>
    </w:p>
    <w:p>
      <w:pPr>
        <w:spacing w:after="0" w:line="9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also continue to engage our regulators around the globe to seek their input and feedback on culture and conduct related matters, and we benchmark across the industry to inform ourselves about any evolving practices in this important area.</w:t>
      </w:r>
    </w:p>
    <w:p>
      <w:pPr>
        <w:spacing w:after="0" w:line="202" w:lineRule="exact"/>
        <w:rPr>
          <w:sz w:val="20"/>
          <w:szCs w:val="20"/>
          <w:color w:val="auto"/>
        </w:rPr>
      </w:pPr>
    </w:p>
    <w:p>
      <w:pPr>
        <w:ind w:left="280" w:right="540" w:hanging="266"/>
        <w:spacing w:after="0" w:line="258" w:lineRule="auto"/>
        <w:tabs>
          <w:tab w:leader="none" w:pos="280" w:val="left"/>
        </w:tabs>
        <w:numPr>
          <w:ilvl w:val="0"/>
          <w:numId w:val="73"/>
        </w:numPr>
        <w:rPr>
          <w:rFonts w:ascii="Arial" w:cs="Arial" w:eastAsia="Arial" w:hAnsi="Arial"/>
          <w:sz w:val="20"/>
          <w:szCs w:val="20"/>
          <w:b w:val="1"/>
          <w:bCs w:val="1"/>
          <w:color w:val="004876"/>
        </w:rPr>
      </w:pPr>
      <w:r>
        <w:rPr>
          <w:rFonts w:ascii="Arial" w:cs="Arial" w:eastAsia="Arial" w:hAnsi="Arial"/>
          <w:sz w:val="20"/>
          <w:szCs w:val="20"/>
          <w:b w:val="1"/>
          <w:bCs w:val="1"/>
          <w:color w:val="004876"/>
        </w:rPr>
        <w:t>Enhancing the customer &amp; client experience and investing in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34220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1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performance reflects our ongoing commitment to invest in our businesses, further strengthen the market leadership of our franchises and help strengthen the broader economy. Our future success rests on our ability to satisfy the needs of our customers and clients and to continually improve upon their experience and promote economic growth and opportunity in our communities.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Enhancing our customer and client experience</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customer is at the center of everything we do. We strive to deliver value by offering our customers and clients choice through a full set of products and services, security by protecting their data and transactions, ease of doing business in a fast and simple way, and personalization through tailored customer solutions and integrated experiences. Our LOBs are able to leverage the unique scale advantage of our Firm in order to benefit our customers and clients, as illustrated in the examples below.</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1905</wp:posOffset>
            </wp:positionV>
            <wp:extent cx="662051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80" w:space="340"/>
            <w:col w:w="538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EXECUTIVE COMPENSATION</w:t>
      </w:r>
    </w:p>
    <w:p>
      <w:pPr>
        <w:spacing w:after="0" w:line="200" w:lineRule="exact"/>
        <w:rPr>
          <w:sz w:val="20"/>
          <w:szCs w:val="20"/>
          <w:color w:val="auto"/>
        </w:rPr>
      </w:pPr>
    </w:p>
    <w:p>
      <w:pPr>
        <w:spacing w:after="0" w:line="230" w:lineRule="exact"/>
        <w:rPr>
          <w:sz w:val="20"/>
          <w:szCs w:val="20"/>
          <w:color w:val="auto"/>
        </w:rPr>
      </w:pPr>
    </w:p>
    <w:p>
      <w:pPr>
        <w:ind w:left="200"/>
        <w:spacing w:after="0"/>
        <w:tabs>
          <w:tab w:leader="none" w:pos="5800" w:val="left"/>
        </w:tabs>
        <w:rPr>
          <w:sz w:val="20"/>
          <w:szCs w:val="20"/>
          <w:color w:val="auto"/>
        </w:rPr>
      </w:pPr>
      <w:r>
        <w:rPr>
          <w:rFonts w:ascii="Arial" w:cs="Arial" w:eastAsia="Arial" w:hAnsi="Arial"/>
          <w:sz w:val="18"/>
          <w:szCs w:val="18"/>
          <w:i w:val="1"/>
          <w:iCs w:val="1"/>
          <w:color w:val="auto"/>
        </w:rPr>
        <w:t>Consumer &amp; Community Banking (“CCB”)</w:t>
      </w:r>
      <w:r>
        <w:rPr>
          <w:sz w:val="20"/>
          <w:szCs w:val="20"/>
          <w:color w:val="auto"/>
        </w:rPr>
        <w:tab/>
      </w:r>
      <w:r>
        <w:rPr>
          <w:rFonts w:ascii="Arial" w:cs="Arial" w:eastAsia="Arial" w:hAnsi="Arial"/>
          <w:sz w:val="17"/>
          <w:szCs w:val="17"/>
          <w:i w:val="1"/>
          <w:iCs w:val="1"/>
          <w:color w:val="auto"/>
        </w:rPr>
        <w:t>Asset &amp; Wealth Management (“AWM”)</w:t>
      </w:r>
    </w:p>
    <w:p>
      <w:pPr>
        <w:sectPr>
          <w:pgSz w:w="11900" w:h="16838" w:orient="portrait"/>
          <w:cols w:equalWidth="0" w:num="1">
            <w:col w:w="11240"/>
          </w:cols>
          <w:pgMar w:left="240" w:top="459" w:right="419" w:bottom="1440" w:gutter="0" w:footer="0" w:header="0"/>
        </w:sectPr>
      </w:pPr>
    </w:p>
    <w:p>
      <w:pPr>
        <w:spacing w:after="0" w:line="28" w:lineRule="exact"/>
        <w:rPr>
          <w:sz w:val="20"/>
          <w:szCs w:val="20"/>
          <w:color w:val="auto"/>
        </w:rPr>
      </w:pPr>
    </w:p>
    <w:p>
      <w:pPr>
        <w:ind w:left="400" w:right="260"/>
        <w:spacing w:after="0" w:line="275" w:lineRule="auto"/>
        <w:rPr>
          <w:sz w:val="20"/>
          <w:szCs w:val="20"/>
          <w:color w:val="auto"/>
        </w:rPr>
      </w:pPr>
      <w:r>
        <w:rPr>
          <w:rFonts w:ascii="Arial" w:cs="Arial" w:eastAsia="Arial" w:hAnsi="Arial"/>
          <w:sz w:val="17"/>
          <w:szCs w:val="17"/>
          <w:color w:val="auto"/>
        </w:rPr>
        <w:t>Continued to invest in technology and enhance digital capabilities to simplify and improve the customer experience</w:t>
      </w:r>
    </w:p>
    <w:p>
      <w:pPr>
        <w:spacing w:after="0" w:line="58" w:lineRule="exact"/>
        <w:rPr>
          <w:sz w:val="20"/>
          <w:szCs w:val="20"/>
          <w:color w:val="auto"/>
        </w:rPr>
      </w:pPr>
    </w:p>
    <w:p>
      <w:pPr>
        <w:ind w:left="400" w:right="600"/>
        <w:spacing w:after="0" w:line="246" w:lineRule="auto"/>
        <w:rPr>
          <w:sz w:val="20"/>
          <w:szCs w:val="20"/>
          <w:color w:val="auto"/>
        </w:rPr>
      </w:pPr>
      <w:r>
        <w:rPr>
          <w:rFonts w:ascii="Arial" w:cs="Arial" w:eastAsia="Arial" w:hAnsi="Arial"/>
          <w:sz w:val="18"/>
          <w:szCs w:val="18"/>
          <w:color w:val="auto"/>
        </w:rPr>
        <w:t>First retail U.S. bank to send external transfers within 15 seconds via the new Real-Time Payments network</w:t>
      </w:r>
      <w:r>
        <w:rPr>
          <w:rFonts w:ascii="Arial" w:cs="Arial" w:eastAsia="Arial" w:hAnsi="Arial"/>
          <w:sz w:val="15"/>
          <w:szCs w:val="15"/>
          <w:color w:val="auto"/>
        </w:rPr>
        <w:t>1</w:t>
      </w:r>
    </w:p>
    <w:p>
      <w:pPr>
        <w:spacing w:after="0" w:line="102" w:lineRule="exact"/>
        <w:rPr>
          <w:sz w:val="20"/>
          <w:szCs w:val="20"/>
          <w:color w:val="auto"/>
        </w:rPr>
      </w:pPr>
    </w:p>
    <w:p>
      <w:pPr>
        <w:ind w:left="400" w:right="400"/>
        <w:spacing w:after="0" w:line="246" w:lineRule="auto"/>
        <w:rPr>
          <w:sz w:val="20"/>
          <w:szCs w:val="20"/>
          <w:color w:val="auto"/>
        </w:rPr>
      </w:pPr>
      <w:r>
        <w:rPr>
          <w:rFonts w:ascii="Arial" w:cs="Arial" w:eastAsia="Arial" w:hAnsi="Arial"/>
          <w:sz w:val="18"/>
          <w:szCs w:val="18"/>
          <w:color w:val="auto"/>
        </w:rPr>
        <w:t>Opened ~1.5mm deposit accounts through Digital Account Opening</w:t>
      </w:r>
      <w:r>
        <w:rPr>
          <w:rFonts w:ascii="Arial" w:cs="Arial" w:eastAsia="Arial" w:hAnsi="Arial"/>
          <w:sz w:val="15"/>
          <w:szCs w:val="15"/>
          <w:color w:val="auto"/>
        </w:rPr>
        <w:t>2</w:t>
      </w:r>
    </w:p>
    <w:p>
      <w:pPr>
        <w:spacing w:after="0" w:line="102" w:lineRule="exact"/>
        <w:rPr>
          <w:sz w:val="20"/>
          <w:szCs w:val="20"/>
          <w:color w:val="auto"/>
        </w:rPr>
      </w:pPr>
    </w:p>
    <w:p>
      <w:pPr>
        <w:ind w:left="400" w:right="520"/>
        <w:spacing w:after="0"/>
        <w:rPr>
          <w:sz w:val="20"/>
          <w:szCs w:val="20"/>
          <w:color w:val="auto"/>
        </w:rPr>
      </w:pPr>
      <w:r>
        <w:rPr>
          <w:rFonts w:ascii="Arial" w:cs="Arial" w:eastAsia="Arial" w:hAnsi="Arial"/>
          <w:sz w:val="18"/>
          <w:szCs w:val="18"/>
          <w:color w:val="auto"/>
        </w:rPr>
        <w:t>Launched innovative products and unique customer experiences in Credit Card to drive engagement, such as Chase Offers</w:t>
      </w:r>
      <w:r>
        <w:rPr>
          <w:rFonts w:ascii="Arial" w:cs="Arial" w:eastAsia="Arial" w:hAnsi="Arial"/>
          <w:sz w:val="15"/>
          <w:szCs w:val="15"/>
          <w:color w:val="auto"/>
        </w:rPr>
        <w:t>SM</w:t>
      </w:r>
      <w:r>
        <w:rPr>
          <w:rFonts w:ascii="Arial" w:cs="Arial" w:eastAsia="Arial" w:hAnsi="Arial"/>
          <w:sz w:val="18"/>
          <w:szCs w:val="18"/>
          <w:color w:val="auto"/>
        </w:rPr>
        <w:t>, Credit Journey</w:t>
      </w:r>
      <w:r>
        <w:rPr>
          <w:rFonts w:ascii="Arial" w:cs="Arial" w:eastAsia="Arial" w:hAnsi="Arial"/>
          <w:sz w:val="15"/>
          <w:szCs w:val="15"/>
          <w:color w:val="auto"/>
        </w:rPr>
        <w:t>SM</w:t>
      </w:r>
      <w:r>
        <w:rPr>
          <w:rFonts w:ascii="Arial" w:cs="Arial" w:eastAsia="Arial" w:hAnsi="Arial"/>
          <w:sz w:val="18"/>
          <w:szCs w:val="18"/>
          <w:color w:val="auto"/>
        </w:rPr>
        <w:t xml:space="preserve"> and Tap to Pay</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Corporate &amp; Investment Bank (“CIB”)</w:t>
      </w:r>
    </w:p>
    <w:p>
      <w:pPr>
        <w:spacing w:after="0" w:line="28" w:lineRule="exact"/>
        <w:rPr>
          <w:sz w:val="20"/>
          <w:szCs w:val="20"/>
          <w:color w:val="auto"/>
        </w:rPr>
      </w:pPr>
    </w:p>
    <w:p>
      <w:pPr>
        <w:ind w:left="400" w:right="220"/>
        <w:spacing w:after="0" w:line="246" w:lineRule="auto"/>
        <w:rPr>
          <w:sz w:val="20"/>
          <w:szCs w:val="20"/>
          <w:color w:val="auto"/>
        </w:rPr>
      </w:pPr>
      <w:r>
        <w:rPr>
          <w:rFonts w:ascii="Arial" w:cs="Arial" w:eastAsia="Arial" w:hAnsi="Arial"/>
          <w:sz w:val="18"/>
          <w:szCs w:val="18"/>
          <w:color w:val="auto"/>
        </w:rPr>
        <w:t>Continued to invest in technology to simplify and improve the customer experience</w:t>
      </w:r>
    </w:p>
    <w:p>
      <w:pPr>
        <w:spacing w:after="0" w:line="82" w:lineRule="exact"/>
        <w:rPr>
          <w:sz w:val="20"/>
          <w:szCs w:val="20"/>
          <w:color w:val="auto"/>
        </w:rPr>
      </w:pPr>
    </w:p>
    <w:p>
      <w:pPr>
        <w:ind w:left="400" w:right="300"/>
        <w:spacing w:after="0" w:line="261" w:lineRule="auto"/>
        <w:rPr>
          <w:sz w:val="20"/>
          <w:szCs w:val="20"/>
          <w:color w:val="auto"/>
        </w:rPr>
      </w:pPr>
      <w:r>
        <w:rPr>
          <w:rFonts w:ascii="Arial" w:cs="Arial" w:eastAsia="Arial" w:hAnsi="Arial"/>
          <w:sz w:val="17"/>
          <w:szCs w:val="17"/>
          <w:color w:val="auto"/>
        </w:rPr>
        <w:t>Expanded the Interbank Information Network (“IIN”), which leverages blockchain technology to increase efficiency in correspondent banking, with over 150 banks joining globally</w:t>
      </w:r>
    </w:p>
    <w:p>
      <w:pPr>
        <w:spacing w:after="0" w:line="91" w:lineRule="exact"/>
        <w:rPr>
          <w:sz w:val="20"/>
          <w:szCs w:val="20"/>
          <w:color w:val="auto"/>
        </w:rPr>
      </w:pPr>
    </w:p>
    <w:p>
      <w:pPr>
        <w:ind w:left="400" w:right="560"/>
        <w:spacing w:after="0" w:line="246" w:lineRule="auto"/>
        <w:rPr>
          <w:sz w:val="20"/>
          <w:szCs w:val="20"/>
          <w:color w:val="auto"/>
        </w:rPr>
      </w:pPr>
      <w:r>
        <w:rPr>
          <w:rFonts w:ascii="Arial" w:cs="Arial" w:eastAsia="Arial" w:hAnsi="Arial"/>
          <w:sz w:val="18"/>
          <w:szCs w:val="18"/>
          <w:color w:val="auto"/>
        </w:rPr>
        <w:t>Improved high client satisfaction levels while executing a number of significant client migrations</w:t>
      </w:r>
    </w:p>
    <w:p>
      <w:pPr>
        <w:spacing w:after="0" w:line="102" w:lineRule="exact"/>
        <w:rPr>
          <w:sz w:val="20"/>
          <w:szCs w:val="20"/>
          <w:color w:val="auto"/>
        </w:rPr>
      </w:pPr>
    </w:p>
    <w:p>
      <w:pPr>
        <w:ind w:left="400" w:right="200"/>
        <w:spacing w:after="0" w:line="261" w:lineRule="auto"/>
        <w:rPr>
          <w:sz w:val="20"/>
          <w:szCs w:val="20"/>
          <w:color w:val="auto"/>
        </w:rPr>
      </w:pPr>
      <w:r>
        <w:rPr>
          <w:rFonts w:ascii="Arial" w:cs="Arial" w:eastAsia="Arial" w:hAnsi="Arial"/>
          <w:sz w:val="17"/>
          <w:szCs w:val="17"/>
          <w:color w:val="auto"/>
        </w:rPr>
        <w:t>Continued to enhance and expand the end-to-end digital offering for our clients with a focus on offering simple, reliable and secure products which can be tailored to their needs</w:t>
      </w:r>
    </w:p>
    <w:p>
      <w:pPr>
        <w:spacing w:after="0" w:line="91" w:lineRule="exact"/>
        <w:rPr>
          <w:sz w:val="20"/>
          <w:szCs w:val="20"/>
          <w:color w:val="auto"/>
        </w:rPr>
      </w:pPr>
    </w:p>
    <w:p>
      <w:pPr>
        <w:ind w:left="400" w:right="60"/>
        <w:spacing w:after="0" w:line="246" w:lineRule="auto"/>
        <w:rPr>
          <w:sz w:val="20"/>
          <w:szCs w:val="20"/>
          <w:color w:val="auto"/>
        </w:rPr>
      </w:pPr>
      <w:r>
        <w:rPr>
          <w:rFonts w:ascii="Arial" w:cs="Arial" w:eastAsia="Arial" w:hAnsi="Arial"/>
          <w:sz w:val="18"/>
          <w:szCs w:val="18"/>
          <w:color w:val="auto"/>
        </w:rPr>
        <w:t>Delivered capabilities to support the implementation of MiFID II and Brexit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Commercial Banking (“CB”)</w:t>
      </w:r>
    </w:p>
    <w:p>
      <w:pPr>
        <w:spacing w:after="0" w:line="28" w:lineRule="exact"/>
        <w:rPr>
          <w:sz w:val="20"/>
          <w:szCs w:val="20"/>
          <w:color w:val="auto"/>
        </w:rPr>
      </w:pPr>
    </w:p>
    <w:p>
      <w:pPr>
        <w:ind w:left="400" w:right="520"/>
        <w:spacing w:after="0" w:line="246" w:lineRule="auto"/>
        <w:rPr>
          <w:sz w:val="20"/>
          <w:szCs w:val="20"/>
          <w:color w:val="auto"/>
        </w:rPr>
      </w:pPr>
      <w:r>
        <w:rPr>
          <w:rFonts w:ascii="Arial" w:cs="Arial" w:eastAsia="Arial" w:hAnsi="Arial"/>
          <w:sz w:val="18"/>
          <w:szCs w:val="18"/>
          <w:color w:val="auto"/>
        </w:rPr>
        <w:t>Continued to enhance our digital capabilities, adding new solutions and functionality to our platforms</w:t>
      </w:r>
    </w:p>
    <w:p>
      <w:pPr>
        <w:spacing w:after="0" w:line="82" w:lineRule="exact"/>
        <w:rPr>
          <w:sz w:val="20"/>
          <w:szCs w:val="20"/>
          <w:color w:val="auto"/>
        </w:rPr>
      </w:pPr>
    </w:p>
    <w:p>
      <w:pPr>
        <w:ind w:left="400" w:right="160"/>
        <w:spacing w:after="0" w:line="246" w:lineRule="auto"/>
        <w:rPr>
          <w:sz w:val="20"/>
          <w:szCs w:val="20"/>
          <w:color w:val="auto"/>
        </w:rPr>
      </w:pPr>
      <w:r>
        <w:rPr>
          <w:rFonts w:ascii="Arial" w:cs="Arial" w:eastAsia="Arial" w:hAnsi="Arial"/>
          <w:sz w:val="18"/>
          <w:szCs w:val="18"/>
          <w:color w:val="auto"/>
        </w:rPr>
        <w:t>Overhauled processes to make it simpler for new and existing clients to add solutions and services</w:t>
      </w:r>
    </w:p>
    <w:p>
      <w:pPr>
        <w:spacing w:after="0" w:line="102" w:lineRule="exact"/>
        <w:rPr>
          <w:sz w:val="20"/>
          <w:szCs w:val="20"/>
          <w:color w:val="auto"/>
        </w:rPr>
      </w:pPr>
    </w:p>
    <w:p>
      <w:pPr>
        <w:ind w:left="400" w:right="500"/>
        <w:spacing w:after="0"/>
        <w:rPr>
          <w:sz w:val="20"/>
          <w:szCs w:val="20"/>
          <w:color w:val="auto"/>
        </w:rPr>
      </w:pPr>
      <w:r>
        <w:rPr>
          <w:rFonts w:ascii="Arial" w:cs="Arial" w:eastAsia="Arial" w:hAnsi="Arial"/>
          <w:sz w:val="18"/>
          <w:szCs w:val="18"/>
          <w:color w:val="auto"/>
        </w:rPr>
        <w:t>Launched Chase Cashflow360, a solution which provides clients with a simpler and faster way to send and receive invoices and payments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Fully transitioned new loans in Commercial Term Lending to our Commercial Real Estate Origination System (“CREOS”), which enables faster, more efficient and transparent closings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Continued our commitment to building digital and data-driven solutions for our clients</w:t>
      </w:r>
    </w:p>
    <w:p>
      <w:pPr>
        <w:spacing w:after="0" w:line="82"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Launched Digital Portfolio Insights, an on-demand analysis tool for outside financial advisors, helping them build stronger portfolios through sophisticated analytics and custom insights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Launched You Invest, our first fully mobile online trading platform</w:t>
      </w:r>
    </w:p>
    <w:p>
      <w:pPr>
        <w:spacing w:after="0" w:line="130"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In 2019, we will enhance the You Invest platform in a number of ways, by including options and margin capabilities, adding more data driven experiences to improve financial health, and introducing our You Invest Portfolios digital advice platform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communities</w:t>
      </w:r>
    </w:p>
    <w:p>
      <w:pPr>
        <w:spacing w:after="0" w:line="1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endeavor to promote inclusive economic growth and opportunity in communities where we operate. We also work to advance environmental sustainability within our business activities and facilities. Highlights of our recent progress include:</w:t>
      </w:r>
    </w:p>
    <w:p>
      <w:pPr>
        <w:spacing w:after="0" w:line="61" w:lineRule="exact"/>
        <w:rPr>
          <w:sz w:val="20"/>
          <w:szCs w:val="20"/>
          <w:color w:val="auto"/>
        </w:rPr>
      </w:pPr>
    </w:p>
    <w:p>
      <w:pPr>
        <w:jc w:val="both"/>
        <w:ind w:left="200" w:right="120"/>
        <w:spacing w:after="0" w:line="257" w:lineRule="auto"/>
        <w:rPr>
          <w:sz w:val="20"/>
          <w:szCs w:val="20"/>
          <w:color w:val="auto"/>
        </w:rPr>
      </w:pPr>
      <w:r>
        <w:rPr>
          <w:rFonts w:ascii="Arial" w:cs="Arial" w:eastAsia="Arial" w:hAnsi="Arial"/>
          <w:sz w:val="17"/>
          <w:szCs w:val="17"/>
          <w:color w:val="auto"/>
        </w:rPr>
        <w:t>Advancing clean finance — Since 2003, JPMorgan Chase committed or arranged over $21 billion in tax equity financing for wind, solar and geothermal energy projects in the United States, including $3.2 billion in JPMorgan Chase investments in 2018.</w:t>
      </w:r>
    </w:p>
    <w:p>
      <w:pPr>
        <w:spacing w:after="0" w:line="94" w:lineRule="exact"/>
        <w:rPr>
          <w:sz w:val="20"/>
          <w:szCs w:val="20"/>
          <w:color w:val="auto"/>
        </w:rPr>
      </w:pPr>
    </w:p>
    <w:p>
      <w:pPr>
        <w:ind w:left="200" w:right="60"/>
        <w:spacing w:after="0" w:line="253" w:lineRule="auto"/>
        <w:rPr>
          <w:sz w:val="20"/>
          <w:szCs w:val="20"/>
          <w:color w:val="auto"/>
        </w:rPr>
      </w:pPr>
      <w:r>
        <w:rPr>
          <w:rFonts w:ascii="Arial" w:cs="Arial" w:eastAsia="Arial" w:hAnsi="Arial"/>
          <w:sz w:val="17"/>
          <w:szCs w:val="17"/>
          <w:color w:val="auto"/>
        </w:rPr>
        <w:t>Purchasing renewable energy — Advancing sustainability within our physical operations is an important part of our global sustainability strategy. We have made progress towards our commitment, established in 2017, to source renewable energy for 100% of our global power needs by 2020. This commitment builds on our long-standing efforts to reduce our carbon footprint.</w:t>
      </w:r>
    </w:p>
    <w:p>
      <w:pPr>
        <w:spacing w:after="0" w:line="100"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Supporting climate disclosure — We participated in the Task Force for Climate-related Financial Disclosures, and in 2019, we plan to publish a voluntary report about how we are addressing climate-related risks and opportunities.</w:t>
      </w:r>
    </w:p>
    <w:p>
      <w:pPr>
        <w:spacing w:after="0" w:line="1779"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0" w:hanging="202"/>
        <w:spacing w:after="0"/>
        <w:tabs>
          <w:tab w:leader="none" w:pos="420" w:val="left"/>
        </w:tabs>
        <w:numPr>
          <w:ilvl w:val="0"/>
          <w:numId w:val="79"/>
        </w:numPr>
        <w:rPr>
          <w:rFonts w:ascii="Arial" w:cs="Arial" w:eastAsia="Arial" w:hAnsi="Arial"/>
          <w:sz w:val="11"/>
          <w:szCs w:val="11"/>
          <w:color w:val="auto"/>
        </w:rPr>
      </w:pPr>
      <w:r>
        <w:rPr>
          <w:rFonts w:ascii="Arial" w:cs="Arial" w:eastAsia="Arial" w:hAnsi="Arial"/>
          <w:sz w:val="13"/>
          <w:szCs w:val="13"/>
          <w:color w:val="auto"/>
        </w:rPr>
        <w:t>When customers initiate an external transfer to a Real-Time Payments (“RTP”) network-enabled bank, they have the option to use RTP, which settles within 15 seconds.</w:t>
      </w:r>
    </w:p>
    <w:p>
      <w:pPr>
        <w:spacing w:after="0" w:line="12"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February 2018 - February 2019.</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45</w:t>
            </w:r>
          </w:p>
        </w:tc>
      </w:tr>
    </w:tbl>
    <w:p>
      <w:pPr>
        <w:sectPr>
          <w:pgSz w:w="11900" w:h="16838" w:orient="portrait"/>
          <w:cols w:equalWidth="0" w:num="1">
            <w:col w:w="11240"/>
          </w:cols>
          <w:pgMar w:left="240" w:top="459" w:right="41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59" w:lineRule="exact"/>
        <w:rPr>
          <w:sz w:val="20"/>
          <w:szCs w:val="20"/>
          <w:color w:val="auto"/>
        </w:rPr>
      </w:pPr>
    </w:p>
    <w:p>
      <w:pPr>
        <w:ind w:left="400"/>
        <w:spacing w:after="0" w:line="235" w:lineRule="auto"/>
        <w:rPr>
          <w:sz w:val="20"/>
          <w:szCs w:val="20"/>
          <w:color w:val="auto"/>
        </w:rPr>
      </w:pPr>
      <w:r>
        <w:rPr>
          <w:rFonts w:ascii="Arial" w:cs="Arial" w:eastAsia="Arial" w:hAnsi="Arial"/>
          <w:sz w:val="18"/>
          <w:szCs w:val="18"/>
          <w:color w:val="auto"/>
        </w:rPr>
        <w:t xml:space="preserve">Driving inclusive growth — As announced in early 2018, the Firm will invest $1.75 billion by 2023 to drive inclusive growth in communities around the world. Our efforts focus on four pillars of opportunity: jobs and skills, small business expansion, neighborhood revitalization and financial health. In 2018, we continued to open new pathways to opportunity and drive inclusive growth by leveraging our global presence, data, relationships and expertise. We also announced </w:t>
      </w:r>
      <w:r>
        <w:rPr>
          <w:rFonts w:ascii="Arial" w:cs="Arial" w:eastAsia="Arial" w:hAnsi="Arial"/>
          <w:sz w:val="18"/>
          <w:szCs w:val="18"/>
          <w:i w:val="1"/>
          <w:iCs w:val="1"/>
          <w:color w:val="auto"/>
        </w:rPr>
        <w:t>Advancing</w:t>
      </w:r>
      <w:r>
        <w:rPr>
          <w:rFonts w:ascii="Arial" w:cs="Arial" w:eastAsia="Arial" w:hAnsi="Arial"/>
          <w:sz w:val="18"/>
          <w:szCs w:val="18"/>
          <w:color w:val="auto"/>
        </w:rPr>
        <w:t>Cities, a $500 million, five-year initiative to invest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solutions that bolster the long-term vitality of the world’s cities and the communities within them that have not benefited equally from economic growth. Through this initiative, we will deploy up to $250 million as low-cost, long-term loan capital – combining our Firm’s philanthropic efforts with the lending and investing expertise of our Community Development Banking business. In 2018, as part of </w:t>
      </w:r>
      <w:r>
        <w:rPr>
          <w:rFonts w:ascii="Arial" w:cs="Arial" w:eastAsia="Arial" w:hAnsi="Arial"/>
          <w:sz w:val="18"/>
          <w:szCs w:val="18"/>
          <w:i w:val="1"/>
          <w:iCs w:val="1"/>
          <w:color w:val="auto"/>
        </w:rPr>
        <w:t>Advancing</w:t>
      </w:r>
      <w:r>
        <w:rPr>
          <w:rFonts w:ascii="Arial" w:cs="Arial" w:eastAsia="Arial" w:hAnsi="Arial"/>
          <w:sz w:val="18"/>
          <w:szCs w:val="18"/>
          <w:color w:val="auto"/>
        </w:rPr>
        <w:t>Cities, we invested $30 million in greater Paris to help create economic opportunity.</w:t>
      </w:r>
    </w:p>
    <w:p>
      <w:pPr>
        <w:spacing w:after="0" w:line="119" w:lineRule="exact"/>
        <w:rPr>
          <w:sz w:val="20"/>
          <w:szCs w:val="20"/>
          <w:color w:val="auto"/>
        </w:rPr>
      </w:pPr>
    </w:p>
    <w:p>
      <w:pPr>
        <w:ind w:left="400" w:right="20"/>
        <w:spacing w:after="0" w:line="255" w:lineRule="auto"/>
        <w:rPr>
          <w:sz w:val="20"/>
          <w:szCs w:val="20"/>
          <w:color w:val="auto"/>
        </w:rPr>
      </w:pPr>
      <w:r>
        <w:rPr>
          <w:rFonts w:ascii="Arial" w:cs="Arial" w:eastAsia="Arial" w:hAnsi="Arial"/>
          <w:sz w:val="17"/>
          <w:szCs w:val="17"/>
          <w:color w:val="auto"/>
        </w:rPr>
        <w:t>Supporting military veterans — In 2018, the Firm awarded its 1,000</w:t>
      </w:r>
      <w:r>
        <w:rPr>
          <w:rFonts w:ascii="Arial" w:cs="Arial" w:eastAsia="Arial" w:hAnsi="Arial"/>
          <w:sz w:val="14"/>
          <w:szCs w:val="14"/>
          <w:color w:val="auto"/>
        </w:rPr>
        <w:t>th</w:t>
      </w:r>
      <w:r>
        <w:rPr>
          <w:rFonts w:ascii="Arial" w:cs="Arial" w:eastAsia="Arial" w:hAnsi="Arial"/>
          <w:sz w:val="17"/>
          <w:szCs w:val="17"/>
          <w:color w:val="auto"/>
        </w:rPr>
        <w:t xml:space="preserve"> mortgage-free home to a U.S. military veteran. The Military Home Awards program began in 2011 and has reached veterans across five branches of service, awarding them with mortgage-free homes in communities across 44 states.</w:t>
      </w:r>
    </w:p>
    <w:p>
      <w:pPr>
        <w:spacing w:after="0" w:line="95" w:lineRule="exact"/>
        <w:rPr>
          <w:sz w:val="20"/>
          <w:szCs w:val="20"/>
          <w:color w:val="auto"/>
        </w:rPr>
      </w:pPr>
    </w:p>
    <w:p>
      <w:pPr>
        <w:ind w:left="400" w:right="60"/>
        <w:spacing w:after="0" w:line="237" w:lineRule="auto"/>
        <w:rPr>
          <w:sz w:val="20"/>
          <w:szCs w:val="20"/>
          <w:color w:val="auto"/>
        </w:rPr>
      </w:pPr>
      <w:r>
        <w:rPr>
          <w:rFonts w:ascii="Arial" w:cs="Arial" w:eastAsia="Arial" w:hAnsi="Arial"/>
          <w:sz w:val="18"/>
          <w:szCs w:val="18"/>
          <w:color w:val="auto"/>
        </w:rPr>
        <w:t>Providing skills and expertise — In 2018, nearly 59,000 of our employees volunteered more than 389,000 hours of their time. Through the JPMorgan Service Corps, a program that leverages the energy and skills of top talent to assist nonprofit partners, 218 employee volunteers from offices in 15 countries have contributed over 18,500 hours of time to help 49 nonprofit organizations address critical needs.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Reporting on our efforts</w:t>
      </w:r>
    </w:p>
    <w:p>
      <w:pPr>
        <w:spacing w:after="0" w:line="18" w:lineRule="exact"/>
        <w:rPr>
          <w:sz w:val="20"/>
          <w:szCs w:val="20"/>
          <w:color w:val="auto"/>
        </w:rPr>
      </w:pPr>
    </w:p>
    <w:p>
      <w:pPr>
        <w:ind w:left="220" w:right="140"/>
        <w:spacing w:after="0" w:line="237" w:lineRule="auto"/>
        <w:rPr>
          <w:sz w:val="20"/>
          <w:szCs w:val="20"/>
          <w:color w:val="auto"/>
        </w:rPr>
      </w:pPr>
      <w:r>
        <w:rPr>
          <w:rFonts w:ascii="Arial" w:cs="Arial" w:eastAsia="Arial" w:hAnsi="Arial"/>
          <w:sz w:val="18"/>
          <w:szCs w:val="18"/>
          <w:color w:val="auto"/>
        </w:rPr>
        <w:t>Each spring we publish a dedicated ESG Report, which summarizes our efforts and performance on ESG issues that we view as among the most important to our business and stakeholders. This report and other resources, including our Corporate Responsibility Report, are available on our website at jpmorganchase.com/esg.</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investments announced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-905510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In January 2018, we announced important investments that we are making to help support communities and the broader economy, including expanding the Firm’s branch network into new U.S. markets, increasing community investments and small business lending, and accelerating affordable housing lending. Since then we have opened our first 10 branches in three expansion markets (Greater Washington, D.C., Philadelphia and Boston), which represents a $400 billion deposit opportunity. We also recently announced our plan to bring retail branches to another nine expansion markets in 2019, representing over $300 billion in deposit opportunity. We expanded the Entrepreneurs of Color Fund from Detroit to San Francisco, Chicago, the South Bronx, and the Greater Washington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-4445</wp:posOffset>
            </wp:positionV>
            <wp:extent cx="662051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60" w:space="360"/>
            <w:col w:w="540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960"/>
        <w:spacing w:after="0"/>
        <w:rPr>
          <w:sz w:val="20"/>
          <w:szCs w:val="20"/>
          <w:color w:val="auto"/>
        </w:rPr>
      </w:pPr>
      <w:r>
        <w:rPr>
          <w:rFonts w:ascii="Arial" w:cs="Arial" w:eastAsia="Arial" w:hAnsi="Arial"/>
          <w:sz w:val="16"/>
          <w:szCs w:val="16"/>
          <w:color w:val="333333"/>
        </w:rPr>
        <w:t>EXECUTIVE COMPENSATION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IV. Investing in our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Our employees’ effectiveness, career development and ability to adapt to a changing landscape enables continued delivery of sustained shareholder value. We believe the most effective workforce is a diverse workforce, and as such, we maintain Firmwide inclusion and diversity initiatives to attract and retain the highest quality talent. In order to attract and retain diverse employees, we believe in providing well-paid jobs with strong benefits and wellness programs.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Diversity</w:t>
      </w:r>
    </w:p>
    <w:p>
      <w:pPr>
        <w:spacing w:after="0" w:line="18"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Diversity and inclusion are of strategic importance to the Firm. We are committed to a culture of openness and meritocracy and believe in giving all individuals an opportunity to succeed. We believe diversity with an inclusive environment fosters innovation, creativity and productivity, which is critical to our success, and we are deeply committed to hiring and retaining employees from different backgrounds, experiences and locations.</w:t>
      </w:r>
    </w:p>
    <w:p>
      <w:pPr>
        <w:spacing w:after="0" w:line="94"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We continue to invest significant time and effort toward executing diversity and inclusion best practices Firmwide. Our Business Resource Groups (“BRGs”) are communities of employees who voluntarily work together to advance the Firm’s priorities and its position in the global marketplace by leveraging the unique perspectives of their members. We have ten BRGs globally, with over 91,000 employees participating from all LOBs. In addition to BRGs, we have developed other diversity and inclusion strategies such as: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900" w:type="dxa"/>
            <w:vAlign w:val="bottom"/>
            <w:tcBorders>
              <w:top w:val="single" w:sz="8" w:color="004876"/>
            </w:tcBorders>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Women on the</w:t>
            </w:r>
          </w:p>
        </w:tc>
        <w:tc>
          <w:tcPr>
            <w:tcW w:w="9120" w:type="dxa"/>
            <w:vAlign w:val="bottom"/>
            <w:tcBorders>
              <w:top w:val="single" w:sz="8" w:color="004876"/>
            </w:tcBorders>
          </w:tcPr>
          <w:p>
            <w:pPr>
              <w:ind w:left="140"/>
              <w:spacing w:after="0"/>
              <w:rPr>
                <w:sz w:val="20"/>
                <w:szCs w:val="20"/>
                <w:color w:val="auto"/>
              </w:rPr>
            </w:pPr>
            <w:r>
              <w:rPr>
                <w:rFonts w:ascii="Arial" w:cs="Arial" w:eastAsia="Arial" w:hAnsi="Arial"/>
                <w:sz w:val="14"/>
                <w:szCs w:val="14"/>
                <w:color w:val="auto"/>
              </w:rPr>
              <w:t>WOTM is a global, Firmwide effort designed to support women in their personal and professional lives</w:t>
            </w:r>
          </w:p>
        </w:tc>
        <w:tc>
          <w:tcPr>
            <w:tcW w:w="0" w:type="dxa"/>
            <w:vAlign w:val="bottom"/>
          </w:tcPr>
          <w:p>
            <w:pPr>
              <w:spacing w:after="0"/>
              <w:rPr>
                <w:sz w:val="1"/>
                <w:szCs w:val="1"/>
                <w:color w:val="auto"/>
              </w:rPr>
            </w:pPr>
          </w:p>
        </w:tc>
      </w:tr>
      <w:tr>
        <w:trPr>
          <w:trHeight w:val="190"/>
        </w:trPr>
        <w:tc>
          <w:tcPr>
            <w:tcW w:w="190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Move (“WOTM”)</w:t>
            </w:r>
          </w:p>
        </w:tc>
        <w:tc>
          <w:tcPr>
            <w:tcW w:w="9120" w:type="dxa"/>
            <w:vAlign w:val="bottom"/>
            <w:vMerge w:val="restart"/>
          </w:tcPr>
          <w:p>
            <w:pPr>
              <w:ind w:left="140"/>
              <w:spacing w:after="0"/>
              <w:rPr>
                <w:sz w:val="20"/>
                <w:szCs w:val="20"/>
                <w:color w:val="auto"/>
              </w:rPr>
            </w:pPr>
            <w:r>
              <w:rPr>
                <w:rFonts w:ascii="Arial" w:cs="Arial" w:eastAsia="Arial" w:hAnsi="Arial"/>
                <w:sz w:val="14"/>
                <w:szCs w:val="14"/>
                <w:color w:val="auto"/>
              </w:rPr>
              <w:t>The initiative was expanded in 2018 to empower female employees, clients and consumers to build their careers, grow their businesses</w:t>
            </w:r>
          </w:p>
        </w:tc>
        <w:tc>
          <w:tcPr>
            <w:tcW w:w="0" w:type="dxa"/>
            <w:vAlign w:val="bottom"/>
          </w:tcPr>
          <w:p>
            <w:pPr>
              <w:spacing w:after="0"/>
              <w:rPr>
                <w:sz w:val="1"/>
                <w:szCs w:val="1"/>
                <w:color w:val="auto"/>
              </w:rPr>
            </w:pPr>
          </w:p>
        </w:tc>
      </w:tr>
      <w:tr>
        <w:trPr>
          <w:trHeight w:val="125"/>
        </w:trPr>
        <w:tc>
          <w:tcPr>
            <w:tcW w:w="1900" w:type="dxa"/>
            <w:vAlign w:val="bottom"/>
            <w:shd w:val="clear" w:color="auto" w:fill="E5E5E5"/>
          </w:tcPr>
          <w:p>
            <w:pPr>
              <w:spacing w:after="0"/>
              <w:rPr>
                <w:sz w:val="10"/>
                <w:szCs w:val="10"/>
                <w:color w:val="auto"/>
              </w:rPr>
            </w:pPr>
          </w:p>
        </w:tc>
        <w:tc>
          <w:tcPr>
            <w:tcW w:w="9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900" w:type="dxa"/>
            <w:vAlign w:val="bottom"/>
            <w:shd w:val="clear" w:color="auto" w:fill="E5E5E5"/>
          </w:tcPr>
          <w:p>
            <w:pPr>
              <w:spacing w:after="0"/>
              <w:rPr>
                <w:sz w:val="13"/>
                <w:szCs w:val="13"/>
                <w:color w:val="auto"/>
              </w:rPr>
            </w:pPr>
          </w:p>
        </w:tc>
        <w:tc>
          <w:tcPr>
            <w:tcW w:w="9120" w:type="dxa"/>
            <w:vAlign w:val="bottom"/>
          </w:tcPr>
          <w:p>
            <w:pPr>
              <w:ind w:left="400"/>
              <w:spacing w:after="0" w:line="151" w:lineRule="exact"/>
              <w:rPr>
                <w:sz w:val="20"/>
                <w:szCs w:val="20"/>
                <w:color w:val="auto"/>
              </w:rPr>
            </w:pPr>
            <w:r>
              <w:rPr>
                <w:rFonts w:ascii="Arial" w:cs="Arial" w:eastAsia="Arial" w:hAnsi="Arial"/>
                <w:sz w:val="14"/>
                <w:szCs w:val="14"/>
                <w:color w:val="auto"/>
              </w:rPr>
              <w:t>and improve their financial health</w:t>
            </w:r>
          </w:p>
        </w:tc>
        <w:tc>
          <w:tcPr>
            <w:tcW w:w="0" w:type="dxa"/>
            <w:vAlign w:val="bottom"/>
          </w:tcPr>
          <w:p>
            <w:pPr>
              <w:spacing w:after="0"/>
              <w:rPr>
                <w:sz w:val="1"/>
                <w:szCs w:val="1"/>
                <w:color w:val="auto"/>
              </w:rPr>
            </w:pPr>
          </w:p>
        </w:tc>
      </w:tr>
      <w:tr>
        <w:trPr>
          <w:trHeight w:val="257"/>
        </w:trPr>
        <w:tc>
          <w:tcPr>
            <w:tcW w:w="1900" w:type="dxa"/>
            <w:vAlign w:val="bottom"/>
            <w:shd w:val="clear" w:color="auto" w:fill="E5E5E5"/>
          </w:tcPr>
          <w:p>
            <w:pPr>
              <w:spacing w:after="0"/>
              <w:rPr>
                <w:sz w:val="22"/>
                <w:szCs w:val="22"/>
                <w:color w:val="auto"/>
              </w:rPr>
            </w:pPr>
          </w:p>
        </w:tc>
        <w:tc>
          <w:tcPr>
            <w:tcW w:w="9120" w:type="dxa"/>
            <w:vAlign w:val="bottom"/>
          </w:tcPr>
          <w:p>
            <w:pPr>
              <w:ind w:left="140"/>
              <w:spacing w:after="0"/>
              <w:rPr>
                <w:sz w:val="20"/>
                <w:szCs w:val="20"/>
                <w:color w:val="auto"/>
              </w:rPr>
            </w:pPr>
            <w:r>
              <w:rPr>
                <w:rFonts w:ascii="Arial" w:cs="Arial" w:eastAsia="Arial" w:hAnsi="Arial"/>
                <w:sz w:val="14"/>
                <w:szCs w:val="14"/>
                <w:color w:val="auto"/>
              </w:rPr>
              <w:t>An executive was appointed to serve as a dedicated leader for the expanded initiative</w:t>
            </w:r>
          </w:p>
        </w:tc>
        <w:tc>
          <w:tcPr>
            <w:tcW w:w="0" w:type="dxa"/>
            <w:vAlign w:val="bottom"/>
          </w:tcPr>
          <w:p>
            <w:pPr>
              <w:spacing w:after="0"/>
              <w:rPr>
                <w:sz w:val="1"/>
                <w:szCs w:val="1"/>
                <w:color w:val="auto"/>
              </w:rPr>
            </w:pPr>
          </w:p>
        </w:tc>
      </w:tr>
      <w:tr>
        <w:trPr>
          <w:trHeight w:val="287"/>
        </w:trPr>
        <w:tc>
          <w:tcPr>
            <w:tcW w:w="1900" w:type="dxa"/>
            <w:vAlign w:val="bottom"/>
            <w:tcBorders>
              <w:bottom w:val="single" w:sz="8" w:color="7F7F7F"/>
            </w:tcBorders>
            <w:shd w:val="clear" w:color="auto" w:fill="E5E5E5"/>
          </w:tcPr>
          <w:p>
            <w:pPr>
              <w:spacing w:after="0"/>
              <w:rPr>
                <w:sz w:val="24"/>
                <w:szCs w:val="24"/>
                <w:color w:val="auto"/>
              </w:rPr>
            </w:pPr>
          </w:p>
        </w:tc>
        <w:tc>
          <w:tcPr>
            <w:tcW w:w="912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The third annual Women on the Move Leadership Day took place in 2018 with nearly 2,000 attendees</w:t>
            </w:r>
          </w:p>
        </w:tc>
        <w:tc>
          <w:tcPr>
            <w:tcW w:w="0" w:type="dxa"/>
            <w:vAlign w:val="bottom"/>
          </w:tcPr>
          <w:p>
            <w:pPr>
              <w:spacing w:after="0"/>
              <w:rPr>
                <w:sz w:val="1"/>
                <w:szCs w:val="1"/>
                <w:color w:val="auto"/>
              </w:rPr>
            </w:pPr>
          </w:p>
        </w:tc>
      </w:tr>
      <w:tr>
        <w:trPr>
          <w:trHeight w:val="200"/>
        </w:trPr>
        <w:tc>
          <w:tcPr>
            <w:tcW w:w="190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Advancing Black</w:t>
            </w:r>
          </w:p>
        </w:tc>
        <w:tc>
          <w:tcPr>
            <w:tcW w:w="9120" w:type="dxa"/>
            <w:vAlign w:val="bottom"/>
          </w:tcPr>
          <w:p>
            <w:pPr>
              <w:ind w:left="140"/>
              <w:spacing w:after="0"/>
              <w:rPr>
                <w:sz w:val="20"/>
                <w:szCs w:val="20"/>
                <w:color w:val="auto"/>
              </w:rPr>
            </w:pPr>
            <w:r>
              <w:rPr>
                <w:rFonts w:ascii="Arial" w:cs="Arial" w:eastAsia="Arial" w:hAnsi="Arial"/>
                <w:sz w:val="14"/>
                <w:szCs w:val="14"/>
                <w:color w:val="auto"/>
              </w:rPr>
              <w:t>ABL is a Firmwide commitment to increasing representation of black talent across all businesses</w:t>
            </w:r>
          </w:p>
        </w:tc>
        <w:tc>
          <w:tcPr>
            <w:tcW w:w="0" w:type="dxa"/>
            <w:vAlign w:val="bottom"/>
          </w:tcPr>
          <w:p>
            <w:pPr>
              <w:spacing w:after="0"/>
              <w:rPr>
                <w:sz w:val="1"/>
                <w:szCs w:val="1"/>
                <w:color w:val="auto"/>
              </w:rPr>
            </w:pPr>
          </w:p>
        </w:tc>
      </w:tr>
      <w:tr>
        <w:trPr>
          <w:trHeight w:val="149"/>
        </w:trPr>
        <w:tc>
          <w:tcPr>
            <w:tcW w:w="1900" w:type="dxa"/>
            <w:vAlign w:val="bottom"/>
            <w:shd w:val="clear" w:color="auto" w:fill="E5E5E5"/>
          </w:tcPr>
          <w:p>
            <w:pPr>
              <w:jc w:val="right"/>
              <w:ind w:right="88"/>
              <w:spacing w:after="0" w:line="149" w:lineRule="exact"/>
              <w:rPr>
                <w:sz w:val="20"/>
                <w:szCs w:val="20"/>
                <w:color w:val="auto"/>
              </w:rPr>
            </w:pPr>
            <w:r>
              <w:rPr>
                <w:rFonts w:ascii="Arial" w:cs="Arial" w:eastAsia="Arial" w:hAnsi="Arial"/>
                <w:sz w:val="14"/>
                <w:szCs w:val="14"/>
                <w:b w:val="1"/>
                <w:bCs w:val="1"/>
                <w:color w:val="auto"/>
              </w:rPr>
              <w:t>Leaders (“ABL”) &amp;</w:t>
            </w:r>
          </w:p>
        </w:tc>
        <w:tc>
          <w:tcPr>
            <w:tcW w:w="9120" w:type="dxa"/>
            <w:vAlign w:val="bottom"/>
            <w:vMerge w:val="restart"/>
          </w:tcPr>
          <w:p>
            <w:pPr>
              <w:ind w:left="140"/>
              <w:spacing w:after="0"/>
              <w:rPr>
                <w:sz w:val="20"/>
                <w:szCs w:val="20"/>
                <w:color w:val="auto"/>
              </w:rPr>
            </w:pPr>
            <w:r>
              <w:rPr>
                <w:rFonts w:ascii="Arial" w:cs="Arial" w:eastAsia="Arial" w:hAnsi="Arial"/>
                <w:sz w:val="14"/>
                <w:szCs w:val="14"/>
                <w:color w:val="auto"/>
              </w:rPr>
              <w:t>In 2018, we saw meaningful headcount growth in black senior management and increased representation of black interns in our</w:t>
            </w:r>
          </w:p>
        </w:tc>
        <w:tc>
          <w:tcPr>
            <w:tcW w:w="0" w:type="dxa"/>
            <w:vAlign w:val="bottom"/>
          </w:tcPr>
          <w:p>
            <w:pPr>
              <w:spacing w:after="0"/>
              <w:rPr>
                <w:sz w:val="1"/>
                <w:szCs w:val="1"/>
                <w:color w:val="auto"/>
              </w:rPr>
            </w:pPr>
          </w:p>
        </w:tc>
      </w:tr>
      <w:tr>
        <w:trPr>
          <w:trHeight w:val="162"/>
        </w:trPr>
        <w:tc>
          <w:tcPr>
            <w:tcW w:w="190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Advancing Black</w:t>
            </w:r>
          </w:p>
        </w:tc>
        <w:tc>
          <w:tcPr>
            <w:tcW w:w="9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00" w:type="dxa"/>
            <w:vAlign w:val="bottom"/>
            <w:shd w:val="clear" w:color="auto" w:fill="E5E5E5"/>
          </w:tcPr>
          <w:p>
            <w:pPr>
              <w:jc w:val="right"/>
              <w:ind w:right="88"/>
              <w:spacing w:after="0" w:line="155" w:lineRule="exact"/>
              <w:rPr>
                <w:sz w:val="20"/>
                <w:szCs w:val="20"/>
                <w:color w:val="auto"/>
              </w:rPr>
            </w:pPr>
            <w:r>
              <w:rPr>
                <w:rFonts w:ascii="Arial" w:cs="Arial" w:eastAsia="Arial" w:hAnsi="Arial"/>
                <w:sz w:val="14"/>
                <w:szCs w:val="14"/>
                <w:b w:val="1"/>
                <w:bCs w:val="1"/>
                <w:color w:val="auto"/>
              </w:rPr>
              <w:t>Pathways (“ABP”)</w:t>
            </w:r>
          </w:p>
        </w:tc>
        <w:tc>
          <w:tcPr>
            <w:tcW w:w="9120" w:type="dxa"/>
            <w:vAlign w:val="bottom"/>
          </w:tcPr>
          <w:p>
            <w:pPr>
              <w:ind w:left="360"/>
              <w:spacing w:after="0" w:line="155" w:lineRule="exact"/>
              <w:rPr>
                <w:sz w:val="20"/>
                <w:szCs w:val="20"/>
                <w:color w:val="auto"/>
              </w:rPr>
            </w:pPr>
            <w:r>
              <w:rPr>
                <w:rFonts w:ascii="Arial" w:cs="Arial" w:eastAsia="Arial" w:hAnsi="Arial"/>
                <w:sz w:val="14"/>
                <w:szCs w:val="14"/>
                <w:color w:val="auto"/>
              </w:rPr>
              <w:t>incoming 2019 class</w:t>
            </w:r>
          </w:p>
        </w:tc>
        <w:tc>
          <w:tcPr>
            <w:tcW w:w="0" w:type="dxa"/>
            <w:vAlign w:val="bottom"/>
          </w:tcPr>
          <w:p>
            <w:pPr>
              <w:spacing w:after="0"/>
              <w:rPr>
                <w:sz w:val="1"/>
                <w:szCs w:val="1"/>
                <w:color w:val="auto"/>
              </w:rPr>
            </w:pPr>
          </w:p>
        </w:tc>
      </w:tr>
      <w:tr>
        <w:trPr>
          <w:trHeight w:val="268"/>
        </w:trPr>
        <w:tc>
          <w:tcPr>
            <w:tcW w:w="1900" w:type="dxa"/>
            <w:vAlign w:val="bottom"/>
            <w:shd w:val="clear" w:color="auto" w:fill="E5E5E5"/>
          </w:tcPr>
          <w:p>
            <w:pPr>
              <w:spacing w:after="0"/>
              <w:rPr>
                <w:sz w:val="23"/>
                <w:szCs w:val="23"/>
                <w:color w:val="auto"/>
              </w:rPr>
            </w:pPr>
          </w:p>
        </w:tc>
        <w:tc>
          <w:tcPr>
            <w:tcW w:w="9120" w:type="dxa"/>
            <w:vAlign w:val="bottom"/>
          </w:tcPr>
          <w:p>
            <w:pPr>
              <w:ind w:left="140"/>
              <w:spacing w:after="0"/>
              <w:rPr>
                <w:sz w:val="20"/>
                <w:szCs w:val="20"/>
                <w:color w:val="auto"/>
              </w:rPr>
            </w:pPr>
            <w:r>
              <w:rPr>
                <w:rFonts w:ascii="Arial" w:cs="Arial" w:eastAsia="Arial" w:hAnsi="Arial"/>
                <w:sz w:val="14"/>
                <w:szCs w:val="14"/>
                <w:color w:val="auto"/>
              </w:rPr>
              <w:t>In February 2019, we launched ABP to provide more support for black people in their pursuit of educational, career, business and</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7F7F7F"/>
            </w:tcBorders>
            <w:shd w:val="clear" w:color="auto" w:fill="E5E5E5"/>
          </w:tcPr>
          <w:p>
            <w:pPr>
              <w:spacing w:after="0"/>
              <w:rPr>
                <w:sz w:val="15"/>
                <w:szCs w:val="15"/>
                <w:color w:val="auto"/>
              </w:rPr>
            </w:pPr>
          </w:p>
        </w:tc>
        <w:tc>
          <w:tcPr>
            <w:tcW w:w="9120" w:type="dxa"/>
            <w:vAlign w:val="bottom"/>
            <w:tcBorders>
              <w:bottom w:val="single" w:sz="8" w:color="7F7F7F"/>
            </w:tcBorders>
          </w:tcPr>
          <w:p>
            <w:pPr>
              <w:ind w:left="360"/>
              <w:spacing w:after="0"/>
              <w:rPr>
                <w:sz w:val="20"/>
                <w:szCs w:val="20"/>
                <w:color w:val="auto"/>
              </w:rPr>
            </w:pPr>
            <w:r>
              <w:rPr>
                <w:rFonts w:ascii="Arial" w:cs="Arial" w:eastAsia="Arial" w:hAnsi="Arial"/>
                <w:sz w:val="14"/>
                <w:szCs w:val="14"/>
                <w:color w:val="auto"/>
              </w:rPr>
              <w:t>personal financial success and appointed an executive to serve as a dedicated leader for the initiative</w:t>
            </w:r>
          </w:p>
        </w:tc>
        <w:tc>
          <w:tcPr>
            <w:tcW w:w="0" w:type="dxa"/>
            <w:vAlign w:val="bottom"/>
          </w:tcPr>
          <w:p>
            <w:pPr>
              <w:spacing w:after="0"/>
              <w:rPr>
                <w:sz w:val="1"/>
                <w:szCs w:val="1"/>
                <w:color w:val="auto"/>
              </w:rPr>
            </w:pPr>
          </w:p>
        </w:tc>
      </w:tr>
      <w:tr>
        <w:trPr>
          <w:trHeight w:val="202"/>
        </w:trPr>
        <w:tc>
          <w:tcPr>
            <w:tcW w:w="190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Office of Disability</w:t>
            </w:r>
          </w:p>
        </w:tc>
        <w:tc>
          <w:tcPr>
            <w:tcW w:w="9120" w:type="dxa"/>
            <w:vAlign w:val="bottom"/>
          </w:tcPr>
          <w:p>
            <w:pPr>
              <w:ind w:left="140"/>
              <w:spacing w:after="0"/>
              <w:rPr>
                <w:sz w:val="20"/>
                <w:szCs w:val="20"/>
                <w:color w:val="auto"/>
              </w:rPr>
            </w:pPr>
            <w:r>
              <w:rPr>
                <w:rFonts w:ascii="Arial" w:cs="Arial" w:eastAsia="Arial" w:hAnsi="Arial"/>
                <w:sz w:val="14"/>
                <w:szCs w:val="14"/>
                <w:color w:val="auto"/>
              </w:rPr>
              <w:t>ODI is dedicated to providing globally consistent standards and processes to better accommodate employees with disabilities</w:t>
            </w:r>
          </w:p>
        </w:tc>
        <w:tc>
          <w:tcPr>
            <w:tcW w:w="0" w:type="dxa"/>
            <w:vAlign w:val="bottom"/>
          </w:tcPr>
          <w:p>
            <w:pPr>
              <w:spacing w:after="0"/>
              <w:rPr>
                <w:sz w:val="1"/>
                <w:szCs w:val="1"/>
                <w:color w:val="auto"/>
              </w:rPr>
            </w:pPr>
          </w:p>
        </w:tc>
      </w:tr>
      <w:tr>
        <w:trPr>
          <w:trHeight w:val="190"/>
        </w:trPr>
        <w:tc>
          <w:tcPr>
            <w:tcW w:w="190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Inclusion (“ODI”)</w:t>
            </w:r>
          </w:p>
        </w:tc>
        <w:tc>
          <w:tcPr>
            <w:tcW w:w="9120" w:type="dxa"/>
            <w:vAlign w:val="bottom"/>
            <w:vMerge w:val="restart"/>
          </w:tcPr>
          <w:p>
            <w:pPr>
              <w:ind w:left="140"/>
              <w:spacing w:after="0"/>
              <w:rPr>
                <w:sz w:val="20"/>
                <w:szCs w:val="20"/>
                <w:color w:val="auto"/>
              </w:rPr>
            </w:pPr>
            <w:r>
              <w:rPr>
                <w:rFonts w:ascii="Arial" w:cs="Arial" w:eastAsia="Arial" w:hAnsi="Arial"/>
                <w:sz w:val="14"/>
                <w:szCs w:val="14"/>
                <w:color w:val="auto"/>
              </w:rPr>
              <w:t>Launched the MyAccessibility team to fulfill requests for technology and physical accommodations for employees with disabilities</w:t>
            </w:r>
          </w:p>
        </w:tc>
        <w:tc>
          <w:tcPr>
            <w:tcW w:w="0" w:type="dxa"/>
            <w:vAlign w:val="bottom"/>
          </w:tcPr>
          <w:p>
            <w:pPr>
              <w:spacing w:after="0"/>
              <w:rPr>
                <w:sz w:val="1"/>
                <w:szCs w:val="1"/>
                <w:color w:val="auto"/>
              </w:rPr>
            </w:pPr>
          </w:p>
        </w:tc>
      </w:tr>
      <w:tr>
        <w:trPr>
          <w:trHeight w:val="114"/>
        </w:trPr>
        <w:tc>
          <w:tcPr>
            <w:tcW w:w="1900" w:type="dxa"/>
            <w:vAlign w:val="bottom"/>
            <w:shd w:val="clear" w:color="auto" w:fill="E5E5E5"/>
          </w:tcPr>
          <w:p>
            <w:pPr>
              <w:spacing w:after="0"/>
              <w:rPr>
                <w:sz w:val="9"/>
                <w:szCs w:val="9"/>
                <w:color w:val="auto"/>
              </w:rPr>
            </w:pPr>
          </w:p>
        </w:tc>
        <w:tc>
          <w:tcPr>
            <w:tcW w:w="9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1900" w:type="dxa"/>
            <w:vAlign w:val="bottom"/>
            <w:shd w:val="clear" w:color="auto" w:fill="E5E5E5"/>
          </w:tcPr>
          <w:p>
            <w:pPr>
              <w:spacing w:after="0"/>
              <w:rPr>
                <w:sz w:val="23"/>
                <w:szCs w:val="23"/>
                <w:color w:val="auto"/>
              </w:rPr>
            </w:pPr>
          </w:p>
        </w:tc>
        <w:tc>
          <w:tcPr>
            <w:tcW w:w="9120" w:type="dxa"/>
            <w:vAlign w:val="bottom"/>
          </w:tcPr>
          <w:p>
            <w:pPr>
              <w:ind w:left="140"/>
              <w:spacing w:after="0"/>
              <w:rPr>
                <w:sz w:val="20"/>
                <w:szCs w:val="20"/>
                <w:color w:val="auto"/>
              </w:rPr>
            </w:pPr>
            <w:r>
              <w:rPr>
                <w:rFonts w:ascii="Arial" w:cs="Arial" w:eastAsia="Arial" w:hAnsi="Arial"/>
                <w:sz w:val="14"/>
                <w:szCs w:val="14"/>
                <w:color w:val="auto"/>
              </w:rPr>
              <w:t>Instituted the Firm’s first global Disability Inclusion Standards to provide managers and team leaders with resources to recruit, hire and</w:t>
            </w:r>
          </w:p>
        </w:tc>
        <w:tc>
          <w:tcPr>
            <w:tcW w:w="0" w:type="dxa"/>
            <w:vAlign w:val="bottom"/>
          </w:tcPr>
          <w:p>
            <w:pPr>
              <w:spacing w:after="0"/>
              <w:rPr>
                <w:sz w:val="1"/>
                <w:szCs w:val="1"/>
                <w:color w:val="auto"/>
              </w:rPr>
            </w:pPr>
          </w:p>
        </w:tc>
      </w:tr>
      <w:tr>
        <w:trPr>
          <w:trHeight w:val="151"/>
        </w:trPr>
        <w:tc>
          <w:tcPr>
            <w:tcW w:w="1900" w:type="dxa"/>
            <w:vAlign w:val="bottom"/>
            <w:shd w:val="clear" w:color="auto" w:fill="E5E5E5"/>
          </w:tcPr>
          <w:p>
            <w:pPr>
              <w:spacing w:after="0"/>
              <w:rPr>
                <w:sz w:val="13"/>
                <w:szCs w:val="13"/>
                <w:color w:val="auto"/>
              </w:rPr>
            </w:pPr>
          </w:p>
        </w:tc>
        <w:tc>
          <w:tcPr>
            <w:tcW w:w="9120" w:type="dxa"/>
            <w:vAlign w:val="bottom"/>
          </w:tcPr>
          <w:p>
            <w:pPr>
              <w:ind w:left="400"/>
              <w:spacing w:after="0" w:line="151" w:lineRule="exact"/>
              <w:rPr>
                <w:sz w:val="20"/>
                <w:szCs w:val="20"/>
                <w:color w:val="auto"/>
              </w:rPr>
            </w:pPr>
            <w:r>
              <w:rPr>
                <w:rFonts w:ascii="Arial" w:cs="Arial" w:eastAsia="Arial" w:hAnsi="Arial"/>
                <w:sz w:val="14"/>
                <w:szCs w:val="14"/>
                <w:color w:val="auto"/>
              </w:rPr>
              <w:t>advance people with disabilities</w:t>
            </w:r>
          </w:p>
        </w:tc>
        <w:tc>
          <w:tcPr>
            <w:tcW w:w="0" w:type="dxa"/>
            <w:vAlign w:val="bottom"/>
          </w:tcPr>
          <w:p>
            <w:pPr>
              <w:spacing w:after="0"/>
              <w:rPr>
                <w:sz w:val="1"/>
                <w:szCs w:val="1"/>
                <w:color w:val="auto"/>
              </w:rPr>
            </w:pPr>
          </w:p>
        </w:tc>
      </w:tr>
      <w:tr>
        <w:trPr>
          <w:trHeight w:val="287"/>
        </w:trPr>
        <w:tc>
          <w:tcPr>
            <w:tcW w:w="1900" w:type="dxa"/>
            <w:vAlign w:val="bottom"/>
            <w:tcBorders>
              <w:bottom w:val="single" w:sz="8" w:color="7F7F7F"/>
            </w:tcBorders>
            <w:shd w:val="clear" w:color="auto" w:fill="E5E5E5"/>
          </w:tcPr>
          <w:p>
            <w:pPr>
              <w:spacing w:after="0"/>
              <w:rPr>
                <w:sz w:val="24"/>
                <w:szCs w:val="24"/>
                <w:color w:val="auto"/>
              </w:rPr>
            </w:pPr>
          </w:p>
        </w:tc>
        <w:tc>
          <w:tcPr>
            <w:tcW w:w="912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Hired over 1,100 people with disabilities globally in 2018</w:t>
            </w:r>
          </w:p>
        </w:tc>
        <w:tc>
          <w:tcPr>
            <w:tcW w:w="0" w:type="dxa"/>
            <w:vAlign w:val="bottom"/>
          </w:tcPr>
          <w:p>
            <w:pPr>
              <w:spacing w:after="0"/>
              <w:rPr>
                <w:sz w:val="1"/>
                <w:szCs w:val="1"/>
                <w:color w:val="auto"/>
              </w:rPr>
            </w:pPr>
          </w:p>
        </w:tc>
      </w:tr>
      <w:tr>
        <w:trPr>
          <w:trHeight w:val="200"/>
        </w:trPr>
        <w:tc>
          <w:tcPr>
            <w:tcW w:w="190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Military and Veteran</w:t>
            </w:r>
          </w:p>
        </w:tc>
        <w:tc>
          <w:tcPr>
            <w:tcW w:w="9120" w:type="dxa"/>
            <w:vAlign w:val="bottom"/>
          </w:tcPr>
          <w:p>
            <w:pPr>
              <w:ind w:left="140"/>
              <w:spacing w:after="0"/>
              <w:rPr>
                <w:sz w:val="20"/>
                <w:szCs w:val="20"/>
                <w:color w:val="auto"/>
              </w:rPr>
            </w:pPr>
            <w:r>
              <w:rPr>
                <w:rFonts w:ascii="Arial" w:cs="Arial" w:eastAsia="Arial" w:hAnsi="Arial"/>
                <w:sz w:val="14"/>
                <w:szCs w:val="14"/>
                <w:color w:val="auto"/>
              </w:rPr>
              <w:t>The Office of Military &amp; Veterans Affairs drives Firmwide initiatives to position veterans, service members and their families for long-term,</w:t>
            </w:r>
          </w:p>
        </w:tc>
        <w:tc>
          <w:tcPr>
            <w:tcW w:w="0" w:type="dxa"/>
            <w:vAlign w:val="bottom"/>
          </w:tcPr>
          <w:p>
            <w:pPr>
              <w:spacing w:after="0"/>
              <w:rPr>
                <w:sz w:val="1"/>
                <w:szCs w:val="1"/>
                <w:color w:val="auto"/>
              </w:rPr>
            </w:pPr>
          </w:p>
        </w:tc>
      </w:tr>
      <w:tr>
        <w:trPr>
          <w:trHeight w:val="189"/>
        </w:trPr>
        <w:tc>
          <w:tcPr>
            <w:tcW w:w="190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rPr>
              <w:t>Affairs Programs</w:t>
            </w:r>
          </w:p>
        </w:tc>
        <w:tc>
          <w:tcPr>
            <w:tcW w:w="9120" w:type="dxa"/>
            <w:vAlign w:val="bottom"/>
            <w:vMerge w:val="restart"/>
          </w:tcPr>
          <w:p>
            <w:pPr>
              <w:ind w:left="400"/>
              <w:spacing w:after="0"/>
              <w:rPr>
                <w:sz w:val="20"/>
                <w:szCs w:val="20"/>
                <w:color w:val="auto"/>
              </w:rPr>
            </w:pPr>
            <w:r>
              <w:rPr>
                <w:rFonts w:ascii="Arial" w:cs="Arial" w:eastAsia="Arial" w:hAnsi="Arial"/>
                <w:sz w:val="14"/>
                <w:szCs w:val="14"/>
                <w:color w:val="auto"/>
              </w:rPr>
              <w:t>post-military success</w:t>
            </w:r>
          </w:p>
        </w:tc>
        <w:tc>
          <w:tcPr>
            <w:tcW w:w="0" w:type="dxa"/>
            <w:vAlign w:val="bottom"/>
          </w:tcPr>
          <w:p>
            <w:pPr>
              <w:spacing w:after="0"/>
              <w:rPr>
                <w:sz w:val="1"/>
                <w:szCs w:val="1"/>
                <w:color w:val="auto"/>
              </w:rPr>
            </w:pPr>
          </w:p>
        </w:tc>
      </w:tr>
      <w:tr>
        <w:trPr>
          <w:trHeight w:val="21"/>
        </w:trPr>
        <w:tc>
          <w:tcPr>
            <w:tcW w:w="1900" w:type="dxa"/>
            <w:vAlign w:val="bottom"/>
            <w:shd w:val="clear" w:color="auto" w:fill="E5E5E5"/>
          </w:tcPr>
          <w:p>
            <w:pPr>
              <w:spacing w:after="0" w:line="20" w:lineRule="exact"/>
              <w:rPr>
                <w:sz w:val="1"/>
                <w:szCs w:val="1"/>
                <w:color w:val="auto"/>
              </w:rPr>
            </w:pPr>
          </w:p>
        </w:tc>
        <w:tc>
          <w:tcPr>
            <w:tcW w:w="9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900" w:type="dxa"/>
            <w:vAlign w:val="bottom"/>
            <w:shd w:val="clear" w:color="auto" w:fill="E5E5E5"/>
          </w:tcPr>
          <w:p>
            <w:pPr>
              <w:spacing w:after="0"/>
              <w:rPr>
                <w:sz w:val="22"/>
                <w:szCs w:val="22"/>
                <w:color w:val="auto"/>
              </w:rPr>
            </w:pPr>
          </w:p>
        </w:tc>
        <w:tc>
          <w:tcPr>
            <w:tcW w:w="9120" w:type="dxa"/>
            <w:vAlign w:val="bottom"/>
          </w:tcPr>
          <w:p>
            <w:pPr>
              <w:ind w:left="140"/>
              <w:spacing w:after="0"/>
              <w:rPr>
                <w:sz w:val="20"/>
                <w:szCs w:val="20"/>
                <w:color w:val="auto"/>
              </w:rPr>
            </w:pPr>
            <w:r>
              <w:rPr>
                <w:rFonts w:ascii="Arial" w:cs="Arial" w:eastAsia="Arial" w:hAnsi="Arial"/>
                <w:sz w:val="14"/>
                <w:szCs w:val="14"/>
                <w:color w:val="auto"/>
              </w:rPr>
              <w:t>Hired over 1,200 U.S. veterans in 2018</w:t>
            </w:r>
          </w:p>
        </w:tc>
        <w:tc>
          <w:tcPr>
            <w:tcW w:w="0" w:type="dxa"/>
            <w:vAlign w:val="bottom"/>
          </w:tcPr>
          <w:p>
            <w:pPr>
              <w:spacing w:after="0"/>
              <w:rPr>
                <w:sz w:val="1"/>
                <w:szCs w:val="1"/>
                <w:color w:val="auto"/>
              </w:rPr>
            </w:pPr>
          </w:p>
        </w:tc>
      </w:tr>
      <w:tr>
        <w:trPr>
          <w:trHeight w:val="268"/>
        </w:trPr>
        <w:tc>
          <w:tcPr>
            <w:tcW w:w="1900" w:type="dxa"/>
            <w:vAlign w:val="bottom"/>
            <w:shd w:val="clear" w:color="auto" w:fill="E5E5E5"/>
          </w:tcPr>
          <w:p>
            <w:pPr>
              <w:spacing w:after="0"/>
              <w:rPr>
                <w:sz w:val="23"/>
                <w:szCs w:val="23"/>
                <w:color w:val="auto"/>
              </w:rPr>
            </w:pPr>
          </w:p>
        </w:tc>
        <w:tc>
          <w:tcPr>
            <w:tcW w:w="9120" w:type="dxa"/>
            <w:vAlign w:val="bottom"/>
          </w:tcPr>
          <w:p>
            <w:pPr>
              <w:ind w:left="140"/>
              <w:spacing w:after="0"/>
              <w:rPr>
                <w:sz w:val="20"/>
                <w:szCs w:val="20"/>
                <w:color w:val="auto"/>
              </w:rPr>
            </w:pPr>
            <w:r>
              <w:rPr>
                <w:rFonts w:ascii="Arial" w:cs="Arial" w:eastAsia="Arial" w:hAnsi="Arial"/>
                <w:sz w:val="14"/>
                <w:szCs w:val="14"/>
                <w:color w:val="auto"/>
              </w:rPr>
              <w:t>Continued our acclimation and development initiatives to support veterans’ transitions and career success into the financial services</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004876"/>
            </w:tcBorders>
            <w:shd w:val="clear" w:color="auto" w:fill="E5E5E5"/>
          </w:tcPr>
          <w:p>
            <w:pPr>
              <w:spacing w:after="0"/>
              <w:rPr>
                <w:sz w:val="15"/>
                <w:szCs w:val="15"/>
                <w:color w:val="auto"/>
              </w:rPr>
            </w:pPr>
          </w:p>
        </w:tc>
        <w:tc>
          <w:tcPr>
            <w:tcW w:w="9120" w:type="dxa"/>
            <w:vAlign w:val="bottom"/>
            <w:tcBorders>
              <w:bottom w:val="single" w:sz="8" w:color="004876"/>
            </w:tcBorders>
          </w:tcPr>
          <w:p>
            <w:pPr>
              <w:ind w:left="400"/>
              <w:spacing w:after="0"/>
              <w:rPr>
                <w:sz w:val="20"/>
                <w:szCs w:val="20"/>
                <w:color w:val="auto"/>
              </w:rPr>
            </w:pPr>
            <w:r>
              <w:rPr>
                <w:rFonts w:ascii="Arial" w:cs="Arial" w:eastAsia="Arial" w:hAnsi="Arial"/>
                <w:sz w:val="14"/>
                <w:szCs w:val="14"/>
                <w:color w:val="auto"/>
              </w:rPr>
              <w:t>industry and appointed a new executive to lead the organization</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Tracking our progress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proud of the external recognition we received in 2018, some of which is listed below:</w:t>
      </w:r>
    </w:p>
    <w:p>
      <w:pPr>
        <w:spacing w:after="0" w:line="71" w:lineRule="exact"/>
        <w:rPr>
          <w:sz w:val="20"/>
          <w:szCs w:val="20"/>
          <w:color w:val="auto"/>
        </w:rPr>
      </w:pPr>
    </w:p>
    <w:p>
      <w:pPr>
        <w:ind w:left="440" w:right="560"/>
        <w:spacing w:after="0" w:line="246" w:lineRule="auto"/>
        <w:rPr>
          <w:sz w:val="20"/>
          <w:szCs w:val="20"/>
          <w:color w:val="auto"/>
        </w:rPr>
      </w:pPr>
      <w:r>
        <w:rPr>
          <w:rFonts w:ascii="Arial" w:cs="Arial" w:eastAsia="Arial" w:hAnsi="Arial"/>
          <w:sz w:val="18"/>
          <w:szCs w:val="18"/>
          <w:color w:val="auto"/>
        </w:rPr>
        <w:t>100% rating on the Corporate Equality Index (Human Rights Campaign) and a top score of 100% on the Disability Equality Index survey (Disability: IN and American Association of People with Disabilities)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 Best Companies for Diversity by Black Enterprise</w:t>
      </w:r>
    </w:p>
    <w:p>
      <w:pPr>
        <w:spacing w:after="0" w:line="130" w:lineRule="exact"/>
        <w:rPr>
          <w:sz w:val="20"/>
          <w:szCs w:val="20"/>
          <w:color w:val="auto"/>
        </w:rPr>
      </w:pPr>
    </w:p>
    <w:p>
      <w:pPr>
        <w:ind w:left="440" w:right="5360"/>
        <w:spacing w:after="0" w:line="391" w:lineRule="auto"/>
        <w:rPr>
          <w:sz w:val="20"/>
          <w:szCs w:val="20"/>
          <w:color w:val="auto"/>
        </w:rPr>
      </w:pPr>
      <w:r>
        <w:rPr>
          <w:rFonts w:ascii="Arial" w:cs="Arial" w:eastAsia="Arial" w:hAnsi="Arial"/>
          <w:sz w:val="18"/>
          <w:szCs w:val="18"/>
          <w:color w:val="auto"/>
        </w:rPr>
        <w:t>Top Company for Multicultural Women by Working Mother Magazine Best for Vets Employer by the Military Times</w:t>
      </w:r>
    </w:p>
    <w:p>
      <w:pPr>
        <w:ind w:left="200"/>
        <w:spacing w:after="0"/>
        <w:rPr>
          <w:sz w:val="20"/>
          <w:szCs w:val="20"/>
          <w:color w:val="auto"/>
        </w:rPr>
      </w:pPr>
      <w:r>
        <w:rPr>
          <w:rFonts w:ascii="Arial" w:cs="Arial" w:eastAsia="Arial" w:hAnsi="Arial"/>
          <w:sz w:val="18"/>
          <w:szCs w:val="18"/>
          <w:color w:val="auto"/>
        </w:rPr>
        <w:t>Best Practice for Promoting Asian Pacific American Women by the Asia Society</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47</w:t>
            </w:r>
          </w:p>
        </w:tc>
      </w:tr>
    </w:tbl>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Succession planning</w:t>
      </w:r>
    </w:p>
    <w:p>
      <w:pPr>
        <w:spacing w:after="0" w:line="18" w:lineRule="exact"/>
        <w:rPr>
          <w:sz w:val="20"/>
          <w:szCs w:val="20"/>
          <w:color w:val="auto"/>
        </w:rPr>
      </w:pPr>
    </w:p>
    <w:p>
      <w:pPr>
        <w:ind w:left="200" w:right="560"/>
        <w:spacing w:after="0" w:line="275" w:lineRule="auto"/>
        <w:rPr>
          <w:sz w:val="20"/>
          <w:szCs w:val="20"/>
          <w:color w:val="auto"/>
        </w:rPr>
      </w:pPr>
      <w:r>
        <w:rPr>
          <w:rFonts w:ascii="Arial" w:cs="Arial" w:eastAsia="Arial" w:hAnsi="Arial"/>
          <w:sz w:val="17"/>
          <w:szCs w:val="17"/>
          <w:color w:val="auto"/>
        </w:rPr>
        <w:t>Succession planning is a top priority for the Board and the Firm’s senior leadership, with the objective of having a pipeline of diverse leaders for the immediate- and long-term future. To achieve this objective, the Board and management take a proactive approach.</w:t>
      </w:r>
    </w:p>
    <w:p>
      <w:pPr>
        <w:spacing w:after="0" w:line="65"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The CMDC reviews the succession plan for the CEO followed by discussion with the non-executive directors led by the Lead Independent Director. The CMDC also reviews the succession plan for members of the Operating Committee other than the CEO, which is then discussed by the Board of Directors. These processes enable the Board to address both long-term planned occurrences, such as retirement or change in roles, as well as short-term unexpected events. Similar processes, led by the relevant management team, occur within each LOB and Corporate.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growth</w:t>
      </w:r>
    </w:p>
    <w:p>
      <w:pPr>
        <w:spacing w:after="0" w:line="18"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We are dedicated to a culture that enables leaders and their teams to grow and succeed throughout their careers while encouraging them to uphold a standard of excellence. To do so, we make substantial investments in tools and training programs to help employees build their knowledge, skills and experience, and to guide their career advancement.</w:t>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740" w:type="dxa"/>
            <w:vAlign w:val="bottom"/>
            <w:tcBorders>
              <w:top w:val="single" w:sz="8" w:color="004876"/>
            </w:tcBorders>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Leadership</w:t>
            </w:r>
          </w:p>
        </w:tc>
        <w:tc>
          <w:tcPr>
            <w:tcW w:w="9280" w:type="dxa"/>
            <w:vAlign w:val="bottom"/>
            <w:tcBorders>
              <w:top w:val="single" w:sz="8" w:color="004876"/>
            </w:tcBorders>
          </w:tcPr>
          <w:p>
            <w:pPr>
              <w:ind w:left="200"/>
              <w:spacing w:after="0"/>
              <w:rPr>
                <w:sz w:val="20"/>
                <w:szCs w:val="20"/>
                <w:color w:val="auto"/>
              </w:rPr>
            </w:pPr>
            <w:r>
              <w:rPr>
                <w:rFonts w:ascii="Arial" w:cs="Arial" w:eastAsia="Arial" w:hAnsi="Arial"/>
                <w:sz w:val="14"/>
                <w:szCs w:val="14"/>
                <w:color w:val="auto"/>
              </w:rPr>
              <w:t>Leadership Edge is a Firmwide program to enable leaders at all levels to grow and succeed through their careers, setting clear</w:t>
            </w:r>
          </w:p>
        </w:tc>
        <w:tc>
          <w:tcPr>
            <w:tcW w:w="0" w:type="dxa"/>
            <w:vAlign w:val="bottom"/>
          </w:tcPr>
          <w:p>
            <w:pPr>
              <w:spacing w:after="0"/>
              <w:rPr>
                <w:sz w:val="1"/>
                <w:szCs w:val="1"/>
                <w:color w:val="auto"/>
              </w:rPr>
            </w:pPr>
          </w:p>
        </w:tc>
      </w:tr>
      <w:tr>
        <w:trPr>
          <w:trHeight w:val="189"/>
        </w:trPr>
        <w:tc>
          <w:tcPr>
            <w:tcW w:w="1740" w:type="dxa"/>
            <w:vAlign w:val="bottom"/>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development</w:t>
            </w:r>
          </w:p>
        </w:tc>
        <w:tc>
          <w:tcPr>
            <w:tcW w:w="9280" w:type="dxa"/>
            <w:vAlign w:val="bottom"/>
            <w:vMerge w:val="restart"/>
          </w:tcPr>
          <w:p>
            <w:pPr>
              <w:ind w:left="500"/>
              <w:spacing w:after="0"/>
              <w:rPr>
                <w:sz w:val="20"/>
                <w:szCs w:val="20"/>
                <w:color w:val="auto"/>
              </w:rPr>
            </w:pPr>
            <w:r>
              <w:rPr>
                <w:rFonts w:ascii="Arial" w:cs="Arial" w:eastAsia="Arial" w:hAnsi="Arial"/>
                <w:sz w:val="14"/>
                <w:szCs w:val="14"/>
                <w:color w:val="auto"/>
              </w:rPr>
              <w:t>expectations and standards for people management and further embedding our business principles</w:t>
            </w:r>
          </w:p>
        </w:tc>
        <w:tc>
          <w:tcPr>
            <w:tcW w:w="0" w:type="dxa"/>
            <w:vAlign w:val="bottom"/>
          </w:tcPr>
          <w:p>
            <w:pPr>
              <w:spacing w:after="0"/>
              <w:rPr>
                <w:sz w:val="1"/>
                <w:szCs w:val="1"/>
                <w:color w:val="auto"/>
              </w:rPr>
            </w:pPr>
          </w:p>
        </w:tc>
      </w:tr>
      <w:tr>
        <w:trPr>
          <w:trHeight w:val="21"/>
        </w:trPr>
        <w:tc>
          <w:tcPr>
            <w:tcW w:w="1740" w:type="dxa"/>
            <w:vAlign w:val="bottom"/>
            <w:shd w:val="clear" w:color="auto" w:fill="E5E5E5"/>
          </w:tcPr>
          <w:p>
            <w:pPr>
              <w:spacing w:after="0" w:line="20" w:lineRule="exact"/>
              <w:rPr>
                <w:sz w:val="1"/>
                <w:szCs w:val="1"/>
                <w:color w:val="auto"/>
              </w:rPr>
            </w:pPr>
          </w:p>
        </w:tc>
        <w:tc>
          <w:tcPr>
            <w:tcW w:w="9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740" w:type="dxa"/>
            <w:vAlign w:val="bottom"/>
            <w:shd w:val="clear" w:color="auto" w:fill="E5E5E5"/>
          </w:tcPr>
          <w:p>
            <w:pPr>
              <w:spacing w:after="0"/>
              <w:rPr>
                <w:sz w:val="22"/>
                <w:szCs w:val="22"/>
                <w:color w:val="auto"/>
              </w:rPr>
            </w:pPr>
          </w:p>
        </w:tc>
        <w:tc>
          <w:tcPr>
            <w:tcW w:w="9280" w:type="dxa"/>
            <w:vAlign w:val="bottom"/>
          </w:tcPr>
          <w:p>
            <w:pPr>
              <w:ind w:left="200"/>
              <w:spacing w:after="0"/>
              <w:rPr>
                <w:sz w:val="20"/>
                <w:szCs w:val="20"/>
                <w:color w:val="auto"/>
              </w:rPr>
            </w:pPr>
            <w:r>
              <w:rPr>
                <w:rFonts w:ascii="Arial" w:cs="Arial" w:eastAsia="Arial" w:hAnsi="Arial"/>
                <w:sz w:val="14"/>
                <w:szCs w:val="14"/>
                <w:color w:val="auto"/>
              </w:rPr>
              <w:t>Most of our current managers have attended a Leadership Edge program since inception in May 2015</w:t>
            </w:r>
          </w:p>
        </w:tc>
        <w:tc>
          <w:tcPr>
            <w:tcW w:w="0" w:type="dxa"/>
            <w:vAlign w:val="bottom"/>
          </w:tcPr>
          <w:p>
            <w:pPr>
              <w:spacing w:after="0"/>
              <w:rPr>
                <w:sz w:val="1"/>
                <w:szCs w:val="1"/>
                <w:color w:val="auto"/>
              </w:rPr>
            </w:pPr>
          </w:p>
        </w:tc>
      </w:tr>
      <w:tr>
        <w:trPr>
          <w:trHeight w:val="287"/>
        </w:trPr>
        <w:tc>
          <w:tcPr>
            <w:tcW w:w="1740" w:type="dxa"/>
            <w:vAlign w:val="bottom"/>
            <w:tcBorders>
              <w:bottom w:val="single" w:sz="8" w:color="7F7F7F"/>
            </w:tcBorders>
            <w:shd w:val="clear" w:color="auto" w:fill="E5E5E5"/>
          </w:tcPr>
          <w:p>
            <w:pPr>
              <w:spacing w:after="0"/>
              <w:rPr>
                <w:sz w:val="24"/>
                <w:szCs w:val="24"/>
                <w:color w:val="auto"/>
              </w:rPr>
            </w:pPr>
          </w:p>
        </w:tc>
        <w:tc>
          <w:tcPr>
            <w:tcW w:w="9280" w:type="dxa"/>
            <w:vAlign w:val="bottom"/>
            <w:tcBorders>
              <w:bottom w:val="single" w:sz="8" w:color="7F7F7F"/>
            </w:tcBorders>
          </w:tcPr>
          <w:p>
            <w:pPr>
              <w:ind w:left="200"/>
              <w:spacing w:after="0"/>
              <w:rPr>
                <w:sz w:val="20"/>
                <w:szCs w:val="20"/>
                <w:color w:val="auto"/>
              </w:rPr>
            </w:pPr>
            <w:r>
              <w:rPr>
                <w:rFonts w:ascii="Arial" w:cs="Arial" w:eastAsia="Arial" w:hAnsi="Arial"/>
                <w:sz w:val="14"/>
                <w:szCs w:val="14"/>
                <w:color w:val="auto"/>
              </w:rPr>
              <w:t>Achieved global attendance of more than 22,500 across Leadership Edge programs in 2018, a record year for participation</w:t>
            </w:r>
          </w:p>
        </w:tc>
        <w:tc>
          <w:tcPr>
            <w:tcW w:w="0" w:type="dxa"/>
            <w:vAlign w:val="bottom"/>
          </w:tcPr>
          <w:p>
            <w:pPr>
              <w:spacing w:after="0"/>
              <w:rPr>
                <w:sz w:val="1"/>
                <w:szCs w:val="1"/>
                <w:color w:val="auto"/>
              </w:rPr>
            </w:pPr>
          </w:p>
        </w:tc>
      </w:tr>
      <w:tr>
        <w:trPr>
          <w:trHeight w:val="200"/>
        </w:trPr>
        <w:tc>
          <w:tcPr>
            <w:tcW w:w="1740" w:type="dxa"/>
            <w:vAlign w:val="bottom"/>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Employee</w:t>
            </w:r>
          </w:p>
        </w:tc>
        <w:tc>
          <w:tcPr>
            <w:tcW w:w="9280" w:type="dxa"/>
            <w:vAlign w:val="bottom"/>
          </w:tcPr>
          <w:p>
            <w:pPr>
              <w:ind w:left="200"/>
              <w:spacing w:after="0"/>
              <w:rPr>
                <w:sz w:val="20"/>
                <w:szCs w:val="20"/>
                <w:color w:val="auto"/>
              </w:rPr>
            </w:pPr>
            <w:r>
              <w:rPr>
                <w:rFonts w:ascii="Arial" w:cs="Arial" w:eastAsia="Arial" w:hAnsi="Arial"/>
                <w:sz w:val="14"/>
                <w:szCs w:val="14"/>
                <w:color w:val="auto"/>
              </w:rPr>
              <w:t>Our Learning agenda is designed to enable our employees to succeed in their careers while navigating the digital transformation</w:t>
            </w:r>
          </w:p>
        </w:tc>
        <w:tc>
          <w:tcPr>
            <w:tcW w:w="0" w:type="dxa"/>
            <w:vAlign w:val="bottom"/>
          </w:tcPr>
          <w:p>
            <w:pPr>
              <w:spacing w:after="0"/>
              <w:rPr>
                <w:sz w:val="1"/>
                <w:szCs w:val="1"/>
                <w:color w:val="auto"/>
              </w:rPr>
            </w:pPr>
          </w:p>
        </w:tc>
      </w:tr>
      <w:tr>
        <w:trPr>
          <w:trHeight w:val="189"/>
        </w:trPr>
        <w:tc>
          <w:tcPr>
            <w:tcW w:w="1740" w:type="dxa"/>
            <w:vAlign w:val="bottom"/>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learning</w:t>
            </w:r>
          </w:p>
        </w:tc>
        <w:tc>
          <w:tcPr>
            <w:tcW w:w="9280" w:type="dxa"/>
            <w:vAlign w:val="bottom"/>
            <w:vMerge w:val="restart"/>
          </w:tcPr>
          <w:p>
            <w:pPr>
              <w:ind w:left="500"/>
              <w:spacing w:after="0"/>
              <w:rPr>
                <w:sz w:val="20"/>
                <w:szCs w:val="20"/>
                <w:color w:val="auto"/>
              </w:rPr>
            </w:pPr>
            <w:r>
              <w:rPr>
                <w:rFonts w:ascii="Arial" w:cs="Arial" w:eastAsia="Arial" w:hAnsi="Arial"/>
                <w:sz w:val="14"/>
                <w:szCs w:val="14"/>
                <w:color w:val="auto"/>
              </w:rPr>
              <w:t>occurring in our economy</w:t>
            </w:r>
          </w:p>
        </w:tc>
        <w:tc>
          <w:tcPr>
            <w:tcW w:w="0" w:type="dxa"/>
            <w:vAlign w:val="bottom"/>
          </w:tcPr>
          <w:p>
            <w:pPr>
              <w:spacing w:after="0"/>
              <w:rPr>
                <w:sz w:val="1"/>
                <w:szCs w:val="1"/>
                <w:color w:val="auto"/>
              </w:rPr>
            </w:pPr>
          </w:p>
        </w:tc>
      </w:tr>
      <w:tr>
        <w:trPr>
          <w:trHeight w:val="21"/>
        </w:trPr>
        <w:tc>
          <w:tcPr>
            <w:tcW w:w="1740" w:type="dxa"/>
            <w:vAlign w:val="bottom"/>
            <w:shd w:val="clear" w:color="auto" w:fill="E5E5E5"/>
          </w:tcPr>
          <w:p>
            <w:pPr>
              <w:spacing w:after="0" w:line="20" w:lineRule="exact"/>
              <w:rPr>
                <w:sz w:val="1"/>
                <w:szCs w:val="1"/>
                <w:color w:val="auto"/>
              </w:rPr>
            </w:pPr>
          </w:p>
        </w:tc>
        <w:tc>
          <w:tcPr>
            <w:tcW w:w="9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740" w:type="dxa"/>
            <w:vAlign w:val="bottom"/>
            <w:shd w:val="clear" w:color="auto" w:fill="E5E5E5"/>
          </w:tcPr>
          <w:p>
            <w:pPr>
              <w:spacing w:after="0"/>
              <w:rPr>
                <w:sz w:val="22"/>
                <w:szCs w:val="22"/>
                <w:color w:val="auto"/>
              </w:rPr>
            </w:pPr>
          </w:p>
        </w:tc>
        <w:tc>
          <w:tcPr>
            <w:tcW w:w="9280" w:type="dxa"/>
            <w:vAlign w:val="bottom"/>
          </w:tcPr>
          <w:p>
            <w:pPr>
              <w:ind w:left="200"/>
              <w:spacing w:after="0"/>
              <w:rPr>
                <w:sz w:val="20"/>
                <w:szCs w:val="20"/>
                <w:color w:val="auto"/>
              </w:rPr>
            </w:pPr>
            <w:r>
              <w:rPr>
                <w:rFonts w:ascii="Arial" w:cs="Arial" w:eastAsia="Arial" w:hAnsi="Arial"/>
                <w:sz w:val="14"/>
                <w:szCs w:val="14"/>
                <w:color w:val="auto"/>
              </w:rPr>
              <w:t>Delivered nearly nine million hours of training in 2018 across our global organization</w:t>
            </w:r>
          </w:p>
        </w:tc>
        <w:tc>
          <w:tcPr>
            <w:tcW w:w="0" w:type="dxa"/>
            <w:vAlign w:val="bottom"/>
          </w:tcPr>
          <w:p>
            <w:pPr>
              <w:spacing w:after="0"/>
              <w:rPr>
                <w:sz w:val="1"/>
                <w:szCs w:val="1"/>
                <w:color w:val="auto"/>
              </w:rPr>
            </w:pPr>
          </w:p>
        </w:tc>
      </w:tr>
      <w:tr>
        <w:trPr>
          <w:trHeight w:val="268"/>
        </w:trPr>
        <w:tc>
          <w:tcPr>
            <w:tcW w:w="1740" w:type="dxa"/>
            <w:vAlign w:val="bottom"/>
            <w:shd w:val="clear" w:color="auto" w:fill="E5E5E5"/>
          </w:tcPr>
          <w:p>
            <w:pPr>
              <w:spacing w:after="0"/>
              <w:rPr>
                <w:sz w:val="23"/>
                <w:szCs w:val="23"/>
                <w:color w:val="auto"/>
              </w:rPr>
            </w:pPr>
          </w:p>
        </w:tc>
        <w:tc>
          <w:tcPr>
            <w:tcW w:w="9280" w:type="dxa"/>
            <w:vAlign w:val="bottom"/>
          </w:tcPr>
          <w:p>
            <w:pPr>
              <w:ind w:left="200"/>
              <w:spacing w:after="0"/>
              <w:rPr>
                <w:sz w:val="20"/>
                <w:szCs w:val="20"/>
                <w:color w:val="auto"/>
              </w:rPr>
            </w:pPr>
            <w:r>
              <w:rPr>
                <w:rFonts w:ascii="Arial" w:cs="Arial" w:eastAsia="Arial" w:hAnsi="Arial"/>
                <w:sz w:val="14"/>
                <w:szCs w:val="14"/>
                <w:color w:val="auto"/>
              </w:rPr>
              <w:t>Introduced training on emerging topics such as Agile, Robotic Process Automation and Machine Learning in an effort to further</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004876"/>
            </w:tcBorders>
            <w:shd w:val="clear" w:color="auto" w:fill="E5E5E5"/>
          </w:tcPr>
          <w:p>
            <w:pPr>
              <w:spacing w:after="0"/>
              <w:rPr>
                <w:sz w:val="15"/>
                <w:szCs w:val="15"/>
                <w:color w:val="auto"/>
              </w:rPr>
            </w:pPr>
          </w:p>
        </w:tc>
        <w:tc>
          <w:tcPr>
            <w:tcW w:w="9280" w:type="dxa"/>
            <w:vAlign w:val="bottom"/>
            <w:tcBorders>
              <w:bottom w:val="single" w:sz="8" w:color="004876"/>
            </w:tcBorders>
          </w:tcPr>
          <w:p>
            <w:pPr>
              <w:ind w:left="500"/>
              <w:spacing w:after="0"/>
              <w:rPr>
                <w:sz w:val="20"/>
                <w:szCs w:val="20"/>
                <w:color w:val="auto"/>
              </w:rPr>
            </w:pPr>
            <w:r>
              <w:rPr>
                <w:rFonts w:ascii="Arial" w:cs="Arial" w:eastAsia="Arial" w:hAnsi="Arial"/>
                <w:sz w:val="14"/>
                <w:szCs w:val="14"/>
                <w:color w:val="auto"/>
              </w:rPr>
              <w:t>accelerate digital fluency and client satisfaction</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rewards</w:t>
      </w:r>
    </w:p>
    <w:p>
      <w:pPr>
        <w:spacing w:after="0" w:line="18"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We are committed to providing compensation and benefits programs and policies that support the needs and lifestyles of our employees and their families. In 2018, we increased hourly wages for the second time in two years and lowered medical plan deductibles for many of our employees.</w:t>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40" w:type="dxa"/>
            <w:vAlign w:val="bottom"/>
            <w:tcBorders>
              <w:top w:val="single" w:sz="8" w:color="004876"/>
            </w:tcBorders>
            <w:shd w:val="clear" w:color="auto" w:fill="E5E5E5"/>
          </w:tcPr>
          <w:p>
            <w:pPr>
              <w:spacing w:after="0"/>
              <w:rPr>
                <w:sz w:val="18"/>
                <w:szCs w:val="18"/>
                <w:color w:val="auto"/>
              </w:rPr>
            </w:pPr>
          </w:p>
        </w:tc>
        <w:tc>
          <w:tcPr>
            <w:tcW w:w="240" w:type="dxa"/>
            <w:vAlign w:val="bottom"/>
            <w:tcBorders>
              <w:top w:val="single" w:sz="8" w:color="004876"/>
            </w:tcBorders>
            <w:shd w:val="clear" w:color="auto" w:fill="E5E5E5"/>
          </w:tcPr>
          <w:p>
            <w:pPr>
              <w:spacing w:after="0"/>
              <w:rPr>
                <w:sz w:val="18"/>
                <w:szCs w:val="18"/>
                <w:color w:val="auto"/>
              </w:rPr>
            </w:pPr>
          </w:p>
        </w:tc>
        <w:tc>
          <w:tcPr>
            <w:tcW w:w="1160" w:type="dxa"/>
            <w:vAlign w:val="bottom"/>
            <w:tcBorders>
              <w:top w:val="single" w:sz="8" w:color="004876"/>
            </w:tcBorders>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Health and</w:t>
            </w:r>
          </w:p>
        </w:tc>
        <w:tc>
          <w:tcPr>
            <w:tcW w:w="9280" w:type="dxa"/>
            <w:vAlign w:val="bottom"/>
            <w:tcBorders>
              <w:top w:val="single" w:sz="8" w:color="004876"/>
            </w:tcBorders>
          </w:tcPr>
          <w:p>
            <w:pPr>
              <w:ind w:left="200"/>
              <w:spacing w:after="0"/>
              <w:rPr>
                <w:sz w:val="20"/>
                <w:szCs w:val="20"/>
                <w:color w:val="auto"/>
              </w:rPr>
            </w:pPr>
            <w:r>
              <w:rPr>
                <w:rFonts w:ascii="Arial" w:cs="Arial" w:eastAsia="Arial" w:hAnsi="Arial"/>
                <w:sz w:val="14"/>
                <w:szCs w:val="14"/>
                <w:color w:val="auto"/>
              </w:rPr>
              <w:t>We offer a comprehensive benefits package including a medical plan that covers over 296,000 individuals including 138,000 employees,</w:t>
            </w:r>
          </w:p>
        </w:tc>
        <w:tc>
          <w:tcPr>
            <w:tcW w:w="0" w:type="dxa"/>
            <w:vAlign w:val="bottom"/>
          </w:tcPr>
          <w:p>
            <w:pPr>
              <w:spacing w:after="0"/>
              <w:rPr>
                <w:sz w:val="1"/>
                <w:szCs w:val="1"/>
                <w:color w:val="auto"/>
              </w:rPr>
            </w:pPr>
          </w:p>
        </w:tc>
      </w:tr>
      <w:tr>
        <w:trPr>
          <w:trHeight w:val="189"/>
        </w:trPr>
        <w:tc>
          <w:tcPr>
            <w:tcW w:w="3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wellness</w:t>
            </w:r>
          </w:p>
        </w:tc>
        <w:tc>
          <w:tcPr>
            <w:tcW w:w="9280" w:type="dxa"/>
            <w:vAlign w:val="bottom"/>
            <w:vMerge w:val="restart"/>
          </w:tcPr>
          <w:p>
            <w:pPr>
              <w:ind w:left="500"/>
              <w:spacing w:after="0"/>
              <w:rPr>
                <w:sz w:val="20"/>
                <w:szCs w:val="20"/>
                <w:color w:val="auto"/>
              </w:rPr>
            </w:pPr>
            <w:r>
              <w:rPr>
                <w:rFonts w:ascii="Arial" w:cs="Arial" w:eastAsia="Arial" w:hAnsi="Arial"/>
                <w:sz w:val="14"/>
                <w:szCs w:val="14"/>
                <w:color w:val="auto"/>
              </w:rPr>
              <w:t>106,000 children and 52,000 spouses</w:t>
            </w:r>
          </w:p>
        </w:tc>
        <w:tc>
          <w:tcPr>
            <w:tcW w:w="0" w:type="dxa"/>
            <w:vAlign w:val="bottom"/>
          </w:tcPr>
          <w:p>
            <w:pPr>
              <w:spacing w:after="0"/>
              <w:rPr>
                <w:sz w:val="1"/>
                <w:szCs w:val="1"/>
                <w:color w:val="auto"/>
              </w:rPr>
            </w:pPr>
          </w:p>
        </w:tc>
      </w:tr>
      <w:tr>
        <w:trPr>
          <w:trHeight w:val="21"/>
        </w:trPr>
        <w:tc>
          <w:tcPr>
            <w:tcW w:w="3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160" w:type="dxa"/>
            <w:vAlign w:val="bottom"/>
            <w:shd w:val="clear" w:color="auto" w:fill="E5E5E5"/>
          </w:tcPr>
          <w:p>
            <w:pPr>
              <w:spacing w:after="0" w:line="20" w:lineRule="exact"/>
              <w:rPr>
                <w:sz w:val="1"/>
                <w:szCs w:val="1"/>
                <w:color w:val="auto"/>
              </w:rPr>
            </w:pPr>
          </w:p>
        </w:tc>
        <w:tc>
          <w:tcPr>
            <w:tcW w:w="9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4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1160" w:type="dxa"/>
            <w:vAlign w:val="bottom"/>
            <w:shd w:val="clear" w:color="auto" w:fill="E5E5E5"/>
          </w:tcPr>
          <w:p>
            <w:pPr>
              <w:spacing w:after="0"/>
              <w:rPr>
                <w:sz w:val="24"/>
                <w:szCs w:val="24"/>
                <w:color w:val="auto"/>
              </w:rPr>
            </w:pPr>
          </w:p>
        </w:tc>
        <w:tc>
          <w:tcPr>
            <w:tcW w:w="9280" w:type="dxa"/>
            <w:vAlign w:val="bottom"/>
          </w:tcPr>
          <w:p>
            <w:pPr>
              <w:ind w:left="200"/>
              <w:spacing w:after="0"/>
              <w:rPr>
                <w:sz w:val="20"/>
                <w:szCs w:val="20"/>
                <w:color w:val="auto"/>
              </w:rPr>
            </w:pPr>
            <w:r>
              <w:rPr>
                <w:rFonts w:ascii="Arial" w:cs="Arial" w:eastAsia="Arial" w:hAnsi="Arial"/>
                <w:sz w:val="14"/>
                <w:szCs w:val="14"/>
                <w:color w:val="auto"/>
              </w:rPr>
              <w:t>Employee health and wellness resources include:</w:t>
            </w:r>
          </w:p>
        </w:tc>
        <w:tc>
          <w:tcPr>
            <w:tcW w:w="0" w:type="dxa"/>
            <w:vAlign w:val="bottom"/>
          </w:tcPr>
          <w:p>
            <w:pPr>
              <w:spacing w:after="0"/>
              <w:rPr>
                <w:sz w:val="1"/>
                <w:szCs w:val="1"/>
                <w:color w:val="auto"/>
              </w:rPr>
            </w:pPr>
          </w:p>
        </w:tc>
      </w:tr>
      <w:tr>
        <w:trPr>
          <w:trHeight w:val="198"/>
        </w:trPr>
        <w:tc>
          <w:tcPr>
            <w:tcW w:w="3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9280" w:type="dxa"/>
            <w:vAlign w:val="bottom"/>
          </w:tcPr>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Access to onsite health and wellness centers</w:t>
            </w:r>
          </w:p>
        </w:tc>
        <w:tc>
          <w:tcPr>
            <w:tcW w:w="0" w:type="dxa"/>
            <w:vAlign w:val="bottom"/>
          </w:tcPr>
          <w:p>
            <w:pPr>
              <w:spacing w:after="0"/>
              <w:rPr>
                <w:sz w:val="1"/>
                <w:szCs w:val="1"/>
                <w:color w:val="auto"/>
              </w:rPr>
            </w:pPr>
          </w:p>
        </w:tc>
      </w:tr>
      <w:tr>
        <w:trPr>
          <w:trHeight w:val="203"/>
        </w:trPr>
        <w:tc>
          <w:tcPr>
            <w:tcW w:w="3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9280" w:type="dxa"/>
            <w:vAlign w:val="bottom"/>
          </w:tcPr>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Health assessments and screenings</w:t>
            </w:r>
          </w:p>
        </w:tc>
        <w:tc>
          <w:tcPr>
            <w:tcW w:w="0" w:type="dxa"/>
            <w:vAlign w:val="bottom"/>
          </w:tcPr>
          <w:p>
            <w:pPr>
              <w:spacing w:after="0"/>
              <w:rPr>
                <w:sz w:val="1"/>
                <w:szCs w:val="1"/>
                <w:color w:val="auto"/>
              </w:rPr>
            </w:pPr>
          </w:p>
        </w:tc>
      </w:tr>
      <w:tr>
        <w:trPr>
          <w:trHeight w:val="181"/>
        </w:trPr>
        <w:tc>
          <w:tcPr>
            <w:tcW w:w="34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9280" w:type="dxa"/>
            <w:vAlign w:val="bottom"/>
          </w:tcPr>
          <w:p>
            <w:pPr>
              <w:ind w:left="46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Emotional well-being programs, including the employee assistance and work-life program</w:t>
            </w:r>
          </w:p>
        </w:tc>
        <w:tc>
          <w:tcPr>
            <w:tcW w:w="0" w:type="dxa"/>
            <w:vAlign w:val="bottom"/>
          </w:tcPr>
          <w:p>
            <w:pPr>
              <w:spacing w:after="0"/>
              <w:rPr>
                <w:sz w:val="1"/>
                <w:szCs w:val="1"/>
                <w:color w:val="auto"/>
              </w:rPr>
            </w:pPr>
          </w:p>
        </w:tc>
      </w:tr>
      <w:tr>
        <w:trPr>
          <w:trHeight w:val="257"/>
        </w:trPr>
        <w:tc>
          <w:tcPr>
            <w:tcW w:w="34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c>
          <w:tcPr>
            <w:tcW w:w="9280" w:type="dxa"/>
            <w:vAlign w:val="bottom"/>
          </w:tcPr>
          <w:p>
            <w:pPr>
              <w:ind w:left="200"/>
              <w:spacing w:after="0"/>
              <w:rPr>
                <w:sz w:val="20"/>
                <w:szCs w:val="20"/>
                <w:color w:val="auto"/>
              </w:rPr>
            </w:pPr>
            <w:r>
              <w:rPr>
                <w:rFonts w:ascii="Arial" w:cs="Arial" w:eastAsia="Arial" w:hAnsi="Arial"/>
                <w:sz w:val="14"/>
                <w:szCs w:val="14"/>
                <w:color w:val="auto"/>
              </w:rPr>
              <w:t>Introduced a global mental health awareness campaign called “This is Me” in 2018</w:t>
            </w:r>
          </w:p>
        </w:tc>
        <w:tc>
          <w:tcPr>
            <w:tcW w:w="0" w:type="dxa"/>
            <w:vAlign w:val="bottom"/>
          </w:tcPr>
          <w:p>
            <w:pPr>
              <w:spacing w:after="0"/>
              <w:rPr>
                <w:sz w:val="1"/>
                <w:szCs w:val="1"/>
                <w:color w:val="auto"/>
              </w:rPr>
            </w:pPr>
          </w:p>
        </w:tc>
      </w:tr>
      <w:tr>
        <w:trPr>
          <w:trHeight w:val="268"/>
        </w:trPr>
        <w:tc>
          <w:tcPr>
            <w:tcW w:w="340" w:type="dxa"/>
            <w:vAlign w:val="bottom"/>
            <w:shd w:val="clear" w:color="auto" w:fill="E5E5E5"/>
          </w:tcPr>
          <w:p>
            <w:pPr>
              <w:spacing w:after="0"/>
              <w:rPr>
                <w:sz w:val="23"/>
                <w:szCs w:val="23"/>
                <w:color w:val="auto"/>
              </w:rPr>
            </w:pPr>
          </w:p>
        </w:tc>
        <w:tc>
          <w:tcPr>
            <w:tcW w:w="24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c>
          <w:tcPr>
            <w:tcW w:w="9280" w:type="dxa"/>
            <w:vAlign w:val="bottom"/>
          </w:tcPr>
          <w:p>
            <w:pPr>
              <w:ind w:left="200"/>
              <w:spacing w:after="0"/>
              <w:rPr>
                <w:sz w:val="20"/>
                <w:szCs w:val="20"/>
                <w:color w:val="auto"/>
              </w:rPr>
            </w:pPr>
            <w:r>
              <w:rPr>
                <w:rFonts w:ascii="Arial" w:cs="Arial" w:eastAsia="Arial" w:hAnsi="Arial"/>
                <w:sz w:val="14"/>
                <w:szCs w:val="14"/>
                <w:color w:val="auto"/>
              </w:rPr>
              <w:t>Launched National Savings Week in 2018, an employee financial health campaign that has been expanded to a month-long campaign for</w:t>
            </w:r>
          </w:p>
        </w:tc>
        <w:tc>
          <w:tcPr>
            <w:tcW w:w="0" w:type="dxa"/>
            <w:vAlign w:val="bottom"/>
          </w:tcPr>
          <w:p>
            <w:pPr>
              <w:spacing w:after="0"/>
              <w:rPr>
                <w:sz w:val="1"/>
                <w:szCs w:val="1"/>
                <w:color w:val="auto"/>
              </w:rPr>
            </w:pPr>
          </w:p>
        </w:tc>
      </w:tr>
      <w:tr>
        <w:trPr>
          <w:trHeight w:val="178"/>
        </w:trPr>
        <w:tc>
          <w:tcPr>
            <w:tcW w:w="340" w:type="dxa"/>
            <w:vAlign w:val="bottom"/>
            <w:tcBorders>
              <w:bottom w:val="single" w:sz="8" w:color="7F7F7F"/>
            </w:tcBorders>
            <w:shd w:val="clear" w:color="auto" w:fill="E5E5E5"/>
          </w:tcPr>
          <w:p>
            <w:pPr>
              <w:spacing w:after="0"/>
              <w:rPr>
                <w:sz w:val="15"/>
                <w:szCs w:val="15"/>
                <w:color w:val="auto"/>
              </w:rPr>
            </w:pPr>
          </w:p>
        </w:tc>
        <w:tc>
          <w:tcPr>
            <w:tcW w:w="240" w:type="dxa"/>
            <w:vAlign w:val="bottom"/>
            <w:tcBorders>
              <w:bottom w:val="single" w:sz="8" w:color="7F7F7F"/>
            </w:tcBorders>
            <w:shd w:val="clear" w:color="auto" w:fill="E5E5E5"/>
          </w:tcPr>
          <w:p>
            <w:pPr>
              <w:spacing w:after="0"/>
              <w:rPr>
                <w:sz w:val="15"/>
                <w:szCs w:val="15"/>
                <w:color w:val="auto"/>
              </w:rPr>
            </w:pPr>
          </w:p>
        </w:tc>
        <w:tc>
          <w:tcPr>
            <w:tcW w:w="1160" w:type="dxa"/>
            <w:vAlign w:val="bottom"/>
            <w:tcBorders>
              <w:bottom w:val="single" w:sz="8" w:color="7F7F7F"/>
            </w:tcBorders>
            <w:shd w:val="clear" w:color="auto" w:fill="E5E5E5"/>
          </w:tcPr>
          <w:p>
            <w:pPr>
              <w:spacing w:after="0"/>
              <w:rPr>
                <w:sz w:val="15"/>
                <w:szCs w:val="15"/>
                <w:color w:val="auto"/>
              </w:rPr>
            </w:pPr>
          </w:p>
        </w:tc>
        <w:tc>
          <w:tcPr>
            <w:tcW w:w="9280" w:type="dxa"/>
            <w:vAlign w:val="bottom"/>
            <w:tcBorders>
              <w:bottom w:val="single" w:sz="8" w:color="7F7F7F"/>
            </w:tcBorders>
          </w:tcPr>
          <w:p>
            <w:pPr>
              <w:ind w:left="50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2"/>
        </w:trPr>
        <w:tc>
          <w:tcPr>
            <w:tcW w:w="3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Wages and</w:t>
            </w:r>
          </w:p>
        </w:tc>
        <w:tc>
          <w:tcPr>
            <w:tcW w:w="9280" w:type="dxa"/>
            <w:vAlign w:val="bottom"/>
          </w:tcPr>
          <w:p>
            <w:pPr>
              <w:ind w:left="200"/>
              <w:spacing w:after="0"/>
              <w:rPr>
                <w:sz w:val="20"/>
                <w:szCs w:val="20"/>
                <w:color w:val="auto"/>
              </w:rPr>
            </w:pPr>
            <w:r>
              <w:rPr>
                <w:rFonts w:ascii="Arial" w:cs="Arial" w:eastAsia="Arial" w:hAnsi="Arial"/>
                <w:sz w:val="14"/>
                <w:szCs w:val="14"/>
                <w:color w:val="auto"/>
              </w:rPr>
              <w:t>Effective February 25, 2018, we raised our minimum wage for U.S.-based overtime-eligible employees to $15-$18 per hour depending on</w:t>
            </w:r>
          </w:p>
        </w:tc>
        <w:tc>
          <w:tcPr>
            <w:tcW w:w="0" w:type="dxa"/>
            <w:vAlign w:val="bottom"/>
          </w:tcPr>
          <w:p>
            <w:pPr>
              <w:spacing w:after="0"/>
              <w:rPr>
                <w:sz w:val="1"/>
                <w:szCs w:val="1"/>
                <w:color w:val="auto"/>
              </w:rPr>
            </w:pPr>
          </w:p>
        </w:tc>
      </w:tr>
      <w:tr>
        <w:trPr>
          <w:trHeight w:val="189"/>
        </w:trPr>
        <w:tc>
          <w:tcPr>
            <w:tcW w:w="3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160" w:type="dxa"/>
            <w:vAlign w:val="bottom"/>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benefits</w:t>
            </w:r>
          </w:p>
        </w:tc>
        <w:tc>
          <w:tcPr>
            <w:tcW w:w="9280" w:type="dxa"/>
            <w:vAlign w:val="bottom"/>
            <w:vMerge w:val="restart"/>
          </w:tcPr>
          <w:p>
            <w:pPr>
              <w:ind w:left="500"/>
              <w:spacing w:after="0"/>
              <w:rPr>
                <w:sz w:val="20"/>
                <w:szCs w:val="20"/>
                <w:color w:val="auto"/>
              </w:rPr>
            </w:pPr>
            <w:r>
              <w:rPr>
                <w:rFonts w:ascii="Arial" w:cs="Arial" w:eastAsia="Arial" w:hAnsi="Arial"/>
                <w:sz w:val="14"/>
                <w:szCs w:val="14"/>
                <w:color w:val="auto"/>
              </w:rPr>
              <w:t>the local cost of living</w:t>
            </w:r>
          </w:p>
        </w:tc>
        <w:tc>
          <w:tcPr>
            <w:tcW w:w="0" w:type="dxa"/>
            <w:vAlign w:val="bottom"/>
          </w:tcPr>
          <w:p>
            <w:pPr>
              <w:spacing w:after="0"/>
              <w:rPr>
                <w:sz w:val="1"/>
                <w:szCs w:val="1"/>
                <w:color w:val="auto"/>
              </w:rPr>
            </w:pPr>
          </w:p>
        </w:tc>
      </w:tr>
      <w:tr>
        <w:trPr>
          <w:trHeight w:val="21"/>
        </w:trPr>
        <w:tc>
          <w:tcPr>
            <w:tcW w:w="3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160" w:type="dxa"/>
            <w:vAlign w:val="bottom"/>
            <w:shd w:val="clear" w:color="auto" w:fill="E5E5E5"/>
          </w:tcPr>
          <w:p>
            <w:pPr>
              <w:spacing w:after="0" w:line="20" w:lineRule="exact"/>
              <w:rPr>
                <w:sz w:val="1"/>
                <w:szCs w:val="1"/>
                <w:color w:val="auto"/>
              </w:rPr>
            </w:pPr>
          </w:p>
        </w:tc>
        <w:tc>
          <w:tcPr>
            <w:tcW w:w="9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c>
          <w:tcPr>
            <w:tcW w:w="9280" w:type="dxa"/>
            <w:vAlign w:val="bottom"/>
          </w:tcPr>
          <w:p>
            <w:pPr>
              <w:ind w:left="200"/>
              <w:spacing w:after="0"/>
              <w:rPr>
                <w:sz w:val="20"/>
                <w:szCs w:val="20"/>
                <w:color w:val="auto"/>
              </w:rPr>
            </w:pPr>
            <w:r>
              <w:rPr>
                <w:rFonts w:ascii="Arial" w:cs="Arial" w:eastAsia="Arial" w:hAnsi="Arial"/>
                <w:sz w:val="14"/>
                <w:szCs w:val="14"/>
                <w:color w:val="auto"/>
              </w:rPr>
              <w:t>The increases are in addition to the Firm’s full benefits package, which averages $12,000 for employees in this pay range</w:t>
            </w:r>
          </w:p>
        </w:tc>
        <w:tc>
          <w:tcPr>
            <w:tcW w:w="0" w:type="dxa"/>
            <w:vAlign w:val="bottom"/>
          </w:tcPr>
          <w:p>
            <w:pPr>
              <w:spacing w:after="0"/>
              <w:rPr>
                <w:sz w:val="1"/>
                <w:szCs w:val="1"/>
                <w:color w:val="auto"/>
              </w:rPr>
            </w:pPr>
          </w:p>
        </w:tc>
      </w:tr>
      <w:tr>
        <w:trPr>
          <w:trHeight w:val="257"/>
        </w:trPr>
        <w:tc>
          <w:tcPr>
            <w:tcW w:w="34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c>
          <w:tcPr>
            <w:tcW w:w="9280" w:type="dxa"/>
            <w:vAlign w:val="bottom"/>
          </w:tcPr>
          <w:p>
            <w:pPr>
              <w:ind w:left="200"/>
              <w:spacing w:after="0"/>
              <w:rPr>
                <w:sz w:val="20"/>
                <w:szCs w:val="20"/>
                <w:color w:val="auto"/>
              </w:rPr>
            </w:pPr>
            <w:r>
              <w:rPr>
                <w:rFonts w:ascii="Arial" w:cs="Arial" w:eastAsia="Arial" w:hAnsi="Arial"/>
                <w:sz w:val="14"/>
                <w:szCs w:val="14"/>
                <w:color w:val="auto"/>
              </w:rPr>
              <w:t>Reduced medical plan deductibles by $750 per year for employees making less than $60,000</w:t>
            </w:r>
          </w:p>
        </w:tc>
        <w:tc>
          <w:tcPr>
            <w:tcW w:w="0" w:type="dxa"/>
            <w:vAlign w:val="bottom"/>
          </w:tcPr>
          <w:p>
            <w:pPr>
              <w:spacing w:after="0"/>
              <w:rPr>
                <w:sz w:val="1"/>
                <w:szCs w:val="1"/>
                <w:color w:val="auto"/>
              </w:rPr>
            </w:pPr>
          </w:p>
        </w:tc>
      </w:tr>
      <w:tr>
        <w:trPr>
          <w:trHeight w:val="268"/>
        </w:trPr>
        <w:tc>
          <w:tcPr>
            <w:tcW w:w="340" w:type="dxa"/>
            <w:vAlign w:val="bottom"/>
            <w:shd w:val="clear" w:color="auto" w:fill="E5E5E5"/>
          </w:tcPr>
          <w:p>
            <w:pPr>
              <w:spacing w:after="0"/>
              <w:rPr>
                <w:sz w:val="23"/>
                <w:szCs w:val="23"/>
                <w:color w:val="auto"/>
              </w:rPr>
            </w:pPr>
          </w:p>
        </w:tc>
        <w:tc>
          <w:tcPr>
            <w:tcW w:w="24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c>
          <w:tcPr>
            <w:tcW w:w="9280" w:type="dxa"/>
            <w:vAlign w:val="bottom"/>
          </w:tcPr>
          <w:p>
            <w:pPr>
              <w:ind w:left="200"/>
              <w:spacing w:after="0"/>
              <w:rPr>
                <w:sz w:val="20"/>
                <w:szCs w:val="20"/>
                <w:color w:val="auto"/>
              </w:rPr>
            </w:pPr>
            <w:r>
              <w:rPr>
                <w:rFonts w:ascii="Arial" w:cs="Arial" w:eastAsia="Arial" w:hAnsi="Arial"/>
                <w:sz w:val="14"/>
                <w:szCs w:val="14"/>
                <w:color w:val="auto"/>
              </w:rPr>
              <w:t>Made a $750 special award to employees making less than $60,000 through 401(k) contributions in the U.S. and cash awards outside of</w:t>
            </w:r>
          </w:p>
        </w:tc>
        <w:tc>
          <w:tcPr>
            <w:tcW w:w="0" w:type="dxa"/>
            <w:vAlign w:val="bottom"/>
          </w:tcPr>
          <w:p>
            <w:pPr>
              <w:spacing w:after="0"/>
              <w:rPr>
                <w:sz w:val="1"/>
                <w:szCs w:val="1"/>
                <w:color w:val="auto"/>
              </w:rPr>
            </w:pPr>
          </w:p>
        </w:tc>
      </w:tr>
      <w:tr>
        <w:trPr>
          <w:trHeight w:val="151"/>
        </w:trPr>
        <w:tc>
          <w:tcPr>
            <w:tcW w:w="340" w:type="dxa"/>
            <w:vAlign w:val="bottom"/>
            <w:shd w:val="clear" w:color="auto" w:fill="E5E5E5"/>
          </w:tcPr>
          <w:p>
            <w:pPr>
              <w:spacing w:after="0"/>
              <w:rPr>
                <w:sz w:val="13"/>
                <w:szCs w:val="13"/>
                <w:color w:val="auto"/>
              </w:rPr>
            </w:pPr>
          </w:p>
        </w:tc>
        <w:tc>
          <w:tcPr>
            <w:tcW w:w="240" w:type="dxa"/>
            <w:vAlign w:val="bottom"/>
            <w:shd w:val="clear" w:color="auto" w:fill="E5E5E5"/>
          </w:tcPr>
          <w:p>
            <w:pPr>
              <w:spacing w:after="0"/>
              <w:rPr>
                <w:sz w:val="13"/>
                <w:szCs w:val="13"/>
                <w:color w:val="auto"/>
              </w:rPr>
            </w:pPr>
          </w:p>
        </w:tc>
        <w:tc>
          <w:tcPr>
            <w:tcW w:w="1160" w:type="dxa"/>
            <w:vAlign w:val="bottom"/>
            <w:shd w:val="clear" w:color="auto" w:fill="E5E5E5"/>
          </w:tcPr>
          <w:p>
            <w:pPr>
              <w:spacing w:after="0"/>
              <w:rPr>
                <w:sz w:val="13"/>
                <w:szCs w:val="13"/>
                <w:color w:val="auto"/>
              </w:rPr>
            </w:pPr>
          </w:p>
        </w:tc>
        <w:tc>
          <w:tcPr>
            <w:tcW w:w="9280" w:type="dxa"/>
            <w:vAlign w:val="bottom"/>
          </w:tcPr>
          <w:p>
            <w:pPr>
              <w:ind w:left="500"/>
              <w:spacing w:after="0" w:line="151" w:lineRule="exact"/>
              <w:rPr>
                <w:sz w:val="20"/>
                <w:szCs w:val="20"/>
                <w:color w:val="auto"/>
              </w:rPr>
            </w:pPr>
            <w:r>
              <w:rPr>
                <w:rFonts w:ascii="Arial" w:cs="Arial" w:eastAsia="Arial" w:hAnsi="Arial"/>
                <w:sz w:val="14"/>
                <w:szCs w:val="14"/>
                <w:color w:val="auto"/>
              </w:rPr>
              <w:t>the U.S.</w:t>
            </w:r>
          </w:p>
        </w:tc>
        <w:tc>
          <w:tcPr>
            <w:tcW w:w="0" w:type="dxa"/>
            <w:vAlign w:val="bottom"/>
          </w:tcPr>
          <w:p>
            <w:pPr>
              <w:spacing w:after="0"/>
              <w:rPr>
                <w:sz w:val="1"/>
                <w:szCs w:val="1"/>
                <w:color w:val="auto"/>
              </w:rPr>
            </w:pPr>
          </w:p>
        </w:tc>
      </w:tr>
      <w:tr>
        <w:trPr>
          <w:trHeight w:val="268"/>
        </w:trPr>
        <w:tc>
          <w:tcPr>
            <w:tcW w:w="340" w:type="dxa"/>
            <w:vAlign w:val="bottom"/>
            <w:shd w:val="clear" w:color="auto" w:fill="E5E5E5"/>
          </w:tcPr>
          <w:p>
            <w:pPr>
              <w:spacing w:after="0"/>
              <w:rPr>
                <w:sz w:val="23"/>
                <w:szCs w:val="23"/>
                <w:color w:val="auto"/>
              </w:rPr>
            </w:pPr>
          </w:p>
        </w:tc>
        <w:tc>
          <w:tcPr>
            <w:tcW w:w="24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c>
          <w:tcPr>
            <w:tcW w:w="9280" w:type="dxa"/>
            <w:vAlign w:val="bottom"/>
          </w:tcPr>
          <w:p>
            <w:pPr>
              <w:ind w:left="200"/>
              <w:spacing w:after="0"/>
              <w:rPr>
                <w:sz w:val="20"/>
                <w:szCs w:val="20"/>
                <w:color w:val="auto"/>
              </w:rPr>
            </w:pPr>
            <w:r>
              <w:rPr>
                <w:rFonts w:ascii="Arial" w:cs="Arial" w:eastAsia="Arial" w:hAnsi="Arial"/>
                <w:sz w:val="14"/>
                <w:szCs w:val="14"/>
                <w:color w:val="auto"/>
              </w:rPr>
              <w:t>Became a founding member of Haven, with Amazon and Berkshire Hathaway, a separate entity intended to find a path toward better</w:t>
            </w:r>
          </w:p>
        </w:tc>
        <w:tc>
          <w:tcPr>
            <w:tcW w:w="0" w:type="dxa"/>
            <w:vAlign w:val="bottom"/>
          </w:tcPr>
          <w:p>
            <w:pPr>
              <w:spacing w:after="0"/>
              <w:rPr>
                <w:sz w:val="1"/>
                <w:szCs w:val="1"/>
                <w:color w:val="auto"/>
              </w:rPr>
            </w:pPr>
          </w:p>
        </w:tc>
      </w:tr>
      <w:tr>
        <w:trPr>
          <w:trHeight w:val="178"/>
        </w:trPr>
        <w:tc>
          <w:tcPr>
            <w:tcW w:w="340" w:type="dxa"/>
            <w:vAlign w:val="bottom"/>
            <w:tcBorders>
              <w:bottom w:val="single" w:sz="8" w:color="004876"/>
            </w:tcBorders>
            <w:shd w:val="clear" w:color="auto" w:fill="E5E5E5"/>
          </w:tcPr>
          <w:p>
            <w:pPr>
              <w:spacing w:after="0"/>
              <w:rPr>
                <w:sz w:val="15"/>
                <w:szCs w:val="15"/>
                <w:color w:val="auto"/>
              </w:rPr>
            </w:pPr>
          </w:p>
        </w:tc>
        <w:tc>
          <w:tcPr>
            <w:tcW w:w="240" w:type="dxa"/>
            <w:vAlign w:val="bottom"/>
            <w:tcBorders>
              <w:bottom w:val="single" w:sz="8" w:color="004876"/>
            </w:tcBorders>
            <w:shd w:val="clear" w:color="auto" w:fill="E5E5E5"/>
          </w:tcPr>
          <w:p>
            <w:pPr>
              <w:spacing w:after="0"/>
              <w:rPr>
                <w:sz w:val="15"/>
                <w:szCs w:val="15"/>
                <w:color w:val="auto"/>
              </w:rPr>
            </w:pPr>
          </w:p>
        </w:tc>
        <w:tc>
          <w:tcPr>
            <w:tcW w:w="1160" w:type="dxa"/>
            <w:vAlign w:val="bottom"/>
            <w:tcBorders>
              <w:bottom w:val="single" w:sz="8" w:color="004876"/>
            </w:tcBorders>
            <w:shd w:val="clear" w:color="auto" w:fill="E5E5E5"/>
          </w:tcPr>
          <w:p>
            <w:pPr>
              <w:spacing w:after="0"/>
              <w:rPr>
                <w:sz w:val="15"/>
                <w:szCs w:val="15"/>
                <w:color w:val="auto"/>
              </w:rPr>
            </w:pPr>
          </w:p>
        </w:tc>
        <w:tc>
          <w:tcPr>
            <w:tcW w:w="9280" w:type="dxa"/>
            <w:vAlign w:val="bottom"/>
            <w:tcBorders>
              <w:bottom w:val="single" w:sz="8" w:color="004876"/>
            </w:tcBorders>
          </w:tcPr>
          <w:p>
            <w:pPr>
              <w:ind w:left="500"/>
              <w:spacing w:after="0"/>
              <w:rPr>
                <w:sz w:val="20"/>
                <w:szCs w:val="20"/>
                <w:color w:val="auto"/>
              </w:rPr>
            </w:pPr>
            <w:r>
              <w:rPr>
                <w:rFonts w:ascii="Arial" w:cs="Arial" w:eastAsia="Arial" w:hAnsi="Arial"/>
                <w:sz w:val="14"/>
                <w:szCs w:val="14"/>
                <w:color w:val="auto"/>
              </w:rPr>
              <w:t>outcomes, satisfaction and cost of healthcare for our employees</w:t>
            </w:r>
          </w:p>
        </w:tc>
        <w:tc>
          <w:tcPr>
            <w:tcW w:w="0" w:type="dxa"/>
            <w:vAlign w:val="bottom"/>
          </w:tcPr>
          <w:p>
            <w:pPr>
              <w:spacing w:after="0"/>
              <w:rPr>
                <w:sz w:val="1"/>
                <w:szCs w:val="1"/>
                <w:color w:val="auto"/>
              </w:rPr>
            </w:pPr>
          </w:p>
        </w:tc>
      </w:tr>
      <w:tr>
        <w:trPr>
          <w:trHeight w:val="283"/>
        </w:trPr>
        <w:tc>
          <w:tcPr>
            <w:tcW w:w="340" w:type="dxa"/>
            <w:vAlign w:val="bottom"/>
            <w:tcBorders>
              <w:bottom w:val="single" w:sz="8" w:color="004876"/>
            </w:tcBorders>
          </w:tcPr>
          <w:p>
            <w:pPr>
              <w:jc w:val="right"/>
              <w:ind w:right="77"/>
              <w:spacing w:after="0"/>
              <w:rPr>
                <w:sz w:val="20"/>
                <w:szCs w:val="20"/>
                <w:color w:val="auto"/>
              </w:rPr>
            </w:pPr>
            <w:r>
              <w:rPr>
                <w:rFonts w:ascii="Arial" w:cs="Arial" w:eastAsia="Arial" w:hAnsi="Arial"/>
                <w:sz w:val="13"/>
                <w:szCs w:val="13"/>
                <w:color w:val="auto"/>
              </w:rPr>
              <w:t>48</w:t>
            </w:r>
          </w:p>
        </w:tc>
        <w:tc>
          <w:tcPr>
            <w:tcW w:w="240" w:type="dxa"/>
            <w:vAlign w:val="bottom"/>
          </w:tcPr>
          <w:p>
            <w:pPr>
              <w:spacing w:after="0"/>
              <w:rPr>
                <w:sz w:val="24"/>
                <w:szCs w:val="24"/>
                <w:color w:val="auto"/>
              </w:rPr>
            </w:pPr>
          </w:p>
        </w:tc>
        <w:tc>
          <w:tcPr>
            <w:tcW w:w="1160" w:type="dxa"/>
            <w:vAlign w:val="bottom"/>
            <w:tcBorders>
              <w:bottom w:val="single" w:sz="8" w:color="004876"/>
            </w:tcBorders>
          </w:tcPr>
          <w:p>
            <w:pPr>
              <w:spacing w:after="0"/>
              <w:rPr>
                <w:sz w:val="24"/>
                <w:szCs w:val="24"/>
                <w:color w:val="auto"/>
              </w:rPr>
            </w:pPr>
          </w:p>
        </w:tc>
        <w:tc>
          <w:tcPr>
            <w:tcW w:w="9280" w:type="dxa"/>
            <w:vAlign w:val="bottom"/>
            <w:tcBorders>
              <w:bottom w:val="single" w:sz="8" w:color="004876"/>
            </w:tcBorders>
          </w:tcPr>
          <w:p>
            <w:pPr>
              <w:ind w:left="5920"/>
              <w:spacing w:after="0"/>
              <w:rPr>
                <w:sz w:val="20"/>
                <w:szCs w:val="20"/>
                <w:color w:val="auto"/>
              </w:rPr>
            </w:pPr>
            <w:r>
              <w:rPr>
                <w:rFonts w:ascii="Arial" w:cs="Arial" w:eastAsia="Arial" w:hAnsi="Arial"/>
                <w:sz w:val="13"/>
                <w:szCs w:val="13"/>
                <w:color w:val="auto"/>
              </w:rPr>
              <w:t>JPMORGAN CHASE &amp; CO. • 2019 PROXY STATEMENT</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EXECUTIVE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4876"/>
        </w:rPr>
        <w:t>2. Disciplined performance assessment to determine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179705</wp:posOffset>
            </wp:positionV>
            <wp:extent cx="6997700" cy="5746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7700" cy="574675"/>
                    </a:xfrm>
                    <a:prstGeom prst="rect">
                      <a:avLst/>
                    </a:prstGeom>
                    <a:noFill/>
                  </pic:spPr>
                </pic:pic>
              </a:graphicData>
            </a:graphic>
          </wp:anchor>
        </w:drawing>
      </w:r>
    </w:p>
    <w:p>
      <w:pPr>
        <w:spacing w:after="0" w:line="303" w:lineRule="exact"/>
        <w:rPr>
          <w:sz w:val="20"/>
          <w:szCs w:val="20"/>
          <w:color w:val="auto"/>
        </w:rPr>
      </w:pPr>
    </w:p>
    <w:p>
      <w:pPr>
        <w:jc w:val="center"/>
        <w:ind w:left="460" w:right="120"/>
        <w:spacing w:after="0" w:line="239" w:lineRule="auto"/>
        <w:rPr>
          <w:sz w:val="20"/>
          <w:szCs w:val="20"/>
          <w:color w:val="auto"/>
        </w:rPr>
      </w:pPr>
      <w:r>
        <w:rPr>
          <w:rFonts w:ascii="Arial" w:cs="Arial" w:eastAsia="Arial" w:hAnsi="Arial"/>
          <w:sz w:val="18"/>
          <w:szCs w:val="18"/>
          <w:color w:val="004876"/>
        </w:rPr>
        <w:t>The CMDC uses a balanced approach to determine annual compensation by assessing performance against four broad performance categories over a sustained period of time. A material portion of Operating Committee compensation is delivered in the form of at-risk PSUs, reinforcing accountability and alignment with shareholder interests by linking the ultimate payout to pre-established absolute and relative goals.</w:t>
      </w:r>
    </w:p>
    <w:p>
      <w:pPr>
        <w:sectPr>
          <w:pgSz w:w="11900" w:h="16838" w:orient="portrait"/>
          <w:cols w:equalWidth="0" w:num="1">
            <w:col w:w="11240"/>
          </w:cols>
          <w:pgMar w:left="240" w:top="459" w:right="419" w:bottom="1440" w:gutter="0" w:footer="0" w:header="0"/>
        </w:sect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Governance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3353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6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CMDC oversees our compensation programs on an ongoing basis throughout the year, which enables the programs to be proactive in addressing both current and emerging developments or challenges.</w:t>
      </w:r>
    </w:p>
    <w:p>
      <w:pPr>
        <w:spacing w:after="0" w:line="94"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The key oversight responsibilities of the CMDC pertaining to our compensation programs include:</w:t>
      </w:r>
    </w:p>
    <w:p>
      <w:pPr>
        <w:spacing w:after="0" w:line="56" w:lineRule="exact"/>
        <w:rPr>
          <w:sz w:val="20"/>
          <w:szCs w:val="20"/>
          <w:color w:val="auto"/>
        </w:rPr>
      </w:pPr>
    </w:p>
    <w:p>
      <w:pPr>
        <w:ind w:left="400" w:right="120"/>
        <w:spacing w:after="0" w:line="238" w:lineRule="auto"/>
        <w:rPr>
          <w:sz w:val="20"/>
          <w:szCs w:val="20"/>
          <w:color w:val="auto"/>
        </w:rPr>
      </w:pPr>
      <w:r>
        <w:rPr>
          <w:rFonts w:ascii="Arial" w:cs="Arial" w:eastAsia="Arial" w:hAnsi="Arial"/>
          <w:sz w:val="18"/>
          <w:szCs w:val="18"/>
          <w:color w:val="auto"/>
        </w:rPr>
        <w:t>Periodically reviewing and approving a statement of the Firm’s compensation philosophy, principles and practices, which guides how the Firm’s compensation plans and programs are designed for the Operating Committee, as well as all other employees at the Firm</w:t>
      </w:r>
    </w:p>
    <w:p>
      <w:pPr>
        <w:spacing w:after="0" w:line="108" w:lineRule="exact"/>
        <w:rPr>
          <w:sz w:val="20"/>
          <w:szCs w:val="20"/>
          <w:color w:val="auto"/>
        </w:rPr>
      </w:pPr>
    </w:p>
    <w:p>
      <w:pPr>
        <w:ind w:left="400"/>
        <w:spacing w:after="0" w:line="239" w:lineRule="auto"/>
        <w:rPr>
          <w:sz w:val="20"/>
          <w:szCs w:val="20"/>
          <w:color w:val="auto"/>
        </w:rPr>
      </w:pPr>
      <w:r>
        <w:rPr>
          <w:rFonts w:ascii="Arial" w:cs="Arial" w:eastAsia="Arial" w:hAnsi="Arial"/>
          <w:sz w:val="18"/>
          <w:szCs w:val="18"/>
          <w:color w:val="auto"/>
        </w:rPr>
        <w:t>Reviewing the Firm’s compensation practices and the relationship among risk, risk management and compensation (including safety and soundness and the avoidance of practices that could encourage excessive risk-taking)</w:t>
      </w:r>
    </w:p>
    <w:p>
      <w:pPr>
        <w:spacing w:after="0" w:line="107" w:lineRule="exact"/>
        <w:rPr>
          <w:sz w:val="20"/>
          <w:szCs w:val="20"/>
          <w:color w:val="auto"/>
        </w:rPr>
      </w:pPr>
    </w:p>
    <w:p>
      <w:pPr>
        <w:ind w:left="400" w:right="60"/>
        <w:spacing w:after="0" w:line="239" w:lineRule="auto"/>
        <w:rPr>
          <w:sz w:val="20"/>
          <w:szCs w:val="20"/>
          <w:color w:val="auto"/>
        </w:rPr>
      </w:pPr>
      <w:r>
        <w:rPr>
          <w:rFonts w:ascii="Arial" w:cs="Arial" w:eastAsia="Arial" w:hAnsi="Arial"/>
          <w:sz w:val="18"/>
          <w:szCs w:val="18"/>
          <w:color w:val="auto"/>
        </w:rPr>
        <w:t>Adopting pay practices and approving any necessary formulas, performance metrics or pool calculations in compliance with applicable U.S. and global regulatory, statutory or governance requirements</w:t>
      </w:r>
    </w:p>
    <w:p>
      <w:pPr>
        <w:spacing w:after="0" w:line="107" w:lineRule="exact"/>
        <w:rPr>
          <w:sz w:val="20"/>
          <w:szCs w:val="20"/>
          <w:color w:val="auto"/>
        </w:rPr>
      </w:pPr>
    </w:p>
    <w:p>
      <w:pPr>
        <w:ind w:left="400" w:right="60"/>
        <w:spacing w:after="0" w:line="246" w:lineRule="auto"/>
        <w:rPr>
          <w:sz w:val="20"/>
          <w:szCs w:val="20"/>
          <w:color w:val="auto"/>
        </w:rPr>
      </w:pPr>
      <w:r>
        <w:rPr>
          <w:rFonts w:ascii="Arial" w:cs="Arial" w:eastAsia="Arial" w:hAnsi="Arial"/>
          <w:sz w:val="18"/>
          <w:szCs w:val="18"/>
          <w:color w:val="auto"/>
        </w:rPr>
        <w:t>Reviewing and approving overall incentive compensation pools (including equity/cash mix)</w:t>
      </w:r>
    </w:p>
    <w:p>
      <w:pPr>
        <w:spacing w:after="0" w:line="102" w:lineRule="exact"/>
        <w:rPr>
          <w:sz w:val="20"/>
          <w:szCs w:val="20"/>
          <w:color w:val="auto"/>
        </w:rPr>
      </w:pPr>
    </w:p>
    <w:p>
      <w:pPr>
        <w:ind w:left="400" w:right="220"/>
        <w:spacing w:after="0" w:line="246" w:lineRule="auto"/>
        <w:rPr>
          <w:sz w:val="20"/>
          <w:szCs w:val="20"/>
          <w:color w:val="auto"/>
        </w:rPr>
      </w:pPr>
      <w:r>
        <w:rPr>
          <w:rFonts w:ascii="Arial" w:cs="Arial" w:eastAsia="Arial" w:hAnsi="Arial"/>
          <w:sz w:val="18"/>
          <w:szCs w:val="18"/>
          <w:color w:val="auto"/>
        </w:rPr>
        <w:t>Reviewing the business-aligned incentive compensation plan governance, design and evaluation framework</w:t>
      </w:r>
    </w:p>
    <w:p>
      <w:pPr>
        <w:spacing w:after="0" w:line="102" w:lineRule="exact"/>
        <w:rPr>
          <w:sz w:val="20"/>
          <w:szCs w:val="20"/>
          <w:color w:val="auto"/>
        </w:rPr>
      </w:pPr>
    </w:p>
    <w:p>
      <w:pPr>
        <w:ind w:left="400" w:right="100"/>
        <w:spacing w:after="0" w:line="239" w:lineRule="auto"/>
        <w:rPr>
          <w:sz w:val="20"/>
          <w:szCs w:val="20"/>
          <w:color w:val="auto"/>
        </w:rPr>
      </w:pPr>
      <w:r>
        <w:rPr>
          <w:rFonts w:ascii="Arial" w:cs="Arial" w:eastAsia="Arial" w:hAnsi="Arial"/>
          <w:sz w:val="18"/>
          <w:szCs w:val="18"/>
          <w:color w:val="auto"/>
        </w:rPr>
        <w:t>Reviewing and approving compensation for our Operating Committee and, for the CEO, making a compensation recommendation to the Board for consideration and ratification by the independent directors</w:t>
      </w:r>
    </w:p>
    <w:p>
      <w:pPr>
        <w:spacing w:after="0" w:line="107" w:lineRule="exact"/>
        <w:rPr>
          <w:sz w:val="20"/>
          <w:szCs w:val="20"/>
          <w:color w:val="auto"/>
        </w:rPr>
      </w:pPr>
    </w:p>
    <w:p>
      <w:pPr>
        <w:ind w:left="400" w:right="120"/>
        <w:spacing w:after="0" w:line="238" w:lineRule="auto"/>
        <w:rPr>
          <w:sz w:val="20"/>
          <w:szCs w:val="20"/>
          <w:color w:val="auto"/>
        </w:rPr>
      </w:pPr>
      <w:r>
        <w:rPr>
          <w:rFonts w:ascii="Arial" w:cs="Arial" w:eastAsia="Arial" w:hAnsi="Arial"/>
          <w:sz w:val="18"/>
          <w:szCs w:val="18"/>
          <w:color w:val="auto"/>
        </w:rPr>
        <w:t>Reviewing compensation for employees who are material risk-takers identified under Federal Reserve standards (“Tier 1 employees”) and/or European Union standards (“Identified Staff”) — a group we collectively refer to as “Designated Employees”</w:t>
      </w:r>
    </w:p>
    <w:p>
      <w:pPr>
        <w:spacing w:after="0" w:line="108" w:lineRule="exact"/>
        <w:rPr>
          <w:sz w:val="20"/>
          <w:szCs w:val="20"/>
          <w:color w:val="auto"/>
        </w:rPr>
      </w:pPr>
    </w:p>
    <w:p>
      <w:pPr>
        <w:ind w:left="400" w:right="200"/>
        <w:spacing w:after="0" w:line="246" w:lineRule="auto"/>
        <w:rPr>
          <w:sz w:val="20"/>
          <w:szCs w:val="20"/>
          <w:color w:val="auto"/>
        </w:rPr>
      </w:pPr>
      <w:r>
        <w:rPr>
          <w:rFonts w:ascii="Arial" w:cs="Arial" w:eastAsia="Arial" w:hAnsi="Arial"/>
          <w:sz w:val="18"/>
          <w:szCs w:val="18"/>
          <w:color w:val="auto"/>
        </w:rPr>
        <w:t>Reviewing and approving the terms of compensation awards, including recovery/clawback provisions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CMDC continues to retain the discretion to make awards and pay amounts that may not qualify as tax deductible.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876"/>
        </w:rPr>
        <w:t>Pay-for-performance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34220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CMDC uses a disciplined pay-for-performance framework to make decisions about the compensation of our Operating Committee members, so that their compensation is commensurate with the performance of the Firm as a whole, as well as that of their LOB or Corporate, and their individual performance. The framework also considers other relevant factors, including market practices.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004876"/>
        </w:rPr>
        <w:t>Performance assessment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342201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6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determining Operating Committee members’ compensation, the CMDC uses a balanced discretionary approach to assess performance against four broad categories:</w:t>
      </w:r>
    </w:p>
    <w:p>
      <w:pPr>
        <w:spacing w:after="0" w:line="10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Business Results</w:t>
      </w:r>
    </w:p>
    <w:p>
      <w:pPr>
        <w:spacing w:after="0" w:line="117" w:lineRule="exact"/>
        <w:rPr>
          <w:sz w:val="20"/>
          <w:szCs w:val="20"/>
          <w:color w:val="auto"/>
        </w:rPr>
      </w:pPr>
    </w:p>
    <w:p>
      <w:pPr>
        <w:ind w:left="280" w:right="100" w:hanging="271"/>
        <w:spacing w:after="0" w:line="246" w:lineRule="auto"/>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Risk, Controls &amp; Conduct, including feedback received from the Firm’s risk and control professionals</w:t>
      </w:r>
    </w:p>
    <w:p>
      <w:pPr>
        <w:spacing w:after="0" w:line="102" w:lineRule="exact"/>
        <w:rPr>
          <w:sz w:val="20"/>
          <w:szCs w:val="20"/>
          <w:color w:val="auto"/>
        </w:rPr>
      </w:pPr>
    </w:p>
    <w:p>
      <w:pPr>
        <w:ind w:left="280" w:right="140" w:hanging="271"/>
        <w:spacing w:after="0" w:line="246" w:lineRule="auto"/>
        <w:tabs>
          <w:tab w:leader="none" w:pos="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Client/Customer/Stakeholder Focus, including our engagement in communities</w:t>
      </w:r>
    </w:p>
    <w:p>
      <w:pPr>
        <w:spacing w:after="0" w:line="102" w:lineRule="exact"/>
        <w:rPr>
          <w:sz w:val="20"/>
          <w:szCs w:val="20"/>
          <w:color w:val="auto"/>
        </w:rPr>
      </w:pPr>
    </w:p>
    <w:p>
      <w:pPr>
        <w:ind w:left="280" w:right="180" w:hanging="260"/>
        <w:spacing w:after="0" w:line="275" w:lineRule="auto"/>
        <w:rPr>
          <w:sz w:val="20"/>
          <w:szCs w:val="20"/>
          <w:color w:val="auto"/>
        </w:rPr>
      </w:pPr>
      <w:r>
        <w:rPr>
          <w:rFonts w:ascii="Arial" w:cs="Arial" w:eastAsia="Arial" w:hAnsi="Arial"/>
          <w:sz w:val="17"/>
          <w:szCs w:val="17"/>
          <w:color w:val="auto"/>
        </w:rPr>
        <w:t>IV. Teamwork &amp; Leadership, including creating a diverse and inclusive environment that encourages employees to speak up</w:t>
      </w:r>
    </w:p>
    <w:p>
      <w:pPr>
        <w:spacing w:after="0" w:line="65"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These performance categories consider short-, medium- and long-term goals that drive sustained shareholder value, while accounting for risk, controls and conduct objectives.</w:t>
      </w:r>
    </w:p>
    <w:p>
      <w:pPr>
        <w:spacing w:after="0" w:line="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To promote a proper pay-for-performance alignment, the CMDC does not assign relative weightings to the above categories. The performance of our NEOs against these categories is discussed in greater detail on pages 57-60 of this proxy statement.</w:t>
      </w:r>
    </w:p>
    <w:p>
      <w:pPr>
        <w:spacing w:after="0" w:line="1441"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49</w:t>
            </w:r>
          </w:p>
        </w:tc>
      </w:tr>
    </w:tbl>
    <w:p>
      <w:pPr>
        <w:sectPr>
          <w:pgSz w:w="11900" w:h="16838" w:orient="portrait"/>
          <w:cols w:equalWidth="0" w:num="1">
            <w:col w:w="11240"/>
          </w:cols>
          <w:pgMar w:left="240" w:top="459" w:right="4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4876"/>
        </w:rPr>
        <w:t>Performance 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3353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63"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We believe our balanced approach in assessing Firm, LOB, Corporate, and individual performance enables the CMDC and the Board to make informed compensation decisions regarding our Operating Committee members.</w:t>
      </w:r>
    </w:p>
    <w:p>
      <w:pPr>
        <w:spacing w:after="0" w:line="94" w:lineRule="exact"/>
        <w:rPr>
          <w:sz w:val="20"/>
          <w:szCs w:val="20"/>
          <w:color w:val="auto"/>
        </w:rPr>
      </w:pPr>
    </w:p>
    <w:p>
      <w:pPr>
        <w:ind w:left="220" w:right="580"/>
        <w:spacing w:after="0" w:line="246" w:lineRule="auto"/>
        <w:rPr>
          <w:sz w:val="20"/>
          <w:szCs w:val="20"/>
          <w:color w:val="auto"/>
        </w:rPr>
      </w:pPr>
      <w:r>
        <w:rPr>
          <w:rFonts w:ascii="Arial" w:cs="Arial" w:eastAsia="Arial" w:hAnsi="Arial"/>
          <w:sz w:val="18"/>
          <w:szCs w:val="18"/>
          <w:color w:val="auto"/>
        </w:rPr>
        <w:t>Our performance review process includes the following key features:</w:t>
      </w:r>
    </w:p>
    <w:p>
      <w:pPr>
        <w:spacing w:after="0" w:line="56" w:lineRule="exact"/>
        <w:rPr>
          <w:sz w:val="20"/>
          <w:szCs w:val="20"/>
          <w:color w:val="auto"/>
        </w:rPr>
      </w:pPr>
    </w:p>
    <w:p>
      <w:pPr>
        <w:ind w:left="400" w:right="420"/>
        <w:spacing w:after="0" w:line="246" w:lineRule="auto"/>
        <w:rPr>
          <w:sz w:val="20"/>
          <w:szCs w:val="20"/>
          <w:color w:val="auto"/>
        </w:rPr>
      </w:pPr>
      <w:r>
        <w:rPr>
          <w:rFonts w:ascii="Arial" w:cs="Arial" w:eastAsia="Arial" w:hAnsi="Arial"/>
          <w:sz w:val="18"/>
          <w:szCs w:val="18"/>
          <w:color w:val="auto"/>
        </w:rPr>
        <w:t>The Board reviews Firm, LOB, and Corporate strategy and business plans</w:t>
      </w:r>
    </w:p>
    <w:p>
      <w:pPr>
        <w:spacing w:after="0" w:line="102" w:lineRule="exact"/>
        <w:rPr>
          <w:sz w:val="20"/>
          <w:szCs w:val="20"/>
          <w:color w:val="auto"/>
        </w:rPr>
      </w:pPr>
    </w:p>
    <w:p>
      <w:pPr>
        <w:ind w:left="400" w:right="680"/>
        <w:spacing w:after="0" w:line="275" w:lineRule="auto"/>
        <w:rPr>
          <w:sz w:val="20"/>
          <w:szCs w:val="20"/>
          <w:color w:val="auto"/>
        </w:rPr>
      </w:pPr>
      <w:r>
        <w:rPr>
          <w:rFonts w:ascii="Arial" w:cs="Arial" w:eastAsia="Arial" w:hAnsi="Arial"/>
          <w:sz w:val="17"/>
          <w:szCs w:val="17"/>
          <w:color w:val="auto"/>
        </w:rPr>
        <w:t>Operating Committee members establish individual performance priorities, which are shared with the Board</w:t>
      </w:r>
    </w:p>
    <w:p>
      <w:pPr>
        <w:spacing w:after="0" w:line="78" w:lineRule="exact"/>
        <w:rPr>
          <w:sz w:val="20"/>
          <w:szCs w:val="20"/>
          <w:color w:val="auto"/>
        </w:rPr>
      </w:pPr>
    </w:p>
    <w:p>
      <w:pPr>
        <w:ind w:left="400" w:right="20"/>
        <w:spacing w:after="0" w:line="238" w:lineRule="auto"/>
        <w:rPr>
          <w:sz w:val="20"/>
          <w:szCs w:val="20"/>
          <w:color w:val="auto"/>
        </w:rPr>
      </w:pPr>
      <w:r>
        <w:rPr>
          <w:rFonts w:ascii="Arial" w:cs="Arial" w:eastAsia="Arial" w:hAnsi="Arial"/>
          <w:sz w:val="18"/>
          <w:szCs w:val="18"/>
          <w:color w:val="auto"/>
        </w:rPr>
        <w:t>Throughout the year, the Board and CMDC review Firm, LOB, Corporate, and individual Operating Committee members’ performance, including engaging in regular discussions with the CEO and the Head of Human Resources about individual Operating Committee members’ performance, as appropriate</w:t>
      </w:r>
    </w:p>
    <w:p>
      <w:pPr>
        <w:spacing w:after="0" w:line="108" w:lineRule="exact"/>
        <w:rPr>
          <w:sz w:val="20"/>
          <w:szCs w:val="20"/>
          <w:color w:val="auto"/>
        </w:rPr>
      </w:pPr>
    </w:p>
    <w:p>
      <w:pPr>
        <w:ind w:left="400" w:right="320"/>
        <w:spacing w:after="0" w:line="246" w:lineRule="auto"/>
        <w:rPr>
          <w:sz w:val="20"/>
          <w:szCs w:val="20"/>
          <w:color w:val="auto"/>
        </w:rPr>
      </w:pPr>
      <w:r>
        <w:rPr>
          <w:rFonts w:ascii="Arial" w:cs="Arial" w:eastAsia="Arial" w:hAnsi="Arial"/>
          <w:sz w:val="18"/>
          <w:szCs w:val="18"/>
          <w:color w:val="auto"/>
        </w:rPr>
        <w:t>At year end, Operating Committee members’ individual self-assessments are shared with the Board</w:t>
      </w:r>
    </w:p>
    <w:p>
      <w:pPr>
        <w:spacing w:after="0" w:line="102" w:lineRule="exact"/>
        <w:rPr>
          <w:sz w:val="20"/>
          <w:szCs w:val="20"/>
          <w:color w:val="auto"/>
        </w:rPr>
      </w:pPr>
    </w:p>
    <w:p>
      <w:pPr>
        <w:ind w:left="400" w:right="1020"/>
        <w:spacing w:after="0" w:line="246" w:lineRule="auto"/>
        <w:rPr>
          <w:sz w:val="20"/>
          <w:szCs w:val="20"/>
          <w:color w:val="auto"/>
        </w:rPr>
      </w:pPr>
      <w:r>
        <w:rPr>
          <w:rFonts w:ascii="Arial" w:cs="Arial" w:eastAsia="Arial" w:hAnsi="Arial"/>
          <w:sz w:val="18"/>
          <w:szCs w:val="18"/>
          <w:color w:val="auto"/>
        </w:rPr>
        <w:t>Feedback is provided by the Firm’s risk and control professionals</w:t>
      </w:r>
    </w:p>
    <w:p>
      <w:pPr>
        <w:spacing w:after="0" w:line="102" w:lineRule="exact"/>
        <w:rPr>
          <w:sz w:val="20"/>
          <w:szCs w:val="20"/>
          <w:color w:val="auto"/>
        </w:rPr>
      </w:pPr>
    </w:p>
    <w:p>
      <w:pPr>
        <w:ind w:left="400" w:right="60"/>
        <w:spacing w:after="0" w:line="237" w:lineRule="auto"/>
        <w:rPr>
          <w:sz w:val="20"/>
          <w:szCs w:val="20"/>
          <w:color w:val="auto"/>
        </w:rPr>
      </w:pPr>
      <w:r>
        <w:rPr>
          <w:rFonts w:ascii="Arial" w:cs="Arial" w:eastAsia="Arial" w:hAnsi="Arial"/>
          <w:sz w:val="18"/>
          <w:szCs w:val="18"/>
          <w:color w:val="auto"/>
        </w:rPr>
        <w:t>HR Control Forums are conducted in LOBs, Corporate, and Regions on a quarterly basis, during which the accountability of individuals involved in matters that create actual or potential material risk and control concerns is discussed and reviewed. The outcomes of HR Control Forums may result in compensation impacts, negative performance ratings, or other appropriate employment actions or decisions</w:t>
      </w:r>
    </w:p>
    <w:p>
      <w:pPr>
        <w:spacing w:after="0" w:line="141" w:lineRule="exact"/>
        <w:rPr>
          <w:sz w:val="20"/>
          <w:szCs w:val="20"/>
          <w:color w:val="auto"/>
        </w:rPr>
      </w:pPr>
    </w:p>
    <w:p>
      <w:pPr>
        <w:ind w:left="220" w:right="160"/>
        <w:spacing w:after="0" w:line="239" w:lineRule="auto"/>
        <w:rPr>
          <w:sz w:val="20"/>
          <w:szCs w:val="20"/>
          <w:color w:val="auto"/>
        </w:rPr>
      </w:pPr>
      <w:r>
        <w:rPr>
          <w:rFonts w:ascii="Arial" w:cs="Arial" w:eastAsia="Arial" w:hAnsi="Arial"/>
          <w:sz w:val="18"/>
          <w:szCs w:val="18"/>
          <w:color w:val="auto"/>
        </w:rPr>
        <w:t>The CMDC believes that this proactive performance review process (rather than determining pay levels during a single year-end process) results in pay decisions that are more aligned with long-term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4876"/>
        </w:rPr>
        <w:t>Evaluating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-1071245</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wp:posOffset>
            </wp:positionV>
            <wp:extent cx="34220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In order to effectively attract, properly motivate and retain our senior executives, the CMDC periodically reviews market data relating to both pay levels and pay practices.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evaluating market practices and pay levels for Operating Committee members, the CMDC uses market data from our primary financial services peer group which consists of large financial services companies with which the Firm directly competes for both talent and business. The following companies comprise our primary financial services peer group, which remains unchanged from last year:</w:t>
      </w:r>
    </w:p>
    <w:p>
      <w:pPr>
        <w:spacing w:after="0" w:line="63" w:lineRule="exact"/>
        <w:rPr>
          <w:sz w:val="20"/>
          <w:szCs w:val="20"/>
          <w:color w:val="auto"/>
        </w:rPr>
      </w:pPr>
    </w:p>
    <w:p>
      <w:pPr>
        <w:ind w:left="200" w:right="3740"/>
        <w:spacing w:after="0" w:line="391" w:lineRule="auto"/>
        <w:rPr>
          <w:sz w:val="20"/>
          <w:szCs w:val="20"/>
          <w:color w:val="auto"/>
        </w:rPr>
      </w:pPr>
      <w:r>
        <w:rPr>
          <w:rFonts w:ascii="Arial" w:cs="Arial" w:eastAsia="Arial" w:hAnsi="Arial"/>
          <w:sz w:val="18"/>
          <w:szCs w:val="18"/>
          <w:color w:val="auto"/>
        </w:rPr>
        <w:t>American Express Bank of America Citigroup</w:t>
      </w:r>
    </w:p>
    <w:p>
      <w:pPr>
        <w:spacing w:after="0" w:line="1" w:lineRule="exact"/>
        <w:rPr>
          <w:sz w:val="20"/>
          <w:szCs w:val="20"/>
          <w:color w:val="auto"/>
        </w:rPr>
      </w:pPr>
    </w:p>
    <w:p>
      <w:pPr>
        <w:jc w:val="both"/>
        <w:ind w:left="200" w:right="3920"/>
        <w:spacing w:after="0" w:line="427" w:lineRule="auto"/>
        <w:rPr>
          <w:sz w:val="20"/>
          <w:szCs w:val="20"/>
          <w:color w:val="auto"/>
        </w:rPr>
      </w:pPr>
      <w:r>
        <w:rPr>
          <w:rFonts w:ascii="Arial" w:cs="Arial" w:eastAsia="Arial" w:hAnsi="Arial"/>
          <w:sz w:val="17"/>
          <w:szCs w:val="17"/>
          <w:color w:val="auto"/>
        </w:rPr>
        <w:t>Goldman Sachs Morgan Stanley Wells Fargo</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Given the diversity of the Firm’s businesses, the CMDC may also periodically reference the pay plans and practices of other financial services companies as well as leading large, global firms across multiple industries. The CMDC considers the size, presence, brand and reputation of the companies, and the nature and mix of their businesses in using this data. These companies include, but are not limited to: 3M, AT&amp;T, Barclays, BNY Mellon, BlackRock, Boeing, Capital One Financial, Chevron, Coca Cola, Comcast, Credit Suisse, CVS Health, Deutsche Bank, ExxonMobil, General Electric, HSBC, IBM, Johnson &amp; Johnson, Merck, Oracle, PepsiCo, Pfizer, Procter &amp; Gamble, UBS, United Technologies, Verizon, Wal-Mart and Walt Disney.</w:t>
      </w:r>
    </w:p>
    <w:p>
      <w:pPr>
        <w:spacing w:after="0" w:line="9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Although these reference companies are not part of our primary financial services peer group, we believe that their practices can provide a relevant point of reference for maintaining a competitive talent and compensation program.</w:t>
      </w:r>
    </w:p>
    <w:p>
      <w:pPr>
        <w:spacing w:after="0" w:line="278"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-4445</wp:posOffset>
            </wp:positionV>
            <wp:extent cx="662051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EXECUTIVE COMPENSATION</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Determining pay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33534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63"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In determining total compensation levels for Operating Committee members, the CMDC considers:</w:t>
      </w:r>
    </w:p>
    <w:p>
      <w:pPr>
        <w:spacing w:after="0" w:line="56" w:lineRule="exact"/>
        <w:rPr>
          <w:sz w:val="20"/>
          <w:szCs w:val="20"/>
          <w:color w:val="auto"/>
        </w:rPr>
      </w:pPr>
    </w:p>
    <w:p>
      <w:pPr>
        <w:ind w:left="400" w:right="220"/>
        <w:spacing w:after="0" w:line="246" w:lineRule="auto"/>
        <w:rPr>
          <w:sz w:val="20"/>
          <w:szCs w:val="20"/>
          <w:color w:val="auto"/>
        </w:rPr>
      </w:pPr>
      <w:r>
        <w:rPr>
          <w:rFonts w:ascii="Arial" w:cs="Arial" w:eastAsia="Arial" w:hAnsi="Arial"/>
          <w:sz w:val="18"/>
          <w:szCs w:val="18"/>
          <w:color w:val="auto"/>
        </w:rPr>
        <w:t>Performance, based on four broad assessment categories as discussed on pages 49-50</w:t>
      </w:r>
    </w:p>
    <w:p>
      <w:pPr>
        <w:spacing w:after="0" w:line="102" w:lineRule="exact"/>
        <w:rPr>
          <w:sz w:val="20"/>
          <w:szCs w:val="20"/>
          <w:color w:val="auto"/>
        </w:rPr>
      </w:pPr>
    </w:p>
    <w:p>
      <w:pPr>
        <w:ind w:left="400" w:right="100"/>
        <w:spacing w:after="0" w:line="246" w:lineRule="auto"/>
        <w:rPr>
          <w:sz w:val="20"/>
          <w:szCs w:val="20"/>
          <w:color w:val="auto"/>
        </w:rPr>
      </w:pPr>
      <w:r>
        <w:rPr>
          <w:rFonts w:ascii="Arial" w:cs="Arial" w:eastAsia="Arial" w:hAnsi="Arial"/>
          <w:sz w:val="18"/>
          <w:szCs w:val="18"/>
          <w:color w:val="auto"/>
        </w:rPr>
        <w:t>Value of the position to the organization and shareholders over time (i.e., “value of seat”)</w:t>
      </w:r>
    </w:p>
    <w:p>
      <w:pPr>
        <w:spacing w:after="0" w:line="102" w:lineRule="exact"/>
        <w:rPr>
          <w:sz w:val="20"/>
          <w:szCs w:val="20"/>
          <w:color w:val="auto"/>
        </w:rPr>
      </w:pPr>
    </w:p>
    <w:p>
      <w:pPr>
        <w:ind w:left="400" w:right="180"/>
        <w:spacing w:after="0" w:line="246" w:lineRule="auto"/>
        <w:rPr>
          <w:sz w:val="20"/>
          <w:szCs w:val="20"/>
          <w:color w:val="auto"/>
        </w:rPr>
      </w:pPr>
      <w:r>
        <w:rPr>
          <w:rFonts w:ascii="Arial" w:cs="Arial" w:eastAsia="Arial" w:hAnsi="Arial"/>
          <w:sz w:val="18"/>
          <w:szCs w:val="18"/>
          <w:color w:val="auto"/>
        </w:rPr>
        <w:t>Leadership and the example they set for others by acting with integrity and strengthening the Firm’s culture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External talent market (i.e., market data)</w:t>
      </w:r>
    </w:p>
    <w:p>
      <w:pPr>
        <w:spacing w:after="0" w:line="130" w:lineRule="exact"/>
        <w:rPr>
          <w:sz w:val="20"/>
          <w:szCs w:val="20"/>
          <w:color w:val="auto"/>
        </w:rPr>
      </w:pPr>
    </w:p>
    <w:p>
      <w:pPr>
        <w:ind w:left="400" w:right="500"/>
        <w:spacing w:after="0" w:line="246" w:lineRule="auto"/>
        <w:rPr>
          <w:sz w:val="20"/>
          <w:szCs w:val="20"/>
          <w:color w:val="auto"/>
        </w:rPr>
      </w:pPr>
      <w:r>
        <w:rPr>
          <w:rFonts w:ascii="Arial" w:cs="Arial" w:eastAsia="Arial" w:hAnsi="Arial"/>
          <w:sz w:val="18"/>
          <w:szCs w:val="18"/>
          <w:color w:val="auto"/>
        </w:rPr>
        <w:t>Internal equity among Operating Committee members, as appropriate</w:t>
      </w:r>
    </w:p>
    <w:p>
      <w:pPr>
        <w:spacing w:after="0" w:line="135"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While market data provides the CMDC with useful information regarding our competitors, the CMDC does not target specific positioning (e.g., 50</w:t>
      </w:r>
      <w:r>
        <w:rPr>
          <w:rFonts w:ascii="Arial" w:cs="Arial" w:eastAsia="Arial" w:hAnsi="Arial"/>
          <w:sz w:val="15"/>
          <w:szCs w:val="15"/>
          <w:color w:val="auto"/>
        </w:rPr>
        <w:t>th</w:t>
      </w:r>
      <w:r>
        <w:rPr>
          <w:rFonts w:ascii="Arial" w:cs="Arial" w:eastAsia="Arial" w:hAnsi="Arial"/>
          <w:sz w:val="18"/>
          <w:szCs w:val="18"/>
          <w:color w:val="auto"/>
        </w:rPr>
        <w:t xml:space="preserve"> percentile), nor does it use a formulaic approach in determining competitive pay levels. Instead, the CMDC uses a range of data as a reference, which is considered in the context of each executive’s performance over a multi-year period, including the CMDC’s assessment of the value the individual delivers to the Firm.</w:t>
      </w:r>
    </w:p>
    <w:p>
      <w:pPr>
        <w:spacing w:after="0" w:line="100"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In addition, as the Firm rotates some of its executive officers among the leadership positions of its businesses and Corporate as part of development and succession planning, and considers each Operating Committee member to be a part of the Firm’s leadership beyond his or her discrete LOB or Corporate responsibilities, the CMDC also considers the internal pay relationships among members of the Operating Committee.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Determining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3353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6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Once the CMDC determines Operating Committee members’ total incentive compensation, the CMDC then establishes the appropriate pay mix between an annual cash incentive and long-term equity, including PSUs and RSUs. Consistent with recent years, the CMDC did not grant any RSUs to Mr. Dimon, but instead awarded approximately 83% of Mr. Dimon’s incentive compensation in PSUs, with the remaining 17% in cash. PSUs are 100% at risk and will result in no payout unless a threshold performance level is achieved.</w:t>
      </w:r>
    </w:p>
    <w:p>
      <w:pPr>
        <w:spacing w:after="0" w:line="28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For the majority of the remaining Operating Committee members, the CMDC deferred approximately 60% of their incentive compensation into long-term equity (30% in PSUs and 30% in RSUs), with the remaining 40% paid in cash.</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CMDC believes that this material weighting of pay mix to equity encourages Operating Committee members to focus on the long-term success of the Firm while avoiding excessive risk-taking, and provides a competitive annual cash incentive opportunity. The CMDC has established a different pay mix for Mr. Pinto (including a fixed allowance) due to local E.U. and U.K. regulatory rules for Identified Staff under the Capital Requirements Directive IV. For further details on Mr. Pinto’s pay mix, see footnote 1 on page 52 of this proxy statement.</w:t>
      </w:r>
    </w:p>
    <w:p>
      <w:pPr>
        <w:spacing w:after="0" w:line="181" w:lineRule="exact"/>
        <w:rPr>
          <w:sz w:val="20"/>
          <w:szCs w:val="20"/>
          <w:color w:val="auto"/>
        </w:rPr>
      </w:pPr>
    </w:p>
    <w:p>
      <w:pPr>
        <w:ind w:right="140"/>
        <w:spacing w:after="0" w:line="258" w:lineRule="auto"/>
        <w:rPr>
          <w:sz w:val="20"/>
          <w:szCs w:val="20"/>
          <w:color w:val="auto"/>
        </w:rPr>
      </w:pPr>
      <w:r>
        <w:rPr>
          <w:rFonts w:ascii="Arial" w:cs="Arial" w:eastAsia="Arial" w:hAnsi="Arial"/>
          <w:sz w:val="20"/>
          <w:szCs w:val="20"/>
          <w:b w:val="1"/>
          <w:bCs w:val="1"/>
          <w:color w:val="004876"/>
        </w:rPr>
        <w:t>Formula used in determining number of PSUs earned at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34220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1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long-term equity portion of the Operating Committee’s pay mix is comprised of PSUs and RSUs, other than for Mr. Dimon, who receives only PSUs. As part of the design of the PSU award program, the ultimate number of PSUs paid out at vesting is determined by a formula based on absolute and relative ROTCE performance, with the value of the payout ranging from 0% to 150%. The value upon vesting of the PSUs, as well as the time-based RSUs, is tied to the Firm’s performance through its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004876"/>
        </w:rPr>
        <w:t>Update to the 2018 PSU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34220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6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Consistent with the strong Say-on-Pay results and positive shareholder support our compensation program has received since PSUs were first introduced in 2015, the CMDC has maintained the key features of our current PSU design. For the 2018 PSU award granted in January 2019, the Committee calibrated the Absolute ROTCE goal to 18% based on the current forecast of the Firm’s future performance.</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CMDC believes that the PSU design continues to appropriately incentivize strong performance by our Operating Committee members, does not encourage excessive risk-taking and is aligned with shareholder interests. Additional details on PSUs are provided on page 53 of this proxy statement.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Summary of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summarizes the elements of compensation for the 2018 performance year.</w:t>
      </w:r>
    </w:p>
    <w:p>
      <w:pPr>
        <w:spacing w:after="0" w:line="105" w:lineRule="exact"/>
        <w:rPr>
          <w:sz w:val="20"/>
          <w:szCs w:val="20"/>
          <w:color w:val="auto"/>
        </w:rPr>
      </w:pPr>
    </w:p>
    <w:p>
      <w:pPr>
        <w:ind w:left="1500" w:hanging="165"/>
        <w:spacing w:after="0"/>
        <w:tabs>
          <w:tab w:leader="none" w:pos="1500"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of</w:t>
      </w:r>
    </w:p>
    <w:p>
      <w:pPr>
        <w:spacing w:after="0" w:line="19" w:lineRule="exact"/>
        <w:rPr>
          <w:rFonts w:ascii="Arial" w:cs="Arial" w:eastAsia="Arial" w:hAnsi="Arial"/>
          <w:sz w:val="14"/>
          <w:szCs w:val="14"/>
          <w:b w:val="1"/>
          <w:bCs w:val="1"/>
          <w:color w:val="auto"/>
        </w:rPr>
      </w:pPr>
    </w:p>
    <w:p>
      <w:pPr>
        <w:ind w:left="12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Variable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04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4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center"/>
              <w:ind w:left="8"/>
              <w:spacing w:after="0"/>
              <w:rPr>
                <w:sz w:val="20"/>
                <w:szCs w:val="20"/>
                <w:color w:val="auto"/>
              </w:rPr>
            </w:pPr>
            <w:r>
              <w:rPr>
                <w:rFonts w:ascii="Arial" w:cs="Arial" w:eastAsia="Arial" w:hAnsi="Arial"/>
                <w:sz w:val="14"/>
                <w:szCs w:val="14"/>
                <w:color w:val="auto"/>
              </w:rPr>
              <w:t>Other</w:t>
            </w:r>
          </w:p>
        </w:tc>
        <w:tc>
          <w:tcPr>
            <w:tcW w:w="6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Subject to</w:t>
            </w:r>
          </w:p>
        </w:tc>
        <w:tc>
          <w:tcPr>
            <w:tcW w:w="0" w:type="dxa"/>
            <w:vAlign w:val="bottom"/>
          </w:tcPr>
          <w:p>
            <w:pPr>
              <w:spacing w:after="0"/>
              <w:rPr>
                <w:sz w:val="1"/>
                <w:szCs w:val="1"/>
                <w:color w:val="auto"/>
              </w:rPr>
            </w:pPr>
          </w:p>
        </w:tc>
      </w:tr>
      <w:tr>
        <w:trPr>
          <w:trHeight w:val="233"/>
        </w:trPr>
        <w:tc>
          <w:tcPr>
            <w:tcW w:w="720" w:type="dxa"/>
            <w:vAlign w:val="bottom"/>
          </w:tcPr>
          <w:p>
            <w:pPr>
              <w:ind w:left="60"/>
              <w:spacing w:after="0"/>
              <w:rPr>
                <w:sz w:val="20"/>
                <w:szCs w:val="20"/>
                <w:color w:val="auto"/>
              </w:rPr>
            </w:pPr>
            <w:r>
              <w:rPr>
                <w:rFonts w:ascii="Arial" w:cs="Arial" w:eastAsia="Arial" w:hAnsi="Arial"/>
                <w:sz w:val="14"/>
                <w:szCs w:val="14"/>
                <w:b w:val="1"/>
                <w:bCs w:val="1"/>
                <w:color w:val="auto"/>
                <w:w w:val="99"/>
              </w:rPr>
              <w:t>Elements</w:t>
            </w:r>
          </w:p>
        </w:tc>
        <w:tc>
          <w:tcPr>
            <w:tcW w:w="480" w:type="dxa"/>
            <w:vAlign w:val="bottom"/>
          </w:tcPr>
          <w:p>
            <w:pPr>
              <w:jc w:val="center"/>
              <w:spacing w:after="0"/>
              <w:rPr>
                <w:sz w:val="20"/>
                <w:szCs w:val="20"/>
                <w:color w:val="auto"/>
              </w:rPr>
            </w:pPr>
            <w:r>
              <w:rPr>
                <w:rFonts w:ascii="Arial" w:cs="Arial" w:eastAsia="Arial" w:hAnsi="Arial"/>
                <w:sz w:val="14"/>
                <w:szCs w:val="14"/>
                <w:color w:val="auto"/>
              </w:rPr>
              <w:t>CEO</w:t>
            </w:r>
          </w:p>
        </w:tc>
        <w:tc>
          <w:tcPr>
            <w:tcW w:w="560" w:type="dxa"/>
            <w:vAlign w:val="bottom"/>
          </w:tcPr>
          <w:p>
            <w:pPr>
              <w:jc w:val="center"/>
              <w:spacing w:after="0" w:line="233" w:lineRule="exact"/>
              <w:rPr>
                <w:sz w:val="20"/>
                <w:szCs w:val="20"/>
                <w:color w:val="auto"/>
              </w:rPr>
            </w:pPr>
            <w:r>
              <w:rPr>
                <w:rFonts w:ascii="Arial" w:cs="Arial" w:eastAsia="Arial" w:hAnsi="Arial"/>
                <w:sz w:val="14"/>
                <w:szCs w:val="14"/>
                <w:color w:val="auto"/>
                <w:w w:val="99"/>
              </w:rPr>
              <w:t>NEOs</w:t>
            </w:r>
            <w:r>
              <w:rPr>
                <w:rFonts w:ascii="Arial" w:cs="Arial" w:eastAsia="Arial" w:hAnsi="Arial"/>
                <w:sz w:val="24"/>
                <w:szCs w:val="24"/>
                <w:color w:val="auto"/>
                <w:w w:val="99"/>
                <w:vertAlign w:val="superscript"/>
              </w:rPr>
              <w:t>1</w:t>
            </w:r>
          </w:p>
        </w:tc>
        <w:tc>
          <w:tcPr>
            <w:tcW w:w="6080" w:type="dxa"/>
            <w:vAlign w:val="bottom"/>
          </w:tcPr>
          <w:p>
            <w:pPr>
              <w:ind w:left="274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20"/>
                <w:szCs w:val="20"/>
                <w:color w:val="auto"/>
              </w:rPr>
            </w:pPr>
          </w:p>
        </w:tc>
        <w:tc>
          <w:tcPr>
            <w:tcW w:w="1920" w:type="dxa"/>
            <w:vAlign w:val="bottom"/>
          </w:tcPr>
          <w:p>
            <w:pPr>
              <w:ind w:left="340"/>
              <w:spacing w:after="0"/>
              <w:rPr>
                <w:sz w:val="20"/>
                <w:szCs w:val="20"/>
                <w:color w:val="auto"/>
              </w:rPr>
            </w:pPr>
            <w:r>
              <w:rPr>
                <w:rFonts w:ascii="Arial" w:cs="Arial" w:eastAsia="Arial" w:hAnsi="Arial"/>
                <w:sz w:val="14"/>
                <w:szCs w:val="14"/>
                <w:b w:val="1"/>
                <w:bCs w:val="1"/>
                <w:color w:val="auto"/>
              </w:rPr>
              <w:t>Vesting Period</w:t>
            </w:r>
          </w:p>
        </w:tc>
        <w:tc>
          <w:tcPr>
            <w:tcW w:w="840" w:type="dxa"/>
            <w:vAlign w:val="bottom"/>
          </w:tcPr>
          <w:p>
            <w:pPr>
              <w:jc w:val="center"/>
              <w:spacing w:after="0" w:line="233" w:lineRule="exact"/>
              <w:rPr>
                <w:sz w:val="20"/>
                <w:szCs w:val="20"/>
                <w:color w:val="auto"/>
              </w:rPr>
            </w:pPr>
            <w:r>
              <w:rPr>
                <w:rFonts w:ascii="Arial" w:cs="Arial" w:eastAsia="Arial" w:hAnsi="Arial"/>
                <w:sz w:val="14"/>
                <w:szCs w:val="14"/>
                <w:b w:val="1"/>
                <w:bCs w:val="1"/>
                <w:color w:val="auto"/>
              </w:rPr>
              <w:t>Clawback</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230"/>
        </w:trPr>
        <w:tc>
          <w:tcPr>
            <w:tcW w:w="720" w:type="dxa"/>
            <w:vAlign w:val="bottom"/>
            <w:tcBorders>
              <w:right w:val="single" w:sz="8" w:color="004876"/>
            </w:tcBorders>
            <w:shd w:val="clear" w:color="auto" w:fill="004876"/>
          </w:tcPr>
          <w:p>
            <w:pPr>
              <w:ind w:left="60"/>
              <w:spacing w:after="0"/>
              <w:rPr>
                <w:sz w:val="20"/>
                <w:szCs w:val="20"/>
                <w:color w:val="auto"/>
              </w:rPr>
            </w:pPr>
            <w:r>
              <w:rPr>
                <w:rFonts w:ascii="Arial" w:cs="Arial" w:eastAsia="Arial" w:hAnsi="Arial"/>
                <w:sz w:val="14"/>
                <w:szCs w:val="14"/>
                <w:b w:val="1"/>
                <w:bCs w:val="1"/>
                <w:color w:val="FFFFFF"/>
              </w:rPr>
              <w:t>Fixed</w:t>
            </w:r>
          </w:p>
        </w:tc>
        <w:tc>
          <w:tcPr>
            <w:tcW w:w="480" w:type="dxa"/>
            <w:vAlign w:val="bottom"/>
            <w:tcBorders>
              <w:right w:val="single" w:sz="8" w:color="004876"/>
            </w:tcBorders>
            <w:shd w:val="clear" w:color="auto" w:fill="004876"/>
          </w:tcPr>
          <w:p>
            <w:pPr>
              <w:spacing w:after="0"/>
              <w:rPr>
                <w:sz w:val="19"/>
                <w:szCs w:val="19"/>
                <w:color w:val="auto"/>
              </w:rPr>
            </w:pPr>
          </w:p>
        </w:tc>
        <w:tc>
          <w:tcPr>
            <w:tcW w:w="560" w:type="dxa"/>
            <w:vAlign w:val="bottom"/>
            <w:tcBorders>
              <w:right w:val="single" w:sz="8" w:color="004876"/>
            </w:tcBorders>
            <w:shd w:val="clear" w:color="auto" w:fill="004876"/>
          </w:tcPr>
          <w:p>
            <w:pPr>
              <w:spacing w:after="0"/>
              <w:rPr>
                <w:sz w:val="19"/>
                <w:szCs w:val="19"/>
                <w:color w:val="auto"/>
              </w:rPr>
            </w:pPr>
          </w:p>
        </w:tc>
        <w:tc>
          <w:tcPr>
            <w:tcW w:w="6080" w:type="dxa"/>
            <w:vAlign w:val="bottom"/>
            <w:tcBorders>
              <w:right w:val="single" w:sz="8" w:color="004876"/>
            </w:tcBorders>
            <w:shd w:val="clear" w:color="auto" w:fill="004876"/>
          </w:tcPr>
          <w:p>
            <w:pPr>
              <w:spacing w:after="0"/>
              <w:rPr>
                <w:sz w:val="19"/>
                <w:szCs w:val="19"/>
                <w:color w:val="auto"/>
              </w:rPr>
            </w:pPr>
          </w:p>
        </w:tc>
        <w:tc>
          <w:tcPr>
            <w:tcW w:w="420" w:type="dxa"/>
            <w:vAlign w:val="bottom"/>
            <w:shd w:val="clear" w:color="auto" w:fill="004876"/>
          </w:tcPr>
          <w:p>
            <w:pPr>
              <w:spacing w:after="0"/>
              <w:rPr>
                <w:sz w:val="19"/>
                <w:szCs w:val="19"/>
                <w:color w:val="auto"/>
              </w:rPr>
            </w:pPr>
          </w:p>
        </w:tc>
        <w:tc>
          <w:tcPr>
            <w:tcW w:w="1920" w:type="dxa"/>
            <w:vAlign w:val="bottom"/>
            <w:tcBorders>
              <w:right w:val="single" w:sz="8" w:color="004876"/>
            </w:tcBorders>
            <w:shd w:val="clear" w:color="auto" w:fill="004876"/>
          </w:tcPr>
          <w:p>
            <w:pPr>
              <w:spacing w:after="0"/>
              <w:rPr>
                <w:sz w:val="19"/>
                <w:szCs w:val="19"/>
                <w:color w:val="auto"/>
              </w:rPr>
            </w:pPr>
          </w:p>
        </w:tc>
        <w:tc>
          <w:tcPr>
            <w:tcW w:w="840" w:type="dxa"/>
            <w:vAlign w:val="bottom"/>
            <w:shd w:val="clear" w:color="auto" w:fill="00487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 w:type="dxa"/>
            <w:vAlign w:val="bottom"/>
            <w:tcBorders>
              <w:right w:val="single" w:sz="8" w:color="7F7F7F"/>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Salary</w:t>
            </w:r>
          </w:p>
        </w:tc>
        <w:tc>
          <w:tcPr>
            <w:tcW w:w="480" w:type="dxa"/>
            <w:vAlign w:val="bottom"/>
            <w:tcBorders>
              <w:right w:val="single" w:sz="8" w:color="7F7F7F"/>
            </w:tcBorders>
          </w:tcPr>
          <w:p>
            <w:pPr>
              <w:jc w:val="center"/>
              <w:spacing w:after="0"/>
              <w:rPr>
                <w:sz w:val="20"/>
                <w:szCs w:val="20"/>
                <w:color w:val="auto"/>
              </w:rPr>
            </w:pPr>
            <w:r>
              <w:rPr>
                <w:rFonts w:ascii="Arial" w:cs="Arial" w:eastAsia="Arial" w:hAnsi="Arial"/>
                <w:sz w:val="14"/>
                <w:szCs w:val="14"/>
                <w:color w:val="auto"/>
              </w:rPr>
              <w:t>N/A</w:t>
            </w:r>
          </w:p>
        </w:tc>
        <w:tc>
          <w:tcPr>
            <w:tcW w:w="560" w:type="dxa"/>
            <w:vAlign w:val="bottom"/>
            <w:tcBorders>
              <w:right w:val="single" w:sz="8" w:color="7F7F7F"/>
            </w:tcBorders>
          </w:tcPr>
          <w:p>
            <w:pPr>
              <w:jc w:val="center"/>
              <w:ind w:left="8"/>
              <w:spacing w:after="0"/>
              <w:rPr>
                <w:sz w:val="20"/>
                <w:szCs w:val="20"/>
                <w:color w:val="auto"/>
              </w:rPr>
            </w:pPr>
            <w:r>
              <w:rPr>
                <w:rFonts w:ascii="Arial" w:cs="Arial" w:eastAsia="Arial" w:hAnsi="Arial"/>
                <w:sz w:val="14"/>
                <w:szCs w:val="14"/>
                <w:color w:val="auto"/>
              </w:rPr>
              <w:t>N/A</w:t>
            </w:r>
          </w:p>
        </w:tc>
        <w:tc>
          <w:tcPr>
            <w:tcW w:w="6080" w:type="dxa"/>
            <w:vAlign w:val="bottom"/>
            <w:tcBorders>
              <w:right w:val="single" w:sz="8" w:color="7F7F7F"/>
            </w:tcBorders>
          </w:tcPr>
          <w:p>
            <w:pPr>
              <w:ind w:left="200"/>
              <w:spacing w:after="0"/>
              <w:rPr>
                <w:sz w:val="20"/>
                <w:szCs w:val="20"/>
                <w:color w:val="auto"/>
              </w:rPr>
            </w:pPr>
            <w:r>
              <w:rPr>
                <w:rFonts w:ascii="Arial" w:cs="Arial" w:eastAsia="Arial" w:hAnsi="Arial"/>
                <w:sz w:val="14"/>
                <w:szCs w:val="14"/>
                <w:color w:val="auto"/>
              </w:rPr>
              <w:t>Fixed portion of total pay that enables us to attract and retain talent</w:t>
            </w:r>
          </w:p>
        </w:tc>
        <w:tc>
          <w:tcPr>
            <w:tcW w:w="2340" w:type="dxa"/>
            <w:vAlign w:val="bottom"/>
            <w:tcBorders>
              <w:right w:val="single" w:sz="8" w:color="7F7F7F"/>
            </w:tcBorders>
            <w:gridSpan w:val="2"/>
          </w:tcPr>
          <w:p>
            <w:pPr>
              <w:ind w:left="200"/>
              <w:spacing w:after="0"/>
              <w:rPr>
                <w:sz w:val="20"/>
                <w:szCs w:val="20"/>
                <w:color w:val="auto"/>
              </w:rPr>
            </w:pPr>
            <w:r>
              <w:rPr>
                <w:rFonts w:ascii="Arial" w:cs="Arial" w:eastAsia="Arial" w:hAnsi="Arial"/>
                <w:sz w:val="14"/>
                <w:szCs w:val="14"/>
                <w:color w:val="auto"/>
              </w:rPr>
              <w:t>N/A</w:t>
            </w:r>
          </w:p>
        </w:tc>
        <w:tc>
          <w:tcPr>
            <w:tcW w:w="8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87"/>
        </w:trPr>
        <w:tc>
          <w:tcPr>
            <w:tcW w:w="720" w:type="dxa"/>
            <w:vAlign w:val="bottom"/>
            <w:tcBorders>
              <w:right w:val="single" w:sz="8" w:color="7F7F7F"/>
            </w:tcBorders>
            <w:shd w:val="clear" w:color="auto" w:fill="E5E5E5"/>
          </w:tcPr>
          <w:p>
            <w:pPr>
              <w:spacing w:after="0"/>
              <w:rPr>
                <w:sz w:val="24"/>
                <w:szCs w:val="24"/>
                <w:color w:val="auto"/>
              </w:rPr>
            </w:pPr>
          </w:p>
        </w:tc>
        <w:tc>
          <w:tcPr>
            <w:tcW w:w="480" w:type="dxa"/>
            <w:vAlign w:val="bottom"/>
            <w:tcBorders>
              <w:right w:val="single" w:sz="8" w:color="7F7F7F"/>
            </w:tcBorders>
          </w:tcPr>
          <w:p>
            <w:pPr>
              <w:spacing w:after="0"/>
              <w:rPr>
                <w:sz w:val="24"/>
                <w:szCs w:val="24"/>
                <w:color w:val="auto"/>
              </w:rPr>
            </w:pPr>
          </w:p>
        </w:tc>
        <w:tc>
          <w:tcPr>
            <w:tcW w:w="560" w:type="dxa"/>
            <w:vAlign w:val="bottom"/>
            <w:tcBorders>
              <w:right w:val="single" w:sz="8" w:color="7F7F7F"/>
            </w:tcBorders>
          </w:tcPr>
          <w:p>
            <w:pPr>
              <w:spacing w:after="0"/>
              <w:rPr>
                <w:sz w:val="24"/>
                <w:szCs w:val="24"/>
                <w:color w:val="auto"/>
              </w:rPr>
            </w:pPr>
          </w:p>
        </w:tc>
        <w:tc>
          <w:tcPr>
            <w:tcW w:w="6080" w:type="dxa"/>
            <w:vAlign w:val="bottom"/>
            <w:tcBorders>
              <w:right w:val="single" w:sz="8" w:color="7F7F7F"/>
            </w:tcBorders>
          </w:tcPr>
          <w:p>
            <w:pPr>
              <w:ind w:left="200"/>
              <w:spacing w:after="0"/>
              <w:rPr>
                <w:sz w:val="20"/>
                <w:szCs w:val="20"/>
                <w:color w:val="auto"/>
              </w:rPr>
            </w:pPr>
            <w:r>
              <w:rPr>
                <w:rFonts w:ascii="Arial" w:cs="Arial" w:eastAsia="Arial" w:hAnsi="Arial"/>
                <w:sz w:val="14"/>
                <w:szCs w:val="14"/>
                <w:color w:val="auto"/>
              </w:rPr>
              <w:t>Only fixed source of cash compensation</w:t>
            </w:r>
          </w:p>
        </w:tc>
        <w:tc>
          <w:tcPr>
            <w:tcW w:w="420" w:type="dxa"/>
            <w:vAlign w:val="bottom"/>
          </w:tcPr>
          <w:p>
            <w:pPr>
              <w:spacing w:after="0"/>
              <w:rPr>
                <w:sz w:val="24"/>
                <w:szCs w:val="24"/>
                <w:color w:val="auto"/>
              </w:rPr>
            </w:pPr>
          </w:p>
        </w:tc>
        <w:tc>
          <w:tcPr>
            <w:tcW w:w="1920" w:type="dxa"/>
            <w:vAlign w:val="bottom"/>
            <w:tcBorders>
              <w:right w:val="single" w:sz="8" w:color="7F7F7F"/>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20" w:type="dxa"/>
            <w:vAlign w:val="bottom"/>
            <w:tcBorders>
              <w:right w:val="single" w:sz="8" w:color="004876"/>
            </w:tcBorders>
            <w:shd w:val="clear" w:color="auto" w:fill="004876"/>
          </w:tcPr>
          <w:p>
            <w:pPr>
              <w:ind w:left="60"/>
              <w:spacing w:after="0"/>
              <w:rPr>
                <w:sz w:val="20"/>
                <w:szCs w:val="20"/>
                <w:color w:val="auto"/>
              </w:rPr>
            </w:pPr>
            <w:r>
              <w:rPr>
                <w:rFonts w:ascii="Arial" w:cs="Arial" w:eastAsia="Arial" w:hAnsi="Arial"/>
                <w:sz w:val="14"/>
                <w:szCs w:val="14"/>
                <w:b w:val="1"/>
                <w:bCs w:val="1"/>
                <w:color w:val="FFFFFF"/>
              </w:rPr>
              <w:t>Variable</w:t>
            </w:r>
          </w:p>
        </w:tc>
        <w:tc>
          <w:tcPr>
            <w:tcW w:w="480" w:type="dxa"/>
            <w:vAlign w:val="bottom"/>
            <w:tcBorders>
              <w:right w:val="single" w:sz="8" w:color="004876"/>
            </w:tcBorders>
            <w:shd w:val="clear" w:color="auto" w:fill="004876"/>
          </w:tcPr>
          <w:p>
            <w:pPr>
              <w:spacing w:after="0"/>
              <w:rPr>
                <w:sz w:val="20"/>
                <w:szCs w:val="20"/>
                <w:color w:val="auto"/>
              </w:rPr>
            </w:pPr>
          </w:p>
        </w:tc>
        <w:tc>
          <w:tcPr>
            <w:tcW w:w="560" w:type="dxa"/>
            <w:vAlign w:val="bottom"/>
            <w:tcBorders>
              <w:right w:val="single" w:sz="8" w:color="004876"/>
            </w:tcBorders>
            <w:shd w:val="clear" w:color="auto" w:fill="004876"/>
          </w:tcPr>
          <w:p>
            <w:pPr>
              <w:spacing w:after="0"/>
              <w:rPr>
                <w:sz w:val="20"/>
                <w:szCs w:val="20"/>
                <w:color w:val="auto"/>
              </w:rPr>
            </w:pPr>
          </w:p>
        </w:tc>
        <w:tc>
          <w:tcPr>
            <w:tcW w:w="6080" w:type="dxa"/>
            <w:vAlign w:val="bottom"/>
            <w:tcBorders>
              <w:right w:val="single" w:sz="8" w:color="004876"/>
            </w:tcBorders>
            <w:shd w:val="clear" w:color="auto" w:fill="004876"/>
          </w:tcPr>
          <w:p>
            <w:pPr>
              <w:spacing w:after="0"/>
              <w:rPr>
                <w:sz w:val="20"/>
                <w:szCs w:val="20"/>
                <w:color w:val="auto"/>
              </w:rPr>
            </w:pPr>
          </w:p>
        </w:tc>
        <w:tc>
          <w:tcPr>
            <w:tcW w:w="420" w:type="dxa"/>
            <w:vAlign w:val="bottom"/>
            <w:shd w:val="clear" w:color="auto" w:fill="004876"/>
          </w:tcPr>
          <w:p>
            <w:pPr>
              <w:spacing w:after="0"/>
              <w:rPr>
                <w:sz w:val="20"/>
                <w:szCs w:val="20"/>
                <w:color w:val="auto"/>
              </w:rPr>
            </w:pPr>
          </w:p>
        </w:tc>
        <w:tc>
          <w:tcPr>
            <w:tcW w:w="1920" w:type="dxa"/>
            <w:vAlign w:val="bottom"/>
            <w:tcBorders>
              <w:right w:val="single" w:sz="8" w:color="004876"/>
            </w:tcBorders>
            <w:shd w:val="clear" w:color="auto" w:fill="004876"/>
          </w:tcPr>
          <w:p>
            <w:pPr>
              <w:spacing w:after="0"/>
              <w:rPr>
                <w:sz w:val="20"/>
                <w:szCs w:val="20"/>
                <w:color w:val="auto"/>
              </w:rPr>
            </w:pPr>
          </w:p>
        </w:tc>
        <w:tc>
          <w:tcPr>
            <w:tcW w:w="840" w:type="dxa"/>
            <w:vAlign w:val="bottom"/>
            <w:shd w:val="clear" w:color="auto" w:fill="004876"/>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7F7F7F"/>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Cash</w:t>
            </w:r>
          </w:p>
        </w:tc>
        <w:tc>
          <w:tcPr>
            <w:tcW w:w="480" w:type="dxa"/>
            <w:vAlign w:val="bottom"/>
            <w:tcBorders>
              <w:right w:val="single" w:sz="8" w:color="7F7F7F"/>
            </w:tcBorders>
          </w:tcPr>
          <w:p>
            <w:pPr>
              <w:jc w:val="center"/>
              <w:spacing w:after="0"/>
              <w:rPr>
                <w:sz w:val="20"/>
                <w:szCs w:val="20"/>
                <w:color w:val="auto"/>
              </w:rPr>
            </w:pPr>
            <w:r>
              <w:rPr>
                <w:rFonts w:ascii="Arial" w:cs="Arial" w:eastAsia="Arial" w:hAnsi="Arial"/>
                <w:sz w:val="14"/>
                <w:szCs w:val="14"/>
                <w:color w:val="auto"/>
                <w:w w:val="99"/>
              </w:rPr>
              <w:t>~17%</w:t>
            </w:r>
          </w:p>
        </w:tc>
        <w:tc>
          <w:tcPr>
            <w:tcW w:w="560" w:type="dxa"/>
            <w:vAlign w:val="bottom"/>
            <w:tcBorders>
              <w:right w:val="single" w:sz="8" w:color="7F7F7F"/>
            </w:tcBorders>
          </w:tcPr>
          <w:p>
            <w:pPr>
              <w:jc w:val="center"/>
              <w:spacing w:after="0"/>
              <w:rPr>
                <w:sz w:val="20"/>
                <w:szCs w:val="20"/>
                <w:color w:val="auto"/>
              </w:rPr>
            </w:pPr>
            <w:r>
              <w:rPr>
                <w:rFonts w:ascii="Arial" w:cs="Arial" w:eastAsia="Arial" w:hAnsi="Arial"/>
                <w:sz w:val="14"/>
                <w:szCs w:val="14"/>
                <w:color w:val="auto"/>
              </w:rPr>
              <w:t>40%</w:t>
            </w:r>
          </w:p>
        </w:tc>
        <w:tc>
          <w:tcPr>
            <w:tcW w:w="6080" w:type="dxa"/>
            <w:vAlign w:val="bottom"/>
            <w:tcBorders>
              <w:right w:val="single" w:sz="8" w:color="7F7F7F"/>
            </w:tcBorders>
          </w:tcPr>
          <w:p>
            <w:pPr>
              <w:ind w:left="200"/>
              <w:spacing w:after="0"/>
              <w:rPr>
                <w:sz w:val="20"/>
                <w:szCs w:val="20"/>
                <w:color w:val="auto"/>
              </w:rPr>
            </w:pPr>
            <w:r>
              <w:rPr>
                <w:rFonts w:ascii="Arial" w:cs="Arial" w:eastAsia="Arial" w:hAnsi="Arial"/>
                <w:sz w:val="14"/>
                <w:szCs w:val="14"/>
                <w:color w:val="auto"/>
              </w:rPr>
              <w:t>Provides a competitive annual cash incentive opportunity</w:t>
            </w:r>
          </w:p>
        </w:tc>
        <w:tc>
          <w:tcPr>
            <w:tcW w:w="2340" w:type="dxa"/>
            <w:vAlign w:val="bottom"/>
            <w:tcBorders>
              <w:right w:val="single" w:sz="8" w:color="7F7F7F"/>
            </w:tcBorders>
            <w:gridSpan w:val="2"/>
          </w:tcPr>
          <w:p>
            <w:pPr>
              <w:ind w:left="200"/>
              <w:spacing w:after="0"/>
              <w:rPr>
                <w:sz w:val="20"/>
                <w:szCs w:val="20"/>
                <w:color w:val="auto"/>
              </w:rPr>
            </w:pPr>
            <w:r>
              <w:rPr>
                <w:rFonts w:ascii="Arial" w:cs="Arial" w:eastAsia="Arial" w:hAnsi="Arial"/>
                <w:sz w:val="14"/>
                <w:szCs w:val="14"/>
                <w:color w:val="auto"/>
              </w:rPr>
              <w:t>Immediately vested</w:t>
            </w:r>
          </w:p>
        </w:tc>
        <w:tc>
          <w:tcPr>
            <w:tcW w:w="8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73A950"/>
                <w:w w:val="87"/>
              </w:rPr>
              <w:t>✓</w:t>
            </w:r>
          </w:p>
        </w:tc>
        <w:tc>
          <w:tcPr>
            <w:tcW w:w="0" w:type="dxa"/>
            <w:vAlign w:val="bottom"/>
          </w:tcPr>
          <w:p>
            <w:pPr>
              <w:spacing w:after="0"/>
              <w:rPr>
                <w:sz w:val="1"/>
                <w:szCs w:val="1"/>
                <w:color w:val="auto"/>
              </w:rPr>
            </w:pPr>
          </w:p>
        </w:tc>
      </w:tr>
      <w:tr>
        <w:trPr>
          <w:trHeight w:val="190"/>
        </w:trPr>
        <w:tc>
          <w:tcPr>
            <w:tcW w:w="720" w:type="dxa"/>
            <w:vAlign w:val="bottom"/>
            <w:tcBorders>
              <w:right w:val="single" w:sz="8" w:color="7F7F7F"/>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Incentive</w:t>
            </w:r>
          </w:p>
        </w:tc>
        <w:tc>
          <w:tcPr>
            <w:tcW w:w="480" w:type="dxa"/>
            <w:vAlign w:val="bottom"/>
            <w:tcBorders>
              <w:right w:val="single" w:sz="8" w:color="7F7F7F"/>
            </w:tcBorders>
          </w:tcPr>
          <w:p>
            <w:pPr>
              <w:spacing w:after="0"/>
              <w:rPr>
                <w:sz w:val="16"/>
                <w:szCs w:val="16"/>
                <w:color w:val="auto"/>
              </w:rPr>
            </w:pPr>
          </w:p>
        </w:tc>
        <w:tc>
          <w:tcPr>
            <w:tcW w:w="560" w:type="dxa"/>
            <w:vAlign w:val="bottom"/>
            <w:tcBorders>
              <w:right w:val="single" w:sz="8" w:color="7F7F7F"/>
            </w:tcBorders>
          </w:tcPr>
          <w:p>
            <w:pPr>
              <w:spacing w:after="0"/>
              <w:rPr>
                <w:sz w:val="16"/>
                <w:szCs w:val="16"/>
                <w:color w:val="auto"/>
              </w:rPr>
            </w:pPr>
          </w:p>
        </w:tc>
        <w:tc>
          <w:tcPr>
            <w:tcW w:w="6080" w:type="dxa"/>
            <w:vAlign w:val="bottom"/>
            <w:tcBorders>
              <w:right w:val="single" w:sz="8" w:color="7F7F7F"/>
            </w:tcBorders>
            <w:vMerge w:val="restart"/>
          </w:tcPr>
          <w:p>
            <w:pPr>
              <w:ind w:left="200"/>
              <w:spacing w:after="0"/>
              <w:rPr>
                <w:sz w:val="20"/>
                <w:szCs w:val="20"/>
                <w:color w:val="auto"/>
              </w:rPr>
            </w:pPr>
            <w:r>
              <w:rPr>
                <w:rFonts w:ascii="Arial" w:cs="Arial" w:eastAsia="Arial" w:hAnsi="Arial"/>
                <w:sz w:val="14"/>
                <w:szCs w:val="14"/>
                <w:color w:val="auto"/>
              </w:rPr>
              <w:t>Payout determined and awarded in the year following the performance year</w:t>
            </w:r>
          </w:p>
        </w:tc>
        <w:tc>
          <w:tcPr>
            <w:tcW w:w="420" w:type="dxa"/>
            <w:vAlign w:val="bottom"/>
          </w:tcPr>
          <w:p>
            <w:pPr>
              <w:spacing w:after="0"/>
              <w:rPr>
                <w:sz w:val="16"/>
                <w:szCs w:val="16"/>
                <w:color w:val="auto"/>
              </w:rPr>
            </w:pPr>
          </w:p>
        </w:tc>
        <w:tc>
          <w:tcPr>
            <w:tcW w:w="1920" w:type="dxa"/>
            <w:vAlign w:val="bottom"/>
            <w:tcBorders>
              <w:right w:val="single" w:sz="8" w:color="7F7F7F"/>
            </w:tcBorders>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20" w:type="dxa"/>
            <w:vAlign w:val="bottom"/>
            <w:tcBorders>
              <w:right w:val="single" w:sz="8" w:color="7F7F7F"/>
            </w:tcBorders>
            <w:shd w:val="clear" w:color="auto" w:fill="E5E5E5"/>
          </w:tcPr>
          <w:p>
            <w:pPr>
              <w:spacing w:after="0"/>
              <w:rPr>
                <w:sz w:val="3"/>
                <w:szCs w:val="3"/>
                <w:color w:val="auto"/>
              </w:rPr>
            </w:pPr>
          </w:p>
        </w:tc>
        <w:tc>
          <w:tcPr>
            <w:tcW w:w="480" w:type="dxa"/>
            <w:vAlign w:val="bottom"/>
            <w:tcBorders>
              <w:right w:val="single" w:sz="8" w:color="7F7F7F"/>
            </w:tcBorders>
          </w:tcPr>
          <w:p>
            <w:pPr>
              <w:spacing w:after="0"/>
              <w:rPr>
                <w:sz w:val="3"/>
                <w:szCs w:val="3"/>
                <w:color w:val="auto"/>
              </w:rPr>
            </w:pPr>
          </w:p>
        </w:tc>
        <w:tc>
          <w:tcPr>
            <w:tcW w:w="560" w:type="dxa"/>
            <w:vAlign w:val="bottom"/>
            <w:tcBorders>
              <w:right w:val="single" w:sz="8" w:color="7F7F7F"/>
            </w:tcBorders>
          </w:tcPr>
          <w:p>
            <w:pPr>
              <w:spacing w:after="0"/>
              <w:rPr>
                <w:sz w:val="3"/>
                <w:szCs w:val="3"/>
                <w:color w:val="auto"/>
              </w:rPr>
            </w:pPr>
          </w:p>
        </w:tc>
        <w:tc>
          <w:tcPr>
            <w:tcW w:w="6080" w:type="dxa"/>
            <w:vAlign w:val="bottom"/>
            <w:tcBorders>
              <w:right w:val="single" w:sz="8" w:color="7F7F7F"/>
            </w:tcBorders>
            <w:vMerge w:val="continue"/>
          </w:tcPr>
          <w:p>
            <w:pPr>
              <w:spacing w:after="0"/>
              <w:rPr>
                <w:sz w:val="3"/>
                <w:szCs w:val="3"/>
                <w:color w:val="auto"/>
              </w:rPr>
            </w:pPr>
          </w:p>
        </w:tc>
        <w:tc>
          <w:tcPr>
            <w:tcW w:w="420" w:type="dxa"/>
            <w:vAlign w:val="bottom"/>
          </w:tcPr>
          <w:p>
            <w:pPr>
              <w:spacing w:after="0"/>
              <w:rPr>
                <w:sz w:val="3"/>
                <w:szCs w:val="3"/>
                <w:color w:val="auto"/>
              </w:rPr>
            </w:pPr>
          </w:p>
        </w:tc>
        <w:tc>
          <w:tcPr>
            <w:tcW w:w="1920" w:type="dxa"/>
            <w:vAlign w:val="bottom"/>
            <w:tcBorders>
              <w:right w:val="single" w:sz="8" w:color="7F7F7F"/>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720" w:type="dxa"/>
            <w:vAlign w:val="bottom"/>
            <w:tcBorders>
              <w:bottom w:val="single" w:sz="8" w:color="7F7F7F"/>
              <w:right w:val="single" w:sz="8" w:color="7F7F7F"/>
            </w:tcBorders>
            <w:shd w:val="clear" w:color="auto" w:fill="E5E5E5"/>
          </w:tcPr>
          <w:p>
            <w:pPr>
              <w:spacing w:after="0"/>
              <w:rPr>
                <w:sz w:val="24"/>
                <w:szCs w:val="24"/>
                <w:color w:val="auto"/>
              </w:rPr>
            </w:pPr>
          </w:p>
        </w:tc>
        <w:tc>
          <w:tcPr>
            <w:tcW w:w="480" w:type="dxa"/>
            <w:vAlign w:val="bottom"/>
            <w:tcBorders>
              <w:bottom w:val="single" w:sz="8" w:color="7F7F7F"/>
              <w:right w:val="single" w:sz="8" w:color="7F7F7F"/>
            </w:tcBorders>
          </w:tcPr>
          <w:p>
            <w:pPr>
              <w:spacing w:after="0"/>
              <w:rPr>
                <w:sz w:val="24"/>
                <w:szCs w:val="24"/>
                <w:color w:val="auto"/>
              </w:rPr>
            </w:pPr>
          </w:p>
        </w:tc>
        <w:tc>
          <w:tcPr>
            <w:tcW w:w="560" w:type="dxa"/>
            <w:vAlign w:val="bottom"/>
            <w:tcBorders>
              <w:bottom w:val="single" w:sz="8" w:color="7F7F7F"/>
              <w:right w:val="single" w:sz="8" w:color="7F7F7F"/>
            </w:tcBorders>
          </w:tcPr>
          <w:p>
            <w:pPr>
              <w:spacing w:after="0"/>
              <w:rPr>
                <w:sz w:val="24"/>
                <w:szCs w:val="24"/>
                <w:color w:val="auto"/>
              </w:rPr>
            </w:pPr>
          </w:p>
        </w:tc>
        <w:tc>
          <w:tcPr>
            <w:tcW w:w="6080" w:type="dxa"/>
            <w:vAlign w:val="bottom"/>
            <w:tcBorders>
              <w:bottom w:val="single" w:sz="8" w:color="7F7F7F"/>
              <w:right w:val="single" w:sz="8" w:color="7F7F7F"/>
            </w:tcBorders>
          </w:tcPr>
          <w:p>
            <w:pPr>
              <w:ind w:left="200"/>
              <w:spacing w:after="0"/>
              <w:rPr>
                <w:sz w:val="20"/>
                <w:szCs w:val="20"/>
                <w:color w:val="auto"/>
              </w:rPr>
            </w:pPr>
            <w:r>
              <w:rPr>
                <w:rFonts w:ascii="Arial" w:cs="Arial" w:eastAsia="Arial" w:hAnsi="Arial"/>
                <w:sz w:val="14"/>
                <w:szCs w:val="14"/>
                <w:color w:val="auto"/>
              </w:rPr>
              <w:t>Represents less than half of variable compensation</w:t>
            </w:r>
          </w:p>
        </w:tc>
        <w:tc>
          <w:tcPr>
            <w:tcW w:w="420" w:type="dxa"/>
            <w:vAlign w:val="bottom"/>
            <w:tcBorders>
              <w:bottom w:val="single" w:sz="8" w:color="7F7F7F"/>
            </w:tcBorders>
          </w:tcPr>
          <w:p>
            <w:pPr>
              <w:spacing w:after="0"/>
              <w:rPr>
                <w:sz w:val="24"/>
                <w:szCs w:val="24"/>
                <w:color w:val="auto"/>
              </w:rPr>
            </w:pPr>
          </w:p>
        </w:tc>
        <w:tc>
          <w:tcPr>
            <w:tcW w:w="1920" w:type="dxa"/>
            <w:vAlign w:val="bottom"/>
            <w:tcBorders>
              <w:bottom w:val="single" w:sz="8" w:color="7F7F7F"/>
              <w:right w:val="single" w:sz="8" w:color="7F7F7F"/>
            </w:tcBorders>
          </w:tcPr>
          <w:p>
            <w:pPr>
              <w:spacing w:after="0"/>
              <w:rPr>
                <w:sz w:val="24"/>
                <w:szCs w:val="24"/>
                <w:color w:val="auto"/>
              </w:rPr>
            </w:pPr>
          </w:p>
        </w:tc>
        <w:tc>
          <w:tcPr>
            <w:tcW w:w="84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 w:type="dxa"/>
            <w:vAlign w:val="bottom"/>
            <w:tcBorders>
              <w:right w:val="single" w:sz="8" w:color="7F7F7F"/>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RSUs</w:t>
            </w:r>
          </w:p>
        </w:tc>
        <w:tc>
          <w:tcPr>
            <w:tcW w:w="480" w:type="dxa"/>
            <w:vAlign w:val="bottom"/>
            <w:tcBorders>
              <w:right w:val="single" w:sz="8" w:color="7F7F7F"/>
            </w:tcBorders>
          </w:tcPr>
          <w:p>
            <w:pPr>
              <w:jc w:val="center"/>
              <w:spacing w:after="0"/>
              <w:rPr>
                <w:sz w:val="20"/>
                <w:szCs w:val="20"/>
                <w:color w:val="auto"/>
              </w:rPr>
            </w:pPr>
            <w:r>
              <w:rPr>
                <w:rFonts w:ascii="Arial" w:cs="Arial" w:eastAsia="Arial" w:hAnsi="Arial"/>
                <w:sz w:val="14"/>
                <w:szCs w:val="14"/>
                <w:color w:val="auto"/>
                <w:w w:val="98"/>
              </w:rPr>
              <w:t>0%</w:t>
            </w:r>
          </w:p>
        </w:tc>
        <w:tc>
          <w:tcPr>
            <w:tcW w:w="560" w:type="dxa"/>
            <w:vAlign w:val="bottom"/>
            <w:tcBorders>
              <w:right w:val="single" w:sz="8" w:color="7F7F7F"/>
            </w:tcBorders>
          </w:tcPr>
          <w:p>
            <w:pPr>
              <w:jc w:val="center"/>
              <w:spacing w:after="0"/>
              <w:rPr>
                <w:sz w:val="20"/>
                <w:szCs w:val="20"/>
                <w:color w:val="auto"/>
              </w:rPr>
            </w:pPr>
            <w:r>
              <w:rPr>
                <w:rFonts w:ascii="Arial" w:cs="Arial" w:eastAsia="Arial" w:hAnsi="Arial"/>
                <w:sz w:val="14"/>
                <w:szCs w:val="14"/>
                <w:color w:val="auto"/>
              </w:rPr>
              <w:t>30%</w:t>
            </w:r>
          </w:p>
        </w:tc>
        <w:tc>
          <w:tcPr>
            <w:tcW w:w="6080" w:type="dxa"/>
            <w:vAlign w:val="bottom"/>
            <w:tcBorders>
              <w:right w:val="single" w:sz="8" w:color="7F7F7F"/>
            </w:tcBorders>
          </w:tcPr>
          <w:p>
            <w:pPr>
              <w:ind w:left="200"/>
              <w:spacing w:after="0"/>
              <w:rPr>
                <w:sz w:val="20"/>
                <w:szCs w:val="20"/>
                <w:color w:val="auto"/>
              </w:rPr>
            </w:pPr>
            <w:r>
              <w:rPr>
                <w:rFonts w:ascii="Arial" w:cs="Arial" w:eastAsia="Arial" w:hAnsi="Arial"/>
                <w:sz w:val="14"/>
                <w:szCs w:val="14"/>
                <w:color w:val="auto"/>
              </w:rPr>
              <w:t>RSUs serve as a strong retention tool</w:t>
            </w:r>
          </w:p>
        </w:tc>
        <w:tc>
          <w:tcPr>
            <w:tcW w:w="2340" w:type="dxa"/>
            <w:vAlign w:val="bottom"/>
            <w:tcBorders>
              <w:right w:val="single" w:sz="8" w:color="7F7F7F"/>
            </w:tcBorders>
            <w:gridSpan w:val="2"/>
          </w:tcPr>
          <w:p>
            <w:pPr>
              <w:ind w:left="200"/>
              <w:spacing w:after="0"/>
              <w:rPr>
                <w:sz w:val="20"/>
                <w:szCs w:val="20"/>
                <w:color w:val="auto"/>
              </w:rPr>
            </w:pPr>
            <w:r>
              <w:rPr>
                <w:rFonts w:ascii="Arial" w:cs="Arial" w:eastAsia="Arial" w:hAnsi="Arial"/>
                <w:sz w:val="14"/>
                <w:szCs w:val="14"/>
                <w:color w:val="auto"/>
              </w:rPr>
              <w:t>Generally over three years: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20" w:type="dxa"/>
            <w:vAlign w:val="bottom"/>
            <w:tcBorders>
              <w:right w:val="single" w:sz="8" w:color="7F7F7F"/>
            </w:tcBorders>
            <w:shd w:val="clear" w:color="auto" w:fill="E5E5E5"/>
          </w:tcPr>
          <w:p>
            <w:pPr>
              <w:spacing w:after="0"/>
              <w:rPr>
                <w:sz w:val="18"/>
                <w:szCs w:val="18"/>
                <w:color w:val="auto"/>
              </w:rPr>
            </w:pPr>
          </w:p>
        </w:tc>
        <w:tc>
          <w:tcPr>
            <w:tcW w:w="480" w:type="dxa"/>
            <w:vAlign w:val="bottom"/>
            <w:tcBorders>
              <w:right w:val="single" w:sz="8" w:color="7F7F7F"/>
            </w:tcBorders>
          </w:tcPr>
          <w:p>
            <w:pPr>
              <w:spacing w:after="0"/>
              <w:rPr>
                <w:sz w:val="18"/>
                <w:szCs w:val="18"/>
                <w:color w:val="auto"/>
              </w:rPr>
            </w:pPr>
          </w:p>
        </w:tc>
        <w:tc>
          <w:tcPr>
            <w:tcW w:w="560" w:type="dxa"/>
            <w:vAlign w:val="bottom"/>
            <w:tcBorders>
              <w:right w:val="single" w:sz="8" w:color="7F7F7F"/>
            </w:tcBorders>
          </w:tcPr>
          <w:p>
            <w:pPr>
              <w:spacing w:after="0"/>
              <w:rPr>
                <w:sz w:val="18"/>
                <w:szCs w:val="18"/>
                <w:color w:val="auto"/>
              </w:rPr>
            </w:pPr>
          </w:p>
        </w:tc>
        <w:tc>
          <w:tcPr>
            <w:tcW w:w="6080" w:type="dxa"/>
            <w:vAlign w:val="bottom"/>
            <w:tcBorders>
              <w:right w:val="single" w:sz="8" w:color="7F7F7F"/>
            </w:tcBorders>
          </w:tcPr>
          <w:p>
            <w:pPr>
              <w:ind w:left="200"/>
              <w:spacing w:after="0"/>
              <w:rPr>
                <w:sz w:val="20"/>
                <w:szCs w:val="20"/>
                <w:color w:val="auto"/>
              </w:rPr>
            </w:pPr>
            <w:r>
              <w:rPr>
                <w:rFonts w:ascii="Arial" w:cs="Arial" w:eastAsia="Arial" w:hAnsi="Arial"/>
                <w:sz w:val="14"/>
                <w:szCs w:val="14"/>
                <w:color w:val="auto"/>
              </w:rPr>
              <w:t>Dividend equivalents are paid on RSUs at the time actual dividends are paid</w:t>
            </w:r>
          </w:p>
        </w:tc>
        <w:tc>
          <w:tcPr>
            <w:tcW w:w="2340" w:type="dxa"/>
            <w:vAlign w:val="bottom"/>
            <w:tcBorders>
              <w:right w:val="single" w:sz="8" w:color="7F7F7F"/>
            </w:tcBorders>
            <w:gridSpan w:val="2"/>
          </w:tcPr>
          <w:p>
            <w:pPr>
              <w:ind w:left="34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50% after two years, with the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20" w:type="dxa"/>
            <w:vAlign w:val="bottom"/>
            <w:tcBorders>
              <w:right w:val="single" w:sz="8" w:color="7F7F7F"/>
            </w:tcBorders>
            <w:shd w:val="clear" w:color="auto" w:fill="E5E5E5"/>
          </w:tcPr>
          <w:p>
            <w:pPr>
              <w:spacing w:after="0"/>
              <w:rPr>
                <w:sz w:val="14"/>
                <w:szCs w:val="14"/>
                <w:color w:val="auto"/>
              </w:rPr>
            </w:pPr>
          </w:p>
        </w:tc>
        <w:tc>
          <w:tcPr>
            <w:tcW w:w="480" w:type="dxa"/>
            <w:vAlign w:val="bottom"/>
            <w:tcBorders>
              <w:right w:val="single" w:sz="8" w:color="7F7F7F"/>
            </w:tcBorders>
          </w:tcPr>
          <w:p>
            <w:pPr>
              <w:spacing w:after="0"/>
              <w:rPr>
                <w:sz w:val="14"/>
                <w:szCs w:val="14"/>
                <w:color w:val="auto"/>
              </w:rPr>
            </w:pPr>
          </w:p>
        </w:tc>
        <w:tc>
          <w:tcPr>
            <w:tcW w:w="560" w:type="dxa"/>
            <w:vAlign w:val="bottom"/>
            <w:tcBorders>
              <w:right w:val="single" w:sz="8" w:color="7F7F7F"/>
            </w:tcBorders>
          </w:tcPr>
          <w:p>
            <w:pPr>
              <w:spacing w:after="0"/>
              <w:rPr>
                <w:sz w:val="14"/>
                <w:szCs w:val="14"/>
                <w:color w:val="auto"/>
              </w:rPr>
            </w:pPr>
          </w:p>
        </w:tc>
        <w:tc>
          <w:tcPr>
            <w:tcW w:w="6080" w:type="dxa"/>
            <w:vAlign w:val="bottom"/>
            <w:tcBorders>
              <w:right w:val="single" w:sz="8" w:color="7F7F7F"/>
            </w:tcBorders>
            <w:vMerge w:val="restart"/>
          </w:tcPr>
          <w:p>
            <w:pPr>
              <w:ind w:left="200"/>
              <w:spacing w:after="0"/>
              <w:rPr>
                <w:sz w:val="20"/>
                <w:szCs w:val="20"/>
                <w:color w:val="auto"/>
              </w:rPr>
            </w:pPr>
            <w:r>
              <w:rPr>
                <w:rFonts w:ascii="Arial" w:cs="Arial" w:eastAsia="Arial" w:hAnsi="Arial"/>
                <w:sz w:val="14"/>
                <w:szCs w:val="14"/>
                <w:color w:val="auto"/>
              </w:rPr>
              <w:t>RSUs and PSUs do not carry voting rights, and are subject to protection-based vesting</w:t>
            </w:r>
          </w:p>
        </w:tc>
        <w:tc>
          <w:tcPr>
            <w:tcW w:w="420" w:type="dxa"/>
            <w:vAlign w:val="bottom"/>
          </w:tcPr>
          <w:p>
            <w:pPr>
              <w:spacing w:after="0"/>
              <w:rPr>
                <w:sz w:val="14"/>
                <w:szCs w:val="14"/>
                <w:color w:val="auto"/>
              </w:rPr>
            </w:pPr>
          </w:p>
        </w:tc>
        <w:tc>
          <w:tcPr>
            <w:tcW w:w="1920" w:type="dxa"/>
            <w:vAlign w:val="bottom"/>
            <w:tcBorders>
              <w:right w:val="single" w:sz="8" w:color="7F7F7F"/>
            </w:tcBorders>
          </w:tcPr>
          <w:p>
            <w:pPr>
              <w:ind w:left="60"/>
              <w:spacing w:after="0"/>
              <w:rPr>
                <w:sz w:val="20"/>
                <w:szCs w:val="20"/>
                <w:color w:val="auto"/>
              </w:rPr>
            </w:pPr>
            <w:r>
              <w:rPr>
                <w:rFonts w:ascii="Arial" w:cs="Arial" w:eastAsia="Arial" w:hAnsi="Arial"/>
                <w:sz w:val="14"/>
                <w:szCs w:val="14"/>
                <w:color w:val="auto"/>
              </w:rPr>
              <w:t>remaining 50% after three</w:t>
            </w:r>
          </w:p>
        </w:tc>
        <w:tc>
          <w:tcPr>
            <w:tcW w:w="8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73A950"/>
                <w:w w:val="87"/>
              </w:rPr>
              <w:t>✓</w:t>
            </w:r>
          </w:p>
        </w:tc>
        <w:tc>
          <w:tcPr>
            <w:tcW w:w="0" w:type="dxa"/>
            <w:vAlign w:val="bottom"/>
          </w:tcPr>
          <w:p>
            <w:pPr>
              <w:spacing w:after="0"/>
              <w:rPr>
                <w:sz w:val="1"/>
                <w:szCs w:val="1"/>
                <w:color w:val="auto"/>
              </w:rPr>
            </w:pPr>
          </w:p>
        </w:tc>
      </w:tr>
      <w:tr>
        <w:trPr>
          <w:trHeight w:val="108"/>
        </w:trPr>
        <w:tc>
          <w:tcPr>
            <w:tcW w:w="720" w:type="dxa"/>
            <w:vAlign w:val="bottom"/>
            <w:tcBorders>
              <w:right w:val="single" w:sz="8" w:color="7F7F7F"/>
            </w:tcBorders>
            <w:shd w:val="clear" w:color="auto" w:fill="E5E5E5"/>
          </w:tcPr>
          <w:p>
            <w:pPr>
              <w:spacing w:after="0"/>
              <w:rPr>
                <w:sz w:val="9"/>
                <w:szCs w:val="9"/>
                <w:color w:val="auto"/>
              </w:rPr>
            </w:pPr>
          </w:p>
        </w:tc>
        <w:tc>
          <w:tcPr>
            <w:tcW w:w="480" w:type="dxa"/>
            <w:vAlign w:val="bottom"/>
            <w:tcBorders>
              <w:right w:val="single" w:sz="8" w:color="7F7F7F"/>
            </w:tcBorders>
          </w:tcPr>
          <w:p>
            <w:pPr>
              <w:spacing w:after="0"/>
              <w:rPr>
                <w:sz w:val="9"/>
                <w:szCs w:val="9"/>
                <w:color w:val="auto"/>
              </w:rPr>
            </w:pPr>
          </w:p>
        </w:tc>
        <w:tc>
          <w:tcPr>
            <w:tcW w:w="560" w:type="dxa"/>
            <w:vAlign w:val="bottom"/>
            <w:tcBorders>
              <w:right w:val="single" w:sz="8" w:color="7F7F7F"/>
            </w:tcBorders>
          </w:tcPr>
          <w:p>
            <w:pPr>
              <w:spacing w:after="0"/>
              <w:rPr>
                <w:sz w:val="9"/>
                <w:szCs w:val="9"/>
                <w:color w:val="auto"/>
              </w:rPr>
            </w:pPr>
          </w:p>
        </w:tc>
        <w:tc>
          <w:tcPr>
            <w:tcW w:w="6080" w:type="dxa"/>
            <w:vAlign w:val="bottom"/>
            <w:tcBorders>
              <w:right w:val="single" w:sz="8" w:color="7F7F7F"/>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1920" w:type="dxa"/>
            <w:vAlign w:val="bottom"/>
            <w:tcBorders>
              <w:right w:val="single" w:sz="8" w:color="7F7F7F"/>
            </w:tcBorders>
            <w:vMerge w:val="restart"/>
          </w:tcPr>
          <w:p>
            <w:pPr>
              <w:ind w:left="60"/>
              <w:spacing w:after="0"/>
              <w:rPr>
                <w:sz w:val="20"/>
                <w:szCs w:val="20"/>
                <w:color w:val="auto"/>
              </w:rPr>
            </w:pPr>
            <w:r>
              <w:rPr>
                <w:rFonts w:ascii="Arial" w:cs="Arial" w:eastAsia="Arial" w:hAnsi="Arial"/>
                <w:sz w:val="14"/>
                <w:szCs w:val="14"/>
                <w:color w:val="auto"/>
              </w:rPr>
              <w:t>years</w:t>
            </w: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720" w:type="dxa"/>
            <w:vAlign w:val="bottom"/>
            <w:tcBorders>
              <w:right w:val="single" w:sz="8" w:color="7F7F7F"/>
            </w:tcBorders>
            <w:shd w:val="clear" w:color="auto" w:fill="E5E5E5"/>
          </w:tcPr>
          <w:p>
            <w:pPr>
              <w:spacing w:after="0"/>
              <w:rPr>
                <w:sz w:val="5"/>
                <w:szCs w:val="5"/>
                <w:color w:val="auto"/>
              </w:rPr>
            </w:pPr>
          </w:p>
        </w:tc>
        <w:tc>
          <w:tcPr>
            <w:tcW w:w="480" w:type="dxa"/>
            <w:vAlign w:val="bottom"/>
            <w:tcBorders>
              <w:right w:val="single" w:sz="8" w:color="7F7F7F"/>
            </w:tcBorders>
          </w:tcPr>
          <w:p>
            <w:pPr>
              <w:spacing w:after="0"/>
              <w:rPr>
                <w:sz w:val="5"/>
                <w:szCs w:val="5"/>
                <w:color w:val="auto"/>
              </w:rPr>
            </w:pPr>
          </w:p>
        </w:tc>
        <w:tc>
          <w:tcPr>
            <w:tcW w:w="560" w:type="dxa"/>
            <w:vAlign w:val="bottom"/>
            <w:tcBorders>
              <w:right w:val="single" w:sz="8" w:color="7F7F7F"/>
            </w:tcBorders>
          </w:tcPr>
          <w:p>
            <w:pPr>
              <w:spacing w:after="0"/>
              <w:rPr>
                <w:sz w:val="5"/>
                <w:szCs w:val="5"/>
                <w:color w:val="auto"/>
              </w:rPr>
            </w:pPr>
          </w:p>
        </w:tc>
        <w:tc>
          <w:tcPr>
            <w:tcW w:w="6080" w:type="dxa"/>
            <w:vAlign w:val="bottom"/>
            <w:tcBorders>
              <w:right w:val="single" w:sz="8" w:color="7F7F7F"/>
            </w:tcBorders>
            <w:vMerge w:val="restart"/>
          </w:tcPr>
          <w:p>
            <w:pPr>
              <w:ind w:left="340"/>
              <w:spacing w:after="0" w:line="131" w:lineRule="exact"/>
              <w:rPr>
                <w:sz w:val="20"/>
                <w:szCs w:val="20"/>
                <w:color w:val="auto"/>
              </w:rPr>
            </w:pPr>
            <w:r>
              <w:rPr>
                <w:rFonts w:ascii="Arial" w:cs="Arial" w:eastAsia="Arial" w:hAnsi="Arial"/>
                <w:sz w:val="14"/>
                <w:szCs w:val="14"/>
                <w:color w:val="auto"/>
              </w:rPr>
              <w:t>and the Operating Committee retention/ownership policy</w:t>
            </w:r>
          </w:p>
        </w:tc>
        <w:tc>
          <w:tcPr>
            <w:tcW w:w="420" w:type="dxa"/>
            <w:vAlign w:val="bottom"/>
          </w:tcPr>
          <w:p>
            <w:pPr>
              <w:spacing w:after="0"/>
              <w:rPr>
                <w:sz w:val="5"/>
                <w:szCs w:val="5"/>
                <w:color w:val="auto"/>
              </w:rPr>
            </w:pPr>
          </w:p>
        </w:tc>
        <w:tc>
          <w:tcPr>
            <w:tcW w:w="1920" w:type="dxa"/>
            <w:vAlign w:val="bottom"/>
            <w:tcBorders>
              <w:right w:val="single" w:sz="8" w:color="7F7F7F"/>
            </w:tcBorders>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720" w:type="dxa"/>
            <w:vAlign w:val="bottom"/>
            <w:tcBorders>
              <w:right w:val="single" w:sz="8" w:color="7F7F7F"/>
            </w:tcBorders>
            <w:shd w:val="clear" w:color="auto" w:fill="E5E5E5"/>
          </w:tcPr>
          <w:p>
            <w:pPr>
              <w:spacing w:after="0"/>
              <w:rPr>
                <w:sz w:val="5"/>
                <w:szCs w:val="5"/>
                <w:color w:val="auto"/>
              </w:rPr>
            </w:pPr>
          </w:p>
        </w:tc>
        <w:tc>
          <w:tcPr>
            <w:tcW w:w="480" w:type="dxa"/>
            <w:vAlign w:val="bottom"/>
            <w:tcBorders>
              <w:right w:val="single" w:sz="8" w:color="7F7F7F"/>
            </w:tcBorders>
          </w:tcPr>
          <w:p>
            <w:pPr>
              <w:spacing w:after="0"/>
              <w:rPr>
                <w:sz w:val="5"/>
                <w:szCs w:val="5"/>
                <w:color w:val="auto"/>
              </w:rPr>
            </w:pPr>
          </w:p>
        </w:tc>
        <w:tc>
          <w:tcPr>
            <w:tcW w:w="560" w:type="dxa"/>
            <w:vAlign w:val="bottom"/>
            <w:tcBorders>
              <w:right w:val="single" w:sz="8" w:color="7F7F7F"/>
            </w:tcBorders>
          </w:tcPr>
          <w:p>
            <w:pPr>
              <w:spacing w:after="0"/>
              <w:rPr>
                <w:sz w:val="5"/>
                <w:szCs w:val="5"/>
                <w:color w:val="auto"/>
              </w:rPr>
            </w:pPr>
          </w:p>
        </w:tc>
        <w:tc>
          <w:tcPr>
            <w:tcW w:w="6080" w:type="dxa"/>
            <w:vAlign w:val="bottom"/>
            <w:tcBorders>
              <w:right w:val="single" w:sz="8" w:color="7F7F7F"/>
            </w:tcBorders>
            <w:vMerge w:val="continue"/>
          </w:tcPr>
          <w:p>
            <w:pPr>
              <w:spacing w:after="0"/>
              <w:rPr>
                <w:sz w:val="5"/>
                <w:szCs w:val="5"/>
                <w:color w:val="auto"/>
              </w:rPr>
            </w:pPr>
          </w:p>
        </w:tc>
        <w:tc>
          <w:tcPr>
            <w:tcW w:w="420" w:type="dxa"/>
            <w:vAlign w:val="bottom"/>
          </w:tcPr>
          <w:p>
            <w:pPr>
              <w:spacing w:after="0"/>
              <w:rPr>
                <w:sz w:val="5"/>
                <w:szCs w:val="5"/>
                <w:color w:val="auto"/>
              </w:rPr>
            </w:pPr>
          </w:p>
        </w:tc>
        <w:tc>
          <w:tcPr>
            <w:tcW w:w="1920" w:type="dxa"/>
            <w:vAlign w:val="bottom"/>
            <w:tcBorders>
              <w:right w:val="single" w:sz="8" w:color="7F7F7F"/>
            </w:tcBorders>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720" w:type="dxa"/>
            <w:vAlign w:val="bottom"/>
            <w:tcBorders>
              <w:right w:val="single" w:sz="8" w:color="7F7F7F"/>
            </w:tcBorders>
            <w:shd w:val="clear" w:color="auto" w:fill="E5E5E5"/>
          </w:tcPr>
          <w:p>
            <w:pPr>
              <w:spacing w:after="0"/>
              <w:rPr>
                <w:sz w:val="21"/>
                <w:szCs w:val="21"/>
                <w:color w:val="auto"/>
              </w:rPr>
            </w:pPr>
          </w:p>
        </w:tc>
        <w:tc>
          <w:tcPr>
            <w:tcW w:w="480" w:type="dxa"/>
            <w:vAlign w:val="bottom"/>
            <w:tcBorders>
              <w:right w:val="single" w:sz="8" w:color="7F7F7F"/>
            </w:tcBorders>
          </w:tcPr>
          <w:p>
            <w:pPr>
              <w:spacing w:after="0"/>
              <w:rPr>
                <w:sz w:val="21"/>
                <w:szCs w:val="21"/>
                <w:color w:val="auto"/>
              </w:rPr>
            </w:pPr>
          </w:p>
        </w:tc>
        <w:tc>
          <w:tcPr>
            <w:tcW w:w="560" w:type="dxa"/>
            <w:vAlign w:val="bottom"/>
            <w:tcBorders>
              <w:right w:val="single" w:sz="8" w:color="7F7F7F"/>
            </w:tcBorders>
          </w:tcPr>
          <w:p>
            <w:pPr>
              <w:spacing w:after="0"/>
              <w:rPr>
                <w:sz w:val="21"/>
                <w:szCs w:val="21"/>
                <w:color w:val="auto"/>
              </w:rPr>
            </w:pPr>
          </w:p>
        </w:tc>
        <w:tc>
          <w:tcPr>
            <w:tcW w:w="6080" w:type="dxa"/>
            <w:vAlign w:val="bottom"/>
            <w:tcBorders>
              <w:right w:val="single" w:sz="8" w:color="7F7F7F"/>
            </w:tcBorders>
          </w:tcPr>
          <w:p>
            <w:pPr>
              <w:ind w:left="200"/>
              <w:spacing w:after="0"/>
              <w:rPr>
                <w:sz w:val="20"/>
                <w:szCs w:val="20"/>
                <w:color w:val="auto"/>
              </w:rPr>
            </w:pPr>
            <w:r>
              <w:rPr>
                <w:rFonts w:ascii="Arial" w:cs="Arial" w:eastAsia="Arial" w:hAnsi="Arial"/>
                <w:sz w:val="14"/>
                <w:szCs w:val="14"/>
                <w:color w:val="auto"/>
              </w:rPr>
              <w:t>RSUs and PSUs provide a competitive mix of time- and performance-based equity</w:t>
            </w:r>
          </w:p>
        </w:tc>
        <w:tc>
          <w:tcPr>
            <w:tcW w:w="420" w:type="dxa"/>
            <w:vAlign w:val="bottom"/>
          </w:tcPr>
          <w:p>
            <w:pPr>
              <w:spacing w:after="0"/>
              <w:rPr>
                <w:sz w:val="21"/>
                <w:szCs w:val="21"/>
                <w:color w:val="auto"/>
              </w:rPr>
            </w:pPr>
          </w:p>
        </w:tc>
        <w:tc>
          <w:tcPr>
            <w:tcW w:w="1920" w:type="dxa"/>
            <w:vAlign w:val="bottom"/>
            <w:tcBorders>
              <w:right w:val="single" w:sz="8" w:color="7F7F7F"/>
            </w:tcBorders>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720" w:type="dxa"/>
            <w:vAlign w:val="bottom"/>
            <w:tcBorders>
              <w:right w:val="single" w:sz="8" w:color="7F7F7F"/>
            </w:tcBorders>
            <w:shd w:val="clear" w:color="auto" w:fill="E5E5E5"/>
          </w:tcPr>
          <w:p>
            <w:pPr>
              <w:spacing w:after="0"/>
              <w:rPr>
                <w:sz w:val="14"/>
                <w:szCs w:val="14"/>
                <w:color w:val="auto"/>
              </w:rPr>
            </w:pPr>
          </w:p>
        </w:tc>
        <w:tc>
          <w:tcPr>
            <w:tcW w:w="480" w:type="dxa"/>
            <w:vAlign w:val="bottom"/>
            <w:tcBorders>
              <w:right w:val="single" w:sz="8" w:color="7F7F7F"/>
            </w:tcBorders>
          </w:tcPr>
          <w:p>
            <w:pPr>
              <w:spacing w:after="0"/>
              <w:rPr>
                <w:sz w:val="14"/>
                <w:szCs w:val="14"/>
                <w:color w:val="auto"/>
              </w:rPr>
            </w:pPr>
          </w:p>
        </w:tc>
        <w:tc>
          <w:tcPr>
            <w:tcW w:w="560" w:type="dxa"/>
            <w:vAlign w:val="bottom"/>
            <w:tcBorders>
              <w:right w:val="single" w:sz="8" w:color="7F7F7F"/>
            </w:tcBorders>
          </w:tcPr>
          <w:p>
            <w:pPr>
              <w:spacing w:after="0"/>
              <w:rPr>
                <w:sz w:val="14"/>
                <w:szCs w:val="14"/>
                <w:color w:val="auto"/>
              </w:rPr>
            </w:pPr>
          </w:p>
        </w:tc>
        <w:tc>
          <w:tcPr>
            <w:tcW w:w="6080" w:type="dxa"/>
            <w:vAlign w:val="bottom"/>
            <w:tcBorders>
              <w:right w:val="single" w:sz="8" w:color="7F7F7F"/>
            </w:tcBorders>
          </w:tcPr>
          <w:p>
            <w:pPr>
              <w:ind w:left="340"/>
              <w:spacing w:after="0"/>
              <w:rPr>
                <w:sz w:val="20"/>
                <w:szCs w:val="20"/>
                <w:color w:val="auto"/>
              </w:rPr>
            </w:pPr>
            <w:r>
              <w:rPr>
                <w:rFonts w:ascii="Arial" w:cs="Arial" w:eastAsia="Arial" w:hAnsi="Arial"/>
                <w:sz w:val="14"/>
                <w:szCs w:val="14"/>
                <w:color w:val="auto"/>
              </w:rPr>
              <w:t>awards that are aligned with long-term shareholder interests as the value of payout</w:t>
            </w:r>
          </w:p>
        </w:tc>
        <w:tc>
          <w:tcPr>
            <w:tcW w:w="420" w:type="dxa"/>
            <w:vAlign w:val="bottom"/>
          </w:tcPr>
          <w:p>
            <w:pPr>
              <w:spacing w:after="0"/>
              <w:rPr>
                <w:sz w:val="14"/>
                <w:szCs w:val="14"/>
                <w:color w:val="auto"/>
              </w:rPr>
            </w:pPr>
          </w:p>
        </w:tc>
        <w:tc>
          <w:tcPr>
            <w:tcW w:w="1920" w:type="dxa"/>
            <w:vAlign w:val="bottom"/>
            <w:tcBorders>
              <w:right w:val="single" w:sz="8" w:color="7F7F7F"/>
            </w:tcBorders>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E5E5E5"/>
              <w:right w:val="single" w:sz="8" w:color="7F7F7F"/>
            </w:tcBorders>
            <w:shd w:val="clear" w:color="auto" w:fill="E5E5E5"/>
          </w:tcPr>
          <w:p>
            <w:pPr>
              <w:spacing w:after="0"/>
              <w:rPr>
                <w:sz w:val="14"/>
                <w:szCs w:val="14"/>
                <w:color w:val="auto"/>
              </w:rPr>
            </w:pPr>
          </w:p>
        </w:tc>
        <w:tc>
          <w:tcPr>
            <w:tcW w:w="480" w:type="dxa"/>
            <w:vAlign w:val="bottom"/>
            <w:tcBorders>
              <w:right w:val="single" w:sz="8" w:color="7F7F7F"/>
            </w:tcBorders>
          </w:tcPr>
          <w:p>
            <w:pPr>
              <w:spacing w:after="0"/>
              <w:rPr>
                <w:sz w:val="14"/>
                <w:szCs w:val="14"/>
                <w:color w:val="auto"/>
              </w:rPr>
            </w:pPr>
          </w:p>
        </w:tc>
        <w:tc>
          <w:tcPr>
            <w:tcW w:w="560" w:type="dxa"/>
            <w:vAlign w:val="bottom"/>
            <w:tcBorders>
              <w:right w:val="single" w:sz="8" w:color="7F7F7F"/>
            </w:tcBorders>
          </w:tcPr>
          <w:p>
            <w:pPr>
              <w:spacing w:after="0"/>
              <w:rPr>
                <w:sz w:val="14"/>
                <w:szCs w:val="14"/>
                <w:color w:val="auto"/>
              </w:rPr>
            </w:pPr>
          </w:p>
        </w:tc>
        <w:tc>
          <w:tcPr>
            <w:tcW w:w="6080" w:type="dxa"/>
            <w:vAlign w:val="bottom"/>
            <w:tcBorders>
              <w:right w:val="single" w:sz="8" w:color="7F7F7F"/>
            </w:tcBorders>
          </w:tcPr>
          <w:p>
            <w:pPr>
              <w:ind w:left="340"/>
              <w:spacing w:after="0" w:line="131" w:lineRule="exact"/>
              <w:rPr>
                <w:sz w:val="20"/>
                <w:szCs w:val="20"/>
                <w:color w:val="auto"/>
              </w:rPr>
            </w:pPr>
            <w:r>
              <w:rPr>
                <w:rFonts w:ascii="Arial" w:cs="Arial" w:eastAsia="Arial" w:hAnsi="Arial"/>
                <w:sz w:val="14"/>
                <w:szCs w:val="14"/>
                <w:color w:val="auto"/>
              </w:rPr>
              <w:t>fluctuates with stock price performance</w:t>
            </w:r>
          </w:p>
        </w:tc>
        <w:tc>
          <w:tcPr>
            <w:tcW w:w="420" w:type="dxa"/>
            <w:vAlign w:val="bottom"/>
          </w:tcPr>
          <w:p>
            <w:pPr>
              <w:spacing w:after="0"/>
              <w:rPr>
                <w:sz w:val="14"/>
                <w:szCs w:val="14"/>
                <w:color w:val="auto"/>
              </w:rPr>
            </w:pPr>
          </w:p>
        </w:tc>
        <w:tc>
          <w:tcPr>
            <w:tcW w:w="1920" w:type="dxa"/>
            <w:vAlign w:val="bottom"/>
            <w:tcBorders>
              <w:right w:val="single" w:sz="8" w:color="7F7F7F"/>
            </w:tcBorders>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20" w:type="dxa"/>
            <w:vAlign w:val="bottom"/>
            <w:tcBorders>
              <w:top w:val="single" w:sz="8" w:color="7F7F7F"/>
              <w:right w:val="single" w:sz="8" w:color="7F7F7F"/>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PSUs</w:t>
            </w:r>
          </w:p>
        </w:tc>
        <w:tc>
          <w:tcPr>
            <w:tcW w:w="480" w:type="dxa"/>
            <w:vAlign w:val="bottom"/>
            <w:tcBorders>
              <w:top w:val="single" w:sz="8" w:color="7F7F7F"/>
              <w:right w:val="single" w:sz="8" w:color="7F7F7F"/>
            </w:tcBorders>
          </w:tcPr>
          <w:p>
            <w:pPr>
              <w:jc w:val="center"/>
              <w:spacing w:after="0"/>
              <w:rPr>
                <w:sz w:val="20"/>
                <w:szCs w:val="20"/>
                <w:color w:val="auto"/>
              </w:rPr>
            </w:pPr>
            <w:r>
              <w:rPr>
                <w:rFonts w:ascii="Arial" w:cs="Arial" w:eastAsia="Arial" w:hAnsi="Arial"/>
                <w:sz w:val="14"/>
                <w:szCs w:val="14"/>
                <w:color w:val="auto"/>
                <w:w w:val="99"/>
              </w:rPr>
              <w:t>~83%</w:t>
            </w:r>
          </w:p>
        </w:tc>
        <w:tc>
          <w:tcPr>
            <w:tcW w:w="560" w:type="dxa"/>
            <w:vAlign w:val="bottom"/>
            <w:tcBorders>
              <w:top w:val="single" w:sz="8" w:color="7F7F7F"/>
              <w:right w:val="single" w:sz="8" w:color="7F7F7F"/>
            </w:tcBorders>
          </w:tcPr>
          <w:p>
            <w:pPr>
              <w:jc w:val="center"/>
              <w:spacing w:after="0"/>
              <w:rPr>
                <w:sz w:val="20"/>
                <w:szCs w:val="20"/>
                <w:color w:val="auto"/>
              </w:rPr>
            </w:pPr>
            <w:r>
              <w:rPr>
                <w:rFonts w:ascii="Arial" w:cs="Arial" w:eastAsia="Arial" w:hAnsi="Arial"/>
                <w:sz w:val="14"/>
                <w:szCs w:val="14"/>
                <w:color w:val="auto"/>
              </w:rPr>
              <w:t>30%</w:t>
            </w:r>
          </w:p>
        </w:tc>
        <w:tc>
          <w:tcPr>
            <w:tcW w:w="6080" w:type="dxa"/>
            <w:vAlign w:val="bottom"/>
            <w:tcBorders>
              <w:right w:val="single" w:sz="8" w:color="7F7F7F"/>
            </w:tcBorders>
          </w:tcPr>
          <w:p>
            <w:pPr>
              <w:ind w:left="200"/>
              <w:spacing w:after="0"/>
              <w:rPr>
                <w:sz w:val="20"/>
                <w:szCs w:val="20"/>
                <w:color w:val="auto"/>
              </w:rPr>
            </w:pPr>
            <w:r>
              <w:rPr>
                <w:rFonts w:ascii="Arial" w:cs="Arial" w:eastAsia="Arial" w:hAnsi="Arial"/>
                <w:sz w:val="14"/>
                <w:szCs w:val="14"/>
                <w:color w:val="auto"/>
              </w:rPr>
              <w:t>PSUs reinforce accountability by linking objective targets to a formulaically determined</w:t>
            </w:r>
          </w:p>
        </w:tc>
        <w:tc>
          <w:tcPr>
            <w:tcW w:w="2340" w:type="dxa"/>
            <w:vAlign w:val="bottom"/>
            <w:tcBorders>
              <w:top w:val="single" w:sz="8" w:color="7F7F7F"/>
              <w:right w:val="single" w:sz="8" w:color="7F7F7F"/>
            </w:tcBorders>
            <w:gridSpan w:val="2"/>
          </w:tcPr>
          <w:p>
            <w:pPr>
              <w:ind w:left="200"/>
              <w:spacing w:after="0"/>
              <w:rPr>
                <w:sz w:val="20"/>
                <w:szCs w:val="20"/>
                <w:color w:val="auto"/>
              </w:rPr>
            </w:pPr>
            <w:r>
              <w:rPr>
                <w:rFonts w:ascii="Arial" w:cs="Arial" w:eastAsia="Arial" w:hAnsi="Arial"/>
                <w:sz w:val="14"/>
                <w:szCs w:val="14"/>
                <w:color w:val="auto"/>
              </w:rPr>
              <w:t>Combined period of</w:t>
            </w:r>
          </w:p>
        </w:tc>
        <w:tc>
          <w:tcPr>
            <w:tcW w:w="840" w:type="dxa"/>
            <w:vAlign w:val="bottom"/>
            <w:tcBorders>
              <w:top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720" w:type="dxa"/>
            <w:vAlign w:val="bottom"/>
            <w:tcBorders>
              <w:right w:val="single" w:sz="8" w:color="7F7F7F"/>
            </w:tcBorders>
            <w:shd w:val="clear" w:color="auto" w:fill="E5E5E5"/>
          </w:tcPr>
          <w:p>
            <w:pPr>
              <w:spacing w:after="0"/>
              <w:rPr>
                <w:sz w:val="11"/>
                <w:szCs w:val="11"/>
                <w:color w:val="auto"/>
              </w:rPr>
            </w:pPr>
          </w:p>
        </w:tc>
        <w:tc>
          <w:tcPr>
            <w:tcW w:w="480" w:type="dxa"/>
            <w:vAlign w:val="bottom"/>
            <w:tcBorders>
              <w:right w:val="single" w:sz="8" w:color="7F7F7F"/>
            </w:tcBorders>
          </w:tcPr>
          <w:p>
            <w:pPr>
              <w:spacing w:after="0"/>
              <w:rPr>
                <w:sz w:val="11"/>
                <w:szCs w:val="11"/>
                <w:color w:val="auto"/>
              </w:rPr>
            </w:pPr>
          </w:p>
        </w:tc>
        <w:tc>
          <w:tcPr>
            <w:tcW w:w="560" w:type="dxa"/>
            <w:vAlign w:val="bottom"/>
            <w:tcBorders>
              <w:right w:val="single" w:sz="8" w:color="7F7F7F"/>
            </w:tcBorders>
          </w:tcPr>
          <w:p>
            <w:pPr>
              <w:spacing w:after="0"/>
              <w:rPr>
                <w:sz w:val="11"/>
                <w:szCs w:val="11"/>
                <w:color w:val="auto"/>
              </w:rPr>
            </w:pPr>
          </w:p>
        </w:tc>
        <w:tc>
          <w:tcPr>
            <w:tcW w:w="6080" w:type="dxa"/>
            <w:vAlign w:val="bottom"/>
            <w:tcBorders>
              <w:right w:val="single" w:sz="8" w:color="7F7F7F"/>
            </w:tcBorders>
          </w:tcPr>
          <w:p>
            <w:pPr>
              <w:ind w:left="340"/>
              <w:spacing w:after="0" w:line="131" w:lineRule="exact"/>
              <w:rPr>
                <w:sz w:val="20"/>
                <w:szCs w:val="20"/>
                <w:color w:val="auto"/>
              </w:rPr>
            </w:pPr>
            <w:r>
              <w:rPr>
                <w:rFonts w:ascii="Arial" w:cs="Arial" w:eastAsia="Arial" w:hAnsi="Arial"/>
                <w:sz w:val="14"/>
                <w:szCs w:val="14"/>
                <w:color w:val="auto"/>
              </w:rPr>
              <w:t>payout based on absolute and relative ROTCE</w:t>
            </w:r>
          </w:p>
        </w:tc>
        <w:tc>
          <w:tcPr>
            <w:tcW w:w="2340" w:type="dxa"/>
            <w:vAlign w:val="bottom"/>
            <w:tcBorders>
              <w:right w:val="single" w:sz="8" w:color="7F7F7F"/>
            </w:tcBorders>
            <w:gridSpan w:val="2"/>
            <w:vMerge w:val="restart"/>
          </w:tcPr>
          <w:p>
            <w:pPr>
              <w:ind w:left="340"/>
              <w:spacing w:after="0"/>
              <w:rPr>
                <w:sz w:val="20"/>
                <w:szCs w:val="20"/>
                <w:color w:val="auto"/>
              </w:rPr>
            </w:pPr>
            <w:r>
              <w:rPr>
                <w:rFonts w:ascii="Arial" w:cs="Arial" w:eastAsia="Arial" w:hAnsi="Arial"/>
                <w:sz w:val="14"/>
                <w:szCs w:val="14"/>
                <w:color w:val="auto"/>
              </w:rPr>
              <w:t>approximately five years prior</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720" w:type="dxa"/>
            <w:vAlign w:val="bottom"/>
            <w:tcBorders>
              <w:right w:val="single" w:sz="8" w:color="7F7F7F"/>
            </w:tcBorders>
            <w:shd w:val="clear" w:color="auto" w:fill="E5E5E5"/>
          </w:tcPr>
          <w:p>
            <w:pPr>
              <w:spacing w:after="0"/>
              <w:rPr>
                <w:sz w:val="7"/>
                <w:szCs w:val="7"/>
                <w:color w:val="auto"/>
              </w:rPr>
            </w:pPr>
          </w:p>
        </w:tc>
        <w:tc>
          <w:tcPr>
            <w:tcW w:w="480" w:type="dxa"/>
            <w:vAlign w:val="bottom"/>
            <w:tcBorders>
              <w:right w:val="single" w:sz="8" w:color="7F7F7F"/>
            </w:tcBorders>
          </w:tcPr>
          <w:p>
            <w:pPr>
              <w:spacing w:after="0"/>
              <w:rPr>
                <w:sz w:val="7"/>
                <w:szCs w:val="7"/>
                <w:color w:val="auto"/>
              </w:rPr>
            </w:pPr>
          </w:p>
        </w:tc>
        <w:tc>
          <w:tcPr>
            <w:tcW w:w="560" w:type="dxa"/>
            <w:vAlign w:val="bottom"/>
            <w:tcBorders>
              <w:right w:val="single" w:sz="8" w:color="7F7F7F"/>
            </w:tcBorders>
          </w:tcPr>
          <w:p>
            <w:pPr>
              <w:spacing w:after="0"/>
              <w:rPr>
                <w:sz w:val="7"/>
                <w:szCs w:val="7"/>
                <w:color w:val="auto"/>
              </w:rPr>
            </w:pPr>
          </w:p>
        </w:tc>
        <w:tc>
          <w:tcPr>
            <w:tcW w:w="6080" w:type="dxa"/>
            <w:vAlign w:val="bottom"/>
            <w:tcBorders>
              <w:right w:val="single" w:sz="8" w:color="7F7F7F"/>
            </w:tcBorders>
            <w:vMerge w:val="restart"/>
          </w:tcPr>
          <w:p>
            <w:pPr>
              <w:ind w:left="200"/>
              <w:spacing w:after="0"/>
              <w:rPr>
                <w:sz w:val="20"/>
                <w:szCs w:val="20"/>
                <w:color w:val="auto"/>
              </w:rPr>
            </w:pPr>
            <w:r>
              <w:rPr>
                <w:rFonts w:ascii="Arial" w:cs="Arial" w:eastAsia="Arial" w:hAnsi="Arial"/>
                <w:sz w:val="14"/>
                <w:szCs w:val="14"/>
                <w:color w:val="auto"/>
              </w:rPr>
              <w:t>PSU performance goals are the same for the entire award term</w:t>
            </w:r>
          </w:p>
        </w:tc>
        <w:tc>
          <w:tcPr>
            <w:tcW w:w="2340" w:type="dxa"/>
            <w:vAlign w:val="bottom"/>
            <w:tcBorders>
              <w:right w:val="single" w:sz="8" w:color="7F7F7F"/>
            </w:tcBorders>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720" w:type="dxa"/>
            <w:vAlign w:val="bottom"/>
            <w:tcBorders>
              <w:right w:val="single" w:sz="8" w:color="7F7F7F"/>
            </w:tcBorders>
            <w:shd w:val="clear" w:color="auto" w:fill="E5E5E5"/>
          </w:tcPr>
          <w:p>
            <w:pPr>
              <w:spacing w:after="0"/>
              <w:rPr>
                <w:sz w:val="11"/>
                <w:szCs w:val="11"/>
                <w:color w:val="auto"/>
              </w:rPr>
            </w:pPr>
          </w:p>
        </w:tc>
        <w:tc>
          <w:tcPr>
            <w:tcW w:w="480" w:type="dxa"/>
            <w:vAlign w:val="bottom"/>
            <w:tcBorders>
              <w:right w:val="single" w:sz="8" w:color="7F7F7F"/>
            </w:tcBorders>
          </w:tcPr>
          <w:p>
            <w:pPr>
              <w:spacing w:after="0"/>
              <w:rPr>
                <w:sz w:val="11"/>
                <w:szCs w:val="11"/>
                <w:color w:val="auto"/>
              </w:rPr>
            </w:pPr>
          </w:p>
        </w:tc>
        <w:tc>
          <w:tcPr>
            <w:tcW w:w="560" w:type="dxa"/>
            <w:vAlign w:val="bottom"/>
            <w:tcBorders>
              <w:right w:val="single" w:sz="8" w:color="7F7F7F"/>
            </w:tcBorders>
          </w:tcPr>
          <w:p>
            <w:pPr>
              <w:spacing w:after="0"/>
              <w:rPr>
                <w:sz w:val="11"/>
                <w:szCs w:val="11"/>
                <w:color w:val="auto"/>
              </w:rPr>
            </w:pPr>
          </w:p>
        </w:tc>
        <w:tc>
          <w:tcPr>
            <w:tcW w:w="6080" w:type="dxa"/>
            <w:vAlign w:val="bottom"/>
            <w:tcBorders>
              <w:right w:val="single" w:sz="8" w:color="7F7F7F"/>
            </w:tcBorders>
            <w:vMerge w:val="continue"/>
          </w:tcPr>
          <w:p>
            <w:pPr>
              <w:spacing w:after="0"/>
              <w:rPr>
                <w:sz w:val="11"/>
                <w:szCs w:val="11"/>
                <w:color w:val="auto"/>
              </w:rPr>
            </w:pPr>
          </w:p>
        </w:tc>
        <w:tc>
          <w:tcPr>
            <w:tcW w:w="2340" w:type="dxa"/>
            <w:vAlign w:val="bottom"/>
            <w:tcBorders>
              <w:right w:val="single" w:sz="8" w:color="7F7F7F"/>
            </w:tcBorders>
            <w:gridSpan w:val="2"/>
          </w:tcPr>
          <w:p>
            <w:pPr>
              <w:ind w:left="340"/>
              <w:spacing w:after="0" w:line="131" w:lineRule="exact"/>
              <w:rPr>
                <w:sz w:val="20"/>
                <w:szCs w:val="20"/>
                <w:color w:val="auto"/>
              </w:rPr>
            </w:pPr>
            <w:r>
              <w:rPr>
                <w:rFonts w:ascii="Arial" w:cs="Arial" w:eastAsia="Arial" w:hAnsi="Arial"/>
                <w:sz w:val="14"/>
                <w:szCs w:val="14"/>
                <w:color w:val="auto"/>
              </w:rPr>
              <w:t>to availability:</w:t>
            </w:r>
          </w:p>
        </w:tc>
        <w:tc>
          <w:tcPr>
            <w:tcW w:w="8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73A950"/>
                <w:w w:val="87"/>
              </w:rPr>
              <w:t>✓</w:t>
            </w:r>
          </w:p>
        </w:tc>
        <w:tc>
          <w:tcPr>
            <w:tcW w:w="0" w:type="dxa"/>
            <w:vAlign w:val="bottom"/>
          </w:tcPr>
          <w:p>
            <w:pPr>
              <w:spacing w:after="0"/>
              <w:rPr>
                <w:sz w:val="1"/>
                <w:szCs w:val="1"/>
                <w:color w:val="auto"/>
              </w:rPr>
            </w:pPr>
          </w:p>
        </w:tc>
      </w:tr>
      <w:tr>
        <w:trPr>
          <w:trHeight w:val="194"/>
        </w:trPr>
        <w:tc>
          <w:tcPr>
            <w:tcW w:w="720" w:type="dxa"/>
            <w:vAlign w:val="bottom"/>
            <w:tcBorders>
              <w:right w:val="single" w:sz="8" w:color="7F7F7F"/>
            </w:tcBorders>
            <w:shd w:val="clear" w:color="auto" w:fill="E5E5E5"/>
          </w:tcPr>
          <w:p>
            <w:pPr>
              <w:spacing w:after="0"/>
              <w:rPr>
                <w:sz w:val="16"/>
                <w:szCs w:val="16"/>
                <w:color w:val="auto"/>
              </w:rPr>
            </w:pPr>
          </w:p>
        </w:tc>
        <w:tc>
          <w:tcPr>
            <w:tcW w:w="480" w:type="dxa"/>
            <w:vAlign w:val="bottom"/>
            <w:tcBorders>
              <w:right w:val="single" w:sz="8" w:color="7F7F7F"/>
            </w:tcBorders>
          </w:tcPr>
          <w:p>
            <w:pPr>
              <w:spacing w:after="0"/>
              <w:rPr>
                <w:sz w:val="16"/>
                <w:szCs w:val="16"/>
                <w:color w:val="auto"/>
              </w:rPr>
            </w:pPr>
          </w:p>
        </w:tc>
        <w:tc>
          <w:tcPr>
            <w:tcW w:w="560" w:type="dxa"/>
            <w:vAlign w:val="bottom"/>
            <w:tcBorders>
              <w:right w:val="single" w:sz="8" w:color="7F7F7F"/>
            </w:tcBorders>
          </w:tcPr>
          <w:p>
            <w:pPr>
              <w:spacing w:after="0"/>
              <w:rPr>
                <w:sz w:val="16"/>
                <w:szCs w:val="16"/>
                <w:color w:val="auto"/>
              </w:rPr>
            </w:pPr>
          </w:p>
        </w:tc>
        <w:tc>
          <w:tcPr>
            <w:tcW w:w="6080" w:type="dxa"/>
            <w:vAlign w:val="bottom"/>
            <w:tcBorders>
              <w:right w:val="single" w:sz="8" w:color="7F7F7F"/>
            </w:tcBorders>
            <w:vMerge w:val="restart"/>
          </w:tcPr>
          <w:p>
            <w:pPr>
              <w:ind w:left="200"/>
              <w:spacing w:after="0"/>
              <w:rPr>
                <w:sz w:val="20"/>
                <w:szCs w:val="20"/>
                <w:color w:val="auto"/>
              </w:rPr>
            </w:pPr>
            <w:r>
              <w:rPr>
                <w:rFonts w:ascii="Arial" w:cs="Arial" w:eastAsia="Arial" w:hAnsi="Arial"/>
                <w:sz w:val="14"/>
                <w:szCs w:val="14"/>
                <w:color w:val="auto"/>
              </w:rPr>
              <w:t>PSU payout ranges from 0–150% and is settled in shares</w:t>
            </w:r>
          </w:p>
        </w:tc>
        <w:tc>
          <w:tcPr>
            <w:tcW w:w="420" w:type="dxa"/>
            <w:vAlign w:val="bottom"/>
          </w:tcPr>
          <w:p>
            <w:pPr>
              <w:ind w:left="340"/>
              <w:spacing w:after="0"/>
              <w:rPr>
                <w:sz w:val="20"/>
                <w:szCs w:val="20"/>
                <w:color w:val="auto"/>
              </w:rPr>
            </w:pPr>
            <w:r>
              <w:rPr>
                <w:rFonts w:ascii="Arial" w:cs="Arial" w:eastAsia="Arial" w:hAnsi="Arial"/>
                <w:sz w:val="12"/>
                <w:szCs w:val="12"/>
                <w:color w:val="auto"/>
              </w:rPr>
              <w:t>¡</w:t>
            </w:r>
          </w:p>
        </w:tc>
        <w:tc>
          <w:tcPr>
            <w:tcW w:w="1920" w:type="dxa"/>
            <w:vAlign w:val="bottom"/>
            <w:tcBorders>
              <w:right w:val="single" w:sz="8" w:color="7F7F7F"/>
            </w:tcBorders>
          </w:tcPr>
          <w:p>
            <w:pPr>
              <w:ind w:left="40"/>
              <w:spacing w:after="0"/>
              <w:rPr>
                <w:sz w:val="20"/>
                <w:szCs w:val="20"/>
                <w:color w:val="auto"/>
              </w:rPr>
            </w:pPr>
            <w:r>
              <w:rPr>
                <w:rFonts w:ascii="Arial" w:cs="Arial" w:eastAsia="Arial" w:hAnsi="Arial"/>
                <w:sz w:val="14"/>
                <w:szCs w:val="14"/>
                <w:color w:val="auto"/>
              </w:rPr>
              <w:t>Award cliff-vests at the end</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720" w:type="dxa"/>
            <w:vAlign w:val="bottom"/>
            <w:tcBorders>
              <w:right w:val="single" w:sz="8" w:color="7F7F7F"/>
            </w:tcBorders>
            <w:shd w:val="clear" w:color="auto" w:fill="E5E5E5"/>
          </w:tcPr>
          <w:p>
            <w:pPr>
              <w:spacing w:after="0"/>
              <w:rPr>
                <w:sz w:val="11"/>
                <w:szCs w:val="11"/>
                <w:color w:val="auto"/>
              </w:rPr>
            </w:pPr>
          </w:p>
        </w:tc>
        <w:tc>
          <w:tcPr>
            <w:tcW w:w="480" w:type="dxa"/>
            <w:vAlign w:val="bottom"/>
            <w:tcBorders>
              <w:right w:val="single" w:sz="8" w:color="7F7F7F"/>
            </w:tcBorders>
          </w:tcPr>
          <w:p>
            <w:pPr>
              <w:spacing w:after="0"/>
              <w:rPr>
                <w:sz w:val="11"/>
                <w:szCs w:val="11"/>
                <w:color w:val="auto"/>
              </w:rPr>
            </w:pPr>
          </w:p>
        </w:tc>
        <w:tc>
          <w:tcPr>
            <w:tcW w:w="560" w:type="dxa"/>
            <w:vAlign w:val="bottom"/>
            <w:tcBorders>
              <w:right w:val="single" w:sz="8" w:color="7F7F7F"/>
            </w:tcBorders>
          </w:tcPr>
          <w:p>
            <w:pPr>
              <w:spacing w:after="0"/>
              <w:rPr>
                <w:sz w:val="11"/>
                <w:szCs w:val="11"/>
                <w:color w:val="auto"/>
              </w:rPr>
            </w:pPr>
          </w:p>
        </w:tc>
        <w:tc>
          <w:tcPr>
            <w:tcW w:w="6080" w:type="dxa"/>
            <w:vAlign w:val="bottom"/>
            <w:tcBorders>
              <w:right w:val="single" w:sz="8" w:color="7F7F7F"/>
            </w:tcBorders>
            <w:vMerge w:val="continue"/>
          </w:tcPr>
          <w:p>
            <w:pPr>
              <w:spacing w:after="0"/>
              <w:rPr>
                <w:sz w:val="11"/>
                <w:szCs w:val="11"/>
                <w:color w:val="auto"/>
              </w:rPr>
            </w:pPr>
          </w:p>
        </w:tc>
        <w:tc>
          <w:tcPr>
            <w:tcW w:w="420" w:type="dxa"/>
            <w:vAlign w:val="bottom"/>
          </w:tcPr>
          <w:p>
            <w:pPr>
              <w:spacing w:after="0"/>
              <w:rPr>
                <w:sz w:val="11"/>
                <w:szCs w:val="11"/>
                <w:color w:val="auto"/>
              </w:rPr>
            </w:pPr>
          </w:p>
        </w:tc>
        <w:tc>
          <w:tcPr>
            <w:tcW w:w="1920" w:type="dxa"/>
            <w:vAlign w:val="bottom"/>
            <w:tcBorders>
              <w:right w:val="single" w:sz="8" w:color="7F7F7F"/>
            </w:tcBorders>
          </w:tcPr>
          <w:p>
            <w:pPr>
              <w:ind w:left="60"/>
              <w:spacing w:after="0" w:line="131" w:lineRule="exact"/>
              <w:rPr>
                <w:sz w:val="20"/>
                <w:szCs w:val="20"/>
                <w:color w:val="auto"/>
              </w:rPr>
            </w:pPr>
            <w:r>
              <w:rPr>
                <w:rFonts w:ascii="Arial" w:cs="Arial" w:eastAsia="Arial" w:hAnsi="Arial"/>
                <w:sz w:val="14"/>
                <w:szCs w:val="14"/>
                <w:color w:val="auto"/>
              </w:rPr>
              <w:t>of the three-year</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20" w:type="dxa"/>
            <w:vAlign w:val="bottom"/>
            <w:tcBorders>
              <w:right w:val="single" w:sz="8" w:color="7F7F7F"/>
            </w:tcBorders>
            <w:shd w:val="clear" w:color="auto" w:fill="E5E5E5"/>
          </w:tcPr>
          <w:p>
            <w:pPr>
              <w:spacing w:after="0"/>
              <w:rPr>
                <w:sz w:val="12"/>
                <w:szCs w:val="12"/>
                <w:color w:val="auto"/>
              </w:rPr>
            </w:pPr>
          </w:p>
        </w:tc>
        <w:tc>
          <w:tcPr>
            <w:tcW w:w="480" w:type="dxa"/>
            <w:vAlign w:val="bottom"/>
            <w:tcBorders>
              <w:right w:val="single" w:sz="8" w:color="7F7F7F"/>
            </w:tcBorders>
          </w:tcPr>
          <w:p>
            <w:pPr>
              <w:spacing w:after="0"/>
              <w:rPr>
                <w:sz w:val="12"/>
                <w:szCs w:val="12"/>
                <w:color w:val="auto"/>
              </w:rPr>
            </w:pPr>
          </w:p>
        </w:tc>
        <w:tc>
          <w:tcPr>
            <w:tcW w:w="560" w:type="dxa"/>
            <w:vAlign w:val="bottom"/>
            <w:tcBorders>
              <w:right w:val="single" w:sz="8" w:color="7F7F7F"/>
            </w:tcBorders>
          </w:tcPr>
          <w:p>
            <w:pPr>
              <w:spacing w:after="0"/>
              <w:rPr>
                <w:sz w:val="12"/>
                <w:szCs w:val="12"/>
                <w:color w:val="auto"/>
              </w:rPr>
            </w:pPr>
          </w:p>
        </w:tc>
        <w:tc>
          <w:tcPr>
            <w:tcW w:w="6080" w:type="dxa"/>
            <w:vAlign w:val="bottom"/>
            <w:tcBorders>
              <w:right w:val="single" w:sz="8" w:color="7F7F7F"/>
            </w:tcBorders>
          </w:tcPr>
          <w:p>
            <w:pPr>
              <w:ind w:left="200"/>
              <w:spacing w:after="0" w:line="140" w:lineRule="exact"/>
              <w:rPr>
                <w:sz w:val="20"/>
                <w:szCs w:val="20"/>
                <w:color w:val="auto"/>
              </w:rPr>
            </w:pPr>
            <w:r>
              <w:rPr>
                <w:rFonts w:ascii="Arial" w:cs="Arial" w:eastAsia="Arial" w:hAnsi="Arial"/>
                <w:sz w:val="14"/>
                <w:szCs w:val="14"/>
                <w:color w:val="auto"/>
              </w:rPr>
              <w:t>Dividend equivalents accrue on PSUs and are subject to the same vesting, performance</w:t>
            </w:r>
          </w:p>
        </w:tc>
        <w:tc>
          <w:tcPr>
            <w:tcW w:w="420" w:type="dxa"/>
            <w:vAlign w:val="bottom"/>
          </w:tcPr>
          <w:p>
            <w:pPr>
              <w:spacing w:after="0"/>
              <w:rPr>
                <w:sz w:val="12"/>
                <w:szCs w:val="12"/>
                <w:color w:val="auto"/>
              </w:rPr>
            </w:pPr>
          </w:p>
        </w:tc>
        <w:tc>
          <w:tcPr>
            <w:tcW w:w="1920" w:type="dxa"/>
            <w:vAlign w:val="bottom"/>
            <w:tcBorders>
              <w:right w:val="single" w:sz="8" w:color="7F7F7F"/>
            </w:tcBorders>
            <w:vMerge w:val="restart"/>
          </w:tcPr>
          <w:p>
            <w:pPr>
              <w:ind w:left="60"/>
              <w:spacing w:after="0"/>
              <w:rPr>
                <w:sz w:val="20"/>
                <w:szCs w:val="20"/>
                <w:color w:val="auto"/>
              </w:rPr>
            </w:pPr>
            <w:r>
              <w:rPr>
                <w:rFonts w:ascii="Arial" w:cs="Arial" w:eastAsia="Arial" w:hAnsi="Arial"/>
                <w:sz w:val="14"/>
                <w:szCs w:val="14"/>
                <w:color w:val="auto"/>
              </w:rPr>
              <w:t>performance period</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720" w:type="dxa"/>
            <w:vAlign w:val="bottom"/>
            <w:tcBorders>
              <w:right w:val="single" w:sz="8" w:color="7F7F7F"/>
            </w:tcBorders>
            <w:shd w:val="clear" w:color="auto" w:fill="E5E5E5"/>
          </w:tcPr>
          <w:p>
            <w:pPr>
              <w:spacing w:after="0"/>
              <w:rPr>
                <w:sz w:val="4"/>
                <w:szCs w:val="4"/>
                <w:color w:val="auto"/>
              </w:rPr>
            </w:pPr>
          </w:p>
        </w:tc>
        <w:tc>
          <w:tcPr>
            <w:tcW w:w="480" w:type="dxa"/>
            <w:vAlign w:val="bottom"/>
            <w:tcBorders>
              <w:right w:val="single" w:sz="8" w:color="7F7F7F"/>
            </w:tcBorders>
          </w:tcPr>
          <w:p>
            <w:pPr>
              <w:spacing w:after="0"/>
              <w:rPr>
                <w:sz w:val="4"/>
                <w:szCs w:val="4"/>
                <w:color w:val="auto"/>
              </w:rPr>
            </w:pPr>
          </w:p>
        </w:tc>
        <w:tc>
          <w:tcPr>
            <w:tcW w:w="560" w:type="dxa"/>
            <w:vAlign w:val="bottom"/>
            <w:tcBorders>
              <w:right w:val="single" w:sz="8" w:color="7F7F7F"/>
            </w:tcBorders>
          </w:tcPr>
          <w:p>
            <w:pPr>
              <w:spacing w:after="0"/>
              <w:rPr>
                <w:sz w:val="4"/>
                <w:szCs w:val="4"/>
                <w:color w:val="auto"/>
              </w:rPr>
            </w:pPr>
          </w:p>
        </w:tc>
        <w:tc>
          <w:tcPr>
            <w:tcW w:w="6080" w:type="dxa"/>
            <w:vAlign w:val="bottom"/>
            <w:tcBorders>
              <w:right w:val="single" w:sz="8" w:color="7F7F7F"/>
            </w:tcBorders>
            <w:vMerge w:val="restart"/>
          </w:tcPr>
          <w:p>
            <w:pPr>
              <w:ind w:left="340"/>
              <w:spacing w:after="0"/>
              <w:rPr>
                <w:sz w:val="20"/>
                <w:szCs w:val="20"/>
                <w:color w:val="auto"/>
              </w:rPr>
            </w:pPr>
            <w:r>
              <w:rPr>
                <w:rFonts w:ascii="Arial" w:cs="Arial" w:eastAsia="Arial" w:hAnsi="Arial"/>
                <w:sz w:val="14"/>
                <w:szCs w:val="14"/>
                <w:color w:val="auto"/>
              </w:rPr>
              <w:t>and clawback provisions as the underlying PSUs</w:t>
            </w:r>
          </w:p>
        </w:tc>
        <w:tc>
          <w:tcPr>
            <w:tcW w:w="420" w:type="dxa"/>
            <w:vAlign w:val="bottom"/>
          </w:tcPr>
          <w:p>
            <w:pPr>
              <w:spacing w:after="0"/>
              <w:rPr>
                <w:sz w:val="4"/>
                <w:szCs w:val="4"/>
                <w:color w:val="auto"/>
              </w:rPr>
            </w:pPr>
          </w:p>
        </w:tc>
        <w:tc>
          <w:tcPr>
            <w:tcW w:w="1920" w:type="dxa"/>
            <w:vAlign w:val="bottom"/>
            <w:tcBorders>
              <w:right w:val="single" w:sz="8" w:color="7F7F7F"/>
            </w:tcBorders>
            <w:vMerge w:val="continue"/>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720" w:type="dxa"/>
            <w:vAlign w:val="bottom"/>
            <w:tcBorders>
              <w:right w:val="single" w:sz="8" w:color="7F7F7F"/>
            </w:tcBorders>
            <w:shd w:val="clear" w:color="auto" w:fill="E5E5E5"/>
          </w:tcPr>
          <w:p>
            <w:pPr>
              <w:spacing w:after="0"/>
              <w:rPr>
                <w:sz w:val="10"/>
                <w:szCs w:val="10"/>
                <w:color w:val="auto"/>
              </w:rPr>
            </w:pPr>
          </w:p>
        </w:tc>
        <w:tc>
          <w:tcPr>
            <w:tcW w:w="480" w:type="dxa"/>
            <w:vAlign w:val="bottom"/>
            <w:tcBorders>
              <w:right w:val="single" w:sz="8" w:color="7F7F7F"/>
            </w:tcBorders>
          </w:tcPr>
          <w:p>
            <w:pPr>
              <w:spacing w:after="0"/>
              <w:rPr>
                <w:sz w:val="10"/>
                <w:szCs w:val="10"/>
                <w:color w:val="auto"/>
              </w:rPr>
            </w:pPr>
          </w:p>
        </w:tc>
        <w:tc>
          <w:tcPr>
            <w:tcW w:w="560" w:type="dxa"/>
            <w:vAlign w:val="bottom"/>
            <w:tcBorders>
              <w:right w:val="single" w:sz="8" w:color="7F7F7F"/>
            </w:tcBorders>
          </w:tcPr>
          <w:p>
            <w:pPr>
              <w:spacing w:after="0"/>
              <w:rPr>
                <w:sz w:val="10"/>
                <w:szCs w:val="10"/>
                <w:color w:val="auto"/>
              </w:rPr>
            </w:pPr>
          </w:p>
        </w:tc>
        <w:tc>
          <w:tcPr>
            <w:tcW w:w="6080" w:type="dxa"/>
            <w:vAlign w:val="bottom"/>
            <w:tcBorders>
              <w:right w:val="single" w:sz="8" w:color="7F7F7F"/>
            </w:tcBorders>
            <w:vMerge w:val="continue"/>
          </w:tcPr>
          <w:p>
            <w:pPr>
              <w:spacing w:after="0"/>
              <w:rPr>
                <w:sz w:val="10"/>
                <w:szCs w:val="10"/>
                <w:color w:val="auto"/>
              </w:rPr>
            </w:pPr>
          </w:p>
        </w:tc>
        <w:tc>
          <w:tcPr>
            <w:tcW w:w="420" w:type="dxa"/>
            <w:vAlign w:val="bottom"/>
            <w:vMerge w:val="restart"/>
          </w:tcPr>
          <w:p>
            <w:pPr>
              <w:ind w:left="340"/>
              <w:spacing w:after="0"/>
              <w:rPr>
                <w:sz w:val="20"/>
                <w:szCs w:val="20"/>
                <w:color w:val="auto"/>
              </w:rPr>
            </w:pPr>
            <w:r>
              <w:rPr>
                <w:rFonts w:ascii="Arial" w:cs="Arial" w:eastAsia="Arial" w:hAnsi="Arial"/>
                <w:sz w:val="12"/>
                <w:szCs w:val="12"/>
                <w:color w:val="auto"/>
              </w:rPr>
              <w:t>¡</w:t>
            </w:r>
          </w:p>
        </w:tc>
        <w:tc>
          <w:tcPr>
            <w:tcW w:w="1920" w:type="dxa"/>
            <w:vAlign w:val="bottom"/>
            <w:tcBorders>
              <w:right w:val="single" w:sz="8" w:color="7F7F7F"/>
            </w:tcBorders>
            <w:vMerge w:val="restart"/>
          </w:tcPr>
          <w:p>
            <w:pPr>
              <w:ind w:left="40"/>
              <w:spacing w:after="0"/>
              <w:rPr>
                <w:sz w:val="20"/>
                <w:szCs w:val="20"/>
                <w:color w:val="auto"/>
              </w:rPr>
            </w:pPr>
            <w:r>
              <w:rPr>
                <w:rFonts w:ascii="Arial" w:cs="Arial" w:eastAsia="Arial" w:hAnsi="Arial"/>
                <w:sz w:val="14"/>
                <w:szCs w:val="14"/>
                <w:color w:val="auto"/>
              </w:rPr>
              <w:t>Subject to a two-year hold</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720" w:type="dxa"/>
            <w:vAlign w:val="bottom"/>
            <w:tcBorders>
              <w:right w:val="single" w:sz="8" w:color="7F7F7F"/>
            </w:tcBorders>
            <w:shd w:val="clear" w:color="auto" w:fill="E5E5E5"/>
          </w:tcPr>
          <w:p>
            <w:pPr>
              <w:spacing w:after="0"/>
              <w:rPr>
                <w:sz w:val="3"/>
                <w:szCs w:val="3"/>
                <w:color w:val="auto"/>
              </w:rPr>
            </w:pPr>
          </w:p>
        </w:tc>
        <w:tc>
          <w:tcPr>
            <w:tcW w:w="480" w:type="dxa"/>
            <w:vAlign w:val="bottom"/>
            <w:tcBorders>
              <w:right w:val="single" w:sz="8" w:color="7F7F7F"/>
            </w:tcBorders>
          </w:tcPr>
          <w:p>
            <w:pPr>
              <w:spacing w:after="0"/>
              <w:rPr>
                <w:sz w:val="3"/>
                <w:szCs w:val="3"/>
                <w:color w:val="auto"/>
              </w:rPr>
            </w:pPr>
          </w:p>
        </w:tc>
        <w:tc>
          <w:tcPr>
            <w:tcW w:w="560" w:type="dxa"/>
            <w:vAlign w:val="bottom"/>
            <w:tcBorders>
              <w:right w:val="single" w:sz="8" w:color="7F7F7F"/>
            </w:tcBorders>
          </w:tcPr>
          <w:p>
            <w:pPr>
              <w:spacing w:after="0"/>
              <w:rPr>
                <w:sz w:val="3"/>
                <w:szCs w:val="3"/>
                <w:color w:val="auto"/>
              </w:rPr>
            </w:pPr>
          </w:p>
        </w:tc>
        <w:tc>
          <w:tcPr>
            <w:tcW w:w="6080" w:type="dxa"/>
            <w:vAlign w:val="bottom"/>
            <w:tcBorders>
              <w:right w:val="single" w:sz="8" w:color="7F7F7F"/>
            </w:tcBorders>
          </w:tcPr>
          <w:p>
            <w:pPr>
              <w:spacing w:after="0"/>
              <w:rPr>
                <w:sz w:val="3"/>
                <w:szCs w:val="3"/>
                <w:color w:val="auto"/>
              </w:rPr>
            </w:pPr>
          </w:p>
        </w:tc>
        <w:tc>
          <w:tcPr>
            <w:tcW w:w="420" w:type="dxa"/>
            <w:vAlign w:val="bottom"/>
            <w:vMerge w:val="continue"/>
          </w:tcPr>
          <w:p>
            <w:pPr>
              <w:spacing w:after="0"/>
              <w:rPr>
                <w:sz w:val="3"/>
                <w:szCs w:val="3"/>
                <w:color w:val="auto"/>
              </w:rPr>
            </w:pPr>
          </w:p>
        </w:tc>
        <w:tc>
          <w:tcPr>
            <w:tcW w:w="1920" w:type="dxa"/>
            <w:vAlign w:val="bottom"/>
            <w:tcBorders>
              <w:right w:val="single" w:sz="8" w:color="7F7F7F"/>
            </w:tcBorders>
            <w:vMerge w:val="continue"/>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004876"/>
              <w:right w:val="single" w:sz="8" w:color="7F7F7F"/>
            </w:tcBorders>
            <w:shd w:val="clear" w:color="auto" w:fill="E5E5E5"/>
          </w:tcPr>
          <w:p>
            <w:pPr>
              <w:spacing w:after="0"/>
              <w:rPr>
                <w:sz w:val="14"/>
                <w:szCs w:val="14"/>
                <w:color w:val="auto"/>
              </w:rPr>
            </w:pPr>
          </w:p>
        </w:tc>
        <w:tc>
          <w:tcPr>
            <w:tcW w:w="480" w:type="dxa"/>
            <w:vAlign w:val="bottom"/>
            <w:tcBorders>
              <w:bottom w:val="single" w:sz="8" w:color="004876"/>
              <w:right w:val="single" w:sz="8" w:color="7F7F7F"/>
            </w:tcBorders>
          </w:tcPr>
          <w:p>
            <w:pPr>
              <w:spacing w:after="0"/>
              <w:rPr>
                <w:sz w:val="14"/>
                <w:szCs w:val="14"/>
                <w:color w:val="auto"/>
              </w:rPr>
            </w:pPr>
          </w:p>
        </w:tc>
        <w:tc>
          <w:tcPr>
            <w:tcW w:w="560" w:type="dxa"/>
            <w:vAlign w:val="bottom"/>
            <w:tcBorders>
              <w:bottom w:val="single" w:sz="8" w:color="004876"/>
              <w:right w:val="single" w:sz="8" w:color="7F7F7F"/>
            </w:tcBorders>
          </w:tcPr>
          <w:p>
            <w:pPr>
              <w:spacing w:after="0"/>
              <w:rPr>
                <w:sz w:val="14"/>
                <w:szCs w:val="14"/>
                <w:color w:val="auto"/>
              </w:rPr>
            </w:pPr>
          </w:p>
        </w:tc>
        <w:tc>
          <w:tcPr>
            <w:tcW w:w="6080" w:type="dxa"/>
            <w:vAlign w:val="bottom"/>
            <w:tcBorders>
              <w:bottom w:val="single" w:sz="8" w:color="004876"/>
              <w:right w:val="single" w:sz="8" w:color="7F7F7F"/>
            </w:tcBorders>
          </w:tcPr>
          <w:p>
            <w:pPr>
              <w:spacing w:after="0"/>
              <w:rPr>
                <w:sz w:val="14"/>
                <w:szCs w:val="14"/>
                <w:color w:val="auto"/>
              </w:rPr>
            </w:pPr>
          </w:p>
        </w:tc>
        <w:tc>
          <w:tcPr>
            <w:tcW w:w="420" w:type="dxa"/>
            <w:vAlign w:val="bottom"/>
            <w:tcBorders>
              <w:bottom w:val="single" w:sz="8" w:color="004876"/>
            </w:tcBorders>
          </w:tcPr>
          <w:p>
            <w:pPr>
              <w:spacing w:after="0"/>
              <w:rPr>
                <w:sz w:val="14"/>
                <w:szCs w:val="14"/>
                <w:color w:val="auto"/>
              </w:rPr>
            </w:pPr>
          </w:p>
        </w:tc>
        <w:tc>
          <w:tcPr>
            <w:tcW w:w="1920" w:type="dxa"/>
            <w:vAlign w:val="bottom"/>
            <w:tcBorders>
              <w:bottom w:val="single" w:sz="8" w:color="004876"/>
              <w:right w:val="single" w:sz="8" w:color="7F7F7F"/>
            </w:tcBorders>
          </w:tcPr>
          <w:p>
            <w:pPr>
              <w:ind w:left="60"/>
              <w:spacing w:after="0"/>
              <w:rPr>
                <w:sz w:val="20"/>
                <w:szCs w:val="20"/>
                <w:color w:val="auto"/>
              </w:rPr>
            </w:pPr>
            <w:r>
              <w:rPr>
                <w:rFonts w:ascii="Arial" w:cs="Arial" w:eastAsia="Arial" w:hAnsi="Arial"/>
                <w:sz w:val="14"/>
                <w:szCs w:val="14"/>
                <w:color w:val="auto"/>
              </w:rPr>
              <w:t>after vesting</w:t>
            </w:r>
          </w:p>
        </w:tc>
        <w:tc>
          <w:tcPr>
            <w:tcW w:w="840" w:type="dxa"/>
            <w:vAlign w:val="bottom"/>
            <w:tcBorders>
              <w:bottom w:val="single" w:sz="8" w:color="00487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4876"/>
        </w:rPr>
        <w:t>2018 COMPENSATION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108585</wp:posOffset>
            </wp:positionV>
            <wp:extent cx="6997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1" w:lineRule="exact"/>
        <w:rPr>
          <w:sz w:val="20"/>
          <w:szCs w:val="20"/>
          <w:color w:val="auto"/>
        </w:rPr>
      </w:pPr>
    </w:p>
    <w:p>
      <w:pPr>
        <w:ind w:left="200" w:right="480"/>
        <w:spacing w:after="0" w:line="246" w:lineRule="auto"/>
        <w:rPr>
          <w:sz w:val="20"/>
          <w:szCs w:val="20"/>
          <w:color w:val="auto"/>
        </w:rPr>
      </w:pPr>
      <w:r>
        <w:rPr>
          <w:rFonts w:ascii="Arial" w:cs="Arial" w:eastAsia="Arial" w:hAnsi="Arial"/>
          <w:sz w:val="18"/>
          <w:szCs w:val="18"/>
          <w:color w:val="auto"/>
        </w:rPr>
        <w:t>Our compensation program provides for an appropriate mix between base salary, cash and equity incentives that vest over time. The charts below reflect the 2018 total compensation pay mix of our NEOs</w:t>
      </w:r>
      <w:r>
        <w:rPr>
          <w:rFonts w:ascii="Arial" w:cs="Arial" w:eastAsia="Arial" w:hAnsi="Arial"/>
          <w:sz w:val="15"/>
          <w:szCs w:val="15"/>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142875</wp:posOffset>
            </wp:positionV>
            <wp:extent cx="4528185" cy="14408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52818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hanging="167"/>
        <w:spacing w:after="0"/>
        <w:tabs>
          <w:tab w:leader="none" w:pos="420" w:val="left"/>
        </w:tabs>
        <w:numPr>
          <w:ilvl w:val="0"/>
          <w:numId w:val="89"/>
        </w:numPr>
        <w:rPr>
          <w:rFonts w:ascii="Arial" w:cs="Arial" w:eastAsia="Arial" w:hAnsi="Arial"/>
          <w:sz w:val="11"/>
          <w:szCs w:val="11"/>
          <w:color w:val="auto"/>
        </w:rPr>
      </w:pPr>
      <w:r>
        <w:rPr>
          <w:rFonts w:ascii="Arial" w:cs="Arial" w:eastAsia="Arial" w:hAnsi="Arial"/>
          <w:sz w:val="13"/>
          <w:szCs w:val="13"/>
          <w:color w:val="auto"/>
        </w:rPr>
        <w:t>Excludes Mr. Pinto who is located in the U.K. Due to local regulations, Mr. Pinto receives a fixed allowance, did not receive a cash incentive, and both his RSUs and PSUs are subject to:</w:t>
      </w:r>
    </w:p>
    <w:p>
      <w:pPr>
        <w:ind w:left="420" w:right="100"/>
        <w:spacing w:after="0" w:line="222" w:lineRule="auto"/>
        <w:rPr>
          <w:rFonts w:ascii="Arial" w:cs="Arial" w:eastAsia="Arial" w:hAnsi="Arial"/>
          <w:sz w:val="11"/>
          <w:szCs w:val="11"/>
          <w:color w:val="auto"/>
        </w:rPr>
      </w:pPr>
      <w:r>
        <w:rPr>
          <w:rFonts w:ascii="Arial" w:cs="Arial" w:eastAsia="Arial" w:hAnsi="Arial"/>
          <w:sz w:val="13"/>
          <w:szCs w:val="13"/>
          <w:color w:val="auto"/>
        </w:rPr>
        <w:t>(i) extended seven year vesting (commencing ratably on the third year anniversary of grant); (ii) additional U.K. clawback/recovery provisions; and (iii) a minimum twelve-month hold after each vesting, and are not eligible for payment/accrual of dividend equivalents. In addition, as it relates to Mr. Pinto’s PSUs, the CMDC may use its discretion, as appropriate, to downward adjust payout based on his performance against qualitative criteria and priorities during the performance period, including performance against his local regulatory responsibilities as a U.K. “Senior Manager” under the Individual Accountability Regime. Local regulators review compensation structures for Identified Staff periodically and may require future adjustments. Additional information on the composition of Mr. Pinto’s compensation is on page 57 of this proxy statement.</w:t>
      </w:r>
    </w:p>
    <w:p>
      <w:pPr>
        <w:spacing w:after="0" w:line="51" w:lineRule="exact"/>
        <w:rPr>
          <w:sz w:val="20"/>
          <w:szCs w:val="20"/>
          <w:color w:val="auto"/>
        </w:rPr>
      </w:pPr>
    </w:p>
    <w:p>
      <w:pPr>
        <w:ind w:left="420" w:hanging="167"/>
        <w:spacing w:after="0"/>
        <w:tabs>
          <w:tab w:leader="none" w:pos="420" w:val="left"/>
        </w:tabs>
        <w:numPr>
          <w:ilvl w:val="0"/>
          <w:numId w:val="90"/>
        </w:numPr>
        <w:rPr>
          <w:rFonts w:ascii="Arial" w:cs="Arial" w:eastAsia="Arial" w:hAnsi="Arial"/>
          <w:sz w:val="11"/>
          <w:szCs w:val="11"/>
          <w:color w:val="auto"/>
        </w:rPr>
      </w:pPr>
      <w:r>
        <w:rPr>
          <w:rFonts w:ascii="Arial" w:cs="Arial" w:eastAsia="Arial" w:hAnsi="Arial"/>
          <w:sz w:val="13"/>
          <w:szCs w:val="13"/>
          <w:color w:val="auto"/>
        </w:rPr>
        <w:t>Additional information on recovery and clawback provisions is provided on page 63 of this proxy statement.</w:t>
      </w:r>
    </w:p>
    <w:p>
      <w:pPr>
        <w:spacing w:after="0" w:line="161"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EXECUTIVE COMPENSATION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Performance share unit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3"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The PSU program further strengthens long-term shareholder alignment by linking ultimate payout to pre-established absolute and relative goals based on a formula, subject to risk and control features.</w:t>
      </w:r>
    </w:p>
    <w:p>
      <w:pPr>
        <w:spacing w:after="0" w:line="90"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1740" w:type="dxa"/>
            <w:vAlign w:val="bottom"/>
          </w:tcPr>
          <w:p>
            <w:pPr>
              <w:ind w:left="60"/>
              <w:spacing w:after="0"/>
              <w:rPr>
                <w:sz w:val="20"/>
                <w:szCs w:val="20"/>
                <w:color w:val="auto"/>
              </w:rPr>
            </w:pPr>
            <w:r>
              <w:rPr>
                <w:rFonts w:ascii="Arial" w:cs="Arial" w:eastAsia="Arial" w:hAnsi="Arial"/>
                <w:sz w:val="14"/>
                <w:szCs w:val="14"/>
                <w:b w:val="1"/>
                <w:bCs w:val="1"/>
                <w:color w:val="auto"/>
              </w:rPr>
              <w:t>Plan Feature</w:t>
            </w:r>
          </w:p>
        </w:tc>
        <w:tc>
          <w:tcPr>
            <w:tcW w:w="9280" w:type="dxa"/>
            <w:vAlign w:val="bottom"/>
          </w:tcPr>
          <w:p>
            <w:pPr>
              <w:ind w:left="3080"/>
              <w:spacing w:after="0"/>
              <w:rPr>
                <w:sz w:val="20"/>
                <w:szCs w:val="20"/>
                <w:color w:val="auto"/>
              </w:rPr>
            </w:pPr>
            <w:r>
              <w:rPr>
                <w:rFonts w:ascii="Arial" w:cs="Arial" w:eastAsia="Arial" w:hAnsi="Arial"/>
                <w:sz w:val="14"/>
                <w:szCs w:val="14"/>
                <w:b w:val="1"/>
                <w:bCs w:val="1"/>
                <w:color w:val="auto"/>
              </w:rPr>
              <w:t>Performance Year 2018 PSU Award Description</w:t>
            </w:r>
          </w:p>
        </w:tc>
      </w:tr>
      <w:tr>
        <w:trPr>
          <w:trHeight w:val="39"/>
        </w:trPr>
        <w:tc>
          <w:tcPr>
            <w:tcW w:w="1740" w:type="dxa"/>
            <w:vAlign w:val="bottom"/>
            <w:tcBorders>
              <w:bottom w:val="single" w:sz="8" w:color="004876"/>
            </w:tcBorders>
          </w:tcPr>
          <w:p>
            <w:pPr>
              <w:spacing w:after="0"/>
              <w:rPr>
                <w:sz w:val="3"/>
                <w:szCs w:val="3"/>
                <w:color w:val="auto"/>
              </w:rPr>
            </w:pPr>
          </w:p>
        </w:tc>
        <w:tc>
          <w:tcPr>
            <w:tcW w:w="9280" w:type="dxa"/>
            <w:vAlign w:val="bottom"/>
            <w:tcBorders>
              <w:bottom w:val="single" w:sz="8" w:color="004876"/>
            </w:tcBorders>
          </w:tcPr>
          <w:p>
            <w:pPr>
              <w:spacing w:after="0"/>
              <w:rPr>
                <w:sz w:val="3"/>
                <w:szCs w:val="3"/>
                <w:color w:val="auto"/>
              </w:rPr>
            </w:pPr>
          </w:p>
        </w:tc>
      </w:tr>
      <w:tr>
        <w:trPr>
          <w:trHeight w:val="277"/>
        </w:trPr>
        <w:tc>
          <w:tcPr>
            <w:tcW w:w="1740" w:type="dxa"/>
            <w:vAlign w:val="bottom"/>
          </w:tcPr>
          <w:p>
            <w:pPr>
              <w:ind w:left="60"/>
              <w:spacing w:after="0"/>
              <w:rPr>
                <w:sz w:val="20"/>
                <w:szCs w:val="20"/>
                <w:color w:val="auto"/>
              </w:rPr>
            </w:pPr>
            <w:r>
              <w:rPr>
                <w:rFonts w:ascii="Arial" w:cs="Arial" w:eastAsia="Arial" w:hAnsi="Arial"/>
                <w:sz w:val="14"/>
                <w:szCs w:val="14"/>
                <w:b w:val="1"/>
                <w:bCs w:val="1"/>
                <w:color w:val="auto"/>
              </w:rPr>
              <w:t>Vehicle</w:t>
            </w:r>
          </w:p>
        </w:tc>
        <w:tc>
          <w:tcPr>
            <w:tcW w:w="9280" w:type="dxa"/>
            <w:vAlign w:val="bottom"/>
          </w:tcPr>
          <w:p>
            <w:pPr>
              <w:ind w:left="200"/>
              <w:spacing w:after="0"/>
              <w:rPr>
                <w:sz w:val="20"/>
                <w:szCs w:val="20"/>
                <w:color w:val="auto"/>
              </w:rPr>
            </w:pPr>
            <w:r>
              <w:rPr>
                <w:rFonts w:ascii="Arial" w:cs="Arial" w:eastAsia="Arial" w:hAnsi="Arial"/>
                <w:sz w:val="14"/>
                <w:szCs w:val="14"/>
                <w:color w:val="auto"/>
              </w:rPr>
              <w:t>Value of units moves with stock price during performance period; units are settled in shares at vesting</w:t>
            </w:r>
          </w:p>
        </w:tc>
      </w:tr>
      <w:tr>
        <w:trPr>
          <w:trHeight w:val="28"/>
        </w:trPr>
        <w:tc>
          <w:tcPr>
            <w:tcW w:w="1740" w:type="dxa"/>
            <w:vAlign w:val="bottom"/>
            <w:tcBorders>
              <w:bottom w:val="single" w:sz="8" w:color="7F7F7F"/>
            </w:tcBorders>
          </w:tcPr>
          <w:p>
            <w:pPr>
              <w:spacing w:after="0"/>
              <w:rPr>
                <w:sz w:val="2"/>
                <w:szCs w:val="2"/>
                <w:color w:val="auto"/>
              </w:rPr>
            </w:pPr>
          </w:p>
        </w:tc>
        <w:tc>
          <w:tcPr>
            <w:tcW w:w="9280" w:type="dxa"/>
            <w:vAlign w:val="bottom"/>
            <w:tcBorders>
              <w:bottom w:val="single" w:sz="8" w:color="7F7F7F"/>
            </w:tcBorders>
          </w:tcPr>
          <w:p>
            <w:pPr>
              <w:spacing w:after="0"/>
              <w:rPr>
                <w:sz w:val="2"/>
                <w:szCs w:val="2"/>
                <w:color w:val="auto"/>
              </w:rPr>
            </w:pPr>
          </w:p>
        </w:tc>
      </w:tr>
      <w:tr>
        <w:trPr>
          <w:trHeight w:val="277"/>
        </w:trPr>
        <w:tc>
          <w:tcPr>
            <w:tcW w:w="1740" w:type="dxa"/>
            <w:vAlign w:val="bottom"/>
          </w:tcPr>
          <w:p>
            <w:pPr>
              <w:ind w:left="60"/>
              <w:spacing w:after="0"/>
              <w:rPr>
                <w:sz w:val="20"/>
                <w:szCs w:val="20"/>
                <w:color w:val="auto"/>
              </w:rPr>
            </w:pPr>
            <w:r>
              <w:rPr>
                <w:rFonts w:ascii="Arial" w:cs="Arial" w:eastAsia="Arial" w:hAnsi="Arial"/>
                <w:sz w:val="14"/>
                <w:szCs w:val="14"/>
                <w:b w:val="1"/>
                <w:bCs w:val="1"/>
                <w:color w:val="auto"/>
              </w:rPr>
              <w:t>Time Horizon</w:t>
            </w:r>
          </w:p>
        </w:tc>
        <w:tc>
          <w:tcPr>
            <w:tcW w:w="9280" w:type="dxa"/>
            <w:vAlign w:val="bottom"/>
          </w:tcPr>
          <w:p>
            <w:pPr>
              <w:ind w:left="200"/>
              <w:spacing w:after="0"/>
              <w:rPr>
                <w:sz w:val="20"/>
                <w:szCs w:val="20"/>
                <w:color w:val="auto"/>
              </w:rPr>
            </w:pPr>
            <w:r>
              <w:rPr>
                <w:rFonts w:ascii="Arial" w:cs="Arial" w:eastAsia="Arial" w:hAnsi="Arial"/>
                <w:sz w:val="14"/>
                <w:szCs w:val="14"/>
                <w:color w:val="auto"/>
              </w:rPr>
              <w:t>3-year cliff vesting, plus an additional 2-year holding period (for a combined 5-year holding period)</w:t>
            </w:r>
          </w:p>
        </w:tc>
      </w:tr>
      <w:tr>
        <w:trPr>
          <w:trHeight w:val="28"/>
        </w:trPr>
        <w:tc>
          <w:tcPr>
            <w:tcW w:w="1740" w:type="dxa"/>
            <w:vAlign w:val="bottom"/>
            <w:tcBorders>
              <w:bottom w:val="single" w:sz="8" w:color="7F7F7F"/>
            </w:tcBorders>
          </w:tcPr>
          <w:p>
            <w:pPr>
              <w:spacing w:after="0"/>
              <w:rPr>
                <w:sz w:val="2"/>
                <w:szCs w:val="2"/>
                <w:color w:val="auto"/>
              </w:rPr>
            </w:pPr>
          </w:p>
        </w:tc>
        <w:tc>
          <w:tcPr>
            <w:tcW w:w="9280" w:type="dxa"/>
            <w:vAlign w:val="bottom"/>
            <w:tcBorders>
              <w:bottom w:val="single" w:sz="8" w:color="7F7F7F"/>
            </w:tcBorders>
          </w:tcPr>
          <w:p>
            <w:pPr>
              <w:spacing w:after="0"/>
              <w:rPr>
                <w:sz w:val="2"/>
                <w:szCs w:val="2"/>
                <w:color w:val="auto"/>
              </w:rPr>
            </w:pPr>
          </w:p>
        </w:tc>
      </w:tr>
      <w:tr>
        <w:trPr>
          <w:trHeight w:val="255"/>
        </w:trPr>
        <w:tc>
          <w:tcPr>
            <w:tcW w:w="1740" w:type="dxa"/>
            <w:vAlign w:val="bottom"/>
          </w:tcPr>
          <w:p>
            <w:pPr>
              <w:ind w:left="60"/>
              <w:spacing w:after="0"/>
              <w:rPr>
                <w:sz w:val="20"/>
                <w:szCs w:val="20"/>
                <w:color w:val="auto"/>
              </w:rPr>
            </w:pPr>
            <w:r>
              <w:rPr>
                <w:rFonts w:ascii="Arial" w:cs="Arial" w:eastAsia="Arial" w:hAnsi="Arial"/>
                <w:sz w:val="14"/>
                <w:szCs w:val="14"/>
                <w:b w:val="1"/>
                <w:bCs w:val="1"/>
                <w:color w:val="auto"/>
              </w:rPr>
              <w:t>Performance Measure</w:t>
            </w:r>
          </w:p>
        </w:tc>
        <w:tc>
          <w:tcPr>
            <w:tcW w:w="9280" w:type="dxa"/>
            <w:vAlign w:val="bottom"/>
          </w:tcPr>
          <w:p>
            <w:pPr>
              <w:ind w:left="200"/>
              <w:spacing w:after="0" w:line="255" w:lineRule="exact"/>
              <w:rPr>
                <w:sz w:val="20"/>
                <w:szCs w:val="20"/>
                <w:color w:val="auto"/>
              </w:rPr>
            </w:pPr>
            <w:r>
              <w:rPr>
                <w:rFonts w:ascii="Arial" w:cs="Arial" w:eastAsia="Arial" w:hAnsi="Arial"/>
                <w:sz w:val="14"/>
                <w:szCs w:val="14"/>
                <w:color w:val="auto"/>
              </w:rPr>
              <w:t>The CMDC selected ROTCE</w:t>
            </w:r>
            <w:r>
              <w:rPr>
                <w:rFonts w:ascii="Arial" w:cs="Arial" w:eastAsia="Arial" w:hAnsi="Arial"/>
                <w:sz w:val="24"/>
                <w:szCs w:val="24"/>
                <w:color w:val="auto"/>
                <w:vertAlign w:val="superscript"/>
              </w:rPr>
              <w:t>1</w:t>
            </w:r>
            <w:r>
              <w:rPr>
                <w:rFonts w:ascii="Arial" w:cs="Arial" w:eastAsia="Arial" w:hAnsi="Arial"/>
                <w:sz w:val="14"/>
                <w:szCs w:val="14"/>
                <w:color w:val="auto"/>
              </w:rPr>
              <w:t>, a fundamental performance metric, which measures the Firm’s net income applicable to common equity as a</w:t>
            </w:r>
          </w:p>
        </w:tc>
      </w:tr>
      <w:tr>
        <w:trPr>
          <w:trHeight w:val="162"/>
        </w:trPr>
        <w:tc>
          <w:tcPr>
            <w:tcW w:w="1740" w:type="dxa"/>
            <w:vAlign w:val="bottom"/>
          </w:tcPr>
          <w:p>
            <w:pPr>
              <w:spacing w:after="0"/>
              <w:rPr>
                <w:sz w:val="14"/>
                <w:szCs w:val="14"/>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percentage of average tangible common equity. ROTCE is meaningful to the Firm, as well as investors and analysts, in assessing the</w:t>
            </w:r>
          </w:p>
        </w:tc>
      </w:tr>
      <w:tr>
        <w:trPr>
          <w:trHeight w:val="162"/>
        </w:trPr>
        <w:tc>
          <w:tcPr>
            <w:tcW w:w="1740" w:type="dxa"/>
            <w:vAlign w:val="bottom"/>
          </w:tcPr>
          <w:p>
            <w:pPr>
              <w:spacing w:after="0"/>
              <w:rPr>
                <w:sz w:val="14"/>
                <w:szCs w:val="14"/>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earnings power of common shareholders’ equity capital and is a useful metric for comparing the profitability of the Firm with that of</w:t>
            </w:r>
          </w:p>
        </w:tc>
      </w:tr>
      <w:tr>
        <w:trPr>
          <w:trHeight w:val="172"/>
        </w:trPr>
        <w:tc>
          <w:tcPr>
            <w:tcW w:w="1740" w:type="dxa"/>
            <w:vAlign w:val="bottom"/>
          </w:tcPr>
          <w:p>
            <w:pPr>
              <w:spacing w:after="0"/>
              <w:rPr>
                <w:sz w:val="14"/>
                <w:szCs w:val="14"/>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competitors.</w:t>
            </w:r>
          </w:p>
        </w:tc>
      </w:tr>
      <w:tr>
        <w:trPr>
          <w:trHeight w:val="39"/>
        </w:trPr>
        <w:tc>
          <w:tcPr>
            <w:tcW w:w="1740" w:type="dxa"/>
            <w:vAlign w:val="bottom"/>
            <w:tcBorders>
              <w:bottom w:val="single" w:sz="8" w:color="7F7F7F"/>
            </w:tcBorders>
          </w:tcPr>
          <w:p>
            <w:pPr>
              <w:spacing w:after="0"/>
              <w:rPr>
                <w:sz w:val="3"/>
                <w:szCs w:val="3"/>
                <w:color w:val="auto"/>
              </w:rPr>
            </w:pPr>
          </w:p>
        </w:tc>
        <w:tc>
          <w:tcPr>
            <w:tcW w:w="9280" w:type="dxa"/>
            <w:vAlign w:val="bottom"/>
            <w:tcBorders>
              <w:bottom w:val="single" w:sz="8" w:color="7F7F7F"/>
            </w:tcBorders>
          </w:tcPr>
          <w:p>
            <w:pPr>
              <w:spacing w:after="0"/>
              <w:rPr>
                <w:sz w:val="3"/>
                <w:szCs w:val="3"/>
                <w:color w:val="auto"/>
              </w:rPr>
            </w:pPr>
          </w:p>
        </w:tc>
      </w:tr>
      <w:tr>
        <w:trPr>
          <w:trHeight w:val="255"/>
        </w:trPr>
        <w:tc>
          <w:tcPr>
            <w:tcW w:w="1740" w:type="dxa"/>
            <w:vAlign w:val="bottom"/>
          </w:tcPr>
          <w:p>
            <w:pPr>
              <w:ind w:left="60"/>
              <w:spacing w:after="0"/>
              <w:rPr>
                <w:sz w:val="20"/>
                <w:szCs w:val="20"/>
                <w:color w:val="auto"/>
              </w:rPr>
            </w:pPr>
            <w:r>
              <w:rPr>
                <w:rFonts w:ascii="Arial" w:cs="Arial" w:eastAsia="Arial" w:hAnsi="Arial"/>
                <w:sz w:val="14"/>
                <w:szCs w:val="14"/>
                <w:b w:val="1"/>
                <w:bCs w:val="1"/>
                <w:color w:val="auto"/>
              </w:rPr>
              <w:t>Payout Grid</w:t>
            </w:r>
          </w:p>
        </w:tc>
        <w:tc>
          <w:tcPr>
            <w:tcW w:w="9280" w:type="dxa"/>
            <w:vAlign w:val="bottom"/>
          </w:tcPr>
          <w:p>
            <w:pPr>
              <w:ind w:left="200"/>
              <w:spacing w:after="0"/>
              <w:rPr>
                <w:sz w:val="20"/>
                <w:szCs w:val="20"/>
                <w:color w:val="auto"/>
              </w:rPr>
            </w:pPr>
            <w:r>
              <w:rPr>
                <w:rFonts w:ascii="Arial" w:cs="Arial" w:eastAsia="Arial" w:hAnsi="Arial"/>
                <w:sz w:val="14"/>
                <w:szCs w:val="14"/>
                <w:color w:val="auto"/>
              </w:rPr>
              <w:t>Payout under the PSU plan is calculated annually over the three-year performance period based on absolute and relative ROTCE per the</w:t>
            </w:r>
          </w:p>
        </w:tc>
      </w:tr>
      <w:tr>
        <w:trPr>
          <w:trHeight w:val="162"/>
        </w:trPr>
        <w:tc>
          <w:tcPr>
            <w:tcW w:w="1740" w:type="dxa"/>
            <w:vAlign w:val="bottom"/>
          </w:tcPr>
          <w:p>
            <w:pPr>
              <w:spacing w:after="0"/>
              <w:rPr>
                <w:sz w:val="14"/>
                <w:szCs w:val="14"/>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formulaic payout grid below. Absolute and relative performance metrics help promote a reasonable outcome for both shareholders and</w:t>
            </w:r>
          </w:p>
        </w:tc>
      </w:tr>
      <w:tr>
        <w:trPr>
          <w:trHeight w:val="162"/>
        </w:trPr>
        <w:tc>
          <w:tcPr>
            <w:tcW w:w="1740" w:type="dxa"/>
            <w:vAlign w:val="bottom"/>
          </w:tcPr>
          <w:p>
            <w:pPr>
              <w:spacing w:after="0"/>
              <w:rPr>
                <w:sz w:val="14"/>
                <w:szCs w:val="14"/>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participants. Annual payout calculations prevent excessive weightings attributable to a single year within the three-year performance period.</w:t>
            </w:r>
          </w:p>
        </w:tc>
      </w:tr>
      <w:tr>
        <w:trPr>
          <w:trHeight w:val="162"/>
        </w:trPr>
        <w:tc>
          <w:tcPr>
            <w:tcW w:w="1740" w:type="dxa"/>
            <w:vAlign w:val="bottom"/>
          </w:tcPr>
          <w:p>
            <w:pPr>
              <w:spacing w:after="0"/>
              <w:rPr>
                <w:sz w:val="14"/>
                <w:szCs w:val="14"/>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For the 2018 PSU award, the CMDC set the maximum payout at an ROTCE level of 18% (or greater), compared to 14% in 2015 and 2016</w:t>
            </w:r>
          </w:p>
        </w:tc>
      </w:tr>
      <w:tr>
        <w:trPr>
          <w:trHeight w:val="172"/>
        </w:trPr>
        <w:tc>
          <w:tcPr>
            <w:tcW w:w="1740" w:type="dxa"/>
            <w:vAlign w:val="bottom"/>
          </w:tcPr>
          <w:p>
            <w:pPr>
              <w:spacing w:after="0"/>
              <w:rPr>
                <w:sz w:val="14"/>
                <w:szCs w:val="14"/>
                <w:color w:val="auto"/>
              </w:rPr>
            </w:pPr>
          </w:p>
        </w:tc>
        <w:tc>
          <w:tcPr>
            <w:tcW w:w="9280" w:type="dxa"/>
            <w:vAlign w:val="bottom"/>
          </w:tcPr>
          <w:p>
            <w:pPr>
              <w:ind w:left="340"/>
              <w:spacing w:after="0"/>
              <w:rPr>
                <w:sz w:val="20"/>
                <w:szCs w:val="20"/>
                <w:color w:val="auto"/>
              </w:rPr>
            </w:pPr>
            <w:r>
              <w:rPr>
                <w:rFonts w:ascii="Arial" w:cs="Arial" w:eastAsia="Arial" w:hAnsi="Arial"/>
                <w:sz w:val="14"/>
                <w:szCs w:val="14"/>
                <w:color w:val="auto"/>
              </w:rPr>
              <w:t>and 17% in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-1518285</wp:posOffset>
            </wp:positionV>
            <wp:extent cx="6997700" cy="36017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7700"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1720" w:type="dxa"/>
            <w:vAlign w:val="bottom"/>
          </w:tcPr>
          <w:p>
            <w:pPr>
              <w:ind w:left="60"/>
              <w:spacing w:after="0"/>
              <w:rPr>
                <w:sz w:val="20"/>
                <w:szCs w:val="20"/>
                <w:color w:val="auto"/>
              </w:rPr>
            </w:pPr>
            <w:r>
              <w:rPr>
                <w:rFonts w:ascii="Arial" w:cs="Arial" w:eastAsia="Arial" w:hAnsi="Arial"/>
                <w:sz w:val="14"/>
                <w:szCs w:val="14"/>
                <w:b w:val="1"/>
                <w:bCs w:val="1"/>
                <w:color w:val="auto"/>
              </w:rPr>
              <w:t>Minimum Risk-based</w:t>
            </w:r>
          </w:p>
        </w:tc>
        <w:tc>
          <w:tcPr>
            <w:tcW w:w="9300" w:type="dxa"/>
            <w:vAlign w:val="bottom"/>
          </w:tcPr>
          <w:p>
            <w:pPr>
              <w:ind w:left="220"/>
              <w:spacing w:after="0"/>
              <w:rPr>
                <w:sz w:val="20"/>
                <w:szCs w:val="20"/>
                <w:color w:val="auto"/>
              </w:rPr>
            </w:pPr>
            <w:r>
              <w:rPr>
                <w:rFonts w:ascii="Arial" w:cs="Arial" w:eastAsia="Arial" w:hAnsi="Arial"/>
                <w:sz w:val="14"/>
                <w:szCs w:val="14"/>
                <w:color w:val="auto"/>
              </w:rPr>
              <w:t>If the Firm’s common equity Tier 1 (“CET1”) capital ratio</w:t>
            </w:r>
            <w:r>
              <w:rPr>
                <w:rFonts w:ascii="Arial" w:cs="Arial" w:eastAsia="Arial" w:hAnsi="Arial"/>
                <w:sz w:val="24"/>
                <w:szCs w:val="24"/>
                <w:color w:val="auto"/>
                <w:vertAlign w:val="superscript"/>
              </w:rPr>
              <w:t>2</w:t>
            </w:r>
            <w:r>
              <w:rPr>
                <w:rFonts w:ascii="Arial" w:cs="Arial" w:eastAsia="Arial" w:hAnsi="Arial"/>
                <w:sz w:val="14"/>
                <w:szCs w:val="14"/>
                <w:color w:val="auto"/>
              </w:rPr>
              <w:t xml:space="preserve"> is less than 7.5% at any year-end, then unvested PSUs referencing that</w:t>
            </w:r>
          </w:p>
        </w:tc>
        <w:tc>
          <w:tcPr>
            <w:tcW w:w="0" w:type="dxa"/>
            <w:vAlign w:val="bottom"/>
          </w:tcPr>
          <w:p>
            <w:pPr>
              <w:spacing w:after="0"/>
              <w:rPr>
                <w:sz w:val="1"/>
                <w:szCs w:val="1"/>
                <w:color w:val="auto"/>
              </w:rPr>
            </w:pPr>
          </w:p>
        </w:tc>
      </w:tr>
      <w:tr>
        <w:trPr>
          <w:trHeight w:val="189"/>
        </w:trPr>
        <w:tc>
          <w:tcPr>
            <w:tcW w:w="1720" w:type="dxa"/>
            <w:vAlign w:val="bottom"/>
          </w:tcPr>
          <w:p>
            <w:pPr>
              <w:ind w:left="60"/>
              <w:spacing w:after="0"/>
              <w:rPr>
                <w:sz w:val="20"/>
                <w:szCs w:val="20"/>
                <w:color w:val="auto"/>
              </w:rPr>
            </w:pPr>
            <w:r>
              <w:rPr>
                <w:rFonts w:ascii="Arial" w:cs="Arial" w:eastAsia="Arial" w:hAnsi="Arial"/>
                <w:sz w:val="14"/>
                <w:szCs w:val="14"/>
                <w:b w:val="1"/>
                <w:bCs w:val="1"/>
                <w:color w:val="auto"/>
              </w:rPr>
              <w:t>Hurdle</w:t>
            </w:r>
          </w:p>
        </w:tc>
        <w:tc>
          <w:tcPr>
            <w:tcW w:w="9300" w:type="dxa"/>
            <w:vAlign w:val="bottom"/>
            <w:vMerge w:val="restart"/>
          </w:tcPr>
          <w:p>
            <w:pPr>
              <w:ind w:left="360"/>
              <w:spacing w:after="0"/>
              <w:rPr>
                <w:sz w:val="20"/>
                <w:szCs w:val="20"/>
                <w:color w:val="auto"/>
              </w:rPr>
            </w:pPr>
            <w:r>
              <w:rPr>
                <w:rFonts w:ascii="Arial" w:cs="Arial" w:eastAsia="Arial" w:hAnsi="Arial"/>
                <w:sz w:val="14"/>
                <w:szCs w:val="14"/>
                <w:color w:val="auto"/>
              </w:rPr>
              <w:t>performance year will be subject to downward adjustment by the CMDC. This feature was first introduced with the 2017 PSU award.</w:t>
            </w:r>
          </w:p>
        </w:tc>
        <w:tc>
          <w:tcPr>
            <w:tcW w:w="0" w:type="dxa"/>
            <w:vAlign w:val="bottom"/>
          </w:tcPr>
          <w:p>
            <w:pPr>
              <w:spacing w:after="0"/>
              <w:rPr>
                <w:sz w:val="1"/>
                <w:szCs w:val="1"/>
                <w:color w:val="auto"/>
              </w:rPr>
            </w:pPr>
          </w:p>
        </w:tc>
      </w:tr>
      <w:tr>
        <w:trPr>
          <w:trHeight w:val="42"/>
        </w:trPr>
        <w:tc>
          <w:tcPr>
            <w:tcW w:w="1720" w:type="dxa"/>
            <w:vAlign w:val="bottom"/>
          </w:tcPr>
          <w:p>
            <w:pPr>
              <w:spacing w:after="0"/>
              <w:rPr>
                <w:sz w:val="3"/>
                <w:szCs w:val="3"/>
                <w:color w:val="auto"/>
              </w:rPr>
            </w:pPr>
          </w:p>
        </w:tc>
        <w:tc>
          <w:tcPr>
            <w:tcW w:w="9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1720" w:type="dxa"/>
            <w:vAlign w:val="bottom"/>
            <w:tcBorders>
              <w:bottom w:val="single" w:sz="8" w:color="7F7F7F"/>
            </w:tcBorders>
          </w:tcPr>
          <w:p>
            <w:pPr>
              <w:spacing w:after="0"/>
              <w:rPr>
                <w:sz w:val="3"/>
                <w:szCs w:val="3"/>
                <w:color w:val="auto"/>
              </w:rPr>
            </w:pPr>
          </w:p>
        </w:tc>
        <w:tc>
          <w:tcPr>
            <w:tcW w:w="93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720" w:type="dxa"/>
            <w:vAlign w:val="bottom"/>
          </w:tcPr>
          <w:p>
            <w:pPr>
              <w:ind w:left="60"/>
              <w:spacing w:after="0"/>
              <w:rPr>
                <w:sz w:val="20"/>
                <w:szCs w:val="20"/>
                <w:color w:val="auto"/>
              </w:rPr>
            </w:pPr>
            <w:r>
              <w:rPr>
                <w:rFonts w:ascii="Arial" w:cs="Arial" w:eastAsia="Arial" w:hAnsi="Arial"/>
                <w:sz w:val="14"/>
                <w:szCs w:val="14"/>
                <w:b w:val="1"/>
                <w:bCs w:val="1"/>
                <w:color w:val="auto"/>
              </w:rPr>
              <w:t>PSU Performance</w:t>
            </w:r>
          </w:p>
        </w:tc>
        <w:tc>
          <w:tcPr>
            <w:tcW w:w="9300" w:type="dxa"/>
            <w:vAlign w:val="bottom"/>
          </w:tcPr>
          <w:p>
            <w:pPr>
              <w:ind w:left="220"/>
              <w:spacing w:after="0"/>
              <w:rPr>
                <w:sz w:val="20"/>
                <w:szCs w:val="20"/>
                <w:color w:val="auto"/>
              </w:rPr>
            </w:pPr>
            <w:r>
              <w:rPr>
                <w:rFonts w:ascii="Arial" w:cs="Arial" w:eastAsia="Arial" w:hAnsi="Arial"/>
                <w:sz w:val="14"/>
                <w:szCs w:val="14"/>
                <w:color w:val="auto"/>
              </w:rPr>
              <w:t>In determining companies to include in the relative ROTCE scale, the CMDC selected competitors with business activities that overlap with</w:t>
            </w:r>
          </w:p>
        </w:tc>
        <w:tc>
          <w:tcPr>
            <w:tcW w:w="0" w:type="dxa"/>
            <w:vAlign w:val="bottom"/>
          </w:tcPr>
          <w:p>
            <w:pPr>
              <w:spacing w:after="0"/>
              <w:rPr>
                <w:sz w:val="1"/>
                <w:szCs w:val="1"/>
                <w:color w:val="auto"/>
              </w:rPr>
            </w:pPr>
          </w:p>
        </w:tc>
      </w:tr>
      <w:tr>
        <w:trPr>
          <w:trHeight w:val="189"/>
        </w:trPr>
        <w:tc>
          <w:tcPr>
            <w:tcW w:w="1720" w:type="dxa"/>
            <w:vAlign w:val="bottom"/>
          </w:tcPr>
          <w:p>
            <w:pPr>
              <w:ind w:left="60"/>
              <w:spacing w:after="0"/>
              <w:rPr>
                <w:sz w:val="20"/>
                <w:szCs w:val="20"/>
                <w:color w:val="auto"/>
              </w:rPr>
            </w:pPr>
            <w:r>
              <w:rPr>
                <w:rFonts w:ascii="Arial" w:cs="Arial" w:eastAsia="Arial" w:hAnsi="Arial"/>
                <w:sz w:val="14"/>
                <w:szCs w:val="14"/>
                <w:b w:val="1"/>
                <w:bCs w:val="1"/>
                <w:color w:val="auto"/>
              </w:rPr>
              <w:t>Companies</w:t>
            </w:r>
          </w:p>
        </w:tc>
        <w:tc>
          <w:tcPr>
            <w:tcW w:w="9300" w:type="dxa"/>
            <w:vAlign w:val="bottom"/>
            <w:vMerge w:val="restart"/>
          </w:tcPr>
          <w:p>
            <w:pPr>
              <w:ind w:left="360"/>
              <w:spacing w:after="0"/>
              <w:rPr>
                <w:sz w:val="20"/>
                <w:szCs w:val="20"/>
                <w:color w:val="auto"/>
              </w:rPr>
            </w:pPr>
            <w:r>
              <w:rPr>
                <w:rFonts w:ascii="Arial" w:cs="Arial" w:eastAsia="Arial" w:hAnsi="Arial"/>
                <w:sz w:val="14"/>
                <w:szCs w:val="14"/>
                <w:color w:val="auto"/>
              </w:rPr>
              <w:t>at least 30% of the Firm’s revenue mix. These are unchanged from prior years and include Bank of America, Barclays, Capital One</w:t>
            </w:r>
          </w:p>
        </w:tc>
        <w:tc>
          <w:tcPr>
            <w:tcW w:w="0" w:type="dxa"/>
            <w:vAlign w:val="bottom"/>
          </w:tcPr>
          <w:p>
            <w:pPr>
              <w:spacing w:after="0"/>
              <w:rPr>
                <w:sz w:val="1"/>
                <w:szCs w:val="1"/>
                <w:color w:val="auto"/>
              </w:rPr>
            </w:pPr>
          </w:p>
        </w:tc>
      </w:tr>
      <w:tr>
        <w:trPr>
          <w:trHeight w:val="32"/>
        </w:trPr>
        <w:tc>
          <w:tcPr>
            <w:tcW w:w="1720" w:type="dxa"/>
            <w:vAlign w:val="bottom"/>
          </w:tcPr>
          <w:p>
            <w:pPr>
              <w:spacing w:after="0"/>
              <w:rPr>
                <w:sz w:val="2"/>
                <w:szCs w:val="2"/>
                <w:color w:val="auto"/>
              </w:rPr>
            </w:pPr>
          </w:p>
        </w:tc>
        <w:tc>
          <w:tcPr>
            <w:tcW w:w="9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720" w:type="dxa"/>
            <w:vAlign w:val="bottom"/>
          </w:tcPr>
          <w:p>
            <w:pPr>
              <w:spacing w:after="0"/>
              <w:rPr>
                <w:sz w:val="14"/>
                <w:szCs w:val="14"/>
                <w:color w:val="auto"/>
              </w:rPr>
            </w:pPr>
          </w:p>
        </w:tc>
        <w:tc>
          <w:tcPr>
            <w:tcW w:w="9300" w:type="dxa"/>
            <w:vAlign w:val="bottom"/>
          </w:tcPr>
          <w:p>
            <w:pPr>
              <w:ind w:left="360"/>
              <w:spacing w:after="0"/>
              <w:rPr>
                <w:sz w:val="20"/>
                <w:szCs w:val="20"/>
                <w:color w:val="auto"/>
              </w:rPr>
            </w:pPr>
            <w:r>
              <w:rPr>
                <w:rFonts w:ascii="Arial" w:cs="Arial" w:eastAsia="Arial" w:hAnsi="Arial"/>
                <w:sz w:val="14"/>
                <w:szCs w:val="14"/>
                <w:color w:val="auto"/>
              </w:rPr>
              <w:t>Financial, Citigroup, Credit Suisse, Deutsche Bank, Goldman Sachs, HSBC, Morgan Stanley, UBS and Wells Fargo.</w:t>
            </w:r>
          </w:p>
        </w:tc>
        <w:tc>
          <w:tcPr>
            <w:tcW w:w="0" w:type="dxa"/>
            <w:vAlign w:val="bottom"/>
          </w:tcPr>
          <w:p>
            <w:pPr>
              <w:spacing w:after="0"/>
              <w:rPr>
                <w:sz w:val="1"/>
                <w:szCs w:val="1"/>
                <w:color w:val="auto"/>
              </w:rPr>
            </w:pPr>
          </w:p>
        </w:tc>
      </w:tr>
      <w:tr>
        <w:trPr>
          <w:trHeight w:val="39"/>
        </w:trPr>
        <w:tc>
          <w:tcPr>
            <w:tcW w:w="1720" w:type="dxa"/>
            <w:vAlign w:val="bottom"/>
            <w:tcBorders>
              <w:bottom w:val="single" w:sz="8" w:color="7F7F7F"/>
            </w:tcBorders>
          </w:tcPr>
          <w:p>
            <w:pPr>
              <w:spacing w:after="0"/>
              <w:rPr>
                <w:sz w:val="3"/>
                <w:szCs w:val="3"/>
                <w:color w:val="auto"/>
              </w:rPr>
            </w:pPr>
          </w:p>
        </w:tc>
        <w:tc>
          <w:tcPr>
            <w:tcW w:w="93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720" w:type="dxa"/>
            <w:vAlign w:val="bottom"/>
          </w:tcPr>
          <w:p>
            <w:pPr>
              <w:ind w:left="60"/>
              <w:spacing w:after="0"/>
              <w:rPr>
                <w:sz w:val="20"/>
                <w:szCs w:val="20"/>
                <w:color w:val="auto"/>
              </w:rPr>
            </w:pPr>
            <w:r>
              <w:rPr>
                <w:rFonts w:ascii="Arial" w:cs="Arial" w:eastAsia="Arial" w:hAnsi="Arial"/>
                <w:sz w:val="14"/>
                <w:szCs w:val="14"/>
                <w:b w:val="1"/>
                <w:bCs w:val="1"/>
                <w:color w:val="auto"/>
              </w:rPr>
              <w:t>Narrow Adjustment</w:t>
            </w:r>
          </w:p>
        </w:tc>
        <w:tc>
          <w:tcPr>
            <w:tcW w:w="9300" w:type="dxa"/>
            <w:vAlign w:val="bottom"/>
          </w:tcPr>
          <w:p>
            <w:pPr>
              <w:ind w:left="220"/>
              <w:spacing w:after="0"/>
              <w:rPr>
                <w:sz w:val="20"/>
                <w:szCs w:val="20"/>
                <w:color w:val="auto"/>
              </w:rPr>
            </w:pPr>
            <w:r>
              <w:rPr>
                <w:rFonts w:ascii="Arial" w:cs="Arial" w:eastAsia="Arial" w:hAnsi="Arial"/>
                <w:sz w:val="14"/>
                <w:szCs w:val="14"/>
                <w:color w:val="auto"/>
              </w:rPr>
              <w:t>The CMDC may make adjustments (up or down) to maintain the intended economics of the award in light of changed circumstances (e.g.,</w:t>
            </w:r>
          </w:p>
        </w:tc>
        <w:tc>
          <w:tcPr>
            <w:tcW w:w="0" w:type="dxa"/>
            <w:vAlign w:val="bottom"/>
          </w:tcPr>
          <w:p>
            <w:pPr>
              <w:spacing w:after="0"/>
              <w:rPr>
                <w:sz w:val="1"/>
                <w:szCs w:val="1"/>
                <w:color w:val="auto"/>
              </w:rPr>
            </w:pPr>
          </w:p>
        </w:tc>
      </w:tr>
      <w:tr>
        <w:trPr>
          <w:trHeight w:val="189"/>
        </w:trPr>
        <w:tc>
          <w:tcPr>
            <w:tcW w:w="1720" w:type="dxa"/>
            <w:vAlign w:val="bottom"/>
          </w:tcPr>
          <w:p>
            <w:pPr>
              <w:ind w:left="60"/>
              <w:spacing w:after="0"/>
              <w:rPr>
                <w:sz w:val="20"/>
                <w:szCs w:val="20"/>
                <w:color w:val="auto"/>
              </w:rPr>
            </w:pPr>
            <w:r>
              <w:rPr>
                <w:rFonts w:ascii="Arial" w:cs="Arial" w:eastAsia="Arial" w:hAnsi="Arial"/>
                <w:sz w:val="14"/>
                <w:szCs w:val="14"/>
                <w:b w:val="1"/>
                <w:bCs w:val="1"/>
                <w:color w:val="auto"/>
              </w:rPr>
              <w:t>Provision</w:t>
            </w:r>
          </w:p>
        </w:tc>
        <w:tc>
          <w:tcPr>
            <w:tcW w:w="9300" w:type="dxa"/>
            <w:vAlign w:val="bottom"/>
            <w:vMerge w:val="restart"/>
          </w:tcPr>
          <w:p>
            <w:pPr>
              <w:ind w:left="360"/>
              <w:spacing w:after="0"/>
              <w:rPr>
                <w:sz w:val="20"/>
                <w:szCs w:val="20"/>
                <w:color w:val="auto"/>
              </w:rPr>
            </w:pPr>
            <w:r>
              <w:rPr>
                <w:rFonts w:ascii="Arial" w:cs="Arial" w:eastAsia="Arial" w:hAnsi="Arial"/>
                <w:sz w:val="14"/>
                <w:szCs w:val="14"/>
                <w:color w:val="auto"/>
              </w:rPr>
              <w:t>change in accounting rules/policies or changes in capital structure). The CMDC may also make additional downward adjustments in relation</w:t>
            </w:r>
          </w:p>
        </w:tc>
        <w:tc>
          <w:tcPr>
            <w:tcW w:w="0" w:type="dxa"/>
            <w:vAlign w:val="bottom"/>
          </w:tcPr>
          <w:p>
            <w:pPr>
              <w:spacing w:after="0"/>
              <w:rPr>
                <w:sz w:val="1"/>
                <w:szCs w:val="1"/>
                <w:color w:val="auto"/>
              </w:rPr>
            </w:pPr>
          </w:p>
        </w:tc>
      </w:tr>
      <w:tr>
        <w:trPr>
          <w:trHeight w:val="32"/>
        </w:trPr>
        <w:tc>
          <w:tcPr>
            <w:tcW w:w="1720" w:type="dxa"/>
            <w:vAlign w:val="bottom"/>
          </w:tcPr>
          <w:p>
            <w:pPr>
              <w:spacing w:after="0"/>
              <w:rPr>
                <w:sz w:val="2"/>
                <w:szCs w:val="2"/>
                <w:color w:val="auto"/>
              </w:rPr>
            </w:pPr>
          </w:p>
        </w:tc>
        <w:tc>
          <w:tcPr>
            <w:tcW w:w="9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720" w:type="dxa"/>
            <w:vAlign w:val="bottom"/>
          </w:tcPr>
          <w:p>
            <w:pPr>
              <w:spacing w:after="0"/>
              <w:rPr>
                <w:sz w:val="14"/>
                <w:szCs w:val="14"/>
                <w:color w:val="auto"/>
              </w:rPr>
            </w:pPr>
          </w:p>
        </w:tc>
        <w:tc>
          <w:tcPr>
            <w:tcW w:w="9300" w:type="dxa"/>
            <w:vAlign w:val="bottom"/>
          </w:tcPr>
          <w:p>
            <w:pPr>
              <w:ind w:left="360"/>
              <w:spacing w:after="0"/>
              <w:rPr>
                <w:sz w:val="20"/>
                <w:szCs w:val="20"/>
                <w:color w:val="auto"/>
              </w:rPr>
            </w:pPr>
            <w:r>
              <w:rPr>
                <w:rFonts w:ascii="Arial" w:cs="Arial" w:eastAsia="Arial" w:hAnsi="Arial"/>
                <w:sz w:val="14"/>
                <w:szCs w:val="14"/>
                <w:color w:val="auto"/>
              </w:rPr>
              <w:t>to Mr. Pinto’s PSUs (see note 1 on page 52 of this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24765</wp:posOffset>
            </wp:positionV>
            <wp:extent cx="6997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7" w:lineRule="exact"/>
        <w:rPr>
          <w:sz w:val="20"/>
          <w:szCs w:val="20"/>
          <w:color w:val="auto"/>
        </w:rPr>
      </w:pPr>
    </w:p>
    <w:p>
      <w:pPr>
        <w:ind w:left="420" w:hanging="167"/>
        <w:spacing w:after="0"/>
        <w:tabs>
          <w:tab w:leader="none" w:pos="420" w:val="left"/>
        </w:tabs>
        <w:numPr>
          <w:ilvl w:val="0"/>
          <w:numId w:val="91"/>
        </w:numPr>
        <w:rPr>
          <w:rFonts w:ascii="Arial" w:cs="Arial" w:eastAsia="Arial" w:hAnsi="Arial"/>
          <w:sz w:val="11"/>
          <w:szCs w:val="11"/>
          <w:color w:val="auto"/>
        </w:rPr>
      </w:pPr>
      <w:r>
        <w:rPr>
          <w:rFonts w:ascii="Arial" w:cs="Arial" w:eastAsia="Arial" w:hAnsi="Arial"/>
          <w:sz w:val="13"/>
          <w:szCs w:val="13"/>
          <w:color w:val="auto"/>
        </w:rPr>
        <w:t>ROTCE is calculated for each year in the performance period using unadjusted reported data as set forth in public financial disclosures.</w:t>
      </w:r>
    </w:p>
    <w:p>
      <w:pPr>
        <w:spacing w:after="0" w:line="80" w:lineRule="exact"/>
        <w:rPr>
          <w:sz w:val="20"/>
          <w:szCs w:val="20"/>
          <w:color w:val="auto"/>
        </w:rPr>
      </w:pPr>
    </w:p>
    <w:p>
      <w:pPr>
        <w:ind w:left="420" w:hanging="167"/>
        <w:spacing w:after="0"/>
        <w:tabs>
          <w:tab w:leader="none" w:pos="420" w:val="left"/>
        </w:tabs>
        <w:numPr>
          <w:ilvl w:val="0"/>
          <w:numId w:val="92"/>
        </w:numPr>
        <w:rPr>
          <w:rFonts w:ascii="Arial" w:cs="Arial" w:eastAsia="Arial" w:hAnsi="Arial"/>
          <w:sz w:val="11"/>
          <w:szCs w:val="11"/>
          <w:color w:val="auto"/>
        </w:rPr>
      </w:pPr>
      <w:r>
        <w:rPr>
          <w:rFonts w:ascii="Arial" w:cs="Arial" w:eastAsia="Arial" w:hAnsi="Arial"/>
          <w:sz w:val="13"/>
          <w:szCs w:val="13"/>
          <w:color w:val="auto"/>
        </w:rPr>
        <w:t>The CET1 ratio is a key regulatory capital measure; for further explanation, see page 101 of this proxy statement.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Performance share units — 5-year time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308610</wp:posOffset>
            </wp:positionV>
            <wp:extent cx="5419725" cy="15265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19725"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53</w:t>
            </w:r>
          </w:p>
        </w:tc>
      </w:tr>
    </w:tbl>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Determining absolute and relative PSU performance goals</w:t>
      </w:r>
    </w:p>
    <w:p>
      <w:pPr>
        <w:spacing w:after="0" w:line="93" w:lineRule="exact"/>
        <w:rPr>
          <w:sz w:val="20"/>
          <w:szCs w:val="20"/>
          <w:color w:val="auto"/>
        </w:rPr>
      </w:pPr>
    </w:p>
    <w:p>
      <w:pPr>
        <w:ind w:left="440" w:right="80"/>
        <w:spacing w:after="0" w:line="238" w:lineRule="auto"/>
        <w:rPr>
          <w:sz w:val="20"/>
          <w:szCs w:val="20"/>
          <w:color w:val="auto"/>
        </w:rPr>
      </w:pPr>
      <w:r>
        <w:rPr>
          <w:rFonts w:ascii="Arial" w:cs="Arial" w:eastAsia="Arial" w:hAnsi="Arial"/>
          <w:sz w:val="18"/>
          <w:szCs w:val="18"/>
          <w:color w:val="auto"/>
        </w:rPr>
        <w:t>Each year the CMDC sets the absolute ROTCE goal for that year’s award of PSUs by reviewing the Firm’s historical performance and a reasonable range of possible net income and capital outcomes over the next three years. For the 2018 PSU award granted in January 2019, these outcomes were considered in the context of (among other things) the expected impacts of: the TCJA; regulatory capital requirements; annual stress tests; interest rates; and the U.S. and global economic environment, all of which affect the range of ROTCE outcomes in the medium-term.</w:t>
      </w:r>
    </w:p>
    <w:p>
      <w:pPr>
        <w:spacing w:after="0" w:line="108" w:lineRule="exact"/>
        <w:rPr>
          <w:sz w:val="20"/>
          <w:szCs w:val="20"/>
          <w:color w:val="auto"/>
        </w:rPr>
      </w:pPr>
    </w:p>
    <w:p>
      <w:pPr>
        <w:ind w:left="440" w:right="40"/>
        <w:spacing w:after="0" w:line="237" w:lineRule="auto"/>
        <w:rPr>
          <w:sz w:val="20"/>
          <w:szCs w:val="20"/>
          <w:color w:val="auto"/>
        </w:rPr>
      </w:pPr>
      <w:r>
        <w:rPr>
          <w:rFonts w:ascii="Arial" w:cs="Arial" w:eastAsia="Arial" w:hAnsi="Arial"/>
          <w:sz w:val="18"/>
          <w:szCs w:val="18"/>
          <w:color w:val="auto"/>
        </w:rPr>
        <w:t>Consistent with the Firm’s pay-for-performance philosophy, in setting the relative ROTCE performance goals, the CMDC determined that payout above target for previously granted PSU awards should be limited to instances in which the Firm outperforms its competitors on a relative basis, with below target payout occurring in instances of under performance. Achievement of median relative performance results in target payout (100%), which is consistent with peer practices, and with what the CMDC believes is a reasonable outcome. Outstanding relative performance, which results in a payout of 150% is limited to the Firm achieving a ROTCE in the top 25%, or top three, of the competitor group.</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PSUs awarded for performance years 2015, 2016 and 2017</w:t>
      </w:r>
    </w:p>
    <w:p>
      <w:pPr>
        <w:spacing w:after="0" w:line="93" w:lineRule="exact"/>
        <w:rPr>
          <w:sz w:val="20"/>
          <w:szCs w:val="20"/>
          <w:color w:val="auto"/>
        </w:rPr>
      </w:pPr>
    </w:p>
    <w:p>
      <w:pPr>
        <w:ind w:left="440"/>
        <w:spacing w:after="0" w:line="237" w:lineRule="auto"/>
        <w:rPr>
          <w:sz w:val="20"/>
          <w:szCs w:val="20"/>
          <w:color w:val="auto"/>
        </w:rPr>
      </w:pPr>
      <w:r>
        <w:rPr>
          <w:rFonts w:ascii="Arial" w:cs="Arial" w:eastAsia="Arial" w:hAnsi="Arial"/>
          <w:sz w:val="18"/>
          <w:szCs w:val="18"/>
          <w:color w:val="auto"/>
        </w:rPr>
        <w:t>The Firm reported ROTCE of 13%, 12%, and 17% in 2016, 2017, and 2018 respectively, resulting in 1st Quartile relative performance and an expected payout of 150% for each tranche of the 2015, 2016 and 2017 PSU awards referencing those years. In assessing the Firm’s 2017 and 2018 ROTCE performance against the absolute goal established in the 2015 PSU award, the CMDC reviewed information related to the estimated impact of the enactment of the TCJA on the Firm’s performance and determined no adjustment was required to the ultimate payout of that award in order to maintain its intended economics. On March 25, 2019, the 2015 PSU award vested at 150%.</w:t>
      </w:r>
    </w:p>
    <w:p>
      <w:pPr>
        <w:spacing w:after="0" w:line="17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54</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960"/>
        <w:spacing w:after="0"/>
        <w:rPr>
          <w:sz w:val="20"/>
          <w:szCs w:val="20"/>
          <w:color w:val="auto"/>
        </w:rPr>
      </w:pPr>
      <w:r>
        <w:rPr>
          <w:rFonts w:ascii="Arial" w:cs="Arial" w:eastAsia="Arial" w:hAnsi="Arial"/>
          <w:sz w:val="16"/>
          <w:szCs w:val="16"/>
          <w:color w:val="333333"/>
        </w:rPr>
        <w:t>EXECUTIVE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4876"/>
        </w:rPr>
        <w:t>3. Sound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179705</wp:posOffset>
            </wp:positionV>
            <wp:extent cx="6997700" cy="4457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7700" cy="445770"/>
                    </a:xfrm>
                    <a:prstGeom prst="rect">
                      <a:avLst/>
                    </a:prstGeom>
                    <a:noFill/>
                  </pic:spPr>
                </pic:pic>
              </a:graphicData>
            </a:graphic>
          </wp:anchor>
        </w:drawing>
      </w:r>
    </w:p>
    <w:p>
      <w:pPr>
        <w:spacing w:after="0" w:line="303" w:lineRule="exact"/>
        <w:rPr>
          <w:sz w:val="20"/>
          <w:szCs w:val="20"/>
          <w:color w:val="auto"/>
        </w:rPr>
      </w:pPr>
    </w:p>
    <w:p>
      <w:pPr>
        <w:jc w:val="center"/>
        <w:ind w:left="640" w:right="260"/>
        <w:spacing w:after="0"/>
        <w:rPr>
          <w:sz w:val="20"/>
          <w:szCs w:val="20"/>
          <w:color w:val="auto"/>
        </w:rPr>
      </w:pPr>
      <w:r>
        <w:rPr>
          <w:rFonts w:ascii="Arial" w:cs="Arial" w:eastAsia="Arial" w:hAnsi="Arial"/>
          <w:sz w:val="18"/>
          <w:szCs w:val="18"/>
          <w:color w:val="004876"/>
        </w:rPr>
        <w:t>We believe our compensation philosophy promotes an equitable and well-governed approach to compensation, including pay-for-performance practices that attract and retain top talent, are responsive to and aligned with shareholders, and encourage a shared success culture in support of our business principles.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Overview of our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3"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Our well-established compensation philosophy provides guiding principles that drive compensation-related decision-making across all levels of the Firm. We strive to clearly communicate our compensation philosophy to promote Firmwide fairness and consistency. We believe the effectiveness of our compensation program is dependent upon the alignment of sound pay-for-performance practices with our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146050</wp:posOffset>
            </wp:positionV>
            <wp:extent cx="6997700" cy="2146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FFFFFF"/>
        </w:rPr>
        <w:t>OUR COMPENSATION PHILOSOPHY</w:t>
      </w:r>
    </w:p>
    <w:p>
      <w:pPr>
        <w:spacing w:after="0" w:line="72" w:lineRule="exact"/>
        <w:rPr>
          <w:sz w:val="20"/>
          <w:szCs w:val="20"/>
          <w:color w:val="auto"/>
        </w:rPr>
      </w:pPr>
    </w:p>
    <w:tbl>
      <w:tblPr>
        <w:tblLayout w:type="fixed"/>
        <w:tblInd w:w="220" w:type="dxa"/>
        <w:tblCellMar>
          <w:top w:w="0" w:type="dxa"/>
          <w:left w:w="0" w:type="dxa"/>
          <w:bottom w:w="0" w:type="dxa"/>
          <w:right w:w="0" w:type="dxa"/>
        </w:tblCellMar>
      </w:tblPr>
      <w:tr>
        <w:trPr>
          <w:trHeight w:val="250"/>
        </w:trPr>
        <w:tc>
          <w:tcPr>
            <w:tcW w:w="460" w:type="dxa"/>
            <w:vAlign w:val="bottom"/>
            <w:shd w:val="clear" w:color="auto" w:fill="E5E5E5"/>
          </w:tcPr>
          <w:p>
            <w:pPr>
              <w:ind w:left="120"/>
              <w:spacing w:after="0" w:line="251" w:lineRule="exact"/>
              <w:rPr>
                <w:sz w:val="20"/>
                <w:szCs w:val="20"/>
                <w:color w:val="auto"/>
              </w:rPr>
            </w:pPr>
            <w:r>
              <w:rPr>
                <w:rFonts w:ascii="MS PGothic" w:cs="MS PGothic" w:eastAsia="MS PGothic" w:hAnsi="MS PGothic"/>
                <w:sz w:val="25"/>
                <w:szCs w:val="25"/>
                <w:color w:val="73A950"/>
              </w:rPr>
              <w:t>✓</w:t>
            </w:r>
          </w:p>
        </w:tc>
        <w:tc>
          <w:tcPr>
            <w:tcW w:w="5200" w:type="dxa"/>
            <w:vAlign w:val="bottom"/>
            <w:shd w:val="clear" w:color="auto" w:fill="E5E5E5"/>
          </w:tcPr>
          <w:p>
            <w:pPr>
              <w:ind w:left="120"/>
              <w:spacing w:after="0"/>
              <w:rPr>
                <w:sz w:val="20"/>
                <w:szCs w:val="20"/>
                <w:color w:val="auto"/>
              </w:rPr>
            </w:pPr>
            <w:r>
              <w:rPr>
                <w:rFonts w:ascii="Arial" w:cs="Arial" w:eastAsia="Arial" w:hAnsi="Arial"/>
                <w:sz w:val="18"/>
                <w:szCs w:val="18"/>
                <w:b w:val="1"/>
                <w:bCs w:val="1"/>
                <w:color w:val="004876"/>
              </w:rPr>
              <w:t>Principles-based compensation philosophy</w:t>
            </w:r>
          </w:p>
        </w:tc>
        <w:tc>
          <w:tcPr>
            <w:tcW w:w="460" w:type="dxa"/>
            <w:vAlign w:val="bottom"/>
            <w:shd w:val="clear" w:color="auto" w:fill="E5E5E5"/>
          </w:tcPr>
          <w:p>
            <w:pPr>
              <w:ind w:left="160"/>
              <w:spacing w:after="0" w:line="251" w:lineRule="exact"/>
              <w:rPr>
                <w:sz w:val="20"/>
                <w:szCs w:val="20"/>
                <w:color w:val="auto"/>
              </w:rPr>
            </w:pPr>
            <w:r>
              <w:rPr>
                <w:rFonts w:ascii="MS PGothic" w:cs="MS PGothic" w:eastAsia="MS PGothic" w:hAnsi="MS PGothic"/>
                <w:sz w:val="25"/>
                <w:szCs w:val="25"/>
                <w:color w:val="73A950"/>
              </w:rPr>
              <w:t>✓</w:t>
            </w:r>
          </w:p>
        </w:tc>
        <w:tc>
          <w:tcPr>
            <w:tcW w:w="490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004876"/>
              </w:rPr>
              <w:t>Robust anti-hedging/anti-pledging provisions</w:t>
            </w:r>
          </w:p>
        </w:tc>
      </w:tr>
      <w:tr>
        <w:trPr>
          <w:trHeight w:val="189"/>
        </w:trPr>
        <w:tc>
          <w:tcPr>
            <w:tcW w:w="460" w:type="dxa"/>
            <w:vAlign w:val="bottom"/>
            <w:shd w:val="clear" w:color="auto" w:fill="E5E5E5"/>
          </w:tcPr>
          <w:p>
            <w:pPr>
              <w:spacing w:after="0"/>
              <w:rPr>
                <w:sz w:val="16"/>
                <w:szCs w:val="16"/>
                <w:color w:val="auto"/>
              </w:rPr>
            </w:pPr>
          </w:p>
        </w:tc>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Provides guiding principles that drive compensation-related decision-</w:t>
            </w:r>
          </w:p>
        </w:tc>
        <w:tc>
          <w:tcPr>
            <w:tcW w:w="460" w:type="dxa"/>
            <w:vAlign w:val="bottom"/>
            <w:shd w:val="clear" w:color="auto" w:fill="E5E5E5"/>
          </w:tcPr>
          <w:p>
            <w:pPr>
              <w:spacing w:after="0"/>
              <w:rPr>
                <w:sz w:val="16"/>
                <w:szCs w:val="16"/>
                <w:color w:val="auto"/>
              </w:rPr>
            </w:pPr>
          </w:p>
        </w:tc>
        <w:tc>
          <w:tcPr>
            <w:tcW w:w="49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Strict prohibition on hedging and pledging of unvested awards and</w:t>
            </w:r>
          </w:p>
        </w:tc>
      </w:tr>
      <w:tr>
        <w:trPr>
          <w:trHeight w:val="201"/>
        </w:trPr>
        <w:tc>
          <w:tcPr>
            <w:tcW w:w="460" w:type="dxa"/>
            <w:vAlign w:val="bottom"/>
            <w:shd w:val="clear" w:color="auto" w:fill="E5E5E5"/>
          </w:tcPr>
          <w:p>
            <w:pPr>
              <w:spacing w:after="0"/>
              <w:rPr>
                <w:sz w:val="17"/>
                <w:szCs w:val="17"/>
                <w:color w:val="auto"/>
              </w:rPr>
            </w:pPr>
          </w:p>
        </w:tc>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making across all levels of the Firm</w:t>
            </w:r>
          </w:p>
        </w:tc>
        <w:tc>
          <w:tcPr>
            <w:tcW w:w="460" w:type="dxa"/>
            <w:vAlign w:val="bottom"/>
            <w:shd w:val="clear" w:color="auto" w:fill="E5E5E5"/>
          </w:tcPr>
          <w:p>
            <w:pPr>
              <w:spacing w:after="0"/>
              <w:rPr>
                <w:sz w:val="17"/>
                <w:szCs w:val="17"/>
                <w:color w:val="auto"/>
              </w:rPr>
            </w:pPr>
          </w:p>
        </w:tc>
        <w:tc>
          <w:tcPr>
            <w:tcW w:w="49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shares owned outright</w:t>
            </w:r>
          </w:p>
        </w:tc>
      </w:tr>
      <w:tr>
        <w:trPr>
          <w:trHeight w:val="245"/>
        </w:trPr>
        <w:tc>
          <w:tcPr>
            <w:tcW w:w="460" w:type="dxa"/>
            <w:vAlign w:val="bottom"/>
          </w:tcPr>
          <w:p>
            <w:pPr>
              <w:ind w:left="120"/>
              <w:spacing w:after="0" w:line="245" w:lineRule="exact"/>
              <w:rPr>
                <w:sz w:val="20"/>
                <w:szCs w:val="20"/>
                <w:color w:val="auto"/>
              </w:rPr>
            </w:pPr>
            <w:r>
              <w:rPr>
                <w:rFonts w:ascii="MS PGothic" w:cs="MS PGothic" w:eastAsia="MS PGothic" w:hAnsi="MS PGothic"/>
                <w:sz w:val="25"/>
                <w:szCs w:val="25"/>
                <w:color w:val="73A950"/>
              </w:rPr>
              <w:t>✓</w:t>
            </w:r>
          </w:p>
        </w:tc>
        <w:tc>
          <w:tcPr>
            <w:tcW w:w="5200" w:type="dxa"/>
            <w:vAlign w:val="bottom"/>
          </w:tcPr>
          <w:p>
            <w:pPr>
              <w:ind w:left="120"/>
              <w:spacing w:after="0"/>
              <w:rPr>
                <w:sz w:val="20"/>
                <w:szCs w:val="20"/>
                <w:color w:val="auto"/>
              </w:rPr>
            </w:pPr>
            <w:r>
              <w:rPr>
                <w:rFonts w:ascii="Arial" w:cs="Arial" w:eastAsia="Arial" w:hAnsi="Arial"/>
                <w:sz w:val="18"/>
                <w:szCs w:val="18"/>
                <w:b w:val="1"/>
                <w:bCs w:val="1"/>
                <w:color w:val="004876"/>
              </w:rPr>
              <w:t>Pay at risk</w:t>
            </w:r>
          </w:p>
        </w:tc>
        <w:tc>
          <w:tcPr>
            <w:tcW w:w="460" w:type="dxa"/>
            <w:vAlign w:val="bottom"/>
          </w:tcPr>
          <w:p>
            <w:pPr>
              <w:ind w:left="160"/>
              <w:spacing w:after="0" w:line="245" w:lineRule="exact"/>
              <w:rPr>
                <w:sz w:val="20"/>
                <w:szCs w:val="20"/>
                <w:color w:val="auto"/>
              </w:rPr>
            </w:pPr>
            <w:r>
              <w:rPr>
                <w:rFonts w:ascii="MS PGothic" w:cs="MS PGothic" w:eastAsia="MS PGothic" w:hAnsi="MS PGothic"/>
                <w:sz w:val="25"/>
                <w:szCs w:val="25"/>
                <w:color w:val="73A950"/>
              </w:rPr>
              <w:t>✓</w:t>
            </w:r>
          </w:p>
        </w:tc>
        <w:tc>
          <w:tcPr>
            <w:tcW w:w="4900" w:type="dxa"/>
            <w:vAlign w:val="bottom"/>
          </w:tcPr>
          <w:p>
            <w:pPr>
              <w:ind w:left="100"/>
              <w:spacing w:after="0"/>
              <w:rPr>
                <w:sz w:val="20"/>
                <w:szCs w:val="20"/>
                <w:color w:val="auto"/>
              </w:rPr>
            </w:pPr>
            <w:r>
              <w:rPr>
                <w:rFonts w:ascii="Arial" w:cs="Arial" w:eastAsia="Arial" w:hAnsi="Arial"/>
                <w:sz w:val="18"/>
                <w:szCs w:val="18"/>
                <w:b w:val="1"/>
                <w:bCs w:val="1"/>
                <w:color w:val="004876"/>
              </w:rPr>
              <w:t>Strong clawback provisions</w:t>
            </w:r>
          </w:p>
        </w:tc>
      </w:tr>
      <w:tr>
        <w:trPr>
          <w:trHeight w:val="189"/>
        </w:trPr>
        <w:tc>
          <w:tcPr>
            <w:tcW w:w="460" w:type="dxa"/>
            <w:vAlign w:val="bottom"/>
          </w:tcPr>
          <w:p>
            <w:pPr>
              <w:spacing w:after="0"/>
              <w:rPr>
                <w:sz w:val="16"/>
                <w:szCs w:val="16"/>
                <w:color w:val="auto"/>
              </w:rPr>
            </w:pPr>
          </w:p>
        </w:tc>
        <w:tc>
          <w:tcPr>
            <w:tcW w:w="5200" w:type="dxa"/>
            <w:vAlign w:val="bottom"/>
          </w:tcPr>
          <w:p>
            <w:pPr>
              <w:ind w:left="120"/>
              <w:spacing w:after="0"/>
              <w:rPr>
                <w:sz w:val="20"/>
                <w:szCs w:val="20"/>
                <w:color w:val="auto"/>
              </w:rPr>
            </w:pPr>
            <w:r>
              <w:rPr>
                <w:rFonts w:ascii="Arial" w:cs="Arial" w:eastAsia="Arial" w:hAnsi="Arial"/>
                <w:sz w:val="16"/>
                <w:szCs w:val="16"/>
                <w:color w:val="auto"/>
              </w:rPr>
              <w:t>Operating Committee member compensation is mostly “at-risk” and</w:t>
            </w:r>
          </w:p>
        </w:tc>
        <w:tc>
          <w:tcPr>
            <w:tcW w:w="460" w:type="dxa"/>
            <w:vAlign w:val="bottom"/>
          </w:tcPr>
          <w:p>
            <w:pPr>
              <w:spacing w:after="0"/>
              <w:rPr>
                <w:sz w:val="16"/>
                <w:szCs w:val="16"/>
                <w:color w:val="auto"/>
              </w:rPr>
            </w:pPr>
          </w:p>
        </w:tc>
        <w:tc>
          <w:tcPr>
            <w:tcW w:w="4900" w:type="dxa"/>
            <w:vAlign w:val="bottom"/>
          </w:tcPr>
          <w:p>
            <w:pPr>
              <w:ind w:left="100"/>
              <w:spacing w:after="0"/>
              <w:rPr>
                <w:sz w:val="20"/>
                <w:szCs w:val="20"/>
                <w:color w:val="auto"/>
              </w:rPr>
            </w:pPr>
            <w:r>
              <w:rPr>
                <w:rFonts w:ascii="Arial" w:cs="Arial" w:eastAsia="Arial" w:hAnsi="Arial"/>
                <w:sz w:val="16"/>
                <w:szCs w:val="16"/>
                <w:color w:val="auto"/>
              </w:rPr>
              <w:t>Comprehensive recovery provisions enable us to cancel or reduce</w:t>
            </w:r>
          </w:p>
        </w:tc>
      </w:tr>
      <w:tr>
        <w:trPr>
          <w:trHeight w:val="189"/>
        </w:trPr>
        <w:tc>
          <w:tcPr>
            <w:tcW w:w="460" w:type="dxa"/>
            <w:vAlign w:val="bottom"/>
          </w:tcPr>
          <w:p>
            <w:pPr>
              <w:spacing w:after="0"/>
              <w:rPr>
                <w:sz w:val="16"/>
                <w:szCs w:val="16"/>
                <w:color w:val="auto"/>
              </w:rPr>
            </w:pPr>
          </w:p>
        </w:tc>
        <w:tc>
          <w:tcPr>
            <w:tcW w:w="5200" w:type="dxa"/>
            <w:vAlign w:val="bottom"/>
          </w:tcPr>
          <w:p>
            <w:pPr>
              <w:ind w:left="120"/>
              <w:spacing w:after="0"/>
              <w:rPr>
                <w:sz w:val="20"/>
                <w:szCs w:val="20"/>
                <w:color w:val="auto"/>
              </w:rPr>
            </w:pPr>
            <w:r>
              <w:rPr>
                <w:rFonts w:ascii="Arial" w:cs="Arial" w:eastAsia="Arial" w:hAnsi="Arial"/>
                <w:sz w:val="16"/>
                <w:szCs w:val="16"/>
                <w:color w:val="auto"/>
              </w:rPr>
              <w:t>contingent on the achievement of performance goals that are</w:t>
            </w:r>
          </w:p>
        </w:tc>
        <w:tc>
          <w:tcPr>
            <w:tcW w:w="460" w:type="dxa"/>
            <w:vAlign w:val="bottom"/>
          </w:tcPr>
          <w:p>
            <w:pPr>
              <w:spacing w:after="0"/>
              <w:rPr>
                <w:sz w:val="16"/>
                <w:szCs w:val="16"/>
                <w:color w:val="auto"/>
              </w:rPr>
            </w:pPr>
          </w:p>
        </w:tc>
        <w:tc>
          <w:tcPr>
            <w:tcW w:w="4900" w:type="dxa"/>
            <w:vAlign w:val="bottom"/>
          </w:tcPr>
          <w:p>
            <w:pPr>
              <w:ind w:left="100"/>
              <w:spacing w:after="0"/>
              <w:rPr>
                <w:sz w:val="20"/>
                <w:szCs w:val="20"/>
                <w:color w:val="auto"/>
              </w:rPr>
            </w:pPr>
            <w:r>
              <w:rPr>
                <w:rFonts w:ascii="Arial" w:cs="Arial" w:eastAsia="Arial" w:hAnsi="Arial"/>
                <w:sz w:val="16"/>
                <w:szCs w:val="16"/>
                <w:color w:val="auto"/>
              </w:rPr>
              <w:t>unvested awards and require repayment of previously paid</w:t>
            </w:r>
          </w:p>
        </w:tc>
      </w:tr>
      <w:tr>
        <w:trPr>
          <w:trHeight w:val="198"/>
        </w:trPr>
        <w:tc>
          <w:tcPr>
            <w:tcW w:w="460" w:type="dxa"/>
            <w:vAlign w:val="bottom"/>
          </w:tcPr>
          <w:p>
            <w:pPr>
              <w:spacing w:after="0"/>
              <w:rPr>
                <w:sz w:val="17"/>
                <w:szCs w:val="17"/>
                <w:color w:val="auto"/>
              </w:rPr>
            </w:pPr>
          </w:p>
        </w:tc>
        <w:tc>
          <w:tcPr>
            <w:tcW w:w="5200" w:type="dxa"/>
            <w:vAlign w:val="bottom"/>
          </w:tcPr>
          <w:p>
            <w:pPr>
              <w:ind w:left="120"/>
              <w:spacing w:after="0"/>
              <w:rPr>
                <w:sz w:val="20"/>
                <w:szCs w:val="20"/>
                <w:color w:val="auto"/>
              </w:rPr>
            </w:pPr>
            <w:r>
              <w:rPr>
                <w:rFonts w:ascii="Arial" w:cs="Arial" w:eastAsia="Arial" w:hAnsi="Arial"/>
                <w:sz w:val="16"/>
                <w:szCs w:val="16"/>
                <w:color w:val="auto"/>
              </w:rPr>
              <w:t>integrally linked to shareholder value and safety and soundness</w:t>
            </w:r>
          </w:p>
        </w:tc>
        <w:tc>
          <w:tcPr>
            <w:tcW w:w="460" w:type="dxa"/>
            <w:vAlign w:val="bottom"/>
          </w:tcPr>
          <w:p>
            <w:pPr>
              <w:spacing w:after="0"/>
              <w:rPr>
                <w:sz w:val="17"/>
                <w:szCs w:val="17"/>
                <w:color w:val="auto"/>
              </w:rPr>
            </w:pPr>
          </w:p>
        </w:tc>
        <w:tc>
          <w:tcPr>
            <w:tcW w:w="4900" w:type="dxa"/>
            <w:vAlign w:val="bottom"/>
          </w:tcPr>
          <w:p>
            <w:pPr>
              <w:ind w:left="100"/>
              <w:spacing w:after="0"/>
              <w:rPr>
                <w:sz w:val="20"/>
                <w:szCs w:val="20"/>
                <w:color w:val="auto"/>
              </w:rPr>
            </w:pPr>
            <w:r>
              <w:rPr>
                <w:rFonts w:ascii="Arial" w:cs="Arial" w:eastAsia="Arial" w:hAnsi="Arial"/>
                <w:sz w:val="16"/>
                <w:szCs w:val="16"/>
                <w:color w:val="auto"/>
              </w:rPr>
              <w:t>compensation, if appropriate</w:t>
            </w:r>
          </w:p>
        </w:tc>
      </w:tr>
      <w:tr>
        <w:trPr>
          <w:trHeight w:val="248"/>
        </w:trPr>
        <w:tc>
          <w:tcPr>
            <w:tcW w:w="460" w:type="dxa"/>
            <w:vAlign w:val="bottom"/>
            <w:shd w:val="clear" w:color="auto" w:fill="E5E5E5"/>
          </w:tcPr>
          <w:p>
            <w:pPr>
              <w:ind w:left="120"/>
              <w:spacing w:after="0" w:line="248" w:lineRule="exact"/>
              <w:rPr>
                <w:sz w:val="20"/>
                <w:szCs w:val="20"/>
                <w:color w:val="auto"/>
              </w:rPr>
            </w:pPr>
            <w:r>
              <w:rPr>
                <w:rFonts w:ascii="MS PGothic" w:cs="MS PGothic" w:eastAsia="MS PGothic" w:hAnsi="MS PGothic"/>
                <w:sz w:val="25"/>
                <w:szCs w:val="25"/>
                <w:color w:val="73A950"/>
              </w:rPr>
              <w:t>✓</w:t>
            </w:r>
          </w:p>
        </w:tc>
        <w:tc>
          <w:tcPr>
            <w:tcW w:w="5200" w:type="dxa"/>
            <w:vAlign w:val="bottom"/>
            <w:shd w:val="clear" w:color="auto" w:fill="E5E5E5"/>
          </w:tcPr>
          <w:p>
            <w:pPr>
              <w:ind w:left="120"/>
              <w:spacing w:after="0"/>
              <w:rPr>
                <w:sz w:val="20"/>
                <w:szCs w:val="20"/>
                <w:color w:val="auto"/>
              </w:rPr>
            </w:pPr>
            <w:r>
              <w:rPr>
                <w:rFonts w:ascii="Arial" w:cs="Arial" w:eastAsia="Arial" w:hAnsi="Arial"/>
                <w:sz w:val="18"/>
                <w:szCs w:val="18"/>
                <w:b w:val="1"/>
                <w:bCs w:val="1"/>
                <w:color w:val="004876"/>
              </w:rPr>
              <w:t>Majority of variable pay is in deferred equity</w:t>
            </w:r>
          </w:p>
        </w:tc>
        <w:tc>
          <w:tcPr>
            <w:tcW w:w="460" w:type="dxa"/>
            <w:vAlign w:val="bottom"/>
            <w:shd w:val="clear" w:color="auto" w:fill="E5E5E5"/>
          </w:tcPr>
          <w:p>
            <w:pPr>
              <w:ind w:left="160"/>
              <w:spacing w:after="0" w:line="248" w:lineRule="exact"/>
              <w:rPr>
                <w:sz w:val="20"/>
                <w:szCs w:val="20"/>
                <w:color w:val="auto"/>
              </w:rPr>
            </w:pPr>
            <w:r>
              <w:rPr>
                <w:rFonts w:ascii="MS PGothic" w:cs="MS PGothic" w:eastAsia="MS PGothic" w:hAnsi="MS PGothic"/>
                <w:sz w:val="25"/>
                <w:szCs w:val="25"/>
                <w:color w:val="73A950"/>
              </w:rPr>
              <w:t>✓</w:t>
            </w:r>
          </w:p>
        </w:tc>
        <w:tc>
          <w:tcPr>
            <w:tcW w:w="490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004876"/>
              </w:rPr>
              <w:t>Competitive benchmarking</w:t>
            </w:r>
          </w:p>
        </w:tc>
      </w:tr>
      <w:tr>
        <w:trPr>
          <w:trHeight w:val="184"/>
        </w:trPr>
        <w:tc>
          <w:tcPr>
            <w:tcW w:w="460" w:type="dxa"/>
            <w:vAlign w:val="bottom"/>
            <w:shd w:val="clear" w:color="auto" w:fill="E5E5E5"/>
          </w:tcPr>
          <w:p>
            <w:pPr>
              <w:spacing w:after="0"/>
              <w:rPr>
                <w:sz w:val="16"/>
                <w:szCs w:val="16"/>
                <w:color w:val="auto"/>
              </w:rPr>
            </w:pPr>
          </w:p>
        </w:tc>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Operating Committee member variable compensation is mostly</w:t>
            </w:r>
          </w:p>
        </w:tc>
        <w:tc>
          <w:tcPr>
            <w:tcW w:w="460" w:type="dxa"/>
            <w:vAlign w:val="bottom"/>
            <w:shd w:val="clear" w:color="auto" w:fill="E5E5E5"/>
          </w:tcPr>
          <w:p>
            <w:pPr>
              <w:spacing w:after="0"/>
              <w:rPr>
                <w:sz w:val="16"/>
                <w:szCs w:val="16"/>
                <w:color w:val="auto"/>
              </w:rPr>
            </w:pPr>
          </w:p>
        </w:tc>
        <w:tc>
          <w:tcPr>
            <w:tcW w:w="49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To make informed decisions on pay levels and pay practices, we</w:t>
            </w:r>
          </w:p>
        </w:tc>
      </w:tr>
      <w:tr>
        <w:trPr>
          <w:trHeight w:val="206"/>
        </w:trPr>
        <w:tc>
          <w:tcPr>
            <w:tcW w:w="460" w:type="dxa"/>
            <w:vAlign w:val="bottom"/>
            <w:shd w:val="clear" w:color="auto" w:fill="E5E5E5"/>
          </w:tcPr>
          <w:p>
            <w:pPr>
              <w:spacing w:after="0"/>
              <w:rPr>
                <w:sz w:val="17"/>
                <w:szCs w:val="17"/>
                <w:color w:val="auto"/>
              </w:rPr>
            </w:pPr>
          </w:p>
        </w:tc>
        <w:tc>
          <w:tcPr>
            <w:tcW w:w="5200" w:type="dxa"/>
            <w:vAlign w:val="bottom"/>
            <w:shd w:val="clear" w:color="auto" w:fill="E5E5E5"/>
          </w:tcPr>
          <w:p>
            <w:pPr>
              <w:ind w:left="120"/>
              <w:spacing w:after="0" w:line="205" w:lineRule="exact"/>
              <w:rPr>
                <w:sz w:val="20"/>
                <w:szCs w:val="20"/>
                <w:color w:val="auto"/>
              </w:rPr>
            </w:pPr>
            <w:r>
              <w:rPr>
                <w:rFonts w:ascii="Arial" w:cs="Arial" w:eastAsia="Arial" w:hAnsi="Arial"/>
                <w:sz w:val="14"/>
                <w:szCs w:val="14"/>
                <w:color w:val="auto"/>
              </w:rPr>
              <w:t>deferred in the form of PSUs and RSUs that vest over three years</w:t>
            </w:r>
            <w:r>
              <w:rPr>
                <w:rFonts w:ascii="Arial" w:cs="Arial" w:eastAsia="Arial" w:hAnsi="Arial"/>
                <w:sz w:val="23"/>
                <w:szCs w:val="23"/>
                <w:color w:val="auto"/>
                <w:vertAlign w:val="superscript"/>
              </w:rPr>
              <w:t>1</w:t>
            </w:r>
          </w:p>
        </w:tc>
        <w:tc>
          <w:tcPr>
            <w:tcW w:w="460" w:type="dxa"/>
            <w:vAlign w:val="bottom"/>
            <w:shd w:val="clear" w:color="auto" w:fill="E5E5E5"/>
          </w:tcPr>
          <w:p>
            <w:pPr>
              <w:spacing w:after="0"/>
              <w:rPr>
                <w:sz w:val="17"/>
                <w:szCs w:val="17"/>
                <w:color w:val="auto"/>
              </w:rPr>
            </w:pPr>
          </w:p>
        </w:tc>
        <w:tc>
          <w:tcPr>
            <w:tcW w:w="49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benchmark ourselves against relevant market data</w:t>
            </w:r>
          </w:p>
        </w:tc>
      </w:tr>
      <w:tr>
        <w:trPr>
          <w:trHeight w:val="245"/>
        </w:trPr>
        <w:tc>
          <w:tcPr>
            <w:tcW w:w="460" w:type="dxa"/>
            <w:vAlign w:val="bottom"/>
          </w:tcPr>
          <w:p>
            <w:pPr>
              <w:ind w:left="120"/>
              <w:spacing w:after="0" w:line="245" w:lineRule="exact"/>
              <w:rPr>
                <w:sz w:val="20"/>
                <w:szCs w:val="20"/>
                <w:color w:val="auto"/>
              </w:rPr>
            </w:pPr>
            <w:r>
              <w:rPr>
                <w:rFonts w:ascii="MS PGothic" w:cs="MS PGothic" w:eastAsia="MS PGothic" w:hAnsi="MS PGothic"/>
                <w:sz w:val="25"/>
                <w:szCs w:val="25"/>
                <w:color w:val="73A950"/>
              </w:rPr>
              <w:t>✓</w:t>
            </w:r>
          </w:p>
        </w:tc>
        <w:tc>
          <w:tcPr>
            <w:tcW w:w="5200" w:type="dxa"/>
            <w:vAlign w:val="bottom"/>
          </w:tcPr>
          <w:p>
            <w:pPr>
              <w:ind w:left="120"/>
              <w:spacing w:after="0"/>
              <w:rPr>
                <w:sz w:val="20"/>
                <w:szCs w:val="20"/>
                <w:color w:val="auto"/>
              </w:rPr>
            </w:pPr>
            <w:r>
              <w:rPr>
                <w:rFonts w:ascii="Arial" w:cs="Arial" w:eastAsia="Arial" w:hAnsi="Arial"/>
                <w:sz w:val="18"/>
                <w:szCs w:val="18"/>
                <w:b w:val="1"/>
                <w:bCs w:val="1"/>
                <w:color w:val="004876"/>
              </w:rPr>
              <w:t>Risk, controls and conduct impacts pay</w:t>
            </w:r>
          </w:p>
        </w:tc>
        <w:tc>
          <w:tcPr>
            <w:tcW w:w="460" w:type="dxa"/>
            <w:vAlign w:val="bottom"/>
          </w:tcPr>
          <w:p>
            <w:pPr>
              <w:ind w:left="160"/>
              <w:spacing w:after="0" w:line="245" w:lineRule="exact"/>
              <w:rPr>
                <w:sz w:val="20"/>
                <w:szCs w:val="20"/>
                <w:color w:val="auto"/>
              </w:rPr>
            </w:pPr>
            <w:r>
              <w:rPr>
                <w:rFonts w:ascii="MS PGothic" w:cs="MS PGothic" w:eastAsia="MS PGothic" w:hAnsi="MS PGothic"/>
                <w:sz w:val="25"/>
                <w:szCs w:val="25"/>
                <w:color w:val="73A950"/>
              </w:rPr>
              <w:t>✓</w:t>
            </w:r>
          </w:p>
        </w:tc>
        <w:tc>
          <w:tcPr>
            <w:tcW w:w="4900" w:type="dxa"/>
            <w:vAlign w:val="bottom"/>
          </w:tcPr>
          <w:p>
            <w:pPr>
              <w:ind w:left="100"/>
              <w:spacing w:after="0"/>
              <w:rPr>
                <w:sz w:val="20"/>
                <w:szCs w:val="20"/>
                <w:color w:val="auto"/>
              </w:rPr>
            </w:pPr>
            <w:r>
              <w:rPr>
                <w:rFonts w:ascii="Arial" w:cs="Arial" w:eastAsia="Arial" w:hAnsi="Arial"/>
                <w:sz w:val="18"/>
                <w:szCs w:val="18"/>
                <w:b w:val="1"/>
                <w:bCs w:val="1"/>
                <w:color w:val="004876"/>
              </w:rPr>
              <w:t>Responsible use of equity</w:t>
            </w:r>
          </w:p>
        </w:tc>
      </w:tr>
      <w:tr>
        <w:trPr>
          <w:trHeight w:val="189"/>
        </w:trPr>
        <w:tc>
          <w:tcPr>
            <w:tcW w:w="460" w:type="dxa"/>
            <w:vAlign w:val="bottom"/>
          </w:tcPr>
          <w:p>
            <w:pPr>
              <w:spacing w:after="0"/>
              <w:rPr>
                <w:sz w:val="16"/>
                <w:szCs w:val="16"/>
                <w:color w:val="auto"/>
              </w:rPr>
            </w:pPr>
          </w:p>
        </w:tc>
        <w:tc>
          <w:tcPr>
            <w:tcW w:w="5200" w:type="dxa"/>
            <w:vAlign w:val="bottom"/>
          </w:tcPr>
          <w:p>
            <w:pPr>
              <w:ind w:left="120"/>
              <w:spacing w:after="0"/>
              <w:rPr>
                <w:sz w:val="20"/>
                <w:szCs w:val="20"/>
                <w:color w:val="auto"/>
              </w:rPr>
            </w:pPr>
            <w:r>
              <w:rPr>
                <w:rFonts w:ascii="Arial" w:cs="Arial" w:eastAsia="Arial" w:hAnsi="Arial"/>
                <w:sz w:val="16"/>
                <w:szCs w:val="16"/>
                <w:color w:val="auto"/>
              </w:rPr>
              <w:t>In making pay decisions, we consider material risk, controls and</w:t>
            </w:r>
          </w:p>
        </w:tc>
        <w:tc>
          <w:tcPr>
            <w:tcW w:w="460" w:type="dxa"/>
            <w:vAlign w:val="bottom"/>
          </w:tcPr>
          <w:p>
            <w:pPr>
              <w:spacing w:after="0"/>
              <w:rPr>
                <w:sz w:val="16"/>
                <w:szCs w:val="16"/>
                <w:color w:val="auto"/>
              </w:rPr>
            </w:pPr>
          </w:p>
        </w:tc>
        <w:tc>
          <w:tcPr>
            <w:tcW w:w="4900" w:type="dxa"/>
            <w:vAlign w:val="bottom"/>
          </w:tcPr>
          <w:p>
            <w:pPr>
              <w:ind w:left="100"/>
              <w:spacing w:after="0"/>
              <w:rPr>
                <w:sz w:val="20"/>
                <w:szCs w:val="20"/>
                <w:color w:val="auto"/>
              </w:rPr>
            </w:pPr>
            <w:r>
              <w:rPr>
                <w:rFonts w:ascii="Arial" w:cs="Arial" w:eastAsia="Arial" w:hAnsi="Arial"/>
                <w:sz w:val="16"/>
                <w:szCs w:val="16"/>
                <w:color w:val="auto"/>
              </w:rPr>
              <w:t>We manage our equity program responsibly, using less than 1% of</w:t>
            </w:r>
          </w:p>
        </w:tc>
      </w:tr>
      <w:tr>
        <w:trPr>
          <w:trHeight w:val="189"/>
        </w:trPr>
        <w:tc>
          <w:tcPr>
            <w:tcW w:w="460" w:type="dxa"/>
            <w:vAlign w:val="bottom"/>
          </w:tcPr>
          <w:p>
            <w:pPr>
              <w:spacing w:after="0"/>
              <w:rPr>
                <w:sz w:val="16"/>
                <w:szCs w:val="16"/>
                <w:color w:val="auto"/>
              </w:rPr>
            </w:pPr>
          </w:p>
        </w:tc>
        <w:tc>
          <w:tcPr>
            <w:tcW w:w="5200" w:type="dxa"/>
            <w:vAlign w:val="bottom"/>
          </w:tcPr>
          <w:p>
            <w:pPr>
              <w:ind w:left="120"/>
              <w:spacing w:after="0"/>
              <w:rPr>
                <w:sz w:val="20"/>
                <w:szCs w:val="20"/>
                <w:color w:val="auto"/>
              </w:rPr>
            </w:pPr>
            <w:r>
              <w:rPr>
                <w:rFonts w:ascii="Arial" w:cs="Arial" w:eastAsia="Arial" w:hAnsi="Arial"/>
                <w:sz w:val="16"/>
                <w:szCs w:val="16"/>
                <w:color w:val="auto"/>
              </w:rPr>
              <w:t>conduct issues and make adjustments to compensation, when</w:t>
            </w:r>
          </w:p>
        </w:tc>
        <w:tc>
          <w:tcPr>
            <w:tcW w:w="460" w:type="dxa"/>
            <w:vAlign w:val="bottom"/>
          </w:tcPr>
          <w:p>
            <w:pPr>
              <w:spacing w:after="0"/>
              <w:rPr>
                <w:sz w:val="16"/>
                <w:szCs w:val="16"/>
                <w:color w:val="auto"/>
              </w:rPr>
            </w:pPr>
          </w:p>
        </w:tc>
        <w:tc>
          <w:tcPr>
            <w:tcW w:w="4900" w:type="dxa"/>
            <w:vAlign w:val="bottom"/>
          </w:tcPr>
          <w:p>
            <w:pPr>
              <w:ind w:left="100"/>
              <w:spacing w:after="0"/>
              <w:rPr>
                <w:sz w:val="20"/>
                <w:szCs w:val="20"/>
                <w:color w:val="auto"/>
              </w:rPr>
            </w:pPr>
            <w:r>
              <w:rPr>
                <w:rFonts w:ascii="Arial" w:cs="Arial" w:eastAsia="Arial" w:hAnsi="Arial"/>
                <w:sz w:val="16"/>
                <w:szCs w:val="16"/>
                <w:color w:val="auto"/>
              </w:rPr>
              <w:t>weighted average diluted shares in 2018 for employee</w:t>
            </w:r>
          </w:p>
        </w:tc>
      </w:tr>
      <w:tr>
        <w:trPr>
          <w:trHeight w:val="198"/>
        </w:trPr>
        <w:tc>
          <w:tcPr>
            <w:tcW w:w="460" w:type="dxa"/>
            <w:vAlign w:val="bottom"/>
          </w:tcPr>
          <w:p>
            <w:pPr>
              <w:spacing w:after="0"/>
              <w:rPr>
                <w:sz w:val="17"/>
                <w:szCs w:val="17"/>
                <w:color w:val="auto"/>
              </w:rPr>
            </w:pPr>
          </w:p>
        </w:tc>
        <w:tc>
          <w:tcPr>
            <w:tcW w:w="5200" w:type="dxa"/>
            <w:vAlign w:val="bottom"/>
          </w:tcPr>
          <w:p>
            <w:pPr>
              <w:ind w:left="120"/>
              <w:spacing w:after="0"/>
              <w:rPr>
                <w:sz w:val="20"/>
                <w:szCs w:val="20"/>
                <w:color w:val="auto"/>
              </w:rPr>
            </w:pPr>
            <w:r>
              <w:rPr>
                <w:rFonts w:ascii="Arial" w:cs="Arial" w:eastAsia="Arial" w:hAnsi="Arial"/>
                <w:sz w:val="16"/>
                <w:szCs w:val="16"/>
                <w:color w:val="auto"/>
              </w:rPr>
              <w:t>appropriate</w:t>
            </w:r>
          </w:p>
        </w:tc>
        <w:tc>
          <w:tcPr>
            <w:tcW w:w="460" w:type="dxa"/>
            <w:vAlign w:val="bottom"/>
          </w:tcPr>
          <w:p>
            <w:pPr>
              <w:spacing w:after="0"/>
              <w:rPr>
                <w:sz w:val="17"/>
                <w:szCs w:val="17"/>
                <w:color w:val="auto"/>
              </w:rPr>
            </w:pPr>
          </w:p>
        </w:tc>
        <w:tc>
          <w:tcPr>
            <w:tcW w:w="4900" w:type="dxa"/>
            <w:vAlign w:val="bottom"/>
          </w:tcPr>
          <w:p>
            <w:pPr>
              <w:ind w:left="100"/>
              <w:spacing w:after="0"/>
              <w:rPr>
                <w:sz w:val="20"/>
                <w:szCs w:val="20"/>
                <w:color w:val="auto"/>
              </w:rPr>
            </w:pPr>
            <w:r>
              <w:rPr>
                <w:rFonts w:ascii="Arial" w:cs="Arial" w:eastAsia="Arial" w:hAnsi="Arial"/>
                <w:sz w:val="16"/>
                <w:szCs w:val="16"/>
                <w:color w:val="auto"/>
              </w:rPr>
              <w:t>compensation</w:t>
            </w:r>
          </w:p>
        </w:tc>
      </w:tr>
      <w:tr>
        <w:trPr>
          <w:trHeight w:val="221"/>
        </w:trPr>
        <w:tc>
          <w:tcPr>
            <w:tcW w:w="460" w:type="dxa"/>
            <w:vAlign w:val="bottom"/>
            <w:shd w:val="clear" w:color="auto" w:fill="E5E5E5"/>
          </w:tcPr>
          <w:p>
            <w:pPr>
              <w:ind w:left="120"/>
              <w:spacing w:after="0" w:line="221" w:lineRule="exact"/>
              <w:rPr>
                <w:sz w:val="20"/>
                <w:szCs w:val="20"/>
                <w:color w:val="auto"/>
              </w:rPr>
            </w:pPr>
            <w:r>
              <w:rPr>
                <w:rFonts w:ascii="MS PGothic" w:cs="MS PGothic" w:eastAsia="MS PGothic" w:hAnsi="MS PGothic"/>
                <w:sz w:val="25"/>
                <w:szCs w:val="25"/>
                <w:color w:val="73A950"/>
              </w:rPr>
              <w:t>✓</w:t>
            </w:r>
          </w:p>
        </w:tc>
        <w:tc>
          <w:tcPr>
            <w:tcW w:w="5200" w:type="dxa"/>
            <w:vAlign w:val="bottom"/>
            <w:shd w:val="clear" w:color="auto" w:fill="E5E5E5"/>
          </w:tcPr>
          <w:p>
            <w:pPr>
              <w:ind w:left="120"/>
              <w:spacing w:after="0"/>
              <w:rPr>
                <w:sz w:val="20"/>
                <w:szCs w:val="20"/>
                <w:color w:val="auto"/>
              </w:rPr>
            </w:pPr>
            <w:r>
              <w:rPr>
                <w:rFonts w:ascii="Arial" w:cs="Arial" w:eastAsia="Arial" w:hAnsi="Arial"/>
                <w:sz w:val="18"/>
                <w:szCs w:val="18"/>
                <w:b w:val="1"/>
                <w:bCs w:val="1"/>
                <w:color w:val="004876"/>
              </w:rPr>
              <w:t>Strong share holding requirements</w:t>
            </w:r>
          </w:p>
        </w:tc>
        <w:tc>
          <w:tcPr>
            <w:tcW w:w="460" w:type="dxa"/>
            <w:vAlign w:val="bottom"/>
            <w:shd w:val="clear" w:color="auto" w:fill="E5E5E5"/>
          </w:tcPr>
          <w:p>
            <w:pPr>
              <w:ind w:left="160"/>
              <w:spacing w:after="0" w:line="221" w:lineRule="exact"/>
              <w:rPr>
                <w:sz w:val="20"/>
                <w:szCs w:val="20"/>
                <w:color w:val="auto"/>
              </w:rPr>
            </w:pPr>
            <w:r>
              <w:rPr>
                <w:rFonts w:ascii="MS PGothic" w:cs="MS PGothic" w:eastAsia="MS PGothic" w:hAnsi="MS PGothic"/>
                <w:sz w:val="25"/>
                <w:szCs w:val="25"/>
                <w:color w:val="73A950"/>
              </w:rPr>
              <w:t>✓</w:t>
            </w:r>
          </w:p>
        </w:tc>
        <w:tc>
          <w:tcPr>
            <w:tcW w:w="490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004876"/>
              </w:rPr>
              <w:t>Robust shareholder engagement</w:t>
            </w:r>
          </w:p>
        </w:tc>
      </w:tr>
      <w:tr>
        <w:trPr>
          <w:trHeight w:val="189"/>
        </w:trPr>
        <w:tc>
          <w:tcPr>
            <w:tcW w:w="460" w:type="dxa"/>
            <w:vAlign w:val="bottom"/>
            <w:shd w:val="clear" w:color="auto" w:fill="E5E5E5"/>
          </w:tcPr>
          <w:p>
            <w:pPr>
              <w:spacing w:after="0"/>
              <w:rPr>
                <w:sz w:val="16"/>
                <w:szCs w:val="16"/>
                <w:color w:val="auto"/>
              </w:rPr>
            </w:pPr>
          </w:p>
        </w:tc>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Operating Committee members are required to retain significant</w:t>
            </w:r>
          </w:p>
        </w:tc>
        <w:tc>
          <w:tcPr>
            <w:tcW w:w="460" w:type="dxa"/>
            <w:vAlign w:val="bottom"/>
            <w:shd w:val="clear" w:color="auto" w:fill="E5E5E5"/>
          </w:tcPr>
          <w:p>
            <w:pPr>
              <w:spacing w:after="0"/>
              <w:rPr>
                <w:sz w:val="16"/>
                <w:szCs w:val="16"/>
                <w:color w:val="auto"/>
              </w:rPr>
            </w:pPr>
          </w:p>
        </w:tc>
        <w:tc>
          <w:tcPr>
            <w:tcW w:w="49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Each year we provide the Board with feedback from our</w:t>
            </w:r>
          </w:p>
        </w:tc>
      </w:tr>
      <w:tr>
        <w:trPr>
          <w:trHeight w:val="189"/>
        </w:trPr>
        <w:tc>
          <w:tcPr>
            <w:tcW w:w="460" w:type="dxa"/>
            <w:vAlign w:val="bottom"/>
            <w:shd w:val="clear" w:color="auto" w:fill="E5E5E5"/>
          </w:tcPr>
          <w:p>
            <w:pPr>
              <w:spacing w:after="0"/>
              <w:rPr>
                <w:sz w:val="16"/>
                <w:szCs w:val="16"/>
                <w:color w:val="auto"/>
              </w:rPr>
            </w:pPr>
          </w:p>
        </w:tc>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portions of net shares received from awards to increase ownership</w:t>
            </w:r>
          </w:p>
        </w:tc>
        <w:tc>
          <w:tcPr>
            <w:tcW w:w="460" w:type="dxa"/>
            <w:vAlign w:val="bottom"/>
            <w:shd w:val="clear" w:color="auto" w:fill="E5E5E5"/>
          </w:tcPr>
          <w:p>
            <w:pPr>
              <w:spacing w:after="0"/>
              <w:rPr>
                <w:sz w:val="16"/>
                <w:szCs w:val="16"/>
                <w:color w:val="auto"/>
              </w:rPr>
            </w:pPr>
          </w:p>
        </w:tc>
        <w:tc>
          <w:tcPr>
            <w:tcW w:w="49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shareholders on a variety of topics, including our compensation</w:t>
            </w:r>
          </w:p>
        </w:tc>
      </w:tr>
      <w:tr>
        <w:trPr>
          <w:trHeight w:val="225"/>
        </w:trPr>
        <w:tc>
          <w:tcPr>
            <w:tcW w:w="460" w:type="dxa"/>
            <w:vAlign w:val="bottom"/>
            <w:tcBorders>
              <w:bottom w:val="single" w:sz="8" w:color="004876"/>
            </w:tcBorders>
            <w:shd w:val="clear" w:color="auto" w:fill="E5E5E5"/>
          </w:tcPr>
          <w:p>
            <w:pPr>
              <w:spacing w:after="0"/>
              <w:rPr>
                <w:sz w:val="19"/>
                <w:szCs w:val="19"/>
                <w:color w:val="auto"/>
              </w:rPr>
            </w:pPr>
          </w:p>
        </w:tc>
        <w:tc>
          <w:tcPr>
            <w:tcW w:w="5200" w:type="dxa"/>
            <w:vAlign w:val="bottom"/>
            <w:tcBorders>
              <w:bottom w:val="single" w:sz="8" w:color="004876"/>
            </w:tcBorders>
            <w:shd w:val="clear" w:color="auto" w:fill="E5E5E5"/>
          </w:tcPr>
          <w:p>
            <w:pPr>
              <w:ind w:left="120"/>
              <w:spacing w:after="0"/>
              <w:rPr>
                <w:sz w:val="20"/>
                <w:szCs w:val="20"/>
                <w:color w:val="auto"/>
              </w:rPr>
            </w:pPr>
            <w:r>
              <w:rPr>
                <w:rFonts w:ascii="Arial" w:cs="Arial" w:eastAsia="Arial" w:hAnsi="Arial"/>
                <w:sz w:val="16"/>
                <w:szCs w:val="16"/>
                <w:color w:val="auto"/>
              </w:rPr>
              <w:t>over the long-term</w:t>
            </w:r>
          </w:p>
        </w:tc>
        <w:tc>
          <w:tcPr>
            <w:tcW w:w="460" w:type="dxa"/>
            <w:vAlign w:val="bottom"/>
            <w:tcBorders>
              <w:bottom w:val="single" w:sz="8" w:color="004876"/>
            </w:tcBorders>
            <w:shd w:val="clear" w:color="auto" w:fill="E5E5E5"/>
          </w:tcPr>
          <w:p>
            <w:pPr>
              <w:spacing w:after="0"/>
              <w:rPr>
                <w:sz w:val="19"/>
                <w:szCs w:val="19"/>
                <w:color w:val="auto"/>
              </w:rPr>
            </w:pPr>
          </w:p>
        </w:tc>
        <w:tc>
          <w:tcPr>
            <w:tcW w:w="4900" w:type="dxa"/>
            <w:vAlign w:val="bottom"/>
            <w:tcBorders>
              <w:bottom w:val="single" w:sz="8" w:color="004876"/>
            </w:tcBorders>
            <w:shd w:val="clear" w:color="auto" w:fill="E5E5E5"/>
          </w:tcPr>
          <w:p>
            <w:pPr>
              <w:ind w:left="100"/>
              <w:spacing w:after="0"/>
              <w:rPr>
                <w:sz w:val="20"/>
                <w:szCs w:val="20"/>
                <w:color w:val="auto"/>
              </w:rPr>
            </w:pPr>
            <w:r>
              <w:rPr>
                <w:rFonts w:ascii="Arial" w:cs="Arial" w:eastAsia="Arial" w:hAnsi="Arial"/>
                <w:sz w:val="16"/>
                <w:szCs w:val="16"/>
                <w:color w:val="auto"/>
              </w:rPr>
              <w:t>programs and practices</w:t>
            </w:r>
          </w:p>
        </w:tc>
      </w:tr>
    </w:tbl>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FFFFFF"/>
        </w:rPr>
        <w:t>SOUND GOVERNANCE AVOIDS POOR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-156210</wp:posOffset>
            </wp:positionV>
            <wp:extent cx="6997700" cy="2057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7700" cy="20574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9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004876"/>
        </w:rPr>
        <w:t>No golden parachute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-116205</wp:posOffset>
            </wp:positionV>
            <wp:extent cx="111760" cy="946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760" cy="94615"/>
                    </a:xfrm>
                    <a:prstGeom prst="rect">
                      <a:avLst/>
                    </a:prstGeom>
                    <a:noFill/>
                  </pic:spPr>
                </pic:pic>
              </a:graphicData>
            </a:graphic>
          </wp:anchor>
        </w:drawing>
      </w:r>
    </w:p>
    <w:p>
      <w:pPr>
        <w:ind w:left="860" w:right="200"/>
        <w:spacing w:after="0" w:line="260" w:lineRule="auto"/>
        <w:rPr>
          <w:sz w:val="20"/>
          <w:szCs w:val="20"/>
          <w:color w:val="auto"/>
        </w:rPr>
      </w:pPr>
      <w:r>
        <w:rPr>
          <w:rFonts w:ascii="Arial" w:cs="Arial" w:eastAsia="Arial" w:hAnsi="Arial"/>
          <w:sz w:val="16"/>
          <w:szCs w:val="16"/>
          <w:color w:val="auto"/>
        </w:rPr>
        <w:t>We do not provide additional payments or benefits as a result of a change-in-control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6997700" cy="7118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7700" cy="71183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b w:val="1"/>
          <w:bCs w:val="1"/>
          <w:color w:val="004876"/>
        </w:rPr>
        <w:t>No special severance</w:t>
      </w:r>
    </w:p>
    <w:p>
      <w:pPr>
        <w:spacing w:after="0" w:line="20" w:lineRule="exact"/>
        <w:rPr>
          <w:sz w:val="20"/>
          <w:szCs w:val="20"/>
          <w:color w:val="auto"/>
        </w:rPr>
      </w:pPr>
    </w:p>
    <w:p>
      <w:pPr>
        <w:ind w:left="860" w:right="160"/>
        <w:spacing w:after="0" w:line="251" w:lineRule="auto"/>
        <w:rPr>
          <w:sz w:val="20"/>
          <w:szCs w:val="20"/>
          <w:color w:val="auto"/>
        </w:rPr>
      </w:pPr>
      <w:r>
        <w:rPr>
          <w:rFonts w:ascii="Arial" w:cs="Arial" w:eastAsia="Arial" w:hAnsi="Arial"/>
          <w:sz w:val="16"/>
          <w:szCs w:val="16"/>
          <w:color w:val="auto"/>
        </w:rPr>
        <w:t>We do not provide special severance. All employees, including Operating Committee members, participate at the same level of severance, based on years of service, capped at 52 weeks up to a maximum credited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67310</wp:posOffset>
            </wp:positionV>
            <wp:extent cx="6997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No guaranteed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-116205</wp:posOffset>
            </wp:positionV>
            <wp:extent cx="111760" cy="946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760" cy="94615"/>
                    </a:xfrm>
                    <a:prstGeom prst="rect">
                      <a:avLst/>
                    </a:prstGeom>
                    <a:noFill/>
                  </pic:spPr>
                </pic:pic>
              </a:graphicData>
            </a:graphic>
          </wp:anchor>
        </w:drawing>
      </w:r>
    </w:p>
    <w:p>
      <w:pPr>
        <w:ind w:right="640"/>
        <w:spacing w:after="0" w:line="260" w:lineRule="auto"/>
        <w:rPr>
          <w:sz w:val="20"/>
          <w:szCs w:val="20"/>
          <w:color w:val="auto"/>
        </w:rPr>
      </w:pPr>
      <w:r>
        <w:rPr>
          <w:rFonts w:ascii="Arial" w:cs="Arial" w:eastAsia="Arial" w:hAnsi="Arial"/>
          <w:sz w:val="16"/>
          <w:szCs w:val="16"/>
          <w:color w:val="auto"/>
        </w:rPr>
        <w:t>We do not provide guaranteed bonuses, except for select individuals at hire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No special executive benefits</w:t>
      </w:r>
    </w:p>
    <w:p>
      <w:pPr>
        <w:spacing w:after="0" w:line="13" w:lineRule="exact"/>
        <w:rPr>
          <w:sz w:val="20"/>
          <w:szCs w:val="20"/>
          <w:color w:val="auto"/>
        </w:rPr>
      </w:pPr>
    </w:p>
    <w:p>
      <w:pPr>
        <w:ind w:left="220" w:right="980"/>
        <w:spacing w:after="0" w:line="288" w:lineRule="auto"/>
        <w:rPr>
          <w:sz w:val="20"/>
          <w:szCs w:val="20"/>
          <w:color w:val="auto"/>
        </w:rPr>
      </w:pPr>
      <w:r>
        <w:rPr>
          <w:rFonts w:ascii="Arial" w:cs="Arial" w:eastAsia="Arial" w:hAnsi="Arial"/>
          <w:sz w:val="16"/>
          <w:szCs w:val="16"/>
          <w:color w:val="auto"/>
        </w:rPr>
        <w:t>No private club dues or tax gross-ups for benefits No 401(k) Savings Plan matching contribution No special health or medical benefits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No special pension credits</w:t>
      </w:r>
    </w:p>
    <w:p>
      <w:pPr>
        <w:spacing w:after="0" w:line="38" w:lineRule="exact"/>
        <w:rPr>
          <w:sz w:val="20"/>
          <w:szCs w:val="20"/>
          <w:color w:val="auto"/>
        </w:rPr>
      </w:pPr>
    </w:p>
    <w:p>
      <w:pPr>
        <w:sectPr>
          <w:pgSz w:w="11900" w:h="16838" w:orient="portrait"/>
          <w:cols w:equalWidth="0" w:num="2">
            <w:col w:w="5780" w:space="720"/>
            <w:col w:w="4740"/>
          </w:cols>
          <w:pgMar w:left="240" w:top="459" w:right="419" w:bottom="1440" w:gutter="0" w:footer="0" w:header="0"/>
          <w:type w:val="continuous"/>
        </w:sectPr>
      </w:pPr>
    </w:p>
    <w:p>
      <w:pPr>
        <w:ind w:left="420" w:right="20" w:hanging="167"/>
        <w:spacing w:after="0" w:line="230" w:lineRule="auto"/>
        <w:tabs>
          <w:tab w:leader="none" w:pos="420" w:val="left"/>
        </w:tabs>
        <w:numPr>
          <w:ilvl w:val="0"/>
          <w:numId w:val="96"/>
        </w:numPr>
        <w:rPr>
          <w:rFonts w:ascii="Arial" w:cs="Arial" w:eastAsia="Arial" w:hAnsi="Arial"/>
          <w:sz w:val="11"/>
          <w:szCs w:val="11"/>
          <w:color w:val="auto"/>
        </w:rPr>
      </w:pPr>
      <w:r>
        <w:rPr>
          <w:rFonts w:ascii="Arial" w:cs="Arial" w:eastAsia="Arial" w:hAnsi="Arial"/>
          <w:sz w:val="13"/>
          <w:szCs w:val="13"/>
          <w:color w:val="auto"/>
        </w:rPr>
        <w:t>PSUs are also subject to a two-year hold after each vesting for a combined holding period of five years. The terms and conditions of Mr. Pinto’s compensation reflect the requirements of E.U. and U.K. regulations. For additional information on the composition of Mr. Pinto’s compensation, see footnote 1 on page 52 of this proxy statement.</w:t>
      </w:r>
    </w:p>
    <w:p>
      <w:pPr>
        <w:spacing w:after="0" w:line="124"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55</w:t>
            </w:r>
          </w:p>
        </w:tc>
      </w:tr>
    </w:tbl>
    <w:p>
      <w:pPr>
        <w:sectPr>
          <w:pgSz w:w="11900" w:h="16838" w:orient="portrait"/>
          <w:cols w:equalWidth="0" w:num="1">
            <w:col w:w="11240"/>
          </w:cols>
          <w:pgMar w:left="240" w:top="459" w:right="41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4876"/>
        </w:rPr>
        <w:t>Stock ownership guidelines and retention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110490</wp:posOffset>
            </wp:positionV>
            <wp:extent cx="6997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CMDC believes it is important to have the interests of the Operating Committee members aligned with those of our shareholders. To meet this objective, Operating Committee members are subject to a stock ownership guideline and retention requirement policy.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guideline</w:t>
      </w:r>
    </w:p>
    <w:p>
      <w:pPr>
        <w:spacing w:after="0" w:line="18"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While on the Operating Committee, each member is required to accumulate either:</w:t>
      </w:r>
    </w:p>
    <w:p>
      <w:pPr>
        <w:spacing w:after="0" w:line="56" w:lineRule="exact"/>
        <w:rPr>
          <w:sz w:val="20"/>
          <w:szCs w:val="20"/>
          <w:color w:val="auto"/>
        </w:rPr>
      </w:pPr>
    </w:p>
    <w:p>
      <w:pPr>
        <w:ind w:left="400" w:right="100"/>
        <w:spacing w:after="0" w:line="246" w:lineRule="auto"/>
        <w:rPr>
          <w:sz w:val="20"/>
          <w:szCs w:val="20"/>
          <w:color w:val="auto"/>
        </w:rPr>
      </w:pPr>
      <w:r>
        <w:rPr>
          <w:rFonts w:ascii="Arial" w:cs="Arial" w:eastAsia="Arial" w:hAnsi="Arial"/>
          <w:sz w:val="18"/>
          <w:szCs w:val="18"/>
          <w:color w:val="auto"/>
        </w:rPr>
        <w:t>A minimum of between 200,000 and 400,000 shares (1 million shares for the CEO); or</w:t>
      </w:r>
    </w:p>
    <w:p>
      <w:pPr>
        <w:spacing w:after="0" w:line="102" w:lineRule="exact"/>
        <w:rPr>
          <w:sz w:val="20"/>
          <w:szCs w:val="20"/>
          <w:color w:val="auto"/>
        </w:rPr>
      </w:pPr>
    </w:p>
    <w:p>
      <w:pPr>
        <w:ind w:left="400" w:right="120"/>
        <w:spacing w:after="0" w:line="246" w:lineRule="auto"/>
        <w:rPr>
          <w:sz w:val="20"/>
          <w:szCs w:val="20"/>
          <w:color w:val="auto"/>
        </w:rPr>
      </w:pPr>
      <w:r>
        <w:rPr>
          <w:rFonts w:ascii="Arial" w:cs="Arial" w:eastAsia="Arial" w:hAnsi="Arial"/>
          <w:sz w:val="18"/>
          <w:szCs w:val="18"/>
          <w:color w:val="auto"/>
        </w:rPr>
        <w:t>A minimum fixed dollar value of shares of between $10 million and $30 million ($75 million for the CEO).</w:t>
      </w:r>
    </w:p>
    <w:p>
      <w:pPr>
        <w:spacing w:after="0" w:line="24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Shares credited for purposes of satisfying the above ownership levels include shares owned outright, as well as 50% of unvested RSUs and PSUs, but do not include stock options or stock appreciation rights.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accumulation period</w:t>
      </w:r>
    </w:p>
    <w:p>
      <w:pPr>
        <w:spacing w:after="0" w:line="1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stock ownership guideline must be met within six years of the later of the effective date of the policy or appointment to the Operating Committee. If the stock ownership guidelines are subsequently revised (increased), then the higher ownership guideline must be satisfied within six years of such revision, unless otherwise determined by the CEO and CMDC.</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requirements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Prior to reaching their designated share ownership guideline, Operating Committee members are required to retain 75% of all net shares received from equity awards. Once they have met their ownership guideline, the policy requires Operating Committee members to continue retaining 50% of all net shares received from awards (75% for the CEO). These retention requirements are summarized below and apply throughout the duration of Operating Committee members’ service on the Operating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149860</wp:posOffset>
            </wp:positionV>
            <wp:extent cx="3422015"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2015" cy="137160"/>
                    </a:xfrm>
                    <a:prstGeom prst="rect">
                      <a:avLst/>
                    </a:prstGeom>
                    <a:noFill/>
                  </pic:spPr>
                </pic:pic>
              </a:graphicData>
            </a:graphic>
          </wp:anchor>
        </w:drawing>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14"/>
          <w:szCs w:val="14"/>
          <w:color w:val="FFFFFF"/>
        </w:rPr>
        <w:t>Retention Requirement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60" w:type="dxa"/>
            <w:vAlign w:val="bottom"/>
            <w:tcBorders>
              <w:bottom w:val="single" w:sz="8" w:color="C4D4DF"/>
            </w:tcBorders>
            <w:shd w:val="clear" w:color="auto" w:fill="C4D4DF"/>
          </w:tcPr>
          <w:p>
            <w:pPr>
              <w:ind w:left="720"/>
              <w:spacing w:after="0"/>
              <w:rPr>
                <w:sz w:val="20"/>
                <w:szCs w:val="20"/>
                <w:color w:val="auto"/>
              </w:rPr>
            </w:pPr>
            <w:r>
              <w:rPr>
                <w:rFonts w:ascii="Arial" w:cs="Arial" w:eastAsia="Arial" w:hAnsi="Arial"/>
                <w:sz w:val="14"/>
                <w:szCs w:val="14"/>
                <w:color w:val="auto"/>
              </w:rPr>
              <w:t>Before Guideline Met</w:t>
            </w:r>
          </w:p>
        </w:tc>
        <w:tc>
          <w:tcPr>
            <w:tcW w:w="2640" w:type="dxa"/>
            <w:vAlign w:val="bottom"/>
            <w:tcBorders>
              <w:bottom w:val="single" w:sz="8" w:color="C4D4DF"/>
            </w:tcBorders>
            <w:shd w:val="clear" w:color="auto" w:fill="C4D4DF"/>
          </w:tcPr>
          <w:p>
            <w:pPr>
              <w:jc w:val="center"/>
              <w:ind w:left="208"/>
              <w:spacing w:after="0"/>
              <w:rPr>
                <w:sz w:val="20"/>
                <w:szCs w:val="20"/>
                <w:color w:val="auto"/>
              </w:rPr>
            </w:pPr>
            <w:r>
              <w:rPr>
                <w:rFonts w:ascii="Arial" w:cs="Arial" w:eastAsia="Arial" w:hAnsi="Arial"/>
                <w:sz w:val="14"/>
                <w:szCs w:val="14"/>
                <w:color w:val="auto"/>
              </w:rPr>
              <w:t>After Guideline Met</w:t>
            </w:r>
          </w:p>
        </w:tc>
      </w:tr>
      <w:tr>
        <w:trPr>
          <w:trHeight w:val="207"/>
        </w:trPr>
        <w:tc>
          <w:tcPr>
            <w:tcW w:w="2760" w:type="dxa"/>
            <w:vAlign w:val="bottom"/>
          </w:tcPr>
          <w:p>
            <w:pPr>
              <w:jc w:val="center"/>
              <w:ind w:left="28"/>
              <w:spacing w:after="0"/>
              <w:rPr>
                <w:sz w:val="20"/>
                <w:szCs w:val="20"/>
                <w:color w:val="auto"/>
              </w:rPr>
            </w:pPr>
            <w:r>
              <w:rPr>
                <w:rFonts w:ascii="Arial" w:cs="Arial" w:eastAsia="Arial" w:hAnsi="Arial"/>
                <w:sz w:val="14"/>
                <w:szCs w:val="14"/>
                <w:color w:val="auto"/>
              </w:rPr>
              <w:t>75% of net shares until</w:t>
            </w:r>
          </w:p>
        </w:tc>
        <w:tc>
          <w:tcPr>
            <w:tcW w:w="2640" w:type="dxa"/>
            <w:vAlign w:val="bottom"/>
          </w:tcPr>
          <w:p>
            <w:pPr>
              <w:jc w:val="center"/>
              <w:ind w:left="208"/>
              <w:spacing w:after="0"/>
              <w:rPr>
                <w:sz w:val="20"/>
                <w:szCs w:val="20"/>
                <w:color w:val="auto"/>
              </w:rPr>
            </w:pPr>
            <w:r>
              <w:rPr>
                <w:rFonts w:ascii="Arial" w:cs="Arial" w:eastAsia="Arial" w:hAnsi="Arial"/>
                <w:sz w:val="14"/>
                <w:szCs w:val="14"/>
                <w:color w:val="auto"/>
              </w:rPr>
              <w:t>50% of net shares for the</w:t>
            </w:r>
          </w:p>
        </w:tc>
      </w:tr>
      <w:tr>
        <w:trPr>
          <w:trHeight w:val="162"/>
        </w:trPr>
        <w:tc>
          <w:tcPr>
            <w:tcW w:w="2760" w:type="dxa"/>
            <w:vAlign w:val="bottom"/>
          </w:tcPr>
          <w:p>
            <w:pPr>
              <w:jc w:val="center"/>
              <w:ind w:left="28"/>
              <w:spacing w:after="0"/>
              <w:rPr>
                <w:sz w:val="20"/>
                <w:szCs w:val="20"/>
                <w:color w:val="auto"/>
              </w:rPr>
            </w:pPr>
            <w:r>
              <w:rPr>
                <w:rFonts w:ascii="Arial" w:cs="Arial" w:eastAsia="Arial" w:hAnsi="Arial"/>
                <w:sz w:val="14"/>
                <w:szCs w:val="14"/>
                <w:color w:val="auto"/>
              </w:rPr>
              <w:t>guidelines of shares is met</w:t>
            </w:r>
          </w:p>
        </w:tc>
        <w:tc>
          <w:tcPr>
            <w:tcW w:w="2640" w:type="dxa"/>
            <w:vAlign w:val="bottom"/>
          </w:tcPr>
          <w:p>
            <w:pPr>
              <w:jc w:val="center"/>
              <w:ind w:left="188"/>
              <w:spacing w:after="0"/>
              <w:rPr>
                <w:sz w:val="20"/>
                <w:szCs w:val="20"/>
                <w:color w:val="auto"/>
              </w:rPr>
            </w:pPr>
            <w:r>
              <w:rPr>
                <w:rFonts w:ascii="Arial" w:cs="Arial" w:eastAsia="Arial" w:hAnsi="Arial"/>
                <w:sz w:val="14"/>
                <w:szCs w:val="14"/>
                <w:color w:val="auto"/>
              </w:rPr>
              <w:t>duration of their service on the</w:t>
            </w:r>
          </w:p>
        </w:tc>
      </w:tr>
      <w:tr>
        <w:trPr>
          <w:trHeight w:val="148"/>
        </w:trPr>
        <w:tc>
          <w:tcPr>
            <w:tcW w:w="2760" w:type="dxa"/>
            <w:vAlign w:val="bottom"/>
          </w:tcPr>
          <w:p>
            <w:pPr>
              <w:spacing w:after="0"/>
              <w:rPr>
                <w:sz w:val="12"/>
                <w:szCs w:val="12"/>
                <w:color w:val="auto"/>
              </w:rPr>
            </w:pPr>
          </w:p>
        </w:tc>
        <w:tc>
          <w:tcPr>
            <w:tcW w:w="2640" w:type="dxa"/>
            <w:vAlign w:val="bottom"/>
          </w:tcPr>
          <w:p>
            <w:pPr>
              <w:jc w:val="center"/>
              <w:ind w:left="208"/>
              <w:spacing w:after="0" w:line="148" w:lineRule="exact"/>
              <w:rPr>
                <w:sz w:val="20"/>
                <w:szCs w:val="20"/>
                <w:color w:val="auto"/>
              </w:rPr>
            </w:pPr>
            <w:r>
              <w:rPr>
                <w:rFonts w:ascii="Arial" w:cs="Arial" w:eastAsia="Arial" w:hAnsi="Arial"/>
                <w:sz w:val="14"/>
                <w:szCs w:val="14"/>
                <w:color w:val="auto"/>
              </w:rPr>
              <w:t>Operating Committee</w:t>
            </w:r>
          </w:p>
        </w:tc>
      </w:tr>
      <w:tr>
        <w:trPr>
          <w:trHeight w:val="186"/>
        </w:trPr>
        <w:tc>
          <w:tcPr>
            <w:tcW w:w="2760" w:type="dxa"/>
            <w:vAlign w:val="bottom"/>
          </w:tcPr>
          <w:p>
            <w:pPr>
              <w:spacing w:after="0"/>
              <w:rPr>
                <w:sz w:val="16"/>
                <w:szCs w:val="16"/>
                <w:color w:val="auto"/>
              </w:rPr>
            </w:pPr>
          </w:p>
        </w:tc>
        <w:tc>
          <w:tcPr>
            <w:tcW w:w="2640" w:type="dxa"/>
            <w:vAlign w:val="bottom"/>
          </w:tcPr>
          <w:p>
            <w:pPr>
              <w:jc w:val="center"/>
              <w:ind w:left="188"/>
              <w:spacing w:after="0"/>
              <w:rPr>
                <w:sz w:val="20"/>
                <w:szCs w:val="20"/>
                <w:color w:val="auto"/>
              </w:rPr>
            </w:pPr>
            <w:r>
              <w:rPr>
                <w:rFonts w:ascii="Arial" w:cs="Arial" w:eastAsia="Arial" w:hAnsi="Arial"/>
                <w:sz w:val="14"/>
                <w:szCs w:val="14"/>
                <w:i w:val="1"/>
                <w:iCs w:val="1"/>
                <w:color w:val="auto"/>
              </w:rPr>
              <w:t>(75% for the CEO)</w:t>
            </w:r>
          </w:p>
        </w:tc>
      </w:tr>
    </w:tbl>
    <w:p>
      <w:pPr>
        <w:spacing w:after="0" w:line="10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Because Operating Committee members are required to continue accumulating shares even after having met their share ownership guideline, the resulting increase of share ownership over time further strengthens Operating Committee members’ interests with those of our shareholders.</w:t>
      </w:r>
    </w:p>
    <w:p>
      <w:pPr>
        <w:spacing w:after="0" w:line="1385" w:lineRule="exact"/>
        <w:rPr>
          <w:sz w:val="20"/>
          <w:szCs w:val="20"/>
          <w:color w:val="auto"/>
        </w:rPr>
      </w:pPr>
    </w:p>
    <w:p>
      <w:pPr>
        <w:sectPr>
          <w:pgSz w:w="11900" w:h="16838" w:orient="portrait"/>
          <w:cols w:equalWidth="0" w:num="2">
            <w:col w:w="5440" w:space="380"/>
            <w:col w:w="5400"/>
          </w:cols>
          <w:pgMar w:left="240" w:top="459" w:right="439" w:bottom="1440" w:gutter="0" w:footer="0" w:header="0"/>
          <w:type w:val="continuous"/>
        </w:sectPr>
      </w:pPr>
    </w:p>
    <w:p>
      <w:pPr>
        <w:spacing w:after="0" w:line="81"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56</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960"/>
        <w:spacing w:after="0"/>
        <w:rPr>
          <w:sz w:val="20"/>
          <w:szCs w:val="20"/>
          <w:color w:val="auto"/>
        </w:rPr>
      </w:pPr>
      <w:r>
        <w:rPr>
          <w:rFonts w:ascii="Arial" w:cs="Arial" w:eastAsia="Arial" w:hAnsi="Arial"/>
          <w:sz w:val="16"/>
          <w:szCs w:val="16"/>
          <w:color w:val="333333"/>
        </w:rPr>
        <w:t>EXECUTIVE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4876"/>
        </w:rPr>
        <w:t>4. Pay is aligned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179705</wp:posOffset>
            </wp:positionV>
            <wp:extent cx="6997700" cy="4457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7700" cy="445770"/>
                    </a:xfrm>
                    <a:prstGeom prst="rect">
                      <a:avLst/>
                    </a:prstGeom>
                    <a:noFill/>
                  </pic:spPr>
                </pic:pic>
              </a:graphicData>
            </a:graphic>
          </wp:anchor>
        </w:drawing>
      </w:r>
    </w:p>
    <w:p>
      <w:pPr>
        <w:spacing w:after="0" w:line="303" w:lineRule="exact"/>
        <w:rPr>
          <w:sz w:val="20"/>
          <w:szCs w:val="20"/>
          <w:color w:val="auto"/>
        </w:rPr>
      </w:pPr>
    </w:p>
    <w:p>
      <w:pPr>
        <w:jc w:val="center"/>
        <w:ind w:left="440" w:right="140"/>
        <w:spacing w:after="0"/>
        <w:rPr>
          <w:sz w:val="20"/>
          <w:szCs w:val="20"/>
          <w:color w:val="auto"/>
        </w:rPr>
      </w:pPr>
      <w:r>
        <w:rPr>
          <w:rFonts w:ascii="Arial" w:cs="Arial" w:eastAsia="Arial" w:hAnsi="Arial"/>
          <w:sz w:val="18"/>
          <w:szCs w:val="18"/>
          <w:color w:val="004876"/>
        </w:rPr>
        <w:t>CEO pay is strongly aligned to the Firm’s short-, medium- and long-term performance, with approximately 83% of the CEO’s variable pay deferred into equity, of which 100% is in at-risk PSUs. Other NEO pay is also strongly aligned to Firm and LOB performance, with a majority of their variable pay deferred into equity, of which 50% is in at-risk PSUs.</w:t>
      </w:r>
    </w:p>
    <w:p>
      <w:pPr>
        <w:spacing w:after="0" w:line="2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sets forth salary and incentive compensation awarded to our NEOs for 2018 performance.</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NEO COMPENSATION TABLE</w:t>
            </w:r>
          </w:p>
        </w:tc>
        <w:tc>
          <w:tcPr>
            <w:tcW w:w="1700" w:type="dxa"/>
            <w:vAlign w:val="bottom"/>
          </w:tcPr>
          <w:p>
            <w:pPr>
              <w:spacing w:after="0"/>
              <w:rPr>
                <w:sz w:val="15"/>
                <w:szCs w:val="15"/>
                <w:color w:val="auto"/>
              </w:rPr>
            </w:pPr>
          </w:p>
        </w:tc>
        <w:tc>
          <w:tcPr>
            <w:tcW w:w="5600" w:type="dxa"/>
            <w:vAlign w:val="bottom"/>
            <w:tcBorders>
              <w:bottom w:val="single" w:sz="8" w:color="004876"/>
            </w:tcBorders>
            <w:gridSpan w:val="6"/>
          </w:tcPr>
          <w:p>
            <w:pPr>
              <w:jc w:val="right"/>
              <w:ind w:right="748"/>
              <w:spacing w:after="0"/>
              <w:rPr>
                <w:sz w:val="20"/>
                <w:szCs w:val="20"/>
                <w:color w:val="auto"/>
              </w:rPr>
            </w:pPr>
            <w:r>
              <w:rPr>
                <w:rFonts w:ascii="Arial" w:cs="Arial" w:eastAsia="Arial" w:hAnsi="Arial"/>
                <w:sz w:val="14"/>
                <w:szCs w:val="14"/>
                <w:b w:val="1"/>
                <w:bCs w:val="1"/>
                <w:color w:val="auto"/>
              </w:rPr>
              <w:t>ANNUAL COMPENSATION (FOR PERFORMANCE YEAR)</w:t>
            </w:r>
          </w:p>
        </w:tc>
      </w:tr>
      <w:tr>
        <w:trPr>
          <w:trHeight w:val="412"/>
        </w:trPr>
        <w:tc>
          <w:tcPr>
            <w:tcW w:w="3720" w:type="dxa"/>
            <w:vAlign w:val="bottom"/>
          </w:tcPr>
          <w:p>
            <w:pPr>
              <w:ind w:left="60"/>
              <w:spacing w:after="0"/>
              <w:rPr>
                <w:sz w:val="20"/>
                <w:szCs w:val="20"/>
                <w:color w:val="auto"/>
              </w:rPr>
            </w:pPr>
            <w:r>
              <w:rPr>
                <w:rFonts w:ascii="Arial" w:cs="Arial" w:eastAsia="Arial" w:hAnsi="Arial"/>
                <w:sz w:val="14"/>
                <w:szCs w:val="14"/>
                <w:b w:val="1"/>
                <w:bCs w:val="1"/>
                <w:color w:val="auto"/>
              </w:rPr>
              <w:t>Name and</w:t>
            </w: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40" w:type="dxa"/>
            <w:vAlign w:val="bottom"/>
            <w:tcBorders>
              <w:bottom w:val="single" w:sz="8" w:color="004876"/>
            </w:tcBorders>
            <w:gridSpan w:val="4"/>
          </w:tcPr>
          <w:p>
            <w:pPr>
              <w:jc w:val="right"/>
              <w:ind w:right="529"/>
              <w:spacing w:after="0"/>
              <w:rPr>
                <w:sz w:val="20"/>
                <w:szCs w:val="20"/>
                <w:color w:val="auto"/>
              </w:rPr>
            </w:pPr>
            <w:r>
              <w:rPr>
                <w:rFonts w:ascii="Arial" w:cs="Arial" w:eastAsia="Arial" w:hAnsi="Arial"/>
                <w:sz w:val="14"/>
                <w:szCs w:val="14"/>
                <w:b w:val="1"/>
                <w:bCs w:val="1"/>
                <w:color w:val="auto"/>
              </w:rPr>
              <w:t>INCENTIVE COMPENSATION</w:t>
            </w:r>
          </w:p>
        </w:tc>
        <w:tc>
          <w:tcPr>
            <w:tcW w:w="1180" w:type="dxa"/>
            <w:vAlign w:val="bottom"/>
          </w:tcPr>
          <w:p>
            <w:pPr>
              <w:spacing w:after="0"/>
              <w:rPr>
                <w:sz w:val="24"/>
                <w:szCs w:val="24"/>
                <w:color w:val="auto"/>
              </w:rPr>
            </w:pPr>
          </w:p>
        </w:tc>
      </w:tr>
      <w:tr>
        <w:trPr>
          <w:trHeight w:val="156"/>
        </w:trPr>
        <w:tc>
          <w:tcPr>
            <w:tcW w:w="3720" w:type="dxa"/>
            <w:vAlign w:val="bottom"/>
            <w:tcBorders>
              <w:bottom w:val="single" w:sz="8" w:color="004876"/>
            </w:tcBorders>
          </w:tcPr>
          <w:p>
            <w:pPr>
              <w:ind w:left="60"/>
              <w:spacing w:after="0" w:line="155" w:lineRule="exact"/>
              <w:rPr>
                <w:sz w:val="20"/>
                <w:szCs w:val="20"/>
                <w:color w:val="auto"/>
              </w:rPr>
            </w:pPr>
            <w:r>
              <w:rPr>
                <w:rFonts w:ascii="Arial" w:cs="Arial" w:eastAsia="Arial" w:hAnsi="Arial"/>
                <w:sz w:val="14"/>
                <w:szCs w:val="14"/>
                <w:b w:val="1"/>
                <w:bCs w:val="1"/>
                <w:color w:val="auto"/>
              </w:rPr>
              <w:t>principal position</w:t>
            </w:r>
          </w:p>
        </w:tc>
        <w:tc>
          <w:tcPr>
            <w:tcW w:w="1700" w:type="dxa"/>
            <w:vAlign w:val="bottom"/>
            <w:tcBorders>
              <w:bottom w:val="single" w:sz="8" w:color="004876"/>
            </w:tcBorders>
          </w:tcPr>
          <w:p>
            <w:pPr>
              <w:ind w:left="1260"/>
              <w:spacing w:after="0" w:line="155" w:lineRule="exact"/>
              <w:rPr>
                <w:sz w:val="20"/>
                <w:szCs w:val="20"/>
                <w:color w:val="auto"/>
              </w:rPr>
            </w:pPr>
            <w:r>
              <w:rPr>
                <w:rFonts w:ascii="Arial" w:cs="Arial" w:eastAsia="Arial" w:hAnsi="Arial"/>
                <w:sz w:val="14"/>
                <w:szCs w:val="14"/>
                <w:b w:val="1"/>
                <w:bCs w:val="1"/>
                <w:color w:val="auto"/>
              </w:rPr>
              <w:t>Year</w:t>
            </w:r>
          </w:p>
        </w:tc>
        <w:tc>
          <w:tcPr>
            <w:tcW w:w="1080" w:type="dxa"/>
            <w:vAlign w:val="bottom"/>
            <w:tcBorders>
              <w:bottom w:val="single" w:sz="8" w:color="004876"/>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Salary</w:t>
            </w:r>
          </w:p>
        </w:tc>
        <w:tc>
          <w:tcPr>
            <w:tcW w:w="1160" w:type="dxa"/>
            <w:vAlign w:val="bottom"/>
            <w:tcBorders>
              <w:bottom w:val="single" w:sz="8" w:color="004876"/>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Cash</w:t>
            </w:r>
          </w:p>
        </w:tc>
        <w:tc>
          <w:tcPr>
            <w:tcW w:w="260" w:type="dxa"/>
            <w:vAlign w:val="bottom"/>
            <w:tcBorders>
              <w:bottom w:val="single" w:sz="8" w:color="004876"/>
            </w:tcBorders>
          </w:tcPr>
          <w:p>
            <w:pPr>
              <w:spacing w:after="0"/>
              <w:rPr>
                <w:sz w:val="13"/>
                <w:szCs w:val="13"/>
                <w:color w:val="auto"/>
              </w:rPr>
            </w:pPr>
          </w:p>
        </w:tc>
        <w:tc>
          <w:tcPr>
            <w:tcW w:w="840" w:type="dxa"/>
            <w:vAlign w:val="bottom"/>
            <w:tcBorders>
              <w:bottom w:val="single" w:sz="8" w:color="004876"/>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RSUs</w:t>
            </w:r>
          </w:p>
        </w:tc>
        <w:tc>
          <w:tcPr>
            <w:tcW w:w="1080" w:type="dxa"/>
            <w:vAlign w:val="bottom"/>
            <w:tcBorders>
              <w:bottom w:val="single" w:sz="8" w:color="004876"/>
            </w:tcBorders>
          </w:tcPr>
          <w:p>
            <w:pPr>
              <w:jc w:val="right"/>
              <w:ind w:right="209"/>
              <w:spacing w:after="0" w:line="156" w:lineRule="exact"/>
              <w:rPr>
                <w:sz w:val="20"/>
                <w:szCs w:val="20"/>
                <w:color w:val="auto"/>
              </w:rPr>
            </w:pPr>
            <w:r>
              <w:rPr>
                <w:rFonts w:ascii="Arial" w:cs="Arial" w:eastAsia="Arial" w:hAnsi="Arial"/>
                <w:sz w:val="11"/>
                <w:szCs w:val="11"/>
                <w:b w:val="1"/>
                <w:bCs w:val="1"/>
                <w:color w:val="auto"/>
              </w:rPr>
              <w:t>PSUs</w:t>
            </w:r>
            <w:r>
              <w:rPr>
                <w:rFonts w:ascii="Arial" w:cs="Arial" w:eastAsia="Arial" w:hAnsi="Arial"/>
                <w:sz w:val="18"/>
                <w:szCs w:val="18"/>
                <w:b w:val="1"/>
                <w:bCs w:val="1"/>
                <w:color w:val="auto"/>
                <w:vertAlign w:val="superscript"/>
              </w:rPr>
              <w:t>1</w:t>
            </w:r>
          </w:p>
        </w:tc>
        <w:tc>
          <w:tcPr>
            <w:tcW w:w="1180" w:type="dxa"/>
            <w:vAlign w:val="bottom"/>
            <w:tcBorders>
              <w:bottom w:val="single" w:sz="8" w:color="004876"/>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Total</w:t>
            </w:r>
          </w:p>
        </w:tc>
      </w:tr>
      <w:tr>
        <w:trPr>
          <w:trHeight w:val="230"/>
        </w:trPr>
        <w:tc>
          <w:tcPr>
            <w:tcW w:w="37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James Dimon</w:t>
            </w:r>
          </w:p>
        </w:tc>
        <w:tc>
          <w:tcPr>
            <w:tcW w:w="1700" w:type="dxa"/>
            <w:vAlign w:val="bottom"/>
            <w:tcBorders>
              <w:bottom w:val="single" w:sz="8" w:color="E5E5E5"/>
            </w:tcBorders>
            <w:shd w:val="clear" w:color="auto" w:fill="E5E5E5"/>
          </w:tcPr>
          <w:p>
            <w:pPr>
              <w:ind w:left="126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  1,500,000</w:t>
            </w:r>
          </w:p>
        </w:tc>
        <w:tc>
          <w:tcPr>
            <w:tcW w:w="116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  5,000,000</w:t>
            </w:r>
          </w:p>
        </w:tc>
        <w:tc>
          <w:tcPr>
            <w:tcW w:w="2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E5E5E5"/>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  24,500,000</w:t>
            </w:r>
          </w:p>
        </w:tc>
        <w:tc>
          <w:tcPr>
            <w:tcW w:w="118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  31,000,000</w:t>
            </w:r>
          </w:p>
        </w:tc>
      </w:tr>
      <w:tr>
        <w:trPr>
          <w:trHeight w:val="207"/>
        </w:trPr>
        <w:tc>
          <w:tcPr>
            <w:tcW w:w="3720" w:type="dxa"/>
            <w:vAlign w:val="bottom"/>
          </w:tcPr>
          <w:p>
            <w:pPr>
              <w:ind w:left="60"/>
              <w:spacing w:after="0"/>
              <w:rPr>
                <w:sz w:val="20"/>
                <w:szCs w:val="20"/>
                <w:color w:val="auto"/>
              </w:rPr>
            </w:pPr>
            <w:r>
              <w:rPr>
                <w:rFonts w:ascii="Arial" w:cs="Arial" w:eastAsia="Arial" w:hAnsi="Arial"/>
                <w:sz w:val="14"/>
                <w:szCs w:val="14"/>
                <w:color w:val="auto"/>
              </w:rPr>
              <w:t>Chairman and Chief</w:t>
            </w:r>
          </w:p>
        </w:tc>
        <w:tc>
          <w:tcPr>
            <w:tcW w:w="1700" w:type="dxa"/>
            <w:vAlign w:val="bottom"/>
          </w:tcPr>
          <w:p>
            <w:pPr>
              <w:ind w:left="1260"/>
              <w:spacing w:after="0"/>
              <w:rPr>
                <w:sz w:val="20"/>
                <w:szCs w:val="20"/>
                <w:color w:val="auto"/>
              </w:rPr>
            </w:pPr>
            <w:r>
              <w:rPr>
                <w:rFonts w:ascii="Arial" w:cs="Arial" w:eastAsia="Arial" w:hAnsi="Arial"/>
                <w:sz w:val="14"/>
                <w:szCs w:val="14"/>
                <w:color w:val="auto"/>
              </w:rPr>
              <w:t>2017</w:t>
            </w:r>
          </w:p>
        </w:tc>
        <w:tc>
          <w:tcPr>
            <w:tcW w:w="1080" w:type="dxa"/>
            <w:vAlign w:val="bottom"/>
          </w:tcPr>
          <w:p>
            <w:pPr>
              <w:jc w:val="right"/>
              <w:spacing w:after="0"/>
              <w:rPr>
                <w:sz w:val="20"/>
                <w:szCs w:val="20"/>
                <w:color w:val="auto"/>
              </w:rPr>
            </w:pPr>
            <w:r>
              <w:rPr>
                <w:rFonts w:ascii="Arial" w:cs="Arial" w:eastAsia="Arial" w:hAnsi="Arial"/>
                <w:sz w:val="14"/>
                <w:szCs w:val="14"/>
                <w:color w:val="auto"/>
              </w:rPr>
              <w:t>1,500,000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5,000,000</w:t>
            </w:r>
          </w:p>
        </w:tc>
        <w:tc>
          <w:tcPr>
            <w:tcW w:w="26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23,000,000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29,500,000</w:t>
            </w:r>
          </w:p>
        </w:tc>
      </w:tr>
      <w:tr>
        <w:trPr>
          <w:trHeight w:val="186"/>
        </w:trPr>
        <w:tc>
          <w:tcPr>
            <w:tcW w:w="3720" w:type="dxa"/>
            <w:vAlign w:val="bottom"/>
          </w:tcPr>
          <w:p>
            <w:pPr>
              <w:ind w:left="60"/>
              <w:spacing w:after="0"/>
              <w:rPr>
                <w:sz w:val="20"/>
                <w:szCs w:val="20"/>
                <w:color w:val="auto"/>
              </w:rPr>
            </w:pPr>
            <w:r>
              <w:rPr>
                <w:rFonts w:ascii="Arial" w:cs="Arial" w:eastAsia="Arial" w:hAnsi="Arial"/>
                <w:sz w:val="14"/>
                <w:szCs w:val="14"/>
                <w:color w:val="auto"/>
              </w:rPr>
              <w:t>Executive Officer</w:t>
            </w:r>
          </w:p>
        </w:tc>
        <w:tc>
          <w:tcPr>
            <w:tcW w:w="1700" w:type="dxa"/>
            <w:vAlign w:val="bottom"/>
          </w:tcPr>
          <w:p>
            <w:pPr>
              <w:ind w:left="1260"/>
              <w:spacing w:after="0"/>
              <w:rPr>
                <w:sz w:val="20"/>
                <w:szCs w:val="20"/>
                <w:color w:val="auto"/>
              </w:rPr>
            </w:pPr>
            <w:r>
              <w:rPr>
                <w:rFonts w:ascii="Arial" w:cs="Arial" w:eastAsia="Arial" w:hAnsi="Arial"/>
                <w:sz w:val="14"/>
                <w:szCs w:val="14"/>
                <w:color w:val="auto"/>
              </w:rPr>
              <w:t>2016</w:t>
            </w:r>
          </w:p>
        </w:tc>
        <w:tc>
          <w:tcPr>
            <w:tcW w:w="1080" w:type="dxa"/>
            <w:vAlign w:val="bottom"/>
          </w:tcPr>
          <w:p>
            <w:pPr>
              <w:jc w:val="right"/>
              <w:spacing w:after="0"/>
              <w:rPr>
                <w:sz w:val="20"/>
                <w:szCs w:val="20"/>
                <w:color w:val="auto"/>
              </w:rPr>
            </w:pPr>
            <w:r>
              <w:rPr>
                <w:rFonts w:ascii="Arial" w:cs="Arial" w:eastAsia="Arial" w:hAnsi="Arial"/>
                <w:sz w:val="14"/>
                <w:szCs w:val="14"/>
                <w:color w:val="auto"/>
              </w:rPr>
              <w:t>1,500,000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5,000,000</w:t>
            </w:r>
          </w:p>
        </w:tc>
        <w:tc>
          <w:tcPr>
            <w:tcW w:w="26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21,500,000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28,000,000</w:t>
            </w:r>
          </w:p>
        </w:tc>
      </w:tr>
      <w:tr>
        <w:trPr>
          <w:trHeight w:val="107"/>
        </w:trPr>
        <w:tc>
          <w:tcPr>
            <w:tcW w:w="37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57"/>
        </w:trPr>
        <w:tc>
          <w:tcPr>
            <w:tcW w:w="3720" w:type="dxa"/>
            <w:vAlign w:val="bottom"/>
            <w:shd w:val="clear" w:color="auto" w:fill="E5E5E5"/>
          </w:tcPr>
          <w:p>
            <w:pPr>
              <w:ind w:left="60"/>
              <w:spacing w:after="0" w:line="257" w:lineRule="exact"/>
              <w:rPr>
                <w:sz w:val="20"/>
                <w:szCs w:val="20"/>
                <w:color w:val="auto"/>
              </w:rPr>
            </w:pPr>
            <w:r>
              <w:rPr>
                <w:rFonts w:ascii="Arial" w:cs="Arial" w:eastAsia="Arial" w:hAnsi="Arial"/>
                <w:sz w:val="14"/>
                <w:szCs w:val="14"/>
                <w:b w:val="1"/>
                <w:bCs w:val="1"/>
                <w:color w:val="auto"/>
              </w:rPr>
              <w:t>Daniel Pinto</w:t>
            </w:r>
            <w:r>
              <w:rPr>
                <w:rFonts w:ascii="Arial" w:cs="Arial" w:eastAsia="Arial" w:hAnsi="Arial"/>
                <w:sz w:val="24"/>
                <w:szCs w:val="24"/>
                <w:b w:val="1"/>
                <w:bCs w:val="1"/>
                <w:color w:val="auto"/>
                <w:vertAlign w:val="superscript"/>
              </w:rPr>
              <w:t>2</w:t>
            </w:r>
          </w:p>
        </w:tc>
        <w:tc>
          <w:tcPr>
            <w:tcW w:w="1700" w:type="dxa"/>
            <w:vAlign w:val="bottom"/>
            <w:shd w:val="clear" w:color="auto" w:fill="E5E5E5"/>
          </w:tcPr>
          <w:p>
            <w:pPr>
              <w:ind w:left="1260"/>
              <w:spacing w:after="0"/>
              <w:rPr>
                <w:sz w:val="20"/>
                <w:szCs w:val="20"/>
                <w:color w:val="auto"/>
              </w:rPr>
            </w:pPr>
            <w:r>
              <w:rPr>
                <w:rFonts w:ascii="Arial" w:cs="Arial" w:eastAsia="Arial" w:hAnsi="Arial"/>
                <w:sz w:val="14"/>
                <w:szCs w:val="14"/>
                <w:b w:val="1"/>
                <w:bCs w:val="1"/>
                <w:color w:val="auto"/>
              </w:rPr>
              <w:t>2018</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8,276,026</w:t>
            </w: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E5E5E5"/>
          </w:tcPr>
          <w:p>
            <w:pPr>
              <w:spacing w:after="0"/>
              <w:rPr>
                <w:sz w:val="22"/>
                <w:szCs w:val="22"/>
                <w:color w:val="auto"/>
              </w:rPr>
            </w:pPr>
          </w:p>
        </w:tc>
        <w:tc>
          <w:tcPr>
            <w:tcW w:w="840" w:type="dxa"/>
            <w:vAlign w:val="bottom"/>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6,861,987</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6,861,987</w:t>
            </w:r>
          </w:p>
        </w:tc>
        <w:tc>
          <w:tcPr>
            <w:tcW w:w="1180" w:type="dxa"/>
            <w:vAlign w:val="bottom"/>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22,000,000</w:t>
            </w:r>
          </w:p>
        </w:tc>
      </w:tr>
      <w:tr>
        <w:trPr>
          <w:trHeight w:val="207"/>
        </w:trPr>
        <w:tc>
          <w:tcPr>
            <w:tcW w:w="3720" w:type="dxa"/>
            <w:vAlign w:val="bottom"/>
          </w:tcPr>
          <w:p>
            <w:pPr>
              <w:ind w:left="60"/>
              <w:spacing w:after="0"/>
              <w:rPr>
                <w:sz w:val="20"/>
                <w:szCs w:val="20"/>
                <w:color w:val="auto"/>
              </w:rPr>
            </w:pPr>
            <w:r>
              <w:rPr>
                <w:rFonts w:ascii="Arial" w:cs="Arial" w:eastAsia="Arial" w:hAnsi="Arial"/>
                <w:sz w:val="14"/>
                <w:szCs w:val="14"/>
                <w:color w:val="auto"/>
              </w:rPr>
              <w:t>Co-President and Co-Chief Operating</w:t>
            </w:r>
          </w:p>
        </w:tc>
        <w:tc>
          <w:tcPr>
            <w:tcW w:w="1700" w:type="dxa"/>
            <w:vAlign w:val="bottom"/>
          </w:tcPr>
          <w:p>
            <w:pPr>
              <w:ind w:left="1260"/>
              <w:spacing w:after="0"/>
              <w:rPr>
                <w:sz w:val="20"/>
                <w:szCs w:val="20"/>
                <w:color w:val="auto"/>
              </w:rPr>
            </w:pPr>
            <w:r>
              <w:rPr>
                <w:rFonts w:ascii="Arial" w:cs="Arial" w:eastAsia="Arial" w:hAnsi="Arial"/>
                <w:sz w:val="14"/>
                <w:szCs w:val="14"/>
                <w:color w:val="auto"/>
              </w:rPr>
              <w:t>2017</w:t>
            </w:r>
          </w:p>
        </w:tc>
        <w:tc>
          <w:tcPr>
            <w:tcW w:w="1080" w:type="dxa"/>
            <w:vAlign w:val="bottom"/>
          </w:tcPr>
          <w:p>
            <w:pPr>
              <w:jc w:val="right"/>
              <w:spacing w:after="0"/>
              <w:rPr>
                <w:sz w:val="20"/>
                <w:szCs w:val="20"/>
                <w:color w:val="auto"/>
              </w:rPr>
            </w:pPr>
            <w:r>
              <w:rPr>
                <w:rFonts w:ascii="Arial" w:cs="Arial" w:eastAsia="Arial" w:hAnsi="Arial"/>
                <w:sz w:val="14"/>
                <w:szCs w:val="14"/>
                <w:color w:val="auto"/>
              </w:rPr>
              <w:t>8,238,628</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6,380,686</w:t>
            </w:r>
          </w:p>
        </w:tc>
        <w:tc>
          <w:tcPr>
            <w:tcW w:w="1080" w:type="dxa"/>
            <w:vAlign w:val="bottom"/>
          </w:tcPr>
          <w:p>
            <w:pPr>
              <w:jc w:val="right"/>
              <w:spacing w:after="0"/>
              <w:rPr>
                <w:sz w:val="20"/>
                <w:szCs w:val="20"/>
                <w:color w:val="auto"/>
              </w:rPr>
            </w:pPr>
            <w:r>
              <w:rPr>
                <w:rFonts w:ascii="Arial" w:cs="Arial" w:eastAsia="Arial" w:hAnsi="Arial"/>
                <w:sz w:val="14"/>
                <w:szCs w:val="14"/>
                <w:color w:val="auto"/>
              </w:rPr>
              <w:t>6,380,686</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21,000,000</w:t>
            </w:r>
          </w:p>
        </w:tc>
      </w:tr>
      <w:tr>
        <w:trPr>
          <w:trHeight w:val="171"/>
        </w:trPr>
        <w:tc>
          <w:tcPr>
            <w:tcW w:w="3720" w:type="dxa"/>
            <w:vAlign w:val="bottom"/>
          </w:tcPr>
          <w:p>
            <w:pPr>
              <w:ind w:left="60"/>
              <w:spacing w:after="0"/>
              <w:rPr>
                <w:sz w:val="20"/>
                <w:szCs w:val="20"/>
                <w:color w:val="auto"/>
              </w:rPr>
            </w:pPr>
            <w:r>
              <w:rPr>
                <w:rFonts w:ascii="Arial" w:cs="Arial" w:eastAsia="Arial" w:hAnsi="Arial"/>
                <w:sz w:val="14"/>
                <w:szCs w:val="14"/>
                <w:color w:val="auto"/>
              </w:rPr>
              <w:t>Officer; Chief Executive Officer</w:t>
            </w:r>
          </w:p>
        </w:tc>
        <w:tc>
          <w:tcPr>
            <w:tcW w:w="1700" w:type="dxa"/>
            <w:vAlign w:val="bottom"/>
          </w:tcPr>
          <w:p>
            <w:pPr>
              <w:ind w:left="1260"/>
              <w:spacing w:after="0"/>
              <w:rPr>
                <w:sz w:val="20"/>
                <w:szCs w:val="20"/>
                <w:color w:val="auto"/>
              </w:rPr>
            </w:pPr>
            <w:r>
              <w:rPr>
                <w:rFonts w:ascii="Arial" w:cs="Arial" w:eastAsia="Arial" w:hAnsi="Arial"/>
                <w:sz w:val="14"/>
                <w:szCs w:val="14"/>
                <w:color w:val="auto"/>
              </w:rPr>
              <w:t>2016</w:t>
            </w:r>
          </w:p>
        </w:tc>
        <w:tc>
          <w:tcPr>
            <w:tcW w:w="1080" w:type="dxa"/>
            <w:vAlign w:val="bottom"/>
          </w:tcPr>
          <w:p>
            <w:pPr>
              <w:jc w:val="right"/>
              <w:spacing w:after="0"/>
              <w:rPr>
                <w:sz w:val="20"/>
                <w:szCs w:val="20"/>
                <w:color w:val="auto"/>
              </w:rPr>
            </w:pPr>
            <w:r>
              <w:rPr>
                <w:rFonts w:ascii="Arial" w:cs="Arial" w:eastAsia="Arial" w:hAnsi="Arial"/>
                <w:sz w:val="14"/>
                <w:szCs w:val="14"/>
                <w:color w:val="auto"/>
              </w:rPr>
              <w:t>8,303,234</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5,348,383</w:t>
            </w:r>
          </w:p>
        </w:tc>
        <w:tc>
          <w:tcPr>
            <w:tcW w:w="1080" w:type="dxa"/>
            <w:vAlign w:val="bottom"/>
          </w:tcPr>
          <w:p>
            <w:pPr>
              <w:jc w:val="right"/>
              <w:spacing w:after="0"/>
              <w:rPr>
                <w:sz w:val="20"/>
                <w:szCs w:val="20"/>
                <w:color w:val="auto"/>
              </w:rPr>
            </w:pPr>
            <w:r>
              <w:rPr>
                <w:rFonts w:ascii="Arial" w:cs="Arial" w:eastAsia="Arial" w:hAnsi="Arial"/>
                <w:sz w:val="14"/>
                <w:szCs w:val="14"/>
                <w:color w:val="auto"/>
              </w:rPr>
              <w:t>5,348,383</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19,000,000</w:t>
            </w:r>
          </w:p>
        </w:tc>
      </w:tr>
      <w:tr>
        <w:trPr>
          <w:trHeight w:val="162"/>
        </w:trPr>
        <w:tc>
          <w:tcPr>
            <w:tcW w:w="3720" w:type="dxa"/>
            <w:vAlign w:val="bottom"/>
          </w:tcPr>
          <w:p>
            <w:pPr>
              <w:ind w:left="60"/>
              <w:spacing w:after="0"/>
              <w:rPr>
                <w:sz w:val="20"/>
                <w:szCs w:val="20"/>
                <w:color w:val="auto"/>
              </w:rPr>
            </w:pPr>
            <w:r>
              <w:rPr>
                <w:rFonts w:ascii="Arial" w:cs="Arial" w:eastAsia="Arial" w:hAnsi="Arial"/>
                <w:sz w:val="14"/>
                <w:szCs w:val="14"/>
                <w:color w:val="auto"/>
              </w:rPr>
              <w:t>Corporate &amp; Investment Bank</w:t>
            </w: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7"/>
        </w:trPr>
        <w:tc>
          <w:tcPr>
            <w:tcW w:w="3720" w:type="dxa"/>
            <w:vAlign w:val="bottom"/>
            <w:shd w:val="clear" w:color="auto" w:fill="E5E5E5"/>
          </w:tcPr>
          <w:p>
            <w:pPr>
              <w:ind w:left="60"/>
              <w:spacing w:after="0" w:line="257" w:lineRule="exact"/>
              <w:rPr>
                <w:sz w:val="20"/>
                <w:szCs w:val="20"/>
                <w:color w:val="auto"/>
              </w:rPr>
            </w:pPr>
            <w:r>
              <w:rPr>
                <w:rFonts w:ascii="Arial" w:cs="Arial" w:eastAsia="Arial" w:hAnsi="Arial"/>
                <w:sz w:val="14"/>
                <w:szCs w:val="14"/>
                <w:b w:val="1"/>
                <w:bCs w:val="1"/>
                <w:color w:val="auto"/>
              </w:rPr>
              <w:t>Gordon Smith</w:t>
            </w:r>
            <w:r>
              <w:rPr>
                <w:rFonts w:ascii="Arial" w:cs="Arial" w:eastAsia="Arial" w:hAnsi="Arial"/>
                <w:sz w:val="24"/>
                <w:szCs w:val="24"/>
                <w:b w:val="1"/>
                <w:bCs w:val="1"/>
                <w:color w:val="auto"/>
                <w:vertAlign w:val="superscript"/>
              </w:rPr>
              <w:t>3</w:t>
            </w:r>
          </w:p>
        </w:tc>
        <w:tc>
          <w:tcPr>
            <w:tcW w:w="1700" w:type="dxa"/>
            <w:vAlign w:val="bottom"/>
            <w:shd w:val="clear" w:color="auto" w:fill="E5E5E5"/>
          </w:tcPr>
          <w:p>
            <w:pPr>
              <w:ind w:left="1260"/>
              <w:spacing w:after="0"/>
              <w:rPr>
                <w:sz w:val="20"/>
                <w:szCs w:val="20"/>
                <w:color w:val="auto"/>
              </w:rPr>
            </w:pPr>
            <w:r>
              <w:rPr>
                <w:rFonts w:ascii="Arial" w:cs="Arial" w:eastAsia="Arial" w:hAnsi="Arial"/>
                <w:sz w:val="14"/>
                <w:szCs w:val="14"/>
                <w:b w:val="1"/>
                <w:bCs w:val="1"/>
                <w:color w:val="auto"/>
              </w:rPr>
              <w:t>2018</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750,000</w:t>
            </w: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8,500,000</w:t>
            </w:r>
          </w:p>
        </w:tc>
        <w:tc>
          <w:tcPr>
            <w:tcW w:w="260" w:type="dxa"/>
            <w:vAlign w:val="bottom"/>
            <w:shd w:val="clear" w:color="auto" w:fill="E5E5E5"/>
          </w:tcPr>
          <w:p>
            <w:pPr>
              <w:spacing w:after="0"/>
              <w:rPr>
                <w:sz w:val="22"/>
                <w:szCs w:val="22"/>
                <w:color w:val="auto"/>
              </w:rPr>
            </w:pPr>
          </w:p>
        </w:tc>
        <w:tc>
          <w:tcPr>
            <w:tcW w:w="840" w:type="dxa"/>
            <w:vAlign w:val="bottom"/>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6,375,000</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6,375,000</w:t>
            </w:r>
          </w:p>
        </w:tc>
        <w:tc>
          <w:tcPr>
            <w:tcW w:w="1180" w:type="dxa"/>
            <w:vAlign w:val="bottom"/>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22,000,000</w:t>
            </w:r>
          </w:p>
        </w:tc>
      </w:tr>
      <w:tr>
        <w:trPr>
          <w:trHeight w:val="207"/>
        </w:trPr>
        <w:tc>
          <w:tcPr>
            <w:tcW w:w="3720" w:type="dxa"/>
            <w:vAlign w:val="bottom"/>
          </w:tcPr>
          <w:p>
            <w:pPr>
              <w:ind w:left="60"/>
              <w:spacing w:after="0"/>
              <w:rPr>
                <w:sz w:val="20"/>
                <w:szCs w:val="20"/>
                <w:color w:val="auto"/>
              </w:rPr>
            </w:pPr>
            <w:r>
              <w:rPr>
                <w:rFonts w:ascii="Arial" w:cs="Arial" w:eastAsia="Arial" w:hAnsi="Arial"/>
                <w:sz w:val="14"/>
                <w:szCs w:val="14"/>
                <w:color w:val="auto"/>
              </w:rPr>
              <w:t>Co-President and Co-Chief Operating</w:t>
            </w:r>
          </w:p>
        </w:tc>
        <w:tc>
          <w:tcPr>
            <w:tcW w:w="1700" w:type="dxa"/>
            <w:vAlign w:val="bottom"/>
          </w:tcPr>
          <w:p>
            <w:pPr>
              <w:ind w:left="1260"/>
              <w:spacing w:after="0"/>
              <w:rPr>
                <w:sz w:val="20"/>
                <w:szCs w:val="20"/>
                <w:color w:val="auto"/>
              </w:rPr>
            </w:pPr>
            <w:r>
              <w:rPr>
                <w:rFonts w:ascii="Arial" w:cs="Arial" w:eastAsia="Arial" w:hAnsi="Arial"/>
                <w:sz w:val="14"/>
                <w:szCs w:val="14"/>
                <w:color w:val="auto"/>
              </w:rPr>
              <w:t>2017</w:t>
            </w:r>
          </w:p>
        </w:tc>
        <w:tc>
          <w:tcPr>
            <w:tcW w:w="1080" w:type="dxa"/>
            <w:vAlign w:val="bottom"/>
          </w:tcPr>
          <w:p>
            <w:pPr>
              <w:jc w:val="right"/>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7,700,000</w:t>
            </w:r>
          </w:p>
        </w:tc>
        <w:tc>
          <w:tcPr>
            <w:tcW w:w="26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5,775,000</w:t>
            </w:r>
          </w:p>
        </w:tc>
        <w:tc>
          <w:tcPr>
            <w:tcW w:w="1080" w:type="dxa"/>
            <w:vAlign w:val="bottom"/>
          </w:tcPr>
          <w:p>
            <w:pPr>
              <w:jc w:val="right"/>
              <w:spacing w:after="0"/>
              <w:rPr>
                <w:sz w:val="20"/>
                <w:szCs w:val="20"/>
                <w:color w:val="auto"/>
              </w:rPr>
            </w:pPr>
            <w:r>
              <w:rPr>
                <w:rFonts w:ascii="Arial" w:cs="Arial" w:eastAsia="Arial" w:hAnsi="Arial"/>
                <w:sz w:val="14"/>
                <w:szCs w:val="14"/>
                <w:color w:val="auto"/>
              </w:rPr>
              <w:t>5,775,000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20,000,000</w:t>
            </w:r>
          </w:p>
        </w:tc>
      </w:tr>
      <w:tr>
        <w:trPr>
          <w:trHeight w:val="162"/>
        </w:trPr>
        <w:tc>
          <w:tcPr>
            <w:tcW w:w="3720" w:type="dxa"/>
            <w:vAlign w:val="bottom"/>
          </w:tcPr>
          <w:p>
            <w:pPr>
              <w:ind w:left="60"/>
              <w:spacing w:after="0"/>
              <w:rPr>
                <w:sz w:val="20"/>
                <w:szCs w:val="20"/>
                <w:color w:val="auto"/>
              </w:rPr>
            </w:pPr>
            <w:r>
              <w:rPr>
                <w:rFonts w:ascii="Arial" w:cs="Arial" w:eastAsia="Arial" w:hAnsi="Arial"/>
                <w:sz w:val="14"/>
                <w:szCs w:val="14"/>
                <w:color w:val="auto"/>
              </w:rPr>
              <w:t>Officer; Chief Executive Officer</w:t>
            </w: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720" w:type="dxa"/>
            <w:vAlign w:val="bottom"/>
          </w:tcPr>
          <w:p>
            <w:pPr>
              <w:ind w:left="60"/>
              <w:spacing w:after="0"/>
              <w:rPr>
                <w:sz w:val="20"/>
                <w:szCs w:val="20"/>
                <w:color w:val="auto"/>
              </w:rPr>
            </w:pPr>
            <w:r>
              <w:rPr>
                <w:rFonts w:ascii="Arial" w:cs="Arial" w:eastAsia="Arial" w:hAnsi="Arial"/>
                <w:sz w:val="14"/>
                <w:szCs w:val="14"/>
                <w:color w:val="auto"/>
              </w:rPr>
              <w:t>Consumer &amp; Community Banking</w:t>
            </w: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7"/>
        </w:trPr>
        <w:tc>
          <w:tcPr>
            <w:tcW w:w="37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1700" w:type="dxa"/>
            <w:vAlign w:val="bottom"/>
            <w:tcBorders>
              <w:bottom w:val="single" w:sz="8" w:color="E5E5E5"/>
            </w:tcBorders>
            <w:shd w:val="clear" w:color="auto" w:fill="E5E5E5"/>
          </w:tcPr>
          <w:p>
            <w:pPr>
              <w:ind w:left="126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750,000</w:t>
            </w:r>
          </w:p>
        </w:tc>
        <w:tc>
          <w:tcPr>
            <w:tcW w:w="116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7,900,000</w:t>
            </w:r>
          </w:p>
        </w:tc>
        <w:tc>
          <w:tcPr>
            <w:tcW w:w="260" w:type="dxa"/>
            <w:vAlign w:val="bottom"/>
            <w:tcBorders>
              <w:bottom w:val="single" w:sz="8" w:color="E5E5E5"/>
            </w:tcBorders>
            <w:shd w:val="clear" w:color="auto" w:fill="E5E5E5"/>
          </w:tcPr>
          <w:p>
            <w:pPr>
              <w:spacing w:after="0"/>
              <w:rPr>
                <w:sz w:val="20"/>
                <w:szCs w:val="20"/>
                <w:color w:val="auto"/>
              </w:rPr>
            </w:pPr>
          </w:p>
        </w:tc>
        <w:tc>
          <w:tcPr>
            <w:tcW w:w="840" w:type="dxa"/>
            <w:vAlign w:val="bottom"/>
            <w:tcBorders>
              <w:bottom w:val="single" w:sz="8" w:color="E5E5E5"/>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5,925,000</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5,925,000</w:t>
            </w:r>
          </w:p>
        </w:tc>
        <w:tc>
          <w:tcPr>
            <w:tcW w:w="118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20,500,000</w:t>
            </w:r>
          </w:p>
        </w:tc>
      </w:tr>
      <w:tr>
        <w:trPr>
          <w:trHeight w:val="177"/>
        </w:trPr>
        <w:tc>
          <w:tcPr>
            <w:tcW w:w="3720" w:type="dxa"/>
            <w:vAlign w:val="bottom"/>
          </w:tcPr>
          <w:p>
            <w:pPr>
              <w:spacing w:after="0"/>
              <w:rPr>
                <w:sz w:val="15"/>
                <w:szCs w:val="15"/>
                <w:color w:val="auto"/>
              </w:rPr>
            </w:pPr>
          </w:p>
        </w:tc>
        <w:tc>
          <w:tcPr>
            <w:tcW w:w="1700" w:type="dxa"/>
            <w:vAlign w:val="bottom"/>
          </w:tcPr>
          <w:p>
            <w:pPr>
              <w:ind w:left="1260"/>
              <w:spacing w:after="0"/>
              <w:rPr>
                <w:sz w:val="20"/>
                <w:szCs w:val="20"/>
                <w:color w:val="auto"/>
              </w:rPr>
            </w:pPr>
            <w:r>
              <w:rPr>
                <w:rFonts w:ascii="Arial" w:cs="Arial" w:eastAsia="Arial" w:hAnsi="Arial"/>
                <w:sz w:val="14"/>
                <w:szCs w:val="14"/>
                <w:color w:val="auto"/>
              </w:rPr>
              <w:t>2017</w:t>
            </w:r>
          </w:p>
        </w:tc>
        <w:tc>
          <w:tcPr>
            <w:tcW w:w="1080" w:type="dxa"/>
            <w:vAlign w:val="bottom"/>
          </w:tcPr>
          <w:p>
            <w:pPr>
              <w:jc w:val="right"/>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7,500,000</w:t>
            </w:r>
          </w:p>
        </w:tc>
        <w:tc>
          <w:tcPr>
            <w:tcW w:w="2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5,625,000</w:t>
            </w:r>
          </w:p>
        </w:tc>
        <w:tc>
          <w:tcPr>
            <w:tcW w:w="1080" w:type="dxa"/>
            <w:vAlign w:val="bottom"/>
          </w:tcPr>
          <w:p>
            <w:pPr>
              <w:jc w:val="right"/>
              <w:spacing w:after="0"/>
              <w:rPr>
                <w:sz w:val="20"/>
                <w:szCs w:val="20"/>
                <w:color w:val="auto"/>
              </w:rPr>
            </w:pPr>
            <w:r>
              <w:rPr>
                <w:rFonts w:ascii="Arial" w:cs="Arial" w:eastAsia="Arial" w:hAnsi="Arial"/>
                <w:sz w:val="14"/>
                <w:szCs w:val="14"/>
                <w:color w:val="auto"/>
              </w:rPr>
              <w:t>5,625,000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19,500,000</w:t>
            </w:r>
          </w:p>
        </w:tc>
      </w:tr>
      <w:tr>
        <w:trPr>
          <w:trHeight w:val="192"/>
        </w:trPr>
        <w:tc>
          <w:tcPr>
            <w:tcW w:w="3720" w:type="dxa"/>
            <w:vAlign w:val="bottom"/>
          </w:tcPr>
          <w:p>
            <w:pPr>
              <w:ind w:left="60"/>
              <w:spacing w:after="0"/>
              <w:rPr>
                <w:sz w:val="20"/>
                <w:szCs w:val="20"/>
                <w:color w:val="auto"/>
              </w:rPr>
            </w:pPr>
            <w:r>
              <w:rPr>
                <w:rFonts w:ascii="Arial" w:cs="Arial" w:eastAsia="Arial" w:hAnsi="Arial"/>
                <w:sz w:val="14"/>
                <w:szCs w:val="14"/>
                <w:color w:val="auto"/>
              </w:rPr>
              <w:t>Chief Executive Officer</w:t>
            </w:r>
          </w:p>
        </w:tc>
        <w:tc>
          <w:tcPr>
            <w:tcW w:w="1700" w:type="dxa"/>
            <w:vAlign w:val="bottom"/>
          </w:tcPr>
          <w:p>
            <w:pPr>
              <w:ind w:left="1260"/>
              <w:spacing w:after="0"/>
              <w:rPr>
                <w:sz w:val="20"/>
                <w:szCs w:val="20"/>
                <w:color w:val="auto"/>
              </w:rPr>
            </w:pPr>
            <w:r>
              <w:rPr>
                <w:rFonts w:ascii="Arial" w:cs="Arial" w:eastAsia="Arial" w:hAnsi="Arial"/>
                <w:sz w:val="14"/>
                <w:szCs w:val="14"/>
                <w:color w:val="auto"/>
              </w:rPr>
              <w:t>2016</w:t>
            </w:r>
          </w:p>
        </w:tc>
        <w:tc>
          <w:tcPr>
            <w:tcW w:w="1080" w:type="dxa"/>
            <w:vAlign w:val="bottom"/>
          </w:tcPr>
          <w:p>
            <w:pPr>
              <w:jc w:val="right"/>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7,300,000</w:t>
            </w:r>
          </w:p>
        </w:tc>
        <w:tc>
          <w:tcPr>
            <w:tcW w:w="26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5,475,000</w:t>
            </w:r>
          </w:p>
        </w:tc>
        <w:tc>
          <w:tcPr>
            <w:tcW w:w="1080" w:type="dxa"/>
            <w:vAlign w:val="bottom"/>
          </w:tcPr>
          <w:p>
            <w:pPr>
              <w:jc w:val="right"/>
              <w:spacing w:after="0"/>
              <w:rPr>
                <w:sz w:val="20"/>
                <w:szCs w:val="20"/>
                <w:color w:val="auto"/>
              </w:rPr>
            </w:pPr>
            <w:r>
              <w:rPr>
                <w:rFonts w:ascii="Arial" w:cs="Arial" w:eastAsia="Arial" w:hAnsi="Arial"/>
                <w:sz w:val="14"/>
                <w:szCs w:val="14"/>
                <w:color w:val="auto"/>
              </w:rPr>
              <w:t>5,475,000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19,000,000</w:t>
            </w:r>
          </w:p>
        </w:tc>
      </w:tr>
      <w:tr>
        <w:trPr>
          <w:trHeight w:val="172"/>
        </w:trPr>
        <w:tc>
          <w:tcPr>
            <w:tcW w:w="3720" w:type="dxa"/>
            <w:vAlign w:val="bottom"/>
          </w:tcPr>
          <w:p>
            <w:pPr>
              <w:ind w:left="60"/>
              <w:spacing w:after="0"/>
              <w:rPr>
                <w:sz w:val="20"/>
                <w:szCs w:val="20"/>
                <w:color w:val="auto"/>
              </w:rPr>
            </w:pPr>
            <w:r>
              <w:rPr>
                <w:rFonts w:ascii="Arial" w:cs="Arial" w:eastAsia="Arial" w:hAnsi="Arial"/>
                <w:sz w:val="14"/>
                <w:szCs w:val="14"/>
                <w:color w:val="auto"/>
              </w:rPr>
              <w:t>Asset &amp; Wealth Management</w:t>
            </w: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20"/>
        </w:trPr>
        <w:tc>
          <w:tcPr>
            <w:tcW w:w="37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37"/>
        </w:trPr>
        <w:tc>
          <w:tcPr>
            <w:tcW w:w="372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Marianne Lake</w:t>
            </w:r>
          </w:p>
        </w:tc>
        <w:tc>
          <w:tcPr>
            <w:tcW w:w="1700" w:type="dxa"/>
            <w:vAlign w:val="bottom"/>
            <w:tcBorders>
              <w:bottom w:val="single" w:sz="8" w:color="E5E5E5"/>
            </w:tcBorders>
            <w:shd w:val="clear" w:color="auto" w:fill="E5E5E5"/>
          </w:tcPr>
          <w:p>
            <w:pPr>
              <w:ind w:left="126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750,000</w:t>
            </w:r>
          </w:p>
        </w:tc>
        <w:tc>
          <w:tcPr>
            <w:tcW w:w="116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5,700,000</w:t>
            </w:r>
          </w:p>
        </w:tc>
        <w:tc>
          <w:tcPr>
            <w:tcW w:w="260" w:type="dxa"/>
            <w:vAlign w:val="bottom"/>
            <w:tcBorders>
              <w:bottom w:val="single" w:sz="8" w:color="E5E5E5"/>
            </w:tcBorders>
            <w:shd w:val="clear" w:color="auto" w:fill="E5E5E5"/>
          </w:tcPr>
          <w:p>
            <w:pPr>
              <w:spacing w:after="0"/>
              <w:rPr>
                <w:sz w:val="20"/>
                <w:szCs w:val="20"/>
                <w:color w:val="auto"/>
              </w:rPr>
            </w:pPr>
          </w:p>
        </w:tc>
        <w:tc>
          <w:tcPr>
            <w:tcW w:w="840" w:type="dxa"/>
            <w:vAlign w:val="bottom"/>
            <w:tcBorders>
              <w:bottom w:val="single" w:sz="8" w:color="E5E5E5"/>
            </w:tcBorders>
            <w:shd w:val="clear" w:color="auto" w:fill="E5E5E5"/>
          </w:tcPr>
          <w:p>
            <w:pPr>
              <w:jc w:val="right"/>
              <w:ind w:right="68"/>
              <w:spacing w:after="0"/>
              <w:rPr>
                <w:sz w:val="20"/>
                <w:szCs w:val="20"/>
                <w:color w:val="auto"/>
              </w:rPr>
            </w:pPr>
            <w:r>
              <w:rPr>
                <w:rFonts w:ascii="Arial" w:cs="Arial" w:eastAsia="Arial" w:hAnsi="Arial"/>
                <w:sz w:val="14"/>
                <w:szCs w:val="14"/>
                <w:b w:val="1"/>
                <w:bCs w:val="1"/>
                <w:color w:val="auto"/>
              </w:rPr>
              <w:t>4,275,000</w:t>
            </w:r>
          </w:p>
        </w:tc>
        <w:tc>
          <w:tcPr>
            <w:tcW w:w="10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4,275,000</w:t>
            </w:r>
          </w:p>
        </w:tc>
        <w:tc>
          <w:tcPr>
            <w:tcW w:w="118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4"/>
                <w:szCs w:val="14"/>
                <w:b w:val="1"/>
                <w:bCs w:val="1"/>
                <w:color w:val="auto"/>
              </w:rPr>
              <w:t>15,000,000</w:t>
            </w:r>
          </w:p>
        </w:tc>
      </w:tr>
      <w:tr>
        <w:trPr>
          <w:trHeight w:val="176"/>
        </w:trPr>
        <w:tc>
          <w:tcPr>
            <w:tcW w:w="372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1700" w:type="dxa"/>
            <w:vAlign w:val="bottom"/>
          </w:tcPr>
          <w:p>
            <w:pPr>
              <w:ind w:left="1260"/>
              <w:spacing w:after="0"/>
              <w:rPr>
                <w:sz w:val="20"/>
                <w:szCs w:val="20"/>
                <w:color w:val="auto"/>
              </w:rPr>
            </w:pPr>
            <w:r>
              <w:rPr>
                <w:rFonts w:ascii="Arial" w:cs="Arial" w:eastAsia="Arial" w:hAnsi="Arial"/>
                <w:sz w:val="14"/>
                <w:szCs w:val="14"/>
                <w:color w:val="auto"/>
              </w:rPr>
              <w:t>2017</w:t>
            </w:r>
          </w:p>
        </w:tc>
        <w:tc>
          <w:tcPr>
            <w:tcW w:w="1080" w:type="dxa"/>
            <w:vAlign w:val="bottom"/>
          </w:tcPr>
          <w:p>
            <w:pPr>
              <w:jc w:val="right"/>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5,100,000</w:t>
            </w:r>
          </w:p>
        </w:tc>
        <w:tc>
          <w:tcPr>
            <w:tcW w:w="2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3,825,000</w:t>
            </w:r>
          </w:p>
        </w:tc>
        <w:tc>
          <w:tcPr>
            <w:tcW w:w="1080" w:type="dxa"/>
            <w:vAlign w:val="bottom"/>
          </w:tcPr>
          <w:p>
            <w:pPr>
              <w:jc w:val="right"/>
              <w:spacing w:after="0"/>
              <w:rPr>
                <w:sz w:val="20"/>
                <w:szCs w:val="20"/>
                <w:color w:val="auto"/>
              </w:rPr>
            </w:pPr>
            <w:r>
              <w:rPr>
                <w:rFonts w:ascii="Arial" w:cs="Arial" w:eastAsia="Arial" w:hAnsi="Arial"/>
                <w:sz w:val="14"/>
                <w:szCs w:val="14"/>
                <w:color w:val="auto"/>
              </w:rPr>
              <w:t>3,825,000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13,500,000</w:t>
            </w:r>
          </w:p>
        </w:tc>
      </w:tr>
      <w:tr>
        <w:trPr>
          <w:trHeight w:val="172"/>
        </w:trPr>
        <w:tc>
          <w:tcPr>
            <w:tcW w:w="3720" w:type="dxa"/>
            <w:vAlign w:val="bottom"/>
          </w:tcPr>
          <w:p>
            <w:pPr>
              <w:spacing w:after="0"/>
              <w:rPr>
                <w:sz w:val="14"/>
                <w:szCs w:val="14"/>
                <w:color w:val="auto"/>
              </w:rPr>
            </w:pPr>
          </w:p>
        </w:tc>
        <w:tc>
          <w:tcPr>
            <w:tcW w:w="1700" w:type="dxa"/>
            <w:vAlign w:val="bottom"/>
          </w:tcPr>
          <w:p>
            <w:pPr>
              <w:ind w:left="1260"/>
              <w:spacing w:after="0"/>
              <w:rPr>
                <w:sz w:val="20"/>
                <w:szCs w:val="20"/>
                <w:color w:val="auto"/>
              </w:rPr>
            </w:pPr>
            <w:r>
              <w:rPr>
                <w:rFonts w:ascii="Arial" w:cs="Arial" w:eastAsia="Arial" w:hAnsi="Arial"/>
                <w:sz w:val="14"/>
                <w:szCs w:val="14"/>
                <w:color w:val="auto"/>
              </w:rPr>
              <w:t>2016</w:t>
            </w:r>
          </w:p>
        </w:tc>
        <w:tc>
          <w:tcPr>
            <w:tcW w:w="1080" w:type="dxa"/>
            <w:vAlign w:val="bottom"/>
          </w:tcPr>
          <w:p>
            <w:pPr>
              <w:jc w:val="right"/>
              <w:spacing w:after="0"/>
              <w:rPr>
                <w:sz w:val="20"/>
                <w:szCs w:val="20"/>
                <w:color w:val="auto"/>
              </w:rPr>
            </w:pPr>
            <w:r>
              <w:rPr>
                <w:rFonts w:ascii="Arial" w:cs="Arial" w:eastAsia="Arial" w:hAnsi="Arial"/>
                <w:sz w:val="14"/>
                <w:szCs w:val="14"/>
                <w:color w:val="auto"/>
              </w:rPr>
              <w:t>750,000</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4,700,000</w:t>
            </w:r>
          </w:p>
        </w:tc>
        <w:tc>
          <w:tcPr>
            <w:tcW w:w="2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3,525,000</w:t>
            </w:r>
          </w:p>
        </w:tc>
        <w:tc>
          <w:tcPr>
            <w:tcW w:w="1080" w:type="dxa"/>
            <w:vAlign w:val="bottom"/>
          </w:tcPr>
          <w:p>
            <w:pPr>
              <w:jc w:val="right"/>
              <w:spacing w:after="0"/>
              <w:rPr>
                <w:sz w:val="20"/>
                <w:szCs w:val="20"/>
                <w:color w:val="auto"/>
              </w:rPr>
            </w:pPr>
            <w:r>
              <w:rPr>
                <w:rFonts w:ascii="Arial" w:cs="Arial" w:eastAsia="Arial" w:hAnsi="Arial"/>
                <w:sz w:val="14"/>
                <w:szCs w:val="14"/>
                <w:color w:val="auto"/>
              </w:rPr>
              <w:t>3,525,000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19050</wp:posOffset>
            </wp:positionV>
            <wp:extent cx="6997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 w:lineRule="exact"/>
        <w:rPr>
          <w:sz w:val="20"/>
          <w:szCs w:val="20"/>
          <w:color w:val="auto"/>
        </w:rPr>
      </w:pPr>
    </w:p>
    <w:p>
      <w:pPr>
        <w:ind w:left="420" w:right="660" w:hanging="176"/>
        <w:spacing w:after="0" w:line="183" w:lineRule="auto"/>
        <w:tabs>
          <w:tab w:leader="none" w:pos="42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Reflects the grant date fair value. Actual amounts of PSUs received by NEOs upon vesting may range from 0% to 150% of the target shares (excluding accrued dividends), depending upon Firm performance.</w:t>
      </w:r>
    </w:p>
    <w:p>
      <w:pPr>
        <w:spacing w:after="0" w:line="58" w:lineRule="exact"/>
        <w:rPr>
          <w:sz w:val="20"/>
          <w:szCs w:val="20"/>
          <w:color w:val="auto"/>
        </w:rPr>
      </w:pPr>
    </w:p>
    <w:p>
      <w:pPr>
        <w:ind w:left="420" w:right="140" w:hanging="176"/>
        <w:spacing w:after="0" w:line="199" w:lineRule="auto"/>
        <w:tabs>
          <w:tab w:leader="none" w:pos="420" w:val="left"/>
        </w:tabs>
        <w:numPr>
          <w:ilvl w:val="0"/>
          <w:numId w:val="99"/>
        </w:numPr>
        <w:rPr>
          <w:rFonts w:ascii="Arial" w:cs="Arial" w:eastAsia="Arial" w:hAnsi="Arial"/>
          <w:sz w:val="24"/>
          <w:szCs w:val="24"/>
          <w:color w:val="auto"/>
          <w:vertAlign w:val="superscript"/>
        </w:rPr>
      </w:pPr>
      <w:r>
        <w:rPr>
          <w:rFonts w:ascii="Arial" w:cs="Arial" w:eastAsia="Arial" w:hAnsi="Arial"/>
          <w:sz w:val="14"/>
          <w:szCs w:val="14"/>
          <w:color w:val="auto"/>
        </w:rPr>
        <w:t>Mr. Pinto’s fixed allowance of $7,635,000, which is paid in British pound sterling, and his salary of £475,000 are both unchanged from 2017 to 2018. For the purposes of determining the number of RSUs and PSUs granted to Mr. Pinto in 2019 for 2018 performance, the Firm established a grant date fair value per unit that takes into account that these awards do not carry the right to dividends or dividend equivalents prior to vesting, in accordance with local regulations.</w:t>
      </w:r>
    </w:p>
    <w:p>
      <w:pPr>
        <w:ind w:left="420" w:hanging="176"/>
        <w:spacing w:after="0" w:line="200" w:lineRule="auto"/>
        <w:tabs>
          <w:tab w:leader="none" w:pos="420" w:val="left"/>
        </w:tabs>
        <w:numPr>
          <w:ilvl w:val="0"/>
          <w:numId w:val="100"/>
        </w:numPr>
        <w:rPr>
          <w:rFonts w:ascii="Arial" w:cs="Arial" w:eastAsia="Arial" w:hAnsi="Arial"/>
          <w:sz w:val="24"/>
          <w:szCs w:val="24"/>
          <w:color w:val="auto"/>
          <w:vertAlign w:val="superscript"/>
        </w:rPr>
      </w:pPr>
      <w:r>
        <w:rPr>
          <w:rFonts w:ascii="Arial" w:cs="Arial" w:eastAsia="Arial" w:hAnsi="Arial"/>
          <w:sz w:val="14"/>
          <w:szCs w:val="14"/>
          <w:color w:val="auto"/>
        </w:rPr>
        <w:t>Mr. Smith was not a NEO in 2016.</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Interpreting 2018 NEO compensation</w:t>
      </w:r>
    </w:p>
    <w:p>
      <w:pPr>
        <w:spacing w:after="0" w:line="18"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The table above is presented to show how the CMDC and Board viewed compensation awarded for 2018 performance. It differs from how compensation is reported in the “Summary Compensation Table” (“SCT”) on page 65 of this proxy statement, which is required by the SEC, and is not intended as a substitute for the SCT. There are two principal differences between the SCT and the table above:</w:t>
      </w:r>
    </w:p>
    <w:p>
      <w:pPr>
        <w:spacing w:after="0" w:line="108" w:lineRule="exact"/>
        <w:rPr>
          <w:sz w:val="20"/>
          <w:szCs w:val="20"/>
          <w:color w:val="auto"/>
        </w:rPr>
      </w:pPr>
    </w:p>
    <w:p>
      <w:pPr>
        <w:ind w:left="420" w:right="240" w:hanging="216"/>
        <w:spacing w:after="0" w:line="238" w:lineRule="auto"/>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Firm grants both cash and equity incentive compensation after a performance year is completed. In both the table above and the SCT, cash incentive compensation paid in 2019 for 2018 performance is shown as 2018 compensation. In the table above, the equity awards (RSUs and PSUs) granted in 2019 for 2018 performance are shown as 2018 compensation. In contrast, the SCT reports the value of equity awards in the year in which they are granted. As a result, awards granted in 2018 for 2017 performance are shown in the SCT as 2018 compensation.</w:t>
      </w:r>
    </w:p>
    <w:p>
      <w:pPr>
        <w:spacing w:after="0" w:line="108" w:lineRule="exact"/>
        <w:rPr>
          <w:rFonts w:ascii="Arial" w:cs="Arial" w:eastAsia="Arial" w:hAnsi="Arial"/>
          <w:sz w:val="18"/>
          <w:szCs w:val="18"/>
          <w:color w:val="auto"/>
        </w:rPr>
      </w:pPr>
    </w:p>
    <w:p>
      <w:pPr>
        <w:ind w:left="420" w:right="80" w:hanging="216"/>
        <w:spacing w:after="0" w:line="246" w:lineRule="auto"/>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SCT reports the change in pension value and nonqualified deferred compensation and all other compensation. These amounts are not shown above.</w:t>
      </w:r>
    </w:p>
    <w:p>
      <w:pPr>
        <w:spacing w:after="0" w:line="11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57</w:t>
            </w: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4876"/>
        </w:rPr>
        <w:t>2018 CEO compensation is aligned with his multi-year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110490</wp:posOffset>
            </wp:positionV>
            <wp:extent cx="6997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 Dimon’s 2018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166370</wp:posOffset>
            </wp:positionV>
            <wp:extent cx="2444115" cy="14579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4411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0" w:right="80"/>
        <w:spacing w:after="0"/>
        <w:rPr>
          <w:sz w:val="20"/>
          <w:szCs w:val="20"/>
          <w:color w:val="auto"/>
        </w:rPr>
      </w:pPr>
      <w:r>
        <w:rPr>
          <w:rFonts w:ascii="Arial" w:cs="Arial" w:eastAsia="Arial" w:hAnsi="Arial"/>
          <w:sz w:val="18"/>
          <w:szCs w:val="18"/>
          <w:color w:val="auto"/>
        </w:rPr>
        <w:t>In determining Mr. Dimon’s compensation, independent members of the Board took into account Mr. Dimon’s achievements across four broad performance categories: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Business Results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Controls &amp; Conduct</w:t>
      </w:r>
    </w:p>
    <w:p>
      <w:pPr>
        <w:spacing w:after="0" w:line="130" w:lineRule="exact"/>
        <w:rPr>
          <w:sz w:val="20"/>
          <w:szCs w:val="20"/>
          <w:color w:val="auto"/>
        </w:rPr>
      </w:pPr>
    </w:p>
    <w:p>
      <w:pPr>
        <w:ind w:left="400" w:right="2240"/>
        <w:spacing w:after="0" w:line="403" w:lineRule="auto"/>
        <w:rPr>
          <w:sz w:val="20"/>
          <w:szCs w:val="20"/>
          <w:color w:val="auto"/>
        </w:rPr>
      </w:pPr>
      <w:r>
        <w:rPr>
          <w:rFonts w:ascii="Arial" w:cs="Arial" w:eastAsia="Arial" w:hAnsi="Arial"/>
          <w:sz w:val="18"/>
          <w:szCs w:val="18"/>
          <w:color w:val="auto"/>
        </w:rPr>
        <w:t>Client/Customer/Stakeholder Focus Teamwork &amp; Leadership</w:t>
      </w:r>
    </w:p>
    <w:p>
      <w:pPr>
        <w:spacing w:after="0" w:line="13"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The Board considered that under Mr. Dimon’s stewardship, the Firm continued to build upon its strong financial momentum from prior years. In 2018, the Firm delivered record net income of $32.5 billion, record EPS of $9.00, and ROTCE</w:t>
      </w:r>
      <w:r>
        <w:rPr>
          <w:rFonts w:ascii="Arial" w:cs="Arial" w:eastAsia="Arial" w:hAnsi="Arial"/>
          <w:sz w:val="15"/>
          <w:szCs w:val="15"/>
          <w:color w:val="auto"/>
        </w:rPr>
        <w:t>1</w:t>
      </w:r>
      <w:r>
        <w:rPr>
          <w:rFonts w:ascii="Arial" w:cs="Arial" w:eastAsia="Arial" w:hAnsi="Arial"/>
          <w:sz w:val="18"/>
          <w:szCs w:val="18"/>
          <w:color w:val="auto"/>
        </w:rPr>
        <w:t xml:space="preserve"> of 17% on average tangible common equity of $183 billion. We distributed $28.5 billion of net capital</w:t>
      </w:r>
      <w:r>
        <w:rPr>
          <w:rFonts w:ascii="Arial" w:cs="Arial" w:eastAsia="Arial" w:hAnsi="Arial"/>
          <w:sz w:val="15"/>
          <w:szCs w:val="15"/>
          <w:color w:val="auto"/>
        </w:rPr>
        <w:t>2</w:t>
      </w:r>
      <w:r>
        <w:rPr>
          <w:rFonts w:ascii="Arial" w:cs="Arial" w:eastAsia="Arial" w:hAnsi="Arial"/>
          <w:sz w:val="18"/>
          <w:szCs w:val="18"/>
          <w:color w:val="auto"/>
        </w:rPr>
        <w:t xml:space="preserve"> to shareholders.</w:t>
      </w:r>
    </w:p>
    <w:p>
      <w:pPr>
        <w:spacing w:after="0" w:line="9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Board recognized that under Mr. Dimon’s leadership, the Firm continues to invest in our future, strengthen our risk and control environment, reinforce the importance of our culture and values, deliver on our long-standing commitment to serve our communities and conduct business in a responsible way to drive inclusive growth. During 2018, the Firm grew revenue and achieved record net income in each of its LOBs, while continuing to make significant investments in products, people and technology, demonstrating the power of the platform. In addition, the Firm continued to achieve high customer satisfaction scores and maintained its fortress balance sheet.</w:t>
      </w:r>
    </w:p>
    <w:p>
      <w:pPr>
        <w:spacing w:after="0" w:line="98" w:lineRule="exact"/>
        <w:rPr>
          <w:sz w:val="20"/>
          <w:szCs w:val="20"/>
          <w:color w:val="auto"/>
        </w:rPr>
      </w:pPr>
    </w:p>
    <w:p>
      <w:pPr>
        <w:ind w:left="200" w:right="940"/>
        <w:spacing w:after="0" w:line="275" w:lineRule="auto"/>
        <w:rPr>
          <w:sz w:val="20"/>
          <w:szCs w:val="20"/>
          <w:color w:val="auto"/>
        </w:rPr>
      </w:pPr>
      <w:r>
        <w:rPr>
          <w:rFonts w:ascii="Arial" w:cs="Arial" w:eastAsia="Arial" w:hAnsi="Arial"/>
          <w:sz w:val="17"/>
          <w:szCs w:val="17"/>
          <w:color w:val="auto"/>
        </w:rPr>
        <w:t>Mr. Dimon has guided the Firm’s focus on accelerating investments to help our customers, employees and</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 xml:space="preserve">communities. In 2018, we opened Chase branches in new states for the first time in nearly a decade, and our </w:t>
      </w:r>
      <w:r>
        <w:rPr>
          <w:rFonts w:ascii="Arial" w:cs="Arial" w:eastAsia="Arial" w:hAnsi="Arial"/>
          <w:sz w:val="18"/>
          <w:szCs w:val="18"/>
          <w:i w:val="1"/>
          <w:iCs w:val="1"/>
          <w:color w:val="auto"/>
        </w:rPr>
        <w:t>Advancing</w:t>
      </w:r>
      <w:r>
        <w:rPr>
          <w:rFonts w:ascii="Arial" w:cs="Arial" w:eastAsia="Arial" w:hAnsi="Arial"/>
          <w:sz w:val="18"/>
          <w:szCs w:val="18"/>
          <w:color w:val="auto"/>
        </w:rPr>
        <w:t>Cities initiative is supporting job and wage growth in communities that need capital the most.</w:t>
      </w:r>
    </w:p>
    <w:p>
      <w:pPr>
        <w:spacing w:after="0" w:line="9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Mr. Dimon’s stewardship over the Firm’s Teamwork &amp; Leadership agenda has led to a highly effective succession and management development program, a robust pipeline of leaders across the organization and a diversity strategy that attracts, motivates and retains top talent. Women represent 45% of the Firm’s Operating Committee and many of our core businesses and functions are managed by women executives.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to assessing Mr. Dimon’s performance, the CMDC and the independent members of our Board also considered the CEO pay of our primary financial services peers and other companies as a reference, and concluded that increasing Mr. Dimon’s 2018 compensation was appropriate, particularly in light of the Firm’s strong absolute and relative performance over multiple years.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chart below compares Mr. Dimon’s compensation to that of the CEOs of our financial services peers based on three-year average total compensation expressed as a percentage of net income.</w:t>
      </w:r>
    </w:p>
    <w:p>
      <w:pPr>
        <w:spacing w:after="0" w:line="164" w:lineRule="exact"/>
        <w:rPr>
          <w:sz w:val="20"/>
          <w:szCs w:val="20"/>
          <w:color w:val="auto"/>
        </w:rPr>
      </w:pPr>
    </w:p>
    <w:p>
      <w:pPr>
        <w:ind w:right="1340"/>
        <w:spacing w:after="0" w:line="271" w:lineRule="auto"/>
        <w:rPr>
          <w:sz w:val="20"/>
          <w:szCs w:val="20"/>
          <w:color w:val="auto"/>
        </w:rPr>
      </w:pPr>
      <w:r>
        <w:rPr>
          <w:rFonts w:ascii="Arial" w:cs="Arial" w:eastAsia="Arial" w:hAnsi="Arial"/>
          <w:sz w:val="18"/>
          <w:szCs w:val="18"/>
          <w:b w:val="1"/>
          <w:bCs w:val="1"/>
          <w:color w:val="auto"/>
        </w:rPr>
        <w:t>Prior 3-Year Average % of Profits Paid to CEOs (2015–2017)</w:t>
      </w:r>
      <w:r>
        <w:rPr>
          <w:rFonts w:ascii="Arial" w:cs="Arial" w:eastAsia="Arial" w:hAnsi="Arial"/>
          <w:sz w:val="15"/>
          <w:szCs w:val="15"/>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129540</wp:posOffset>
            </wp:positionV>
            <wp:extent cx="2607310" cy="16033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60731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After considering these factors, the Board awarded Mr. Dimon $31 million (versus $29.5 million in 2017).</w:t>
      </w:r>
    </w:p>
    <w:p>
      <w:pPr>
        <w:spacing w:after="0" w:line="804" w:lineRule="exact"/>
        <w:rPr>
          <w:sz w:val="20"/>
          <w:szCs w:val="20"/>
          <w:color w:val="auto"/>
        </w:rPr>
      </w:pPr>
    </w:p>
    <w:p>
      <w:pPr>
        <w:sectPr>
          <w:pgSz w:w="11900" w:h="16838" w:orient="portrait"/>
          <w:cols w:equalWidth="0" w:num="2">
            <w:col w:w="5480" w:space="340"/>
            <w:col w:w="5340"/>
          </w:cols>
          <w:pgMar w:left="240" w:top="459" w:right="499" w:bottom="1440" w:gutter="0" w:footer="0" w:header="0"/>
          <w:type w:val="continuous"/>
        </w:sectPr>
      </w:pPr>
    </w:p>
    <w:p>
      <w:pPr>
        <w:spacing w:after="0" w:line="149" w:lineRule="exact"/>
        <w:rPr>
          <w:sz w:val="20"/>
          <w:szCs w:val="20"/>
          <w:color w:val="auto"/>
        </w:rPr>
      </w:pPr>
    </w:p>
    <w:p>
      <w:pPr>
        <w:ind w:left="420" w:hanging="172"/>
        <w:spacing w:after="0"/>
        <w:tabs>
          <w:tab w:leader="none" w:pos="420" w:val="left"/>
        </w:tabs>
        <w:numPr>
          <w:ilvl w:val="0"/>
          <w:numId w:val="103"/>
        </w:numPr>
        <w:rPr>
          <w:rFonts w:ascii="Arial" w:cs="Arial" w:eastAsia="Arial" w:hAnsi="Arial"/>
          <w:sz w:val="11"/>
          <w:szCs w:val="11"/>
          <w:color w:val="auto"/>
        </w:rPr>
      </w:pPr>
      <w:r>
        <w:rPr>
          <w:rFonts w:ascii="Arial" w:cs="Arial" w:eastAsia="Arial" w:hAnsi="Arial"/>
          <w:sz w:val="12"/>
          <w:szCs w:val="12"/>
          <w:color w:val="auto"/>
        </w:rPr>
        <w:t>ROTCE is a non-GAAP financial measure. On comparable U.S. GAAP basis, 2018 ROE was 13%. For a reconciliation and further explanation, see page 99 of this proxy statement.</w:t>
      </w:r>
    </w:p>
    <w:p>
      <w:pPr>
        <w:spacing w:after="0" w:line="91" w:lineRule="exact"/>
        <w:rPr>
          <w:rFonts w:ascii="Arial" w:cs="Arial" w:eastAsia="Arial" w:hAnsi="Arial"/>
          <w:sz w:val="11"/>
          <w:szCs w:val="11"/>
          <w:color w:val="auto"/>
        </w:rPr>
      </w:pPr>
    </w:p>
    <w:p>
      <w:pPr>
        <w:ind w:left="24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3"/>
          <w:szCs w:val="13"/>
          <w:color w:val="auto"/>
        </w:rPr>
        <w:t>Refer to note 2 on page 41 of this proxy statement.</w:t>
      </w:r>
    </w:p>
    <w:p>
      <w:pPr>
        <w:spacing w:after="0" w:line="80" w:lineRule="exact"/>
        <w:rPr>
          <w:sz w:val="20"/>
          <w:szCs w:val="20"/>
          <w:color w:val="auto"/>
        </w:rPr>
      </w:pPr>
    </w:p>
    <w:p>
      <w:pPr>
        <w:ind w:left="420" w:right="160" w:hanging="172"/>
        <w:spacing w:after="0" w:line="226" w:lineRule="auto"/>
        <w:tabs>
          <w:tab w:leader="none" w:pos="420" w:val="left"/>
        </w:tabs>
        <w:numPr>
          <w:ilvl w:val="0"/>
          <w:numId w:val="104"/>
        </w:numPr>
        <w:rPr>
          <w:rFonts w:ascii="Arial" w:cs="Arial" w:eastAsia="Arial" w:hAnsi="Arial"/>
          <w:sz w:val="11"/>
          <w:szCs w:val="11"/>
          <w:color w:val="auto"/>
        </w:rPr>
      </w:pPr>
      <w:r>
        <w:rPr>
          <w:rFonts w:ascii="Arial" w:cs="Arial" w:eastAsia="Arial" w:hAnsi="Arial"/>
          <w:sz w:val="14"/>
          <w:szCs w:val="14"/>
          <w:color w:val="auto"/>
        </w:rPr>
        <w:t>Total compensation is comprised of base salary, cash bonus paid and long-term incentive compensation (target value) in connection with the performance year, which may be different from amounts reported in the SCT. The most recently used compensation data is from 2017 since not all of our Financial Services peers will have filed proxy statements containing 2018 compensation data before the preparation of this proxy statement. Percentage of profits paid is equal to three-year average CEO compensation divided by three-year average net income. Source: 2016-2018 Proxy statements.</w:t>
      </w:r>
    </w:p>
    <w:p>
      <w:pPr>
        <w:spacing w:after="0" w:line="131"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58</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EXECUTIVE COMPENSATION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2018 NEO pay-for-performance summaries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9" w:lineRule="exact"/>
        <w:rPr>
          <w:sz w:val="20"/>
          <w:szCs w:val="20"/>
          <w:color w:val="auto"/>
        </w:rPr>
      </w:pPr>
    </w:p>
    <w:p>
      <w:pPr>
        <w:ind w:left="200" w:right="880"/>
        <w:spacing w:after="0" w:line="258" w:lineRule="auto"/>
        <w:rPr>
          <w:sz w:val="20"/>
          <w:szCs w:val="20"/>
          <w:color w:val="auto"/>
        </w:rPr>
      </w:pPr>
      <w:r>
        <w:rPr>
          <w:rFonts w:ascii="Arial" w:cs="Arial" w:eastAsia="Arial" w:hAnsi="Arial"/>
          <w:sz w:val="14"/>
          <w:szCs w:val="14"/>
          <w:color w:val="auto"/>
        </w:rPr>
        <w:t>Below are summaries of our NEOs’ achievements against the Firm’s four broad performance categories, including: Business Results; Risk, Controls &amp; Conduct; Client/Customer/Stakeholder Focus; and Teamwork &amp; Leadership.</w:t>
      </w:r>
    </w:p>
    <w:p>
      <w:pPr>
        <w:spacing w:after="0" w:line="213" w:lineRule="exact"/>
        <w:rPr>
          <w:sz w:val="20"/>
          <w:szCs w:val="20"/>
          <w:color w:val="auto"/>
        </w:rPr>
      </w:pPr>
    </w:p>
    <w:p>
      <w:pPr>
        <w:ind w:left="200"/>
        <w:spacing w:after="0"/>
        <w:tabs>
          <w:tab w:leader="none" w:pos="8940" w:val="left"/>
        </w:tabs>
        <w:rPr>
          <w:sz w:val="20"/>
          <w:szCs w:val="20"/>
          <w:color w:val="auto"/>
        </w:rPr>
      </w:pPr>
      <w:r>
        <w:rPr>
          <w:rFonts w:ascii="Arial" w:cs="Arial" w:eastAsia="Arial" w:hAnsi="Arial"/>
          <w:sz w:val="20"/>
          <w:szCs w:val="20"/>
          <w:color w:val="004876"/>
        </w:rPr>
        <w:t>Daniel Pinto: Co-President &amp; Co-COO; CEO Corporate &amp; Investment Bank</w:t>
      </w:r>
      <w:r>
        <w:rPr>
          <w:sz w:val="20"/>
          <w:szCs w:val="20"/>
          <w:color w:val="auto"/>
        </w:rPr>
        <w:tab/>
      </w:r>
      <w:r>
        <w:rPr>
          <w:rFonts w:ascii="Arial" w:cs="Arial" w:eastAsia="Arial" w:hAnsi="Arial"/>
          <w:sz w:val="17"/>
          <w:szCs w:val="17"/>
          <w:color w:val="73A950"/>
        </w:rPr>
        <w:t>2018 Compensation: $22M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27940</wp:posOffset>
            </wp:positionV>
            <wp:extent cx="6997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ind w:left="200" w:right="660"/>
        <w:spacing w:after="0" w:line="258" w:lineRule="auto"/>
        <w:rPr>
          <w:sz w:val="20"/>
          <w:szCs w:val="20"/>
          <w:color w:val="auto"/>
        </w:rPr>
      </w:pPr>
      <w:r>
        <w:rPr>
          <w:rFonts w:ascii="Arial" w:cs="Arial" w:eastAsia="Arial" w:hAnsi="Arial"/>
          <w:sz w:val="14"/>
          <w:szCs w:val="14"/>
          <w:color w:val="auto"/>
        </w:rPr>
        <w:t>Mr. Pinto was appointed Co-President and Co-COO of the Firm in January 2018, in addition to serving as CEO of the CIB since March 2014. In 2017, Mr. Pinto and Mr. Smith assumed responsibility for Global Technology. Mr. Pinto previously served as Co-CEO of the CIB since 2012.</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Summary of 2018 key achievements and compensation-related considerations</w:t>
      </w:r>
    </w:p>
    <w:p>
      <w:pPr>
        <w:sectPr>
          <w:pgSz w:w="11900" w:h="16838" w:orient="portrait"/>
          <w:cols w:equalWidth="0" w:num="1">
            <w:col w:w="11240"/>
          </w:cols>
          <w:pgMar w:left="240" w:top="459" w:right="419" w:bottom="1440" w:gutter="0" w:footer="0" w:header="0"/>
        </w:sectPr>
      </w:pPr>
    </w:p>
    <w:p>
      <w:pPr>
        <w:spacing w:after="0" w:line="152" w:lineRule="exact"/>
        <w:rPr>
          <w:sz w:val="20"/>
          <w:szCs w:val="20"/>
          <w:color w:val="auto"/>
        </w:rPr>
      </w:pPr>
    </w:p>
    <w:p>
      <w:pPr>
        <w:ind w:left="400" w:right="100"/>
        <w:spacing w:after="0" w:line="242" w:lineRule="auto"/>
        <w:rPr>
          <w:sz w:val="20"/>
          <w:szCs w:val="20"/>
          <w:color w:val="auto"/>
        </w:rPr>
      </w:pPr>
      <w:r>
        <w:rPr>
          <w:rFonts w:ascii="Arial" w:cs="Arial" w:eastAsia="Arial" w:hAnsi="Arial"/>
          <w:sz w:val="15"/>
          <w:szCs w:val="15"/>
          <w:color w:val="auto"/>
        </w:rPr>
        <w:t>CIB achieved record net income of $11.8B on record revenue</w:t>
      </w:r>
      <w:r>
        <w:rPr>
          <w:rFonts w:ascii="Arial" w:cs="Arial" w:eastAsia="Arial" w:hAnsi="Arial"/>
          <w:sz w:val="13"/>
          <w:szCs w:val="13"/>
          <w:color w:val="auto"/>
        </w:rPr>
        <w:t>1</w:t>
      </w:r>
      <w:r>
        <w:rPr>
          <w:rFonts w:ascii="Arial" w:cs="Arial" w:eastAsia="Arial" w:hAnsi="Arial"/>
          <w:sz w:val="15"/>
          <w:szCs w:val="15"/>
          <w:color w:val="auto"/>
        </w:rPr>
        <w:t xml:space="preserve"> of $36.4B, with ROE of 16%</w:t>
      </w:r>
    </w:p>
    <w:p>
      <w:pPr>
        <w:spacing w:after="0" w:line="97" w:lineRule="exact"/>
        <w:rPr>
          <w:sz w:val="20"/>
          <w:szCs w:val="20"/>
          <w:color w:val="auto"/>
        </w:rPr>
      </w:pPr>
    </w:p>
    <w:p>
      <w:pPr>
        <w:ind w:left="400"/>
        <w:spacing w:after="0" w:line="235" w:lineRule="auto"/>
        <w:rPr>
          <w:sz w:val="20"/>
          <w:szCs w:val="20"/>
          <w:color w:val="auto"/>
        </w:rPr>
      </w:pPr>
      <w:r>
        <w:rPr>
          <w:rFonts w:ascii="Arial" w:cs="Arial" w:eastAsia="Arial" w:hAnsi="Arial"/>
          <w:sz w:val="15"/>
          <w:szCs w:val="15"/>
          <w:color w:val="auto"/>
        </w:rPr>
        <w:t>Increased share of industry wallets in investment banking (“IB”) fees, Fixed Income and Equity Markets and achieved revenue growth in Treasury Services and Securities Services</w:t>
      </w:r>
    </w:p>
    <w:p>
      <w:pPr>
        <w:spacing w:after="0" w:line="101" w:lineRule="exact"/>
        <w:rPr>
          <w:sz w:val="20"/>
          <w:szCs w:val="20"/>
          <w:color w:val="auto"/>
        </w:rPr>
      </w:pPr>
    </w:p>
    <w:p>
      <w:pPr>
        <w:ind w:left="400" w:right="40"/>
        <w:spacing w:after="0" w:line="242" w:lineRule="auto"/>
        <w:rPr>
          <w:sz w:val="20"/>
          <w:szCs w:val="20"/>
          <w:color w:val="auto"/>
        </w:rPr>
      </w:pPr>
      <w:r>
        <w:rPr>
          <w:rFonts w:ascii="Arial" w:cs="Arial" w:eastAsia="Arial" w:hAnsi="Arial"/>
          <w:sz w:val="15"/>
          <w:szCs w:val="15"/>
          <w:color w:val="auto"/>
        </w:rPr>
        <w:t>#1 in Total Markets with 11.6% wallet share</w:t>
      </w:r>
      <w:r>
        <w:rPr>
          <w:rFonts w:ascii="Arial" w:cs="Arial" w:eastAsia="Arial" w:hAnsi="Arial"/>
          <w:sz w:val="13"/>
          <w:szCs w:val="13"/>
          <w:color w:val="auto"/>
        </w:rPr>
        <w:t>2</w:t>
      </w:r>
      <w:r>
        <w:rPr>
          <w:rFonts w:ascii="Arial" w:cs="Arial" w:eastAsia="Arial" w:hAnsi="Arial"/>
          <w:sz w:val="15"/>
          <w:szCs w:val="15"/>
          <w:color w:val="auto"/>
        </w:rPr>
        <w:t xml:space="preserve"> (#1 in Fixed Income; co-#1 in Equities)</w:t>
      </w:r>
    </w:p>
    <w:p>
      <w:pPr>
        <w:spacing w:after="0" w:line="97" w:lineRule="exact"/>
        <w:rPr>
          <w:sz w:val="20"/>
          <w:szCs w:val="20"/>
          <w:color w:val="auto"/>
        </w:rPr>
      </w:pPr>
    </w:p>
    <w:p>
      <w:pPr>
        <w:ind w:left="400" w:right="60"/>
        <w:spacing w:after="0" w:line="242" w:lineRule="auto"/>
        <w:rPr>
          <w:sz w:val="20"/>
          <w:szCs w:val="20"/>
          <w:color w:val="auto"/>
        </w:rPr>
      </w:pPr>
      <w:r>
        <w:rPr>
          <w:rFonts w:ascii="Arial" w:cs="Arial" w:eastAsia="Arial" w:hAnsi="Arial"/>
          <w:sz w:val="15"/>
          <w:szCs w:val="15"/>
          <w:color w:val="auto"/>
        </w:rPr>
        <w:t>Continued to optimize the use of capital by executing strategies to support business growth within multiple regulatory constraints</w:t>
      </w:r>
    </w:p>
    <w:p>
      <w:pPr>
        <w:spacing w:after="0" w:line="97" w:lineRule="exact"/>
        <w:rPr>
          <w:sz w:val="20"/>
          <w:szCs w:val="20"/>
          <w:color w:val="auto"/>
        </w:rPr>
      </w:pPr>
    </w:p>
    <w:p>
      <w:pPr>
        <w:ind w:left="400" w:right="360"/>
        <w:spacing w:after="0" w:line="242" w:lineRule="auto"/>
        <w:rPr>
          <w:sz w:val="20"/>
          <w:szCs w:val="20"/>
          <w:color w:val="auto"/>
        </w:rPr>
      </w:pPr>
      <w:r>
        <w:rPr>
          <w:rFonts w:ascii="Arial" w:cs="Arial" w:eastAsia="Arial" w:hAnsi="Arial"/>
          <w:sz w:val="15"/>
          <w:szCs w:val="15"/>
          <w:color w:val="auto"/>
        </w:rPr>
        <w:t>Made significant progress in Brexit implementation program to ensure readiness to deliver Firm capabilities on “day one”</w:t>
      </w:r>
    </w:p>
    <w:p>
      <w:pPr>
        <w:spacing w:after="0" w:line="97" w:lineRule="exact"/>
        <w:rPr>
          <w:sz w:val="20"/>
          <w:szCs w:val="20"/>
          <w:color w:val="auto"/>
        </w:rPr>
      </w:pPr>
    </w:p>
    <w:p>
      <w:pPr>
        <w:ind w:left="400" w:right="20"/>
        <w:spacing w:after="0" w:line="242" w:lineRule="auto"/>
        <w:rPr>
          <w:sz w:val="20"/>
          <w:szCs w:val="20"/>
          <w:color w:val="auto"/>
        </w:rPr>
      </w:pPr>
      <w:r>
        <w:rPr>
          <w:rFonts w:ascii="Arial" w:cs="Arial" w:eastAsia="Arial" w:hAnsi="Arial"/>
          <w:sz w:val="15"/>
          <w:szCs w:val="15"/>
          <w:color w:val="auto"/>
        </w:rPr>
        <w:t>#1 in global investment banking fees with 8.7% wallet share</w:t>
      </w:r>
      <w:r>
        <w:rPr>
          <w:rFonts w:ascii="Arial" w:cs="Arial" w:eastAsia="Arial" w:hAnsi="Arial"/>
          <w:sz w:val="13"/>
          <w:szCs w:val="13"/>
          <w:color w:val="auto"/>
        </w:rPr>
        <w:t>3</w:t>
      </w:r>
      <w:r>
        <w:rPr>
          <w:rFonts w:ascii="Arial" w:cs="Arial" w:eastAsia="Arial" w:hAnsi="Arial"/>
          <w:sz w:val="15"/>
          <w:szCs w:val="15"/>
          <w:color w:val="auto"/>
        </w:rPr>
        <w:t xml:space="preserve"> (#1 in IB fees in North America and EMEA)</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The CIB participated in seven of the top ten fee generating IB transactions in 2018</w:t>
      </w:r>
      <w:r>
        <w:rPr>
          <w:rFonts w:ascii="Arial" w:cs="Arial" w:eastAsia="Arial" w:hAnsi="Arial"/>
          <w:sz w:val="13"/>
          <w:szCs w:val="13"/>
          <w:color w:val="auto"/>
        </w:rPr>
        <w:t>3</w:t>
      </w:r>
    </w:p>
    <w:p>
      <w:pPr>
        <w:spacing w:after="0" w:line="97" w:lineRule="exact"/>
        <w:rPr>
          <w:sz w:val="20"/>
          <w:szCs w:val="20"/>
          <w:color w:val="auto"/>
        </w:rPr>
      </w:pPr>
    </w:p>
    <w:p>
      <w:pPr>
        <w:jc w:val="both"/>
        <w:ind w:right="300"/>
        <w:spacing w:after="0" w:line="235" w:lineRule="auto"/>
        <w:rPr>
          <w:sz w:val="20"/>
          <w:szCs w:val="20"/>
          <w:color w:val="auto"/>
        </w:rPr>
      </w:pPr>
      <w:r>
        <w:rPr>
          <w:rFonts w:ascii="Arial" w:cs="Arial" w:eastAsia="Arial" w:hAnsi="Arial"/>
          <w:sz w:val="15"/>
          <w:szCs w:val="15"/>
          <w:color w:val="auto"/>
        </w:rPr>
        <w:t>Maintained strong risk discipline across all business activities with a proactive risk management focus on several fronts, including geopolitical concerns, natural disasters, markets, reputation and regulatory directives</w:t>
      </w:r>
    </w:p>
    <w:p>
      <w:pPr>
        <w:spacing w:after="0" w:line="101" w:lineRule="exact"/>
        <w:rPr>
          <w:sz w:val="20"/>
          <w:szCs w:val="20"/>
          <w:color w:val="auto"/>
        </w:rPr>
      </w:pPr>
    </w:p>
    <w:p>
      <w:pPr>
        <w:ind w:right="340"/>
        <w:spacing w:after="0" w:line="235" w:lineRule="auto"/>
        <w:rPr>
          <w:sz w:val="20"/>
          <w:szCs w:val="20"/>
          <w:color w:val="auto"/>
        </w:rPr>
      </w:pPr>
      <w:r>
        <w:rPr>
          <w:rFonts w:ascii="Arial" w:cs="Arial" w:eastAsia="Arial" w:hAnsi="Arial"/>
          <w:sz w:val="15"/>
          <w:szCs w:val="15"/>
          <w:color w:val="auto"/>
        </w:rPr>
        <w:t>Continued executing on a multi-year technology transformation program supporting improved business delivery and internal efficiencies including digital, data analytics, AI, blockchain and FinTech strategies</w:t>
      </w:r>
    </w:p>
    <w:p>
      <w:pPr>
        <w:spacing w:after="0" w:line="101" w:lineRule="exact"/>
        <w:rPr>
          <w:sz w:val="20"/>
          <w:szCs w:val="20"/>
          <w:color w:val="auto"/>
        </w:rPr>
      </w:pPr>
    </w:p>
    <w:p>
      <w:pPr>
        <w:ind w:right="400"/>
        <w:spacing w:after="0" w:line="242" w:lineRule="auto"/>
        <w:rPr>
          <w:sz w:val="20"/>
          <w:szCs w:val="20"/>
          <w:color w:val="auto"/>
        </w:rPr>
      </w:pPr>
      <w:r>
        <w:rPr>
          <w:rFonts w:ascii="Arial" w:cs="Arial" w:eastAsia="Arial" w:hAnsi="Arial"/>
          <w:sz w:val="15"/>
          <w:szCs w:val="15"/>
          <w:color w:val="auto"/>
        </w:rPr>
        <w:t>Developed talent at the most senior level and created new or expanded roles to accelerate the development of top talent</w:t>
      </w:r>
    </w:p>
    <w:p>
      <w:pPr>
        <w:spacing w:after="0" w:line="97" w:lineRule="exact"/>
        <w:rPr>
          <w:sz w:val="20"/>
          <w:szCs w:val="20"/>
          <w:color w:val="auto"/>
        </w:rPr>
      </w:pPr>
    </w:p>
    <w:p>
      <w:pPr>
        <w:jc w:val="right"/>
        <w:ind w:right="240"/>
        <w:spacing w:after="0" w:line="242" w:lineRule="auto"/>
        <w:rPr>
          <w:sz w:val="20"/>
          <w:szCs w:val="20"/>
          <w:color w:val="auto"/>
        </w:rPr>
      </w:pPr>
      <w:r>
        <w:rPr>
          <w:rFonts w:ascii="Arial" w:cs="Arial" w:eastAsia="Arial" w:hAnsi="Arial"/>
          <w:sz w:val="15"/>
          <w:szCs w:val="15"/>
          <w:color w:val="auto"/>
        </w:rPr>
        <w:t>Continued sponsorship of the Womens’ Leadership Acceleration Program (“LeAP”) for Vice Presidents, and executive sponsor of the Adelante BRG</w:t>
      </w:r>
    </w:p>
    <w:p>
      <w:pPr>
        <w:spacing w:after="0" w:line="483" w:lineRule="exact"/>
        <w:rPr>
          <w:sz w:val="20"/>
          <w:szCs w:val="20"/>
          <w:color w:val="auto"/>
        </w:rPr>
      </w:pPr>
    </w:p>
    <w:p>
      <w:pPr>
        <w:sectPr>
          <w:pgSz w:w="11900" w:h="16838" w:orient="portrait"/>
          <w:cols w:equalWidth="0" w:num="2">
            <w:col w:w="5460" w:space="560"/>
            <w:col w:w="5220"/>
          </w:cols>
          <w:pgMar w:left="240" w:top="459" w:right="419" w:bottom="1440" w:gutter="0" w:footer="0" w:header="0"/>
          <w:type w:val="continuous"/>
        </w:sectPr>
      </w:pPr>
    </w:p>
    <w:p>
      <w:pPr>
        <w:spacing w:after="0" w:line="87" w:lineRule="exact"/>
        <w:rPr>
          <w:sz w:val="20"/>
          <w:szCs w:val="20"/>
          <w:color w:val="auto"/>
        </w:rPr>
      </w:pPr>
    </w:p>
    <w:p>
      <w:pPr>
        <w:ind w:left="420" w:hanging="167"/>
        <w:spacing w:after="0"/>
        <w:tabs>
          <w:tab w:leader="none" w:pos="420" w:val="left"/>
        </w:tabs>
        <w:numPr>
          <w:ilvl w:val="0"/>
          <w:numId w:val="107"/>
        </w:numPr>
        <w:rPr>
          <w:rFonts w:ascii="Arial" w:cs="Arial" w:eastAsia="Arial" w:hAnsi="Arial"/>
          <w:sz w:val="11"/>
          <w:szCs w:val="11"/>
          <w:color w:val="auto"/>
        </w:rPr>
      </w:pPr>
      <w:r>
        <w:rPr>
          <w:rFonts w:ascii="Arial" w:cs="Arial" w:eastAsia="Arial" w:hAnsi="Arial"/>
          <w:sz w:val="13"/>
          <w:szCs w:val="13"/>
          <w:color w:val="auto"/>
        </w:rPr>
        <w:t>The Firm reviews the results of the lines of business on a managed basis. For a definition of managed basis, see page 99.</w:t>
      </w:r>
    </w:p>
    <w:p>
      <w:pPr>
        <w:spacing w:after="0" w:line="10" w:lineRule="exact"/>
        <w:rPr>
          <w:sz w:val="20"/>
          <w:szCs w:val="20"/>
          <w:color w:val="auto"/>
        </w:rPr>
      </w:pPr>
    </w:p>
    <w:p>
      <w:pPr>
        <w:ind w:left="420" w:hanging="167"/>
        <w:spacing w:after="0"/>
        <w:tabs>
          <w:tab w:leader="none" w:pos="420" w:val="left"/>
        </w:tabs>
        <w:numPr>
          <w:ilvl w:val="0"/>
          <w:numId w:val="108"/>
        </w:numPr>
        <w:rPr>
          <w:rFonts w:ascii="Arial" w:cs="Arial" w:eastAsia="Arial" w:hAnsi="Arial"/>
          <w:sz w:val="10"/>
          <w:szCs w:val="10"/>
          <w:color w:val="auto"/>
        </w:rPr>
      </w:pPr>
      <w:r>
        <w:rPr>
          <w:rFonts w:ascii="Arial" w:cs="Arial" w:eastAsia="Arial" w:hAnsi="Arial"/>
          <w:sz w:val="12"/>
          <w:szCs w:val="12"/>
          <w:color w:val="auto"/>
        </w:rPr>
        <w:t>Coalition, preliminary 2018 market share analysis reflects JPMorgan Chase’s share of the global industry revenue pool and is based on JPMorgan Chase’s business structure. FY18 analysis is</w:t>
      </w:r>
    </w:p>
    <w:p>
      <w:pPr>
        <w:ind w:left="420"/>
        <w:spacing w:after="0" w:line="216" w:lineRule="auto"/>
        <w:rPr>
          <w:sz w:val="20"/>
          <w:szCs w:val="20"/>
          <w:color w:val="auto"/>
        </w:rPr>
      </w:pPr>
      <w:r>
        <w:rPr>
          <w:rFonts w:ascii="Arial" w:cs="Arial" w:eastAsia="Arial" w:hAnsi="Arial"/>
          <w:sz w:val="13"/>
          <w:szCs w:val="13"/>
          <w:color w:val="auto"/>
        </w:rPr>
        <w:t>based on preliminary results and peer-set BAML, BARC, BNPP, CITI, CS, DB, GS, HSBC, JPM, MS, SG, &amp; UBS.</w:t>
      </w:r>
    </w:p>
    <w:p>
      <w:pPr>
        <w:spacing w:after="0" w:line="1" w:lineRule="exact"/>
        <w:rPr>
          <w:sz w:val="20"/>
          <w:szCs w:val="20"/>
          <w:color w:val="auto"/>
        </w:rPr>
      </w:pPr>
    </w:p>
    <w:p>
      <w:pPr>
        <w:ind w:left="420" w:hanging="167"/>
        <w:spacing w:after="0"/>
        <w:tabs>
          <w:tab w:leader="none" w:pos="420" w:val="left"/>
        </w:tabs>
        <w:numPr>
          <w:ilvl w:val="0"/>
          <w:numId w:val="109"/>
        </w:numPr>
        <w:rPr>
          <w:rFonts w:ascii="Arial" w:cs="Arial" w:eastAsia="Arial" w:hAnsi="Arial"/>
          <w:sz w:val="11"/>
          <w:szCs w:val="11"/>
          <w:color w:val="auto"/>
        </w:rPr>
      </w:pPr>
      <w:r>
        <w:rPr>
          <w:rFonts w:ascii="Arial" w:cs="Arial" w:eastAsia="Arial" w:hAnsi="Arial"/>
          <w:sz w:val="13"/>
          <w:szCs w:val="13"/>
          <w:color w:val="auto"/>
        </w:rPr>
        <w:t>Dealogic as of January 1, 2019.</w:t>
      </w:r>
    </w:p>
    <w:p>
      <w:pPr>
        <w:spacing w:after="0" w:line="258" w:lineRule="exact"/>
        <w:rPr>
          <w:sz w:val="20"/>
          <w:szCs w:val="20"/>
          <w:color w:val="auto"/>
        </w:rPr>
      </w:pPr>
    </w:p>
    <w:p>
      <w:pPr>
        <w:ind w:left="200"/>
        <w:spacing w:after="0"/>
        <w:tabs>
          <w:tab w:leader="none" w:pos="8940" w:val="left"/>
        </w:tabs>
        <w:rPr>
          <w:sz w:val="20"/>
          <w:szCs w:val="20"/>
          <w:color w:val="auto"/>
        </w:rPr>
      </w:pPr>
      <w:r>
        <w:rPr>
          <w:rFonts w:ascii="Arial" w:cs="Arial" w:eastAsia="Arial" w:hAnsi="Arial"/>
          <w:sz w:val="20"/>
          <w:szCs w:val="20"/>
          <w:color w:val="004876"/>
        </w:rPr>
        <w:t>Gordon Smith: Co-President &amp; Co-COO; CEO Consumer &amp; Community Banking</w:t>
      </w:r>
      <w:r>
        <w:rPr>
          <w:sz w:val="20"/>
          <w:szCs w:val="20"/>
          <w:color w:val="auto"/>
        </w:rPr>
        <w:tab/>
      </w:r>
      <w:r>
        <w:rPr>
          <w:rFonts w:ascii="Arial" w:cs="Arial" w:eastAsia="Arial" w:hAnsi="Arial"/>
          <w:sz w:val="17"/>
          <w:szCs w:val="17"/>
          <w:color w:val="73A950"/>
        </w:rPr>
        <w:t>2018 Compensation: $22M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27940</wp:posOffset>
            </wp:positionV>
            <wp:extent cx="6997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9" w:lineRule="exact"/>
        <w:rPr>
          <w:sz w:val="20"/>
          <w:szCs w:val="20"/>
          <w:color w:val="auto"/>
        </w:rPr>
      </w:pPr>
    </w:p>
    <w:p>
      <w:pPr>
        <w:jc w:val="both"/>
        <w:ind w:left="200" w:right="500"/>
        <w:spacing w:after="0" w:line="250" w:lineRule="auto"/>
        <w:rPr>
          <w:sz w:val="20"/>
          <w:szCs w:val="20"/>
          <w:color w:val="auto"/>
        </w:rPr>
      </w:pPr>
      <w:r>
        <w:rPr>
          <w:rFonts w:ascii="Arial" w:cs="Arial" w:eastAsia="Arial" w:hAnsi="Arial"/>
          <w:sz w:val="14"/>
          <w:szCs w:val="14"/>
          <w:color w:val="auto"/>
        </w:rPr>
        <w:t>Mr. Smith was appointed Co-President and Co-COO of the Firm in January 2018, in addition to serving as CEO of CCB since December 2012. In 2017, Mr. Smith and Mr. Pinto assumed responsibility for Global Technology. Mr. Smith previously served as Co-CEO of CCB, and CEO of the Card, Merchant Services and Auto Finance business.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Summary of 2018 key achievements and compensation-related considerations</w:t>
      </w:r>
    </w:p>
    <w:p>
      <w:pPr>
        <w:sectPr>
          <w:pgSz w:w="11900" w:h="16838" w:orient="portrait"/>
          <w:cols w:equalWidth="0" w:num="1">
            <w:col w:w="11240"/>
          </w:cols>
          <w:pgMar w:left="240" w:top="459" w:right="419" w:bottom="1440" w:gutter="0" w:footer="0" w:header="0"/>
          <w:type w:val="continuous"/>
        </w:sectPr>
      </w:pPr>
    </w:p>
    <w:p>
      <w:pPr>
        <w:spacing w:after="0" w:line="152" w:lineRule="exact"/>
        <w:rPr>
          <w:sz w:val="20"/>
          <w:szCs w:val="20"/>
          <w:color w:val="auto"/>
        </w:rPr>
      </w:pPr>
    </w:p>
    <w:p>
      <w:pPr>
        <w:ind w:left="400" w:right="200"/>
        <w:spacing w:after="0" w:line="242" w:lineRule="auto"/>
        <w:rPr>
          <w:sz w:val="20"/>
          <w:szCs w:val="20"/>
          <w:color w:val="auto"/>
        </w:rPr>
      </w:pPr>
      <w:r>
        <w:rPr>
          <w:rFonts w:ascii="Arial" w:cs="Arial" w:eastAsia="Arial" w:hAnsi="Arial"/>
          <w:sz w:val="15"/>
          <w:szCs w:val="15"/>
          <w:color w:val="auto"/>
        </w:rPr>
        <w:t>CCB achieved record net income of $14.9B on revenue</w:t>
      </w:r>
      <w:r>
        <w:rPr>
          <w:rFonts w:ascii="Arial" w:cs="Arial" w:eastAsia="Arial" w:hAnsi="Arial"/>
          <w:sz w:val="13"/>
          <w:szCs w:val="13"/>
          <w:color w:val="auto"/>
        </w:rPr>
        <w:t>1</w:t>
      </w:r>
      <w:r>
        <w:rPr>
          <w:rFonts w:ascii="Arial" w:cs="Arial" w:eastAsia="Arial" w:hAnsi="Arial"/>
          <w:sz w:val="15"/>
          <w:szCs w:val="15"/>
          <w:color w:val="auto"/>
        </w:rPr>
        <w:t xml:space="preserve"> of $52.1B, with ROE of 28%</w:t>
      </w:r>
    </w:p>
    <w:p>
      <w:pPr>
        <w:spacing w:after="0" w:line="97" w:lineRule="exact"/>
        <w:rPr>
          <w:sz w:val="20"/>
          <w:szCs w:val="20"/>
          <w:color w:val="auto"/>
        </w:rPr>
      </w:pPr>
    </w:p>
    <w:p>
      <w:pPr>
        <w:ind w:left="400" w:right="240"/>
        <w:spacing w:after="0" w:line="242" w:lineRule="auto"/>
        <w:rPr>
          <w:sz w:val="20"/>
          <w:szCs w:val="20"/>
          <w:color w:val="auto"/>
        </w:rPr>
      </w:pPr>
      <w:r>
        <w:rPr>
          <w:rFonts w:ascii="Arial" w:cs="Arial" w:eastAsia="Arial" w:hAnsi="Arial"/>
          <w:sz w:val="15"/>
          <w:szCs w:val="15"/>
          <w:color w:val="auto"/>
        </w:rPr>
        <w:t>Average deposits of $670.4B increased by 5% from 2017; average core loans</w:t>
      </w:r>
      <w:r>
        <w:rPr>
          <w:rFonts w:ascii="Arial" w:cs="Arial" w:eastAsia="Arial" w:hAnsi="Arial"/>
          <w:sz w:val="13"/>
          <w:szCs w:val="13"/>
          <w:color w:val="auto"/>
        </w:rPr>
        <w:t>2</w:t>
      </w:r>
      <w:r>
        <w:rPr>
          <w:rFonts w:ascii="Arial" w:cs="Arial" w:eastAsia="Arial" w:hAnsi="Arial"/>
          <w:sz w:val="15"/>
          <w:szCs w:val="15"/>
          <w:color w:val="auto"/>
        </w:rPr>
        <w:t xml:space="preserve"> of $419.1B increased by 6% from 2017</w:t>
      </w:r>
    </w:p>
    <w:p>
      <w:pPr>
        <w:spacing w:after="0" w:line="97" w:lineRule="exact"/>
        <w:rPr>
          <w:sz w:val="20"/>
          <w:szCs w:val="20"/>
          <w:color w:val="auto"/>
        </w:rPr>
      </w:pPr>
    </w:p>
    <w:p>
      <w:pPr>
        <w:ind w:left="400" w:right="360"/>
        <w:spacing w:after="0" w:line="242" w:lineRule="auto"/>
        <w:rPr>
          <w:sz w:val="20"/>
          <w:szCs w:val="20"/>
          <w:color w:val="auto"/>
        </w:rPr>
      </w:pPr>
      <w:r>
        <w:rPr>
          <w:rFonts w:ascii="Arial" w:cs="Arial" w:eastAsia="Arial" w:hAnsi="Arial"/>
          <w:sz w:val="15"/>
          <w:szCs w:val="15"/>
          <w:color w:val="auto"/>
        </w:rPr>
        <w:t>Maintained relationships with ~50% of U.S. households, of which 25% have a multi-line of business relationship</w:t>
      </w:r>
    </w:p>
    <w:p>
      <w:pPr>
        <w:spacing w:after="0" w:line="97" w:lineRule="exact"/>
        <w:rPr>
          <w:sz w:val="20"/>
          <w:szCs w:val="20"/>
          <w:color w:val="auto"/>
        </w:rPr>
      </w:pPr>
    </w:p>
    <w:p>
      <w:pPr>
        <w:ind w:left="400" w:right="140"/>
        <w:spacing w:after="0" w:line="242" w:lineRule="auto"/>
        <w:rPr>
          <w:sz w:val="20"/>
          <w:szCs w:val="20"/>
          <w:color w:val="auto"/>
        </w:rPr>
      </w:pPr>
      <w:r>
        <w:rPr>
          <w:rFonts w:ascii="Arial" w:cs="Arial" w:eastAsia="Arial" w:hAnsi="Arial"/>
          <w:sz w:val="15"/>
          <w:szCs w:val="15"/>
          <w:color w:val="auto"/>
        </w:rPr>
        <w:t>#1 in overall customer satisfaction in J.D. Power’s 2018 National Banking Study</w:t>
      </w:r>
    </w:p>
    <w:p>
      <w:pPr>
        <w:spacing w:after="0" w:line="97" w:lineRule="exact"/>
        <w:rPr>
          <w:sz w:val="20"/>
          <w:szCs w:val="20"/>
          <w:color w:val="auto"/>
        </w:rPr>
      </w:pPr>
    </w:p>
    <w:p>
      <w:pPr>
        <w:ind w:left="400"/>
        <w:spacing w:after="0" w:line="235" w:lineRule="auto"/>
        <w:rPr>
          <w:sz w:val="20"/>
          <w:szCs w:val="20"/>
          <w:color w:val="auto"/>
        </w:rPr>
      </w:pPr>
      <w:r>
        <w:rPr>
          <w:rFonts w:ascii="Arial" w:cs="Arial" w:eastAsia="Arial" w:hAnsi="Arial"/>
          <w:sz w:val="15"/>
          <w:szCs w:val="15"/>
          <w:color w:val="auto"/>
        </w:rPr>
        <w:t>Largest active digital and mobile customer base among U.S. banks</w:t>
      </w:r>
      <w:r>
        <w:rPr>
          <w:rFonts w:ascii="Arial" w:cs="Arial" w:eastAsia="Arial" w:hAnsi="Arial"/>
          <w:sz w:val="13"/>
          <w:szCs w:val="13"/>
          <w:color w:val="auto"/>
        </w:rPr>
        <w:t>3</w:t>
      </w:r>
      <w:r>
        <w:rPr>
          <w:rFonts w:ascii="Arial" w:cs="Arial" w:eastAsia="Arial" w:hAnsi="Arial"/>
          <w:sz w:val="15"/>
          <w:szCs w:val="15"/>
          <w:color w:val="auto"/>
        </w:rPr>
        <w:t>; active digital and mobile customers</w:t>
      </w:r>
      <w:r>
        <w:rPr>
          <w:rFonts w:ascii="Arial" w:cs="Arial" w:eastAsia="Arial" w:hAnsi="Arial"/>
          <w:sz w:val="13"/>
          <w:szCs w:val="13"/>
          <w:color w:val="auto"/>
        </w:rPr>
        <w:t>4</w:t>
      </w:r>
      <w:r>
        <w:rPr>
          <w:rFonts w:ascii="Arial" w:cs="Arial" w:eastAsia="Arial" w:hAnsi="Arial"/>
          <w:sz w:val="15"/>
          <w:szCs w:val="15"/>
          <w:color w:val="auto"/>
        </w:rPr>
        <w:t xml:space="preserve"> increased by 5% and 11% from 2017, respectively</w:t>
      </w:r>
    </w:p>
    <w:p>
      <w:pPr>
        <w:spacing w:after="0" w:line="101" w:lineRule="exact"/>
        <w:rPr>
          <w:sz w:val="20"/>
          <w:szCs w:val="20"/>
          <w:color w:val="auto"/>
        </w:rPr>
      </w:pPr>
    </w:p>
    <w:p>
      <w:pPr>
        <w:ind w:left="400"/>
        <w:spacing w:after="0" w:line="231" w:lineRule="auto"/>
        <w:rPr>
          <w:sz w:val="20"/>
          <w:szCs w:val="20"/>
          <w:color w:val="auto"/>
        </w:rPr>
      </w:pPr>
      <w:r>
        <w:rPr>
          <w:rFonts w:ascii="Arial" w:cs="Arial" w:eastAsia="Arial" w:hAnsi="Arial"/>
          <w:sz w:val="15"/>
          <w:szCs w:val="15"/>
          <w:color w:val="auto"/>
        </w:rPr>
        <w:t>Ongoing investments in technology drove growth and better customer experience (e.g., QuickPay with Zelle</w:t>
      </w:r>
      <w:r>
        <w:rPr>
          <w:rFonts w:ascii="Arial" w:cs="Arial" w:eastAsia="Arial" w:hAnsi="Arial"/>
          <w:sz w:val="13"/>
          <w:szCs w:val="13"/>
          <w:color w:val="auto"/>
        </w:rPr>
        <w:t>®</w:t>
      </w:r>
      <w:r>
        <w:rPr>
          <w:rFonts w:ascii="Arial" w:cs="Arial" w:eastAsia="Arial" w:hAnsi="Arial"/>
          <w:sz w:val="15"/>
          <w:szCs w:val="15"/>
          <w:color w:val="auto"/>
        </w:rPr>
        <w:t>, Digital Account Opening, Credit Journey</w:t>
      </w:r>
      <w:r>
        <w:rPr>
          <w:rFonts w:ascii="Arial" w:cs="Arial" w:eastAsia="Arial" w:hAnsi="Arial"/>
          <w:sz w:val="13"/>
          <w:szCs w:val="13"/>
          <w:color w:val="auto"/>
        </w:rPr>
        <w:t>SM</w:t>
      </w:r>
      <w:r>
        <w:rPr>
          <w:rFonts w:ascii="Arial" w:cs="Arial" w:eastAsia="Arial" w:hAnsi="Arial"/>
          <w:sz w:val="15"/>
          <w:szCs w:val="15"/>
          <w:color w:val="auto"/>
        </w:rPr>
        <w:t>); technology investments in 2018 are expected to generate more than $1 billion in annual run-rate savings</w:t>
      </w:r>
      <w:r>
        <w:rPr>
          <w:rFonts w:ascii="Arial" w:cs="Arial" w:eastAsia="Arial" w:hAnsi="Arial"/>
          <w:sz w:val="13"/>
          <w:szCs w:val="13"/>
          <w:color w:val="auto"/>
        </w:rPr>
        <w:t>5</w:t>
      </w:r>
      <w:r>
        <w:rPr>
          <w:rFonts w:ascii="Arial" w:cs="Arial" w:eastAsia="Arial" w:hAnsi="Arial"/>
          <w:sz w:val="15"/>
          <w:szCs w:val="15"/>
          <w:color w:val="auto"/>
        </w:rPr>
        <w:t xml:space="preserve"> and deliver ROI</w:t>
      </w:r>
      <w:r>
        <w:rPr>
          <w:rFonts w:ascii="Arial" w:cs="Arial" w:eastAsia="Arial" w:hAnsi="Arial"/>
          <w:sz w:val="13"/>
          <w:szCs w:val="13"/>
          <w:color w:val="auto"/>
        </w:rPr>
        <w:t>6</w:t>
      </w:r>
      <w:r>
        <w:rPr>
          <w:rFonts w:ascii="Arial" w:cs="Arial" w:eastAsia="Arial" w:hAnsi="Arial"/>
          <w:sz w:val="15"/>
          <w:szCs w:val="15"/>
          <w:color w:val="auto"/>
        </w:rPr>
        <w:t xml:space="preserve"> of greater than 2x</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520"/>
        <w:spacing w:after="0" w:line="242" w:lineRule="auto"/>
        <w:rPr>
          <w:sz w:val="20"/>
          <w:szCs w:val="20"/>
          <w:color w:val="auto"/>
        </w:rPr>
      </w:pPr>
      <w:r>
        <w:rPr>
          <w:rFonts w:ascii="Arial" w:cs="Arial" w:eastAsia="Arial" w:hAnsi="Arial"/>
          <w:sz w:val="15"/>
          <w:szCs w:val="15"/>
          <w:color w:val="auto"/>
        </w:rPr>
        <w:t>Delivered One Chase experiences that provide choice, security, ease, personalization and integrated payments</w:t>
      </w:r>
    </w:p>
    <w:p>
      <w:pPr>
        <w:spacing w:after="0" w:line="97" w:lineRule="exact"/>
        <w:rPr>
          <w:sz w:val="20"/>
          <w:szCs w:val="20"/>
          <w:color w:val="auto"/>
        </w:rPr>
      </w:pPr>
    </w:p>
    <w:p>
      <w:pPr>
        <w:ind w:right="180"/>
        <w:spacing w:after="0" w:line="233" w:lineRule="auto"/>
        <w:rPr>
          <w:sz w:val="20"/>
          <w:szCs w:val="20"/>
          <w:color w:val="auto"/>
        </w:rPr>
      </w:pPr>
      <w:r>
        <w:rPr>
          <w:rFonts w:ascii="Arial" w:cs="Arial" w:eastAsia="Arial" w:hAnsi="Arial"/>
          <w:sz w:val="15"/>
          <w:szCs w:val="15"/>
          <w:color w:val="auto"/>
        </w:rPr>
        <w:t>Differentiated the customer experience with a seamless omni-channel approach—opened first 10 branches in three expansion markets (Greater Washington, D.C., Philadelphia and Boston) and ~1.5 million deposit accounts through Digital Account Opening in the year since February 2018</w:t>
      </w:r>
    </w:p>
    <w:p>
      <w:pPr>
        <w:spacing w:after="0" w:line="99" w:lineRule="exact"/>
        <w:rPr>
          <w:sz w:val="20"/>
          <w:szCs w:val="20"/>
          <w:color w:val="auto"/>
        </w:rPr>
      </w:pPr>
    </w:p>
    <w:p>
      <w:pPr>
        <w:ind w:right="360"/>
        <w:spacing w:after="0" w:line="242" w:lineRule="auto"/>
        <w:rPr>
          <w:sz w:val="20"/>
          <w:szCs w:val="20"/>
          <w:color w:val="auto"/>
        </w:rPr>
      </w:pPr>
      <w:r>
        <w:rPr>
          <w:rFonts w:ascii="Arial" w:cs="Arial" w:eastAsia="Arial" w:hAnsi="Arial"/>
          <w:sz w:val="15"/>
          <w:szCs w:val="15"/>
          <w:color w:val="auto"/>
        </w:rPr>
        <w:t>Continued to make significant progress in addressing regulatory matters affecting the business</w:t>
      </w:r>
    </w:p>
    <w:p>
      <w:pPr>
        <w:spacing w:after="0" w:line="97" w:lineRule="exact"/>
        <w:rPr>
          <w:sz w:val="20"/>
          <w:szCs w:val="20"/>
          <w:color w:val="auto"/>
        </w:rPr>
      </w:pPr>
    </w:p>
    <w:p>
      <w:pPr>
        <w:ind w:right="180"/>
        <w:spacing w:after="0" w:line="235" w:lineRule="auto"/>
        <w:rPr>
          <w:sz w:val="20"/>
          <w:szCs w:val="20"/>
          <w:color w:val="auto"/>
        </w:rPr>
      </w:pPr>
      <w:r>
        <w:rPr>
          <w:rFonts w:ascii="Arial" w:cs="Arial" w:eastAsia="Arial" w:hAnsi="Arial"/>
          <w:sz w:val="15"/>
          <w:szCs w:val="15"/>
          <w:color w:val="auto"/>
        </w:rPr>
        <w:t>Continued to make progress against CCB’s diversity and inclusion strategy to improve female and U.S. ethnic minority representation at the Vice President level and above; executive sponsor of the Access Ability BRG</w:t>
      </w:r>
    </w:p>
    <w:p>
      <w:pPr>
        <w:spacing w:after="0" w:line="101" w:lineRule="exact"/>
        <w:rPr>
          <w:sz w:val="20"/>
          <w:szCs w:val="20"/>
          <w:color w:val="auto"/>
        </w:rPr>
      </w:pPr>
    </w:p>
    <w:p>
      <w:pPr>
        <w:ind w:right="340"/>
        <w:spacing w:after="0" w:line="242" w:lineRule="auto"/>
        <w:rPr>
          <w:sz w:val="20"/>
          <w:szCs w:val="20"/>
          <w:color w:val="auto"/>
        </w:rPr>
      </w:pPr>
      <w:r>
        <w:rPr>
          <w:rFonts w:ascii="Arial" w:cs="Arial" w:eastAsia="Arial" w:hAnsi="Arial"/>
          <w:sz w:val="15"/>
          <w:szCs w:val="15"/>
          <w:color w:val="auto"/>
        </w:rPr>
        <w:t>Internal talent and succession planning resulted in openings on the CCB Leadership team being filled internally</w:t>
      </w:r>
    </w:p>
    <w:p>
      <w:pPr>
        <w:spacing w:after="0" w:line="803" w:lineRule="exact"/>
        <w:rPr>
          <w:sz w:val="20"/>
          <w:szCs w:val="20"/>
          <w:color w:val="auto"/>
        </w:rPr>
      </w:pPr>
    </w:p>
    <w:p>
      <w:pPr>
        <w:sectPr>
          <w:pgSz w:w="11900" w:h="16838" w:orient="portrait"/>
          <w:cols w:equalWidth="0" w:num="2">
            <w:col w:w="5480" w:space="540"/>
            <w:col w:w="5220"/>
          </w:cols>
          <w:pgMar w:left="240" w:top="459" w:right="419" w:bottom="1440" w:gutter="0" w:footer="0" w:header="0"/>
          <w:type w:val="continuous"/>
        </w:sectPr>
      </w:pPr>
    </w:p>
    <w:p>
      <w:pPr>
        <w:spacing w:after="0" w:line="91" w:lineRule="exact"/>
        <w:rPr>
          <w:sz w:val="20"/>
          <w:szCs w:val="20"/>
          <w:color w:val="auto"/>
        </w:rPr>
      </w:pPr>
    </w:p>
    <w:p>
      <w:pPr>
        <w:ind w:left="420" w:hanging="167"/>
        <w:spacing w:after="0"/>
        <w:tabs>
          <w:tab w:leader="none" w:pos="420" w:val="left"/>
        </w:tabs>
        <w:numPr>
          <w:ilvl w:val="0"/>
          <w:numId w:val="112"/>
        </w:numPr>
        <w:rPr>
          <w:rFonts w:ascii="Arial" w:cs="Arial" w:eastAsia="Arial" w:hAnsi="Arial"/>
          <w:sz w:val="11"/>
          <w:szCs w:val="11"/>
          <w:color w:val="auto"/>
        </w:rPr>
      </w:pPr>
      <w:r>
        <w:rPr>
          <w:rFonts w:ascii="Arial" w:cs="Arial" w:eastAsia="Arial" w:hAnsi="Arial"/>
          <w:sz w:val="13"/>
          <w:szCs w:val="13"/>
          <w:color w:val="auto"/>
        </w:rPr>
        <w:t>The Firm reviews the results of the lines of business on a managed basis. For a definition of managed basis, see page 99.</w:t>
      </w:r>
    </w:p>
    <w:p>
      <w:pPr>
        <w:spacing w:after="0" w:line="12" w:lineRule="exact"/>
        <w:rPr>
          <w:rFonts w:ascii="Arial" w:cs="Arial" w:eastAsia="Arial" w:hAnsi="Arial"/>
          <w:sz w:val="11"/>
          <w:szCs w:val="11"/>
          <w:color w:val="auto"/>
        </w:rPr>
      </w:pPr>
    </w:p>
    <w:p>
      <w:pPr>
        <w:ind w:left="26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Core loans are considered a key performance measure; for further explanation, see page 101.</w:t>
      </w:r>
    </w:p>
    <w:p>
      <w:pPr>
        <w:spacing w:after="0" w:line="24" w:lineRule="exact"/>
        <w:rPr>
          <w:rFonts w:ascii="Arial" w:cs="Arial" w:eastAsia="Arial" w:hAnsi="Arial"/>
          <w:sz w:val="11"/>
          <w:szCs w:val="11"/>
          <w:color w:val="auto"/>
        </w:rPr>
      </w:pPr>
    </w:p>
    <w:p>
      <w:pPr>
        <w:ind w:left="260"/>
        <w:spacing w:after="0"/>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Based on 4Q18 peer disclosure for JPM’s CCB, BAC’s Consumer Banking, WFC’s Community Banking and Citi’s North America GCB segments.</w:t>
      </w:r>
    </w:p>
    <w:p>
      <w:pPr>
        <w:spacing w:after="0" w:line="24" w:lineRule="exact"/>
        <w:rPr>
          <w:rFonts w:ascii="Arial" w:cs="Arial" w:eastAsia="Arial" w:hAnsi="Arial"/>
          <w:sz w:val="11"/>
          <w:szCs w:val="11"/>
          <w:color w:val="auto"/>
        </w:rPr>
      </w:pPr>
    </w:p>
    <w:p>
      <w:pPr>
        <w:ind w:left="420" w:right="20" w:hanging="167"/>
        <w:spacing w:after="0" w:line="234" w:lineRule="auto"/>
        <w:rPr>
          <w:rFonts w:ascii="Arial" w:cs="Arial" w:eastAsia="Arial" w:hAnsi="Arial"/>
          <w:sz w:val="11"/>
          <w:szCs w:val="11"/>
          <w:color w:val="auto"/>
        </w:rPr>
      </w:pPr>
      <w:r>
        <w:rPr>
          <w:rFonts w:ascii="Arial" w:cs="Arial" w:eastAsia="Arial" w:hAnsi="Arial"/>
          <w:sz w:val="11"/>
          <w:szCs w:val="11"/>
          <w:color w:val="auto"/>
        </w:rPr>
        <w:t xml:space="preserve">4 </w:t>
      </w:r>
      <w:r>
        <w:rPr>
          <w:rFonts w:ascii="Arial" w:cs="Arial" w:eastAsia="Arial" w:hAnsi="Arial"/>
          <w:sz w:val="12"/>
          <w:szCs w:val="12"/>
          <w:color w:val="auto"/>
        </w:rPr>
        <w:t>Active digital customers are users of web and/or mobile platforms who have logged in within the past 90 days; mobile active customers are users of all mobile platforms who have logged in within</w:t>
      </w:r>
      <w:r>
        <w:rPr>
          <w:rFonts w:ascii="Arial" w:cs="Arial" w:eastAsia="Arial" w:hAnsi="Arial"/>
          <w:sz w:val="11"/>
          <w:szCs w:val="11"/>
          <w:color w:val="auto"/>
        </w:rPr>
        <w:t xml:space="preserve"> </w:t>
      </w:r>
      <w:r>
        <w:rPr>
          <w:rFonts w:ascii="Arial" w:cs="Arial" w:eastAsia="Arial" w:hAnsi="Arial"/>
          <w:sz w:val="12"/>
          <w:szCs w:val="12"/>
          <w:color w:val="auto"/>
        </w:rPr>
        <w:t>the past 90 days.</w:t>
      </w:r>
    </w:p>
    <w:p>
      <w:pPr>
        <w:spacing w:after="0" w:line="1" w:lineRule="exact"/>
        <w:rPr>
          <w:rFonts w:ascii="Arial" w:cs="Arial" w:eastAsia="Arial" w:hAnsi="Arial"/>
          <w:sz w:val="11"/>
          <w:szCs w:val="11"/>
          <w:color w:val="auto"/>
        </w:rPr>
      </w:pPr>
    </w:p>
    <w:p>
      <w:pPr>
        <w:ind w:left="260"/>
        <w:spacing w:after="0"/>
        <w:rPr>
          <w:rFonts w:ascii="Arial" w:cs="Arial" w:eastAsia="Arial" w:hAnsi="Arial"/>
          <w:sz w:val="11"/>
          <w:szCs w:val="11"/>
          <w:color w:val="auto"/>
        </w:rPr>
      </w:pPr>
      <w:r>
        <w:rPr>
          <w:rFonts w:ascii="Arial" w:cs="Arial" w:eastAsia="Arial" w:hAnsi="Arial"/>
          <w:sz w:val="11"/>
          <w:szCs w:val="11"/>
          <w:color w:val="auto"/>
        </w:rPr>
        <w:t xml:space="preserve">5  </w:t>
      </w:r>
      <w:r>
        <w:rPr>
          <w:rFonts w:ascii="Arial" w:cs="Arial" w:eastAsia="Arial" w:hAnsi="Arial"/>
          <w:sz w:val="12"/>
          <w:szCs w:val="12"/>
          <w:color w:val="auto"/>
        </w:rPr>
        <w:t>Reflects projected 2022 results for technology platforms with active development in 2018.</w:t>
      </w:r>
    </w:p>
    <w:p>
      <w:pPr>
        <w:spacing w:after="0" w:line="24" w:lineRule="exact"/>
        <w:rPr>
          <w:rFonts w:ascii="Arial" w:cs="Arial" w:eastAsia="Arial" w:hAnsi="Arial"/>
          <w:sz w:val="11"/>
          <w:szCs w:val="11"/>
          <w:color w:val="auto"/>
        </w:rPr>
      </w:pPr>
    </w:p>
    <w:p>
      <w:pPr>
        <w:ind w:left="260"/>
        <w:spacing w:after="0"/>
        <w:rPr>
          <w:rFonts w:ascii="Arial" w:cs="Arial" w:eastAsia="Arial" w:hAnsi="Arial"/>
          <w:sz w:val="11"/>
          <w:szCs w:val="11"/>
          <w:color w:val="auto"/>
        </w:rPr>
      </w:pPr>
      <w:r>
        <w:rPr>
          <w:rFonts w:ascii="Arial" w:cs="Arial" w:eastAsia="Arial" w:hAnsi="Arial"/>
          <w:sz w:val="11"/>
          <w:szCs w:val="11"/>
          <w:color w:val="auto"/>
        </w:rPr>
        <w:t xml:space="preserve">6  </w:t>
      </w:r>
      <w:r>
        <w:rPr>
          <w:rFonts w:ascii="Arial" w:cs="Arial" w:eastAsia="Arial" w:hAnsi="Arial"/>
          <w:sz w:val="12"/>
          <w:szCs w:val="12"/>
          <w:color w:val="auto"/>
        </w:rPr>
        <w:t>Reflects five-year cumulative pretax income excluding development costs divided by development costs for expense-reducing technology programs with active development in 2018.</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59</w:t>
            </w:r>
          </w:p>
        </w:tc>
      </w:tr>
    </w:tbl>
    <w:p>
      <w:pPr>
        <w:sectPr>
          <w:pgSz w:w="11900" w:h="16838" w:orient="portrait"/>
          <w:cols w:equalWidth="0" w:num="1">
            <w:col w:w="11240"/>
          </w:cols>
          <w:pgMar w:left="240" w:top="459" w:right="41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391" w:lineRule="exact"/>
        <w:rPr>
          <w:sz w:val="20"/>
          <w:szCs w:val="20"/>
          <w:color w:val="auto"/>
        </w:rPr>
      </w:pPr>
    </w:p>
    <w:p>
      <w:pPr>
        <w:ind w:left="200"/>
        <w:spacing w:after="0"/>
        <w:tabs>
          <w:tab w:leader="none" w:pos="8900" w:val="left"/>
        </w:tabs>
        <w:rPr>
          <w:sz w:val="20"/>
          <w:szCs w:val="20"/>
          <w:color w:val="auto"/>
        </w:rPr>
      </w:pPr>
      <w:r>
        <w:rPr>
          <w:rFonts w:ascii="Arial" w:cs="Arial" w:eastAsia="Arial" w:hAnsi="Arial"/>
          <w:sz w:val="20"/>
          <w:szCs w:val="20"/>
          <w:color w:val="004876"/>
        </w:rPr>
        <w:t>Mary Callahan Erdoes: CEO Asset &amp; Wealth Management</w:t>
      </w:r>
      <w:r>
        <w:rPr>
          <w:sz w:val="20"/>
          <w:szCs w:val="20"/>
          <w:color w:val="auto"/>
        </w:rPr>
        <w:tab/>
      </w:r>
      <w:r>
        <w:rPr>
          <w:rFonts w:ascii="Arial" w:cs="Arial" w:eastAsia="Arial" w:hAnsi="Arial"/>
          <w:sz w:val="17"/>
          <w:szCs w:val="17"/>
          <w:color w:val="73A950"/>
        </w:rPr>
        <w:t>2018 Compensation: $20.5M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27940</wp:posOffset>
            </wp:positionV>
            <wp:extent cx="6997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ind w:left="200" w:right="80"/>
        <w:spacing w:after="0" w:line="258" w:lineRule="auto"/>
        <w:rPr>
          <w:sz w:val="20"/>
          <w:szCs w:val="20"/>
          <w:color w:val="auto"/>
        </w:rPr>
      </w:pPr>
      <w:r>
        <w:rPr>
          <w:rFonts w:ascii="Arial" w:cs="Arial" w:eastAsia="Arial" w:hAnsi="Arial"/>
          <w:sz w:val="14"/>
          <w:szCs w:val="14"/>
          <w:color w:val="auto"/>
        </w:rPr>
        <w:t>Ms. Erdoes was appointed Chief Executive Officer of Asset &amp; Wealth Management in September 2009. She previously served as CEO of Wealth Management from 2005 to 2009.</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Summary of 2018 key achievements and compensation-related considerations</w:t>
      </w:r>
    </w:p>
    <w:p>
      <w:pPr>
        <w:sectPr>
          <w:pgSz w:w="11900" w:h="16838" w:orient="portrait"/>
          <w:cols w:equalWidth="0" w:num="1">
            <w:col w:w="11220"/>
          </w:cols>
          <w:pgMar w:left="240" w:top="459" w:right="439" w:bottom="1440" w:gutter="0" w:footer="0" w:header="0"/>
        </w:sectPr>
      </w:pPr>
    </w:p>
    <w:p>
      <w:pPr>
        <w:spacing w:after="0" w:line="152" w:lineRule="exact"/>
        <w:rPr>
          <w:sz w:val="20"/>
          <w:szCs w:val="20"/>
          <w:color w:val="auto"/>
        </w:rPr>
      </w:pPr>
    </w:p>
    <w:p>
      <w:pPr>
        <w:ind w:left="400"/>
        <w:spacing w:after="0" w:line="242" w:lineRule="auto"/>
        <w:rPr>
          <w:sz w:val="20"/>
          <w:szCs w:val="20"/>
          <w:color w:val="auto"/>
        </w:rPr>
      </w:pPr>
      <w:r>
        <w:rPr>
          <w:rFonts w:ascii="Arial" w:cs="Arial" w:eastAsia="Arial" w:hAnsi="Arial"/>
          <w:sz w:val="15"/>
          <w:szCs w:val="15"/>
          <w:color w:val="auto"/>
        </w:rPr>
        <w:t>Achieved record net income of $2.9B on record revenue</w:t>
      </w:r>
      <w:r>
        <w:rPr>
          <w:rFonts w:ascii="Arial" w:cs="Arial" w:eastAsia="Arial" w:hAnsi="Arial"/>
          <w:sz w:val="13"/>
          <w:szCs w:val="13"/>
          <w:color w:val="auto"/>
        </w:rPr>
        <w:t>1</w:t>
      </w:r>
      <w:r>
        <w:rPr>
          <w:rFonts w:ascii="Arial" w:cs="Arial" w:eastAsia="Arial" w:hAnsi="Arial"/>
          <w:sz w:val="15"/>
          <w:szCs w:val="15"/>
          <w:color w:val="auto"/>
        </w:rPr>
        <w:t xml:space="preserve"> of $14.1B; ROE of 31%; and pre-tax margin of 26%</w:t>
      </w:r>
    </w:p>
    <w:p>
      <w:pPr>
        <w:spacing w:after="0" w:line="97" w:lineRule="exact"/>
        <w:rPr>
          <w:sz w:val="20"/>
          <w:szCs w:val="20"/>
          <w:color w:val="auto"/>
        </w:rPr>
      </w:pPr>
    </w:p>
    <w:p>
      <w:pPr>
        <w:ind w:left="400" w:right="120"/>
        <w:spacing w:after="0" w:line="233" w:lineRule="auto"/>
        <w:rPr>
          <w:sz w:val="20"/>
          <w:szCs w:val="20"/>
          <w:color w:val="auto"/>
        </w:rPr>
      </w:pPr>
      <w:r>
        <w:rPr>
          <w:rFonts w:ascii="Arial" w:cs="Arial" w:eastAsia="Arial" w:hAnsi="Arial"/>
          <w:sz w:val="15"/>
          <w:szCs w:val="15"/>
          <w:color w:val="auto"/>
        </w:rPr>
        <w:t>Assets under management (“AUM”) of $2.0T and client assets of $2.7T, both reflecting a decrease of 2% from 2017, on lower spot market levels largely offset by net inflows into liquidity and multi-asset class products while the industry saw outflows</w:t>
      </w:r>
    </w:p>
    <w:p>
      <w:pPr>
        <w:spacing w:after="0" w:line="99" w:lineRule="exact"/>
        <w:rPr>
          <w:sz w:val="20"/>
          <w:szCs w:val="20"/>
          <w:color w:val="auto"/>
        </w:rPr>
      </w:pPr>
    </w:p>
    <w:p>
      <w:pPr>
        <w:ind w:left="400" w:right="420"/>
        <w:spacing w:after="0" w:line="235" w:lineRule="auto"/>
        <w:rPr>
          <w:sz w:val="20"/>
          <w:szCs w:val="20"/>
          <w:color w:val="auto"/>
        </w:rPr>
      </w:pPr>
      <w:r>
        <w:rPr>
          <w:rFonts w:ascii="Arial" w:cs="Arial" w:eastAsia="Arial" w:hAnsi="Arial"/>
          <w:sz w:val="15"/>
          <w:szCs w:val="15"/>
          <w:color w:val="auto"/>
        </w:rPr>
        <w:t>Continued to provide clients with superior long-term investment performance, with 85% of mutual fund AUM ranked in the 1</w:t>
      </w:r>
      <w:r>
        <w:rPr>
          <w:rFonts w:ascii="Arial" w:cs="Arial" w:eastAsia="Arial" w:hAnsi="Arial"/>
          <w:sz w:val="13"/>
          <w:szCs w:val="13"/>
          <w:color w:val="auto"/>
        </w:rPr>
        <w:t>st</w:t>
      </w:r>
      <w:r>
        <w:rPr>
          <w:rFonts w:ascii="Arial" w:cs="Arial" w:eastAsia="Arial" w:hAnsi="Arial"/>
          <w:sz w:val="15"/>
          <w:szCs w:val="15"/>
          <w:color w:val="auto"/>
        </w:rPr>
        <w:t xml:space="preserve"> or 2</w:t>
      </w:r>
      <w:r>
        <w:rPr>
          <w:rFonts w:ascii="Arial" w:cs="Arial" w:eastAsia="Arial" w:hAnsi="Arial"/>
          <w:sz w:val="13"/>
          <w:szCs w:val="13"/>
          <w:color w:val="auto"/>
        </w:rPr>
        <w:t>nd</w:t>
      </w:r>
      <w:r>
        <w:rPr>
          <w:rFonts w:ascii="Arial" w:cs="Arial" w:eastAsia="Arial" w:hAnsi="Arial"/>
          <w:sz w:val="15"/>
          <w:szCs w:val="15"/>
          <w:color w:val="auto"/>
        </w:rPr>
        <w:t xml:space="preserve"> quartile over five years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ETF Issuer of the Year (ETF.com)</w:t>
      </w:r>
      <w:r>
        <w:rPr>
          <w:rFonts w:ascii="Arial" w:cs="Arial" w:eastAsia="Arial" w:hAnsi="Arial"/>
          <w:sz w:val="13"/>
          <w:szCs w:val="13"/>
          <w:color w:val="auto"/>
        </w:rPr>
        <w:t>2</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Asset Manager of the Year for Asia (</w:t>
      </w:r>
      <w:r>
        <w:rPr>
          <w:rFonts w:ascii="Arial" w:cs="Arial" w:eastAsia="Arial" w:hAnsi="Arial"/>
          <w:sz w:val="15"/>
          <w:szCs w:val="15"/>
          <w:i w:val="1"/>
          <w:iCs w:val="1"/>
          <w:color w:val="auto"/>
        </w:rPr>
        <w:t>AsianInvestor</w:t>
      </w:r>
      <w:r>
        <w:rPr>
          <w:rFonts w:ascii="Arial" w:cs="Arial" w:eastAsia="Arial" w:hAnsi="Arial"/>
          <w:sz w:val="15"/>
          <w:szCs w:val="15"/>
          <w:color w:val="auto"/>
        </w:rPr>
        <w:t>)</w:t>
      </w:r>
    </w:p>
    <w:p>
      <w:pPr>
        <w:spacing w:after="0" w:line="165" w:lineRule="exact"/>
        <w:rPr>
          <w:sz w:val="20"/>
          <w:szCs w:val="20"/>
          <w:color w:val="auto"/>
        </w:rPr>
      </w:pPr>
    </w:p>
    <w:p>
      <w:pPr>
        <w:ind w:left="400" w:right="580"/>
        <w:spacing w:after="0" w:line="478" w:lineRule="auto"/>
        <w:rPr>
          <w:sz w:val="20"/>
          <w:szCs w:val="20"/>
          <w:color w:val="auto"/>
        </w:rPr>
      </w:pPr>
      <w:r>
        <w:rPr>
          <w:rFonts w:ascii="Arial" w:cs="Arial" w:eastAsia="Arial" w:hAnsi="Arial"/>
          <w:sz w:val="15"/>
          <w:szCs w:val="15"/>
          <w:color w:val="auto"/>
        </w:rPr>
        <w:t>Leading Pan-European Fund Management Firm (Thomson Extel) Named North American Asset Manager of the Year (Reactions) Named Best Private Bank for UHNW Globally (FT/PWM)</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00"/>
        <w:spacing w:after="0" w:line="233" w:lineRule="auto"/>
        <w:rPr>
          <w:sz w:val="20"/>
          <w:szCs w:val="20"/>
          <w:color w:val="auto"/>
        </w:rPr>
      </w:pPr>
      <w:r>
        <w:rPr>
          <w:rFonts w:ascii="Arial" w:cs="Arial" w:eastAsia="Arial" w:hAnsi="Arial"/>
          <w:sz w:val="15"/>
          <w:szCs w:val="15"/>
          <w:color w:val="auto"/>
        </w:rPr>
        <w:t>Continued to enhance the digital client experience in Wealth Management with new capabilities (e.g., shorter account opening times), and added functionalities and paperless initiatives (e.g., You Invest launched in 2018 in partnership with CCB)</w:t>
      </w:r>
    </w:p>
    <w:p>
      <w:pPr>
        <w:spacing w:after="0" w:line="99" w:lineRule="exact"/>
        <w:rPr>
          <w:sz w:val="20"/>
          <w:szCs w:val="20"/>
          <w:color w:val="auto"/>
        </w:rPr>
      </w:pPr>
    </w:p>
    <w:p>
      <w:pPr>
        <w:ind w:right="40"/>
        <w:spacing w:after="0" w:line="235" w:lineRule="auto"/>
        <w:rPr>
          <w:sz w:val="20"/>
          <w:szCs w:val="20"/>
          <w:color w:val="auto"/>
        </w:rPr>
      </w:pPr>
      <w:r>
        <w:rPr>
          <w:rFonts w:ascii="Arial" w:cs="Arial" w:eastAsia="Arial" w:hAnsi="Arial"/>
          <w:sz w:val="15"/>
          <w:szCs w:val="15"/>
          <w:color w:val="auto"/>
        </w:rPr>
        <w:t>Accountable for strengthening and deepening the Firm’s fiduciary culture, focusing on globally consistent compliance through training, culture, conduct and governance, consistent with supervisory expectations</w:t>
      </w:r>
    </w:p>
    <w:p>
      <w:pPr>
        <w:spacing w:after="0" w:line="101" w:lineRule="exact"/>
        <w:rPr>
          <w:sz w:val="20"/>
          <w:szCs w:val="20"/>
          <w:color w:val="auto"/>
        </w:rPr>
      </w:pPr>
    </w:p>
    <w:p>
      <w:pPr>
        <w:ind w:right="200"/>
        <w:spacing w:after="0" w:line="242" w:lineRule="auto"/>
        <w:rPr>
          <w:sz w:val="20"/>
          <w:szCs w:val="20"/>
          <w:color w:val="auto"/>
        </w:rPr>
      </w:pPr>
      <w:r>
        <w:rPr>
          <w:rFonts w:ascii="Arial" w:cs="Arial" w:eastAsia="Arial" w:hAnsi="Arial"/>
          <w:sz w:val="15"/>
          <w:szCs w:val="15"/>
          <w:color w:val="auto"/>
        </w:rPr>
        <w:t>Continued to support the expansion of independent risk management practices to address evolving business needs and regulatory expectations</w:t>
      </w:r>
    </w:p>
    <w:p>
      <w:pPr>
        <w:spacing w:after="0" w:line="97" w:lineRule="exact"/>
        <w:rPr>
          <w:sz w:val="20"/>
          <w:szCs w:val="20"/>
          <w:color w:val="auto"/>
        </w:rPr>
      </w:pPr>
    </w:p>
    <w:p>
      <w:pPr>
        <w:ind w:right="60"/>
        <w:spacing w:after="0" w:line="242" w:lineRule="auto"/>
        <w:rPr>
          <w:sz w:val="20"/>
          <w:szCs w:val="20"/>
          <w:color w:val="auto"/>
        </w:rPr>
      </w:pPr>
      <w:r>
        <w:rPr>
          <w:rFonts w:ascii="Arial" w:cs="Arial" w:eastAsia="Arial" w:hAnsi="Arial"/>
          <w:sz w:val="15"/>
          <w:szCs w:val="15"/>
          <w:color w:val="auto"/>
        </w:rPr>
        <w:t>Retained 95% of all senior top talent and increased the recruitment of global diverse hires in 2018</w:t>
      </w:r>
    </w:p>
    <w:p>
      <w:pPr>
        <w:spacing w:after="0" w:line="97" w:lineRule="exact"/>
        <w:rPr>
          <w:sz w:val="20"/>
          <w:szCs w:val="20"/>
          <w:color w:val="auto"/>
        </w:rPr>
      </w:pPr>
    </w:p>
    <w:p>
      <w:pPr>
        <w:ind w:right="240"/>
        <w:spacing w:after="0" w:line="242" w:lineRule="auto"/>
        <w:rPr>
          <w:sz w:val="20"/>
          <w:szCs w:val="20"/>
          <w:color w:val="auto"/>
        </w:rPr>
      </w:pPr>
      <w:r>
        <w:rPr>
          <w:rFonts w:ascii="Arial" w:cs="Arial" w:eastAsia="Arial" w:hAnsi="Arial"/>
          <w:sz w:val="15"/>
          <w:szCs w:val="15"/>
          <w:color w:val="auto"/>
        </w:rPr>
        <w:t>Continued to drive the Firmwide diversity agenda, including programs like Re-Entry; executive sponsor of the PRIDE BRG</w:t>
      </w:r>
    </w:p>
    <w:p>
      <w:pPr>
        <w:spacing w:after="0" w:line="1084" w:lineRule="exact"/>
        <w:rPr>
          <w:sz w:val="20"/>
          <w:szCs w:val="20"/>
          <w:color w:val="auto"/>
        </w:rPr>
      </w:pPr>
    </w:p>
    <w:p>
      <w:pPr>
        <w:sectPr>
          <w:pgSz w:w="11900" w:h="16838" w:orient="portrait"/>
          <w:cols w:equalWidth="0" w:num="2">
            <w:col w:w="5380" w:space="640"/>
            <w:col w:w="5200"/>
          </w:cols>
          <w:pgMar w:left="240" w:top="459" w:right="439" w:bottom="1440" w:gutter="0" w:footer="0" w:header="0"/>
          <w:type w:val="continuous"/>
        </w:sectPr>
      </w:pPr>
    </w:p>
    <w:p>
      <w:pPr>
        <w:ind w:left="420" w:hanging="167"/>
        <w:spacing w:after="0"/>
        <w:tabs>
          <w:tab w:leader="none" w:pos="420" w:val="left"/>
        </w:tabs>
        <w:numPr>
          <w:ilvl w:val="0"/>
          <w:numId w:val="115"/>
        </w:numPr>
        <w:rPr>
          <w:rFonts w:ascii="Arial" w:cs="Arial" w:eastAsia="Arial" w:hAnsi="Arial"/>
          <w:sz w:val="11"/>
          <w:szCs w:val="11"/>
          <w:color w:val="auto"/>
        </w:rPr>
      </w:pPr>
      <w:r>
        <w:rPr>
          <w:rFonts w:ascii="Arial" w:cs="Arial" w:eastAsia="Arial" w:hAnsi="Arial"/>
          <w:sz w:val="13"/>
          <w:szCs w:val="13"/>
          <w:color w:val="auto"/>
        </w:rPr>
        <w:t>The Firm reviews the results of the lines of business on a managed basis. For a definition of managed basis, see page 99.</w:t>
      </w:r>
    </w:p>
    <w:p>
      <w:pPr>
        <w:spacing w:after="0" w:line="12" w:lineRule="exact"/>
        <w:rPr>
          <w:rFonts w:ascii="Arial" w:cs="Arial" w:eastAsia="Arial" w:hAnsi="Arial"/>
          <w:sz w:val="11"/>
          <w:szCs w:val="11"/>
          <w:color w:val="auto"/>
        </w:rPr>
      </w:pPr>
    </w:p>
    <w:p>
      <w:pPr>
        <w:ind w:left="26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2018 results released February 2019. ETF: Exchange-Traded Funds</w:t>
      </w:r>
    </w:p>
    <w:p>
      <w:pPr>
        <w:spacing w:after="0" w:line="270" w:lineRule="exact"/>
        <w:rPr>
          <w:sz w:val="20"/>
          <w:szCs w:val="20"/>
          <w:color w:val="auto"/>
        </w:rPr>
      </w:pPr>
    </w:p>
    <w:p>
      <w:pPr>
        <w:ind w:left="200"/>
        <w:spacing w:after="0"/>
        <w:tabs>
          <w:tab w:leader="none" w:pos="9040" w:val="left"/>
        </w:tabs>
        <w:rPr>
          <w:sz w:val="20"/>
          <w:szCs w:val="20"/>
          <w:color w:val="auto"/>
        </w:rPr>
      </w:pPr>
      <w:r>
        <w:rPr>
          <w:rFonts w:ascii="Arial" w:cs="Arial" w:eastAsia="Arial" w:hAnsi="Arial"/>
          <w:sz w:val="20"/>
          <w:szCs w:val="20"/>
          <w:color w:val="004876"/>
        </w:rPr>
        <w:t>Marianne Lake: Chief Financial Officer</w:t>
      </w:r>
      <w:r>
        <w:rPr>
          <w:sz w:val="20"/>
          <w:szCs w:val="20"/>
          <w:color w:val="auto"/>
        </w:rPr>
        <w:tab/>
      </w:r>
      <w:r>
        <w:rPr>
          <w:rFonts w:ascii="Arial" w:cs="Arial" w:eastAsia="Arial" w:hAnsi="Arial"/>
          <w:sz w:val="17"/>
          <w:szCs w:val="17"/>
          <w:color w:val="73A950"/>
        </w:rPr>
        <w:t>2018 Compensation: $15M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27940</wp:posOffset>
            </wp:positionV>
            <wp:extent cx="6997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9" w:lineRule="exact"/>
        <w:rPr>
          <w:sz w:val="20"/>
          <w:szCs w:val="20"/>
          <w:color w:val="auto"/>
        </w:rPr>
      </w:pPr>
    </w:p>
    <w:p>
      <w:pPr>
        <w:ind w:left="200" w:right="80"/>
        <w:spacing w:after="0" w:line="258" w:lineRule="auto"/>
        <w:rPr>
          <w:sz w:val="20"/>
          <w:szCs w:val="20"/>
          <w:color w:val="auto"/>
        </w:rPr>
      </w:pPr>
      <w:r>
        <w:rPr>
          <w:rFonts w:ascii="Arial" w:cs="Arial" w:eastAsia="Arial" w:hAnsi="Arial"/>
          <w:sz w:val="14"/>
          <w:szCs w:val="14"/>
          <w:color w:val="auto"/>
        </w:rPr>
        <w:t>Ms. Lake was appointed Chief Financial Officer on January 1, 2013. She previously served as the CFO of the Consumer &amp; Community Banking business from 2009 through 2012. Ms. Lake served as the Investment Bank’s Global Controller in the Finance organization from 2007 to 2009.</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Summary of 2018 key achievements and compensation-related considerations</w:t>
      </w:r>
    </w:p>
    <w:p>
      <w:pPr>
        <w:sectPr>
          <w:pgSz w:w="11900" w:h="16838" w:orient="portrait"/>
          <w:cols w:equalWidth="0" w:num="1">
            <w:col w:w="11220"/>
          </w:cols>
          <w:pgMar w:left="240" w:top="459" w:right="439" w:bottom="1440" w:gutter="0" w:footer="0" w:header="0"/>
          <w:type w:val="continuous"/>
        </w:sectPr>
      </w:pPr>
    </w:p>
    <w:p>
      <w:pPr>
        <w:spacing w:after="0" w:line="152" w:lineRule="exact"/>
        <w:rPr>
          <w:sz w:val="20"/>
          <w:szCs w:val="20"/>
          <w:color w:val="auto"/>
        </w:rPr>
      </w:pPr>
    </w:p>
    <w:p>
      <w:pPr>
        <w:jc w:val="right"/>
        <w:ind w:left="400" w:right="100"/>
        <w:spacing w:after="0" w:line="242" w:lineRule="auto"/>
        <w:rPr>
          <w:sz w:val="20"/>
          <w:szCs w:val="20"/>
          <w:color w:val="auto"/>
        </w:rPr>
      </w:pPr>
      <w:r>
        <w:rPr>
          <w:rFonts w:ascii="Arial" w:cs="Arial" w:eastAsia="Arial" w:hAnsi="Arial"/>
          <w:sz w:val="15"/>
          <w:szCs w:val="15"/>
          <w:color w:val="auto"/>
        </w:rPr>
        <w:t>Significantly expanded scope of responsibility – role includes CFO, Chief Investment Office and Chief Administrative Office (“CAO”) responsibilities</w:t>
      </w:r>
    </w:p>
    <w:p>
      <w:pPr>
        <w:spacing w:after="0" w:line="141" w:lineRule="exact"/>
        <w:rPr>
          <w:sz w:val="20"/>
          <w:szCs w:val="20"/>
          <w:color w:val="auto"/>
        </w:rPr>
      </w:pPr>
    </w:p>
    <w:p>
      <w:pPr>
        <w:ind w:left="520" w:hanging="154"/>
        <w:spacing w:after="0" w:line="235" w:lineRule="auto"/>
        <w:tabs>
          <w:tab w:leader="none" w:pos="520" w:val="left"/>
        </w:tabs>
        <w:numPr>
          <w:ilvl w:val="1"/>
          <w:numId w:val="116"/>
        </w:numPr>
        <w:rPr>
          <w:rFonts w:ascii="Arial" w:cs="Arial" w:eastAsia="Arial" w:hAnsi="Arial"/>
          <w:sz w:val="13"/>
          <w:szCs w:val="13"/>
          <w:color w:val="auto"/>
        </w:rPr>
      </w:pPr>
      <w:r>
        <w:rPr>
          <w:rFonts w:ascii="Arial" w:cs="Arial" w:eastAsia="Arial" w:hAnsi="Arial"/>
          <w:sz w:val="15"/>
          <w:szCs w:val="15"/>
          <w:color w:val="auto"/>
        </w:rPr>
        <w:t>CAO includes Global Real Estate (including the new Headquarters), Global Security &amp; Investigations, Firmwide Business Workforce Strategy, along with other administrative functions</w:t>
      </w:r>
    </w:p>
    <w:p>
      <w:pPr>
        <w:spacing w:after="0" w:line="57" w:lineRule="exact"/>
        <w:rPr>
          <w:rFonts w:ascii="Arial" w:cs="Arial" w:eastAsia="Arial" w:hAnsi="Arial"/>
          <w:sz w:val="13"/>
          <w:szCs w:val="13"/>
          <w:color w:val="auto"/>
        </w:rPr>
      </w:pPr>
    </w:p>
    <w:p>
      <w:pPr>
        <w:ind w:left="400" w:right="180"/>
        <w:spacing w:after="0" w:line="242" w:lineRule="auto"/>
        <w:rPr>
          <w:rFonts w:ascii="Arial" w:cs="Arial" w:eastAsia="Arial" w:hAnsi="Arial"/>
          <w:sz w:val="13"/>
          <w:szCs w:val="13"/>
          <w:color w:val="auto"/>
        </w:rPr>
      </w:pPr>
      <w:r>
        <w:rPr>
          <w:rFonts w:ascii="Arial" w:cs="Arial" w:eastAsia="Arial" w:hAnsi="Arial"/>
          <w:sz w:val="15"/>
          <w:szCs w:val="15"/>
          <w:color w:val="auto"/>
        </w:rPr>
        <w:t>Satisfactorily submitted 2018 CCAR and remediation, leading to a share repurchase authorization of $20.7B</w:t>
      </w:r>
    </w:p>
    <w:p>
      <w:pPr>
        <w:spacing w:after="0" w:line="97" w:lineRule="exact"/>
        <w:rPr>
          <w:rFonts w:ascii="Arial" w:cs="Arial" w:eastAsia="Arial" w:hAnsi="Arial"/>
          <w:sz w:val="13"/>
          <w:szCs w:val="13"/>
          <w:color w:val="auto"/>
        </w:rPr>
      </w:pPr>
    </w:p>
    <w:p>
      <w:pPr>
        <w:ind w:left="400" w:right="100"/>
        <w:spacing w:after="0" w:line="235" w:lineRule="auto"/>
        <w:rPr>
          <w:rFonts w:ascii="Arial" w:cs="Arial" w:eastAsia="Arial" w:hAnsi="Arial"/>
          <w:sz w:val="13"/>
          <w:szCs w:val="13"/>
          <w:color w:val="auto"/>
        </w:rPr>
      </w:pPr>
      <w:r>
        <w:rPr>
          <w:rFonts w:ascii="Arial" w:cs="Arial" w:eastAsia="Arial" w:hAnsi="Arial"/>
          <w:sz w:val="15"/>
          <w:szCs w:val="15"/>
          <w:color w:val="auto"/>
        </w:rPr>
        <w:t>Created a new Asset &amp; Liability Committee to more effectively coordinate responses to changing market conditions as part of continued efforts to enhance the Firm’s balance sheet management</w:t>
      </w:r>
    </w:p>
    <w:p>
      <w:pPr>
        <w:spacing w:after="0" w:line="101" w:lineRule="exact"/>
        <w:rPr>
          <w:rFonts w:ascii="Arial" w:cs="Arial" w:eastAsia="Arial" w:hAnsi="Arial"/>
          <w:sz w:val="13"/>
          <w:szCs w:val="13"/>
          <w:color w:val="auto"/>
        </w:rPr>
      </w:pPr>
    </w:p>
    <w:p>
      <w:pPr>
        <w:ind w:left="400" w:right="20"/>
        <w:spacing w:after="0" w:line="235" w:lineRule="auto"/>
        <w:rPr>
          <w:rFonts w:ascii="Arial" w:cs="Arial" w:eastAsia="Arial" w:hAnsi="Arial"/>
          <w:sz w:val="13"/>
          <w:szCs w:val="13"/>
          <w:color w:val="auto"/>
        </w:rPr>
      </w:pPr>
      <w:r>
        <w:rPr>
          <w:rFonts w:ascii="Arial" w:cs="Arial" w:eastAsia="Arial" w:hAnsi="Arial"/>
          <w:sz w:val="15"/>
          <w:szCs w:val="15"/>
          <w:color w:val="auto"/>
        </w:rPr>
        <w:t>Continued to advance our data, infrastructure / technology and automation agendas – and continued to make significant progress on remediating reporting issues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color w:val="auto"/>
        </w:rPr>
        <w:t>Ranked #1 Best CFO in Institutional Investor’s 2019 All-American Executive Team rankings (5</w:t>
      </w:r>
      <w:r>
        <w:rPr>
          <w:rFonts w:ascii="Arial" w:cs="Arial" w:eastAsia="Arial" w:hAnsi="Arial"/>
          <w:sz w:val="13"/>
          <w:szCs w:val="13"/>
          <w:color w:val="auto"/>
        </w:rPr>
        <w:t>th</w:t>
      </w:r>
      <w:r>
        <w:rPr>
          <w:rFonts w:ascii="Arial" w:cs="Arial" w:eastAsia="Arial" w:hAnsi="Arial"/>
          <w:sz w:val="15"/>
          <w:szCs w:val="15"/>
          <w:color w:val="auto"/>
        </w:rPr>
        <w:t xml:space="preserve"> year in a row)</w:t>
      </w:r>
    </w:p>
    <w:p>
      <w:pPr>
        <w:spacing w:after="0" w:line="97"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Participated in 130+ events globally, continuing strong engagement, both internally and externally – and deepening relationships with a broad range of important clients, investors, research analysts, regulators, politicians, press and industry members</w:t>
      </w:r>
    </w:p>
    <w:p>
      <w:pPr>
        <w:spacing w:after="0" w:line="99" w:lineRule="exact"/>
        <w:rPr>
          <w:sz w:val="20"/>
          <w:szCs w:val="20"/>
          <w:color w:val="auto"/>
        </w:rPr>
      </w:pPr>
    </w:p>
    <w:p>
      <w:pPr>
        <w:ind w:right="380"/>
        <w:spacing w:after="0" w:line="242" w:lineRule="auto"/>
        <w:rPr>
          <w:sz w:val="20"/>
          <w:szCs w:val="20"/>
          <w:color w:val="auto"/>
        </w:rPr>
      </w:pPr>
      <w:r>
        <w:rPr>
          <w:rFonts w:ascii="Arial" w:cs="Arial" w:eastAsia="Arial" w:hAnsi="Arial"/>
          <w:sz w:val="15"/>
          <w:szCs w:val="15"/>
          <w:color w:val="auto"/>
        </w:rPr>
        <w:t>Championed several Firmwide diversity initiatives; executive sponsor of WOTM and Parents@JPMC</w:t>
      </w:r>
    </w:p>
    <w:p>
      <w:pPr>
        <w:spacing w:after="0" w:line="97" w:lineRule="exact"/>
        <w:rPr>
          <w:sz w:val="20"/>
          <w:szCs w:val="20"/>
          <w:color w:val="auto"/>
        </w:rPr>
      </w:pPr>
    </w:p>
    <w:p>
      <w:pPr>
        <w:ind w:right="100"/>
        <w:spacing w:after="0" w:line="242" w:lineRule="auto"/>
        <w:rPr>
          <w:sz w:val="20"/>
          <w:szCs w:val="20"/>
          <w:color w:val="auto"/>
        </w:rPr>
      </w:pPr>
      <w:r>
        <w:rPr>
          <w:rFonts w:ascii="Arial" w:cs="Arial" w:eastAsia="Arial" w:hAnsi="Arial"/>
          <w:sz w:val="15"/>
          <w:szCs w:val="15"/>
          <w:color w:val="auto"/>
        </w:rPr>
        <w:t>Created significant stretch and mobility opportunities within the Office of the CFO, with several leaders moving to new or expanded roles in 2018</w:t>
      </w:r>
    </w:p>
    <w:p>
      <w:pPr>
        <w:spacing w:after="0" w:line="804" w:lineRule="exact"/>
        <w:rPr>
          <w:sz w:val="20"/>
          <w:szCs w:val="20"/>
          <w:color w:val="auto"/>
        </w:rPr>
      </w:pPr>
    </w:p>
    <w:p>
      <w:pPr>
        <w:sectPr>
          <w:pgSz w:w="11900" w:h="16838" w:orient="portrait"/>
          <w:cols w:equalWidth="0" w:num="2">
            <w:col w:w="5440" w:space="580"/>
            <w:col w:w="5200"/>
          </w:cols>
          <w:pgMar w:left="240" w:top="459" w:right="439" w:bottom="1440" w:gutter="0" w:footer="0" w:header="0"/>
          <w:type w:val="continuous"/>
        </w:sectPr>
      </w:pPr>
    </w:p>
    <w:p>
      <w:pPr>
        <w:spacing w:after="0" w:line="118"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60</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EXECUTIVE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004876"/>
        </w:rPr>
        <w:t>5. Rigorous accountability and recovery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179705</wp:posOffset>
            </wp:positionV>
            <wp:extent cx="6997700" cy="3175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7700" cy="317500"/>
                    </a:xfrm>
                    <a:prstGeom prst="rect">
                      <a:avLst/>
                    </a:prstGeom>
                    <a:noFill/>
                  </pic:spPr>
                </pic:pic>
              </a:graphicData>
            </a:graphic>
          </wp:anchor>
        </w:drawing>
      </w:r>
    </w:p>
    <w:p>
      <w:pPr>
        <w:spacing w:after="0" w:line="303" w:lineRule="exact"/>
        <w:rPr>
          <w:sz w:val="20"/>
          <w:szCs w:val="20"/>
          <w:color w:val="auto"/>
        </w:rPr>
      </w:pPr>
    </w:p>
    <w:p>
      <w:pPr>
        <w:jc w:val="center"/>
        <w:ind w:left="460" w:right="200"/>
        <w:spacing w:after="0" w:line="246" w:lineRule="auto"/>
        <w:rPr>
          <w:sz w:val="20"/>
          <w:szCs w:val="20"/>
          <w:color w:val="auto"/>
        </w:rPr>
      </w:pPr>
      <w:r>
        <w:rPr>
          <w:rFonts w:ascii="Arial" w:cs="Arial" w:eastAsia="Arial" w:hAnsi="Arial"/>
          <w:sz w:val="18"/>
          <w:szCs w:val="18"/>
          <w:color w:val="004876"/>
        </w:rPr>
        <w:t>Our executive compensation program is designed to hold executives accountable, when appropriate, for meaningful actions or issues that negatively impact business performance or the Firm’s reputation in current or future years.</w:t>
      </w:r>
    </w:p>
    <w:p>
      <w:pPr>
        <w:sectPr>
          <w:pgSz w:w="11900" w:h="16838" w:orient="portrait"/>
          <w:cols w:equalWidth="0" w:num="1">
            <w:col w:w="11240"/>
          </w:cols>
          <w:pgMar w:left="240" w:top="459" w:right="419" w:bottom="1440" w:gutter="0" w:footer="0" w:header="0"/>
        </w:sect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Integrating risk with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33534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CMDC holds an annual joint session with the DRPC to review</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Firmwide HR and compensation practices, including:</w:t>
      </w:r>
    </w:p>
    <w:p>
      <w:pPr>
        <w:spacing w:after="0" w:line="71" w:lineRule="exact"/>
        <w:rPr>
          <w:sz w:val="20"/>
          <w:szCs w:val="20"/>
          <w:color w:val="auto"/>
        </w:rPr>
      </w:pPr>
    </w:p>
    <w:p>
      <w:pPr>
        <w:ind w:left="400" w:right="340"/>
        <w:spacing w:after="0" w:line="239" w:lineRule="auto"/>
        <w:rPr>
          <w:sz w:val="20"/>
          <w:szCs w:val="20"/>
          <w:color w:val="auto"/>
        </w:rPr>
      </w:pPr>
      <w:r>
        <w:rPr>
          <w:rFonts w:ascii="Arial" w:cs="Arial" w:eastAsia="Arial" w:hAnsi="Arial"/>
          <w:sz w:val="18"/>
          <w:szCs w:val="18"/>
          <w:color w:val="auto"/>
        </w:rPr>
        <w:t>The ways we integrate risk, controls and conduct considerations into key HR practices including performance development, compensation, promotion and succession planning</w:t>
      </w:r>
    </w:p>
    <w:p>
      <w:pPr>
        <w:spacing w:after="0" w:line="107" w:lineRule="exact"/>
        <w:rPr>
          <w:sz w:val="20"/>
          <w:szCs w:val="20"/>
          <w:color w:val="auto"/>
        </w:rPr>
      </w:pPr>
    </w:p>
    <w:p>
      <w:pPr>
        <w:ind w:left="400" w:right="160"/>
        <w:spacing w:after="0"/>
        <w:rPr>
          <w:sz w:val="20"/>
          <w:szCs w:val="20"/>
          <w:color w:val="auto"/>
        </w:rPr>
      </w:pPr>
      <w:r>
        <w:rPr>
          <w:rFonts w:ascii="Arial" w:cs="Arial" w:eastAsia="Arial" w:hAnsi="Arial"/>
          <w:sz w:val="18"/>
          <w:szCs w:val="18"/>
          <w:color w:val="auto"/>
        </w:rPr>
        <w:t>Compensation features and elements designed to discourage imprudent risk-taking (e.g., multi-year vesting, clawbacks, prohibition on hedging, etc.)</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Annual incentive pool processes for LOBs and Corporate</w:t>
      </w:r>
    </w:p>
    <w:p>
      <w:pPr>
        <w:spacing w:after="0" w:line="130" w:lineRule="exact"/>
        <w:rPr>
          <w:sz w:val="20"/>
          <w:szCs w:val="20"/>
          <w:color w:val="auto"/>
        </w:rPr>
      </w:pPr>
    </w:p>
    <w:p>
      <w:pPr>
        <w:ind w:left="400" w:right="280"/>
        <w:spacing w:after="0" w:line="246" w:lineRule="auto"/>
        <w:rPr>
          <w:sz w:val="20"/>
          <w:szCs w:val="20"/>
          <w:color w:val="auto"/>
        </w:rPr>
      </w:pPr>
      <w:r>
        <w:rPr>
          <w:rFonts w:ascii="Arial" w:cs="Arial" w:eastAsia="Arial" w:hAnsi="Arial"/>
          <w:sz w:val="18"/>
          <w:szCs w:val="18"/>
          <w:color w:val="auto"/>
        </w:rPr>
        <w:t>Regulatory updates which have impacted or may impact HR practices in the future</w:t>
      </w:r>
    </w:p>
    <w:p>
      <w:pPr>
        <w:spacing w:after="0" w:line="135"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committees are also provided with information on our performance development process, a summary of risk, controls and conduct feedback, and updates regarding HR Control Forum issues.</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004876"/>
        </w:rPr>
        <w:t>Recovery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34220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6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Issues that may warrant recovery determinations can be raised at any time, including in meetings of the Firm’s risk committees, HR Control Forums, annual assessments of employee performance and when Designated Employees resign or their employment is terminated by the Firm. Under the Firm’s process to govern these determinations:</w:t>
      </w:r>
    </w:p>
    <w:p>
      <w:pPr>
        <w:spacing w:after="0" w:line="64"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A formal compensation review is to occur following a determination that the cause and materiality of a risk-related loss, issue or other set of facts and circumstances warrants such a review</w:t>
      </w:r>
    </w:p>
    <w:p>
      <w:pPr>
        <w:spacing w:after="0" w:line="107"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CMDC is responsible for determinations involving Operating Committee members (determinations involving the CEO are subject to ratification by independent members of the Board). The CMDC has delegated authority for determinations involving other employees to the Head of Human Resources or his or her designee, usually through the HR Control Forum process described on page 62 of this proxy statement</w:t>
      </w:r>
    </w:p>
    <w:p>
      <w:pPr>
        <w:spacing w:after="0" w:line="222" w:lineRule="exact"/>
        <w:rPr>
          <w:sz w:val="20"/>
          <w:szCs w:val="20"/>
          <w:color w:val="auto"/>
        </w:rPr>
      </w:pPr>
    </w:p>
    <w:p>
      <w:pPr>
        <w:sectPr>
          <w:pgSz w:w="11900" w:h="16838" w:orient="portrait"/>
          <w:cols w:equalWidth="0" w:num="2">
            <w:col w:w="5460" w:space="360"/>
            <w:col w:w="5420"/>
          </w:cols>
          <w:pgMar w:left="240" w:top="459" w:right="419" w:bottom="1440" w:gutter="0" w:footer="0" w:header="0"/>
          <w:type w:val="continuous"/>
        </w:sectPr>
      </w:pPr>
    </w:p>
    <w:p>
      <w:pPr>
        <w:ind w:left="5820"/>
        <w:spacing w:after="0"/>
        <w:rPr>
          <w:sz w:val="20"/>
          <w:szCs w:val="20"/>
          <w:color w:val="auto"/>
        </w:rPr>
      </w:pPr>
      <w:r>
        <w:rPr>
          <w:rFonts w:ascii="Arial" w:cs="Arial" w:eastAsia="Arial" w:hAnsi="Arial"/>
          <w:sz w:val="20"/>
          <w:szCs w:val="20"/>
          <w:b w:val="1"/>
          <w:bCs w:val="1"/>
          <w:color w:val="004876"/>
        </w:rPr>
        <w:t>Anti-hedging/anti-pledging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102870</wp:posOffset>
            </wp:positionV>
            <wp:extent cx="342201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5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All employees are prohibited from hedging or pledging unvested</w:t>
      </w:r>
    </w:p>
    <w:p>
      <w:pPr>
        <w:ind w:left="5820"/>
        <w:spacing w:after="0" w:line="234" w:lineRule="auto"/>
        <w:rPr>
          <w:sz w:val="20"/>
          <w:szCs w:val="20"/>
          <w:color w:val="auto"/>
        </w:rPr>
      </w:pPr>
      <w:r>
        <w:rPr>
          <w:rFonts w:ascii="Arial" w:cs="Arial" w:eastAsia="Arial" w:hAnsi="Arial"/>
          <w:sz w:val="18"/>
          <w:szCs w:val="18"/>
          <w:color w:val="auto"/>
        </w:rPr>
        <w:t>RSUs and PSUs, and unexercised options or stock appreciation</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rights. In addition:</w:t>
      </w:r>
    </w:p>
    <w:p>
      <w:pPr>
        <w:spacing w:after="0" w:line="6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Hedging any shares owned outright or through deferred</w:t>
      </w:r>
    </w:p>
    <w:p>
      <w:pPr>
        <w:spacing w:after="0" w:line="4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compensation by an Operating Committee member is prohibited</w:t>
      </w:r>
    </w:p>
    <w:p>
      <w:pPr>
        <w:spacing w:after="0" w:line="6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Shares held directly by an Operating Committee member or</w:t>
      </w:r>
    </w:p>
    <w:p>
      <w:pPr>
        <w:spacing w:after="0" w:line="4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Board member may not be held in margin accounts or otherwise</w:t>
      </w:r>
    </w:p>
    <w:p>
      <w:pPr>
        <w:ind w:left="6020"/>
        <w:spacing w:after="0"/>
        <w:rPr>
          <w:sz w:val="20"/>
          <w:szCs w:val="20"/>
          <w:color w:val="auto"/>
        </w:rPr>
      </w:pPr>
      <w:r>
        <w:rPr>
          <w:rFonts w:ascii="Arial" w:cs="Arial" w:eastAsia="Arial" w:hAnsi="Arial"/>
          <w:sz w:val="18"/>
          <w:szCs w:val="18"/>
          <w:color w:val="auto"/>
        </w:rPr>
        <w:t>pledged</w:t>
      </w:r>
    </w:p>
    <w:p>
      <w:pPr>
        <w:spacing w:after="0" w:line="9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For information on the hedging/pledging restrictions applicable to</w:t>
      </w:r>
    </w:p>
    <w:p>
      <w:pPr>
        <w:ind w:left="5820"/>
        <w:spacing w:after="0" w:line="234" w:lineRule="auto"/>
        <w:rPr>
          <w:sz w:val="20"/>
          <w:szCs w:val="20"/>
          <w:color w:val="auto"/>
        </w:rPr>
      </w:pPr>
      <w:r>
        <w:rPr>
          <w:rFonts w:ascii="Arial" w:cs="Arial" w:eastAsia="Arial" w:hAnsi="Arial"/>
          <w:sz w:val="18"/>
          <w:szCs w:val="18"/>
          <w:color w:val="auto"/>
        </w:rPr>
        <w:t>our directors, please see “Director compensation” on page 35 of</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this proxy statement.</w:t>
      </w:r>
    </w:p>
    <w:p>
      <w:pPr>
        <w:spacing w:after="0" w:line="279"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61</w:t>
            </w:r>
          </w:p>
        </w:tc>
      </w:tr>
    </w:tbl>
    <w:p>
      <w:pPr>
        <w:sectPr>
          <w:pgSz w:w="11900" w:h="16838" w:orient="portrait"/>
          <w:cols w:equalWidth="0" w:num="1">
            <w:col w:w="11240"/>
          </w:cols>
          <w:pgMar w:left="240" w:top="459" w:right="41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51"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We maintain review processes that serve to evaluate risk, controls and conduct issues and identify individuals who may be subject to remedial actions such as impacts to compensation and/or termination.</w:t>
      </w:r>
    </w:p>
    <w:p>
      <w:pPr>
        <w:sectPr>
          <w:pgSz w:w="11900" w:h="16838" w:orient="portrait"/>
          <w:cols w:equalWidth="0" w:num="1">
            <w:col w:w="11160"/>
          </w:cols>
          <w:pgMar w:left="240" w:top="459" w:right="499" w:bottom="1440" w:gutter="0" w:footer="0" w:header="0"/>
        </w:sectPr>
      </w:pPr>
    </w:p>
    <w:p>
      <w:pPr>
        <w:spacing w:after="0" w:line="8"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004876"/>
        </w:rPr>
        <w:t>Risk, controls &amp; conduct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110490</wp:posOffset>
            </wp:positionV>
            <wp:extent cx="3636010" cy="77285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636010" cy="7728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004876"/>
        </w:rPr>
        <w:t>Holding individuals accountable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3151505" cy="66567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151505" cy="665670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20" w:right="260"/>
        <w:spacing w:after="0" w:line="250" w:lineRule="auto"/>
        <w:rPr>
          <w:sz w:val="20"/>
          <w:szCs w:val="20"/>
          <w:color w:val="auto"/>
        </w:rPr>
      </w:pPr>
      <w:r>
        <w:rPr>
          <w:rFonts w:ascii="Arial" w:cs="Arial" w:eastAsia="Arial" w:hAnsi="Arial"/>
          <w:sz w:val="16"/>
          <w:szCs w:val="16"/>
          <w:color w:val="auto"/>
        </w:rPr>
        <w:t>To hold individuals responsible for taking risks inconsistent with the Firm’s risk appetite and to discourage future imprudent behavior, the Firm has policies and procedures that enable it to take prompt and proportionate actions with respect to accountable individuals, including: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980" w:hanging="302"/>
        <w:spacing w:after="0" w:line="260" w:lineRule="auto"/>
        <w:tabs>
          <w:tab w:leader="none" w:pos="50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Reduce or altogether eliminate annual incentive compensation;</w:t>
      </w:r>
    </w:p>
    <w:p>
      <w:pPr>
        <w:spacing w:after="0" w:line="101" w:lineRule="exact"/>
        <w:rPr>
          <w:sz w:val="20"/>
          <w:szCs w:val="20"/>
          <w:color w:val="auto"/>
        </w:rPr>
      </w:pPr>
    </w:p>
    <w:p>
      <w:pPr>
        <w:ind w:left="500" w:hanging="302"/>
        <w:spacing w:after="0"/>
        <w:tabs>
          <w:tab w:leader="none" w:pos="500"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t>Cancel unvested awards (in full or in part);</w:t>
      </w:r>
    </w:p>
    <w:p>
      <w:pPr>
        <w:spacing w:after="0" w:line="127" w:lineRule="exact"/>
        <w:rPr>
          <w:sz w:val="20"/>
          <w:szCs w:val="20"/>
          <w:color w:val="auto"/>
        </w:rPr>
      </w:pPr>
    </w:p>
    <w:p>
      <w:pPr>
        <w:ind w:left="500" w:right="440" w:hanging="302"/>
        <w:spacing w:after="0" w:line="260" w:lineRule="auto"/>
        <w:tabs>
          <w:tab w:leader="none" w:pos="500"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Clawback/Recover previously paid compensation (cash and/or equity)</w:t>
      </w:r>
    </w:p>
    <w:p>
      <w:pPr>
        <w:spacing w:after="0" w:line="200" w:lineRule="exact"/>
        <w:rPr>
          <w:sz w:val="20"/>
          <w:szCs w:val="20"/>
          <w:color w:val="auto"/>
        </w:rPr>
      </w:pPr>
    </w:p>
    <w:p>
      <w:pPr>
        <w:spacing w:after="0" w:line="367"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Summary of Cancellation &amp; Clawbacks</w:t>
      </w:r>
    </w:p>
    <w:p>
      <w:pPr>
        <w:spacing w:after="0" w:line="24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800" w:type="dxa"/>
            <w:vAlign w:val="bottom"/>
            <w:tcBorders>
              <w:bottom w:val="single" w:sz="8" w:color="004876"/>
            </w:tcBorders>
          </w:tcPr>
          <w:p>
            <w:pPr>
              <w:ind w:left="80"/>
              <w:spacing w:after="0"/>
              <w:rPr>
                <w:sz w:val="20"/>
                <w:szCs w:val="20"/>
                <w:color w:val="auto"/>
              </w:rPr>
            </w:pPr>
            <w:r>
              <w:rPr>
                <w:rFonts w:ascii="Arial" w:cs="Arial" w:eastAsia="Arial" w:hAnsi="Arial"/>
                <w:sz w:val="16"/>
                <w:szCs w:val="16"/>
                <w:b w:val="1"/>
                <w:bCs w:val="1"/>
                <w:color w:val="004876"/>
              </w:rPr>
              <w:t>Trigger</w:t>
            </w:r>
          </w:p>
        </w:tc>
        <w:tc>
          <w:tcPr>
            <w:tcW w:w="1200" w:type="dxa"/>
            <w:vAlign w:val="bottom"/>
            <w:tcBorders>
              <w:bottom w:val="single" w:sz="8" w:color="004876"/>
            </w:tcBorders>
          </w:tcPr>
          <w:p>
            <w:pPr>
              <w:ind w:left="480"/>
              <w:spacing w:after="0"/>
              <w:rPr>
                <w:sz w:val="20"/>
                <w:szCs w:val="20"/>
                <w:color w:val="auto"/>
              </w:rPr>
            </w:pPr>
            <w:r>
              <w:rPr>
                <w:rFonts w:ascii="Arial" w:cs="Arial" w:eastAsia="Arial" w:hAnsi="Arial"/>
                <w:sz w:val="16"/>
                <w:szCs w:val="16"/>
                <w:b w:val="1"/>
                <w:bCs w:val="1"/>
                <w:color w:val="004876"/>
              </w:rPr>
              <w:t>Vested</w:t>
            </w:r>
          </w:p>
        </w:tc>
        <w:tc>
          <w:tcPr>
            <w:tcW w:w="920" w:type="dxa"/>
            <w:vAlign w:val="bottom"/>
            <w:tcBorders>
              <w:bottom w:val="single" w:sz="8" w:color="004876"/>
            </w:tcBorders>
          </w:tcPr>
          <w:p>
            <w:pPr>
              <w:ind w:left="200"/>
              <w:spacing w:after="0"/>
              <w:rPr>
                <w:sz w:val="20"/>
                <w:szCs w:val="20"/>
                <w:color w:val="auto"/>
              </w:rPr>
            </w:pPr>
            <w:r>
              <w:rPr>
                <w:rFonts w:ascii="Arial" w:cs="Arial" w:eastAsia="Arial" w:hAnsi="Arial"/>
                <w:sz w:val="16"/>
                <w:szCs w:val="16"/>
                <w:b w:val="1"/>
                <w:bCs w:val="1"/>
                <w:color w:val="004876"/>
                <w:w w:val="97"/>
              </w:rPr>
              <w:t>Unvested</w:t>
            </w:r>
          </w:p>
        </w:tc>
      </w:tr>
      <w:tr>
        <w:trPr>
          <w:trHeight w:val="271"/>
        </w:trPr>
        <w:tc>
          <w:tcPr>
            <w:tcW w:w="18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Restatement</w:t>
            </w:r>
          </w:p>
        </w:tc>
        <w:tc>
          <w:tcPr>
            <w:tcW w:w="1200" w:type="dxa"/>
            <w:vAlign w:val="bottom"/>
            <w:tcBorders>
              <w:bottom w:val="single" w:sz="8" w:color="E5E5E5"/>
            </w:tcBorders>
            <w:shd w:val="clear" w:color="auto" w:fill="E5E5E5"/>
          </w:tcPr>
          <w:p>
            <w:pPr>
              <w:ind w:left="640"/>
              <w:spacing w:after="0" w:line="161" w:lineRule="exact"/>
              <w:rPr>
                <w:sz w:val="20"/>
                <w:szCs w:val="20"/>
                <w:color w:val="auto"/>
              </w:rPr>
            </w:pPr>
            <w:r>
              <w:rPr>
                <w:rFonts w:ascii="MS PGothic" w:cs="MS PGothic" w:eastAsia="MS PGothic" w:hAnsi="MS PGothic"/>
                <w:sz w:val="16"/>
                <w:szCs w:val="16"/>
                <w:color w:val="73A950"/>
              </w:rPr>
              <w:t>✓</w:t>
            </w:r>
          </w:p>
        </w:tc>
        <w:tc>
          <w:tcPr>
            <w:tcW w:w="920" w:type="dxa"/>
            <w:vAlign w:val="bottom"/>
            <w:tcBorders>
              <w:bottom w:val="single" w:sz="8" w:color="E5E5E5"/>
            </w:tcBorders>
            <w:shd w:val="clear" w:color="auto" w:fill="E5E5E5"/>
          </w:tcPr>
          <w:p>
            <w:pPr>
              <w:ind w:left="460"/>
              <w:spacing w:after="0" w:line="161" w:lineRule="exact"/>
              <w:rPr>
                <w:sz w:val="20"/>
                <w:szCs w:val="20"/>
                <w:color w:val="auto"/>
              </w:rPr>
            </w:pPr>
            <w:r>
              <w:rPr>
                <w:rFonts w:ascii="MS PGothic" w:cs="MS PGothic" w:eastAsia="MS PGothic" w:hAnsi="MS PGothic"/>
                <w:sz w:val="16"/>
                <w:szCs w:val="16"/>
                <w:color w:val="73A950"/>
              </w:rPr>
              <w:t>✓</w:t>
            </w:r>
          </w:p>
        </w:tc>
      </w:tr>
      <w:tr>
        <w:trPr>
          <w:trHeight w:val="269"/>
        </w:trPr>
        <w:tc>
          <w:tcPr>
            <w:tcW w:w="1800" w:type="dxa"/>
            <w:vAlign w:val="bottom"/>
          </w:tcPr>
          <w:p>
            <w:pPr>
              <w:ind w:left="80"/>
              <w:spacing w:after="0"/>
              <w:rPr>
                <w:sz w:val="20"/>
                <w:szCs w:val="20"/>
                <w:color w:val="auto"/>
              </w:rPr>
            </w:pPr>
            <w:r>
              <w:rPr>
                <w:rFonts w:ascii="Arial" w:cs="Arial" w:eastAsia="Arial" w:hAnsi="Arial"/>
                <w:sz w:val="16"/>
                <w:szCs w:val="16"/>
                <w:color w:val="auto"/>
              </w:rPr>
              <w:t>Misconduct</w:t>
            </w:r>
          </w:p>
        </w:tc>
        <w:tc>
          <w:tcPr>
            <w:tcW w:w="1200" w:type="dxa"/>
            <w:vAlign w:val="bottom"/>
          </w:tcPr>
          <w:p>
            <w:pPr>
              <w:ind w:left="640"/>
              <w:spacing w:after="0" w:line="161" w:lineRule="exact"/>
              <w:rPr>
                <w:sz w:val="20"/>
                <w:szCs w:val="20"/>
                <w:color w:val="auto"/>
              </w:rPr>
            </w:pPr>
            <w:r>
              <w:rPr>
                <w:rFonts w:ascii="MS PGothic" w:cs="MS PGothic" w:eastAsia="MS PGothic" w:hAnsi="MS PGothic"/>
                <w:sz w:val="16"/>
                <w:szCs w:val="16"/>
                <w:color w:val="73A950"/>
              </w:rPr>
              <w:t>✓</w:t>
            </w:r>
          </w:p>
        </w:tc>
        <w:tc>
          <w:tcPr>
            <w:tcW w:w="920" w:type="dxa"/>
            <w:vAlign w:val="bottom"/>
          </w:tcPr>
          <w:p>
            <w:pPr>
              <w:ind w:left="460"/>
              <w:spacing w:after="0" w:line="161" w:lineRule="exact"/>
              <w:rPr>
                <w:sz w:val="20"/>
                <w:szCs w:val="20"/>
                <w:color w:val="auto"/>
              </w:rPr>
            </w:pPr>
            <w:r>
              <w:rPr>
                <w:rFonts w:ascii="MS PGothic" w:cs="MS PGothic" w:eastAsia="MS PGothic" w:hAnsi="MS PGothic"/>
                <w:sz w:val="16"/>
                <w:szCs w:val="16"/>
                <w:color w:val="73A950"/>
              </w:rPr>
              <w:t>✓</w:t>
            </w:r>
          </w:p>
        </w:tc>
      </w:tr>
      <w:tr>
        <w:trPr>
          <w:trHeight w:val="29"/>
        </w:trPr>
        <w:tc>
          <w:tcPr>
            <w:tcW w:w="1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180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6"/>
                <w:szCs w:val="16"/>
                <w:color w:val="auto"/>
              </w:rPr>
              <w:t>Risk-related</w:t>
            </w:r>
          </w:p>
        </w:tc>
        <w:tc>
          <w:tcPr>
            <w:tcW w:w="1200" w:type="dxa"/>
            <w:vAlign w:val="bottom"/>
            <w:tcBorders>
              <w:bottom w:val="single" w:sz="8" w:color="E5E5E5"/>
            </w:tcBorders>
            <w:shd w:val="clear" w:color="auto" w:fill="E5E5E5"/>
          </w:tcPr>
          <w:p>
            <w:pPr>
              <w:ind w:left="640"/>
              <w:spacing w:after="0" w:line="161" w:lineRule="exact"/>
              <w:rPr>
                <w:sz w:val="20"/>
                <w:szCs w:val="20"/>
                <w:color w:val="auto"/>
              </w:rPr>
            </w:pPr>
            <w:r>
              <w:rPr>
                <w:rFonts w:ascii="MS PGothic" w:cs="MS PGothic" w:eastAsia="MS PGothic" w:hAnsi="MS PGothic"/>
                <w:sz w:val="16"/>
                <w:szCs w:val="16"/>
                <w:color w:val="73A950"/>
              </w:rPr>
              <w:t>✓</w:t>
            </w:r>
          </w:p>
        </w:tc>
        <w:tc>
          <w:tcPr>
            <w:tcW w:w="920" w:type="dxa"/>
            <w:vAlign w:val="bottom"/>
            <w:tcBorders>
              <w:bottom w:val="single" w:sz="8" w:color="E5E5E5"/>
            </w:tcBorders>
            <w:shd w:val="clear" w:color="auto" w:fill="E5E5E5"/>
          </w:tcPr>
          <w:p>
            <w:pPr>
              <w:ind w:left="460"/>
              <w:spacing w:after="0" w:line="161" w:lineRule="exact"/>
              <w:rPr>
                <w:sz w:val="20"/>
                <w:szCs w:val="20"/>
                <w:color w:val="auto"/>
              </w:rPr>
            </w:pPr>
            <w:r>
              <w:rPr>
                <w:rFonts w:ascii="MS PGothic" w:cs="MS PGothic" w:eastAsia="MS PGothic" w:hAnsi="MS PGothic"/>
                <w:sz w:val="16"/>
                <w:szCs w:val="16"/>
                <w:color w:val="73A950"/>
              </w:rPr>
              <w:t>✓</w:t>
            </w:r>
          </w:p>
        </w:tc>
      </w:tr>
      <w:tr>
        <w:trPr>
          <w:trHeight w:val="269"/>
        </w:trPr>
        <w:tc>
          <w:tcPr>
            <w:tcW w:w="1800" w:type="dxa"/>
            <w:vAlign w:val="bottom"/>
          </w:tcPr>
          <w:p>
            <w:pPr>
              <w:ind w:left="80"/>
              <w:spacing w:after="0"/>
              <w:rPr>
                <w:sz w:val="20"/>
                <w:szCs w:val="20"/>
                <w:color w:val="auto"/>
              </w:rPr>
            </w:pPr>
            <w:r>
              <w:rPr>
                <w:rFonts w:ascii="Arial" w:cs="Arial" w:eastAsia="Arial" w:hAnsi="Arial"/>
                <w:sz w:val="16"/>
                <w:szCs w:val="16"/>
                <w:color w:val="auto"/>
              </w:rPr>
              <w:t>Protection-based</w:t>
            </w:r>
          </w:p>
        </w:tc>
        <w:tc>
          <w:tcPr>
            <w:tcW w:w="1200" w:type="dxa"/>
            <w:vAlign w:val="bottom"/>
          </w:tcPr>
          <w:p>
            <w:pPr>
              <w:spacing w:after="0"/>
              <w:rPr>
                <w:sz w:val="23"/>
                <w:szCs w:val="23"/>
                <w:color w:val="auto"/>
              </w:rPr>
            </w:pPr>
          </w:p>
        </w:tc>
        <w:tc>
          <w:tcPr>
            <w:tcW w:w="920" w:type="dxa"/>
            <w:vAlign w:val="bottom"/>
          </w:tcPr>
          <w:p>
            <w:pPr>
              <w:ind w:left="460"/>
              <w:spacing w:after="0" w:line="161" w:lineRule="exact"/>
              <w:rPr>
                <w:sz w:val="20"/>
                <w:szCs w:val="20"/>
                <w:color w:val="auto"/>
              </w:rPr>
            </w:pPr>
            <w:r>
              <w:rPr>
                <w:rFonts w:ascii="MS PGothic" w:cs="MS PGothic" w:eastAsia="MS PGothic" w:hAnsi="MS PGothic"/>
                <w:sz w:val="16"/>
                <w:szCs w:val="16"/>
                <w:color w:val="73A950"/>
              </w:rPr>
              <w:t>✓</w:t>
            </w:r>
          </w:p>
        </w:tc>
      </w:tr>
    </w:tbl>
    <w:p>
      <w:pPr>
        <w:spacing w:after="0" w:line="294" w:lineRule="exact"/>
        <w:rPr>
          <w:sz w:val="20"/>
          <w:szCs w:val="20"/>
          <w:color w:val="auto"/>
        </w:rPr>
      </w:pPr>
    </w:p>
    <w:p>
      <w:pPr>
        <w:ind w:left="500" w:right="1000" w:hanging="299"/>
        <w:spacing w:after="0" w:line="260" w:lineRule="auto"/>
        <w:tabs>
          <w:tab w:leader="none" w:pos="480" w:val="left"/>
        </w:tabs>
        <w:rPr>
          <w:sz w:val="20"/>
          <w:szCs w:val="20"/>
          <w:color w:val="auto"/>
        </w:rPr>
      </w:pPr>
      <w:r>
        <w:rPr>
          <w:rFonts w:ascii="Arial" w:cs="Arial" w:eastAsia="Arial" w:hAnsi="Arial"/>
          <w:sz w:val="16"/>
          <w:szCs w:val="16"/>
          <w:b w:val="1"/>
          <w:bCs w:val="1"/>
          <w:color w:val="auto"/>
        </w:rPr>
        <w:t>IV.</w:t>
      </w:r>
      <w:r>
        <w:rPr>
          <w:sz w:val="20"/>
          <w:szCs w:val="20"/>
          <w:color w:val="auto"/>
        </w:rPr>
        <w:tab/>
      </w:r>
      <w:r>
        <w:rPr>
          <w:rFonts w:ascii="Arial" w:cs="Arial" w:eastAsia="Arial" w:hAnsi="Arial"/>
          <w:sz w:val="16"/>
          <w:szCs w:val="16"/>
          <w:color w:val="auto"/>
        </w:rPr>
        <w:t>Demotion, negative performance rating or other appropriate employment actions;</w:t>
      </w:r>
    </w:p>
    <w:p>
      <w:pPr>
        <w:spacing w:after="0" w:line="121" w:lineRule="exact"/>
        <w:rPr>
          <w:sz w:val="20"/>
          <w:szCs w:val="20"/>
          <w:color w:val="auto"/>
        </w:rPr>
      </w:pPr>
    </w:p>
    <w:p>
      <w:pPr>
        <w:ind w:left="500" w:hanging="302"/>
        <w:spacing w:after="0"/>
        <w:tabs>
          <w:tab w:leader="none" w:pos="500" w:val="left"/>
        </w:tabs>
        <w:numPr>
          <w:ilvl w:val="0"/>
          <w:numId w:val="123"/>
        </w:numPr>
        <w:rPr>
          <w:rFonts w:ascii="Arial" w:cs="Arial" w:eastAsia="Arial" w:hAnsi="Arial"/>
          <w:sz w:val="16"/>
          <w:szCs w:val="16"/>
          <w:b w:val="1"/>
          <w:bCs w:val="1"/>
          <w:color w:val="auto"/>
        </w:rPr>
      </w:pPr>
      <w:r>
        <w:rPr>
          <w:rFonts w:ascii="Arial" w:cs="Arial" w:eastAsia="Arial" w:hAnsi="Arial"/>
          <w:sz w:val="16"/>
          <w:szCs w:val="16"/>
          <w:color w:val="auto"/>
        </w:rPr>
        <w:t>Termination of employment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The precise actions we take with respect to accountable individuals are based on the relevant circumstances, including the nature of their involvement, the magnitude of the event and the impact on the Firm.</w:t>
      </w: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Clawback Disclosure Policy</w:t>
      </w:r>
    </w:p>
    <w:p>
      <w:pPr>
        <w:spacing w:after="0" w:line="133"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During 2018, we did not take any actions to recover or clawback any incentive compensation from the Operating Committee members or the Firmwide Controller</w:t>
      </w:r>
    </w:p>
    <w:p>
      <w:pPr>
        <w:spacing w:after="0" w:line="200" w:lineRule="exact"/>
        <w:rPr>
          <w:sz w:val="20"/>
          <w:szCs w:val="20"/>
          <w:color w:val="auto"/>
        </w:rPr>
      </w:pPr>
    </w:p>
    <w:p>
      <w:pPr>
        <w:sectPr>
          <w:pgSz w:w="11900" w:h="16838" w:orient="portrait"/>
          <w:cols w:equalWidth="0" w:num="2">
            <w:col w:w="5540" w:space="720"/>
            <w:col w:w="4900"/>
          </w:cols>
          <w:pgMar w:left="240" w:top="459"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62</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960"/>
        <w:spacing w:after="0"/>
        <w:rPr>
          <w:sz w:val="20"/>
          <w:szCs w:val="20"/>
          <w:color w:val="auto"/>
        </w:rPr>
      </w:pPr>
      <w:r>
        <w:rPr>
          <w:rFonts w:ascii="Arial" w:cs="Arial" w:eastAsia="Arial" w:hAnsi="Arial"/>
          <w:sz w:val="16"/>
          <w:szCs w:val="16"/>
          <w:color w:val="333333"/>
        </w:rPr>
        <w:t>EXECUTIVE COMPENSATION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Clawback/recovery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97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We maintain clawback/recoupment provisions on both cash incentives and equity awards which enable us to reduce or cancel unvested awards and recover previously paid compensation in certain situations. While incentive awards are intended and expected to vest according to their terms, strong recovery provisions permit recovery of incentive compensation awards in appropriate circumstances.</w:t>
      </w:r>
    </w:p>
    <w:p>
      <w:pPr>
        <w:spacing w:after="0" w:line="95" w:lineRule="exact"/>
        <w:rPr>
          <w:sz w:val="20"/>
          <w:szCs w:val="20"/>
          <w:color w:val="auto"/>
        </w:rPr>
      </w:pPr>
    </w:p>
    <w:p>
      <w:pPr>
        <w:ind w:left="200" w:right="700"/>
        <w:spacing w:after="0" w:line="246" w:lineRule="auto"/>
        <w:rPr>
          <w:sz w:val="20"/>
          <w:szCs w:val="20"/>
          <w:color w:val="auto"/>
        </w:rPr>
      </w:pPr>
      <w:r>
        <w:rPr>
          <w:rFonts w:ascii="Arial" w:cs="Arial" w:eastAsia="Arial" w:hAnsi="Arial"/>
          <w:sz w:val="18"/>
          <w:szCs w:val="18"/>
          <w:color w:val="auto"/>
        </w:rPr>
        <w:t>The following table provides details on the clawback provisions that apply to our Operating Committee members and the Firmwide Controller.</w:t>
      </w:r>
    </w:p>
    <w:p>
      <w:pPr>
        <w:spacing w:after="0" w:line="300" w:lineRule="exact"/>
        <w:rPr>
          <w:sz w:val="20"/>
          <w:szCs w:val="20"/>
          <w:color w:val="auto"/>
        </w:rPr>
      </w:pPr>
    </w:p>
    <w:tbl>
      <w:tblPr>
        <w:tblLayout w:type="fixed"/>
        <w:tblInd w:w="200" w:type="dxa"/>
        <w:tblCellMar>
          <w:top w:w="0" w:type="dxa"/>
          <w:left w:w="0" w:type="dxa"/>
          <w:bottom w:w="0" w:type="dxa"/>
          <w:right w:w="0" w:type="dxa"/>
        </w:tblCellMar>
      </w:tblPr>
      <w:tr>
        <w:trPr>
          <w:trHeight w:val="321"/>
        </w:trPr>
        <w:tc>
          <w:tcPr>
            <w:tcW w:w="9080" w:type="dxa"/>
            <w:vAlign w:val="bottom"/>
            <w:gridSpan w:val="4"/>
          </w:tcPr>
          <w:p>
            <w:pPr>
              <w:spacing w:after="0"/>
              <w:rPr>
                <w:sz w:val="20"/>
                <w:szCs w:val="20"/>
                <w:color w:val="auto"/>
              </w:rPr>
            </w:pPr>
            <w:r>
              <w:rPr>
                <w:rFonts w:ascii="Arial" w:cs="Arial" w:eastAsia="Arial" w:hAnsi="Arial"/>
                <w:sz w:val="16"/>
                <w:szCs w:val="16"/>
                <w:b w:val="1"/>
                <w:bCs w:val="1"/>
                <w:color w:val="auto"/>
              </w:rPr>
              <w:t xml:space="preserve">EQUITY CLAWBACK PROVISIONS </w:t>
            </w:r>
            <w:r>
              <w:rPr>
                <w:rFonts w:ascii="Arial" w:cs="Arial" w:eastAsia="Arial" w:hAnsi="Arial"/>
                <w:sz w:val="27"/>
                <w:szCs w:val="27"/>
                <w:b w:val="1"/>
                <w:bCs w:val="1"/>
                <w:color w:val="auto"/>
                <w:vertAlign w:val="superscript"/>
              </w:rPr>
              <w:t>1</w:t>
            </w:r>
          </w:p>
        </w:tc>
        <w:tc>
          <w:tcPr>
            <w:tcW w:w="1960" w:type="dxa"/>
            <w:vAlign w:val="bottom"/>
            <w:gridSpan w:val="2"/>
          </w:tcPr>
          <w:p>
            <w:pPr>
              <w:ind w:left="680"/>
              <w:spacing w:after="0"/>
              <w:rPr>
                <w:sz w:val="20"/>
                <w:szCs w:val="20"/>
                <w:color w:val="auto"/>
              </w:rPr>
            </w:pPr>
            <w:r>
              <w:rPr>
                <w:rFonts w:ascii="Arial" w:cs="Arial" w:eastAsia="Arial" w:hAnsi="Arial"/>
                <w:sz w:val="16"/>
                <w:szCs w:val="16"/>
                <w:b w:val="1"/>
                <w:bCs w:val="1"/>
                <w:color w:val="auto"/>
              </w:rPr>
              <w:t>AWARD TYPE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00" w:type="dxa"/>
            <w:vAlign w:val="bottom"/>
            <w:tcBorders>
              <w:bottom w:val="single" w:sz="8" w:color="004876"/>
            </w:tcBorders>
          </w:tcPr>
          <w:p>
            <w:pPr>
              <w:ind w:left="60"/>
              <w:spacing w:after="0" w:line="157" w:lineRule="exact"/>
              <w:rPr>
                <w:sz w:val="20"/>
                <w:szCs w:val="20"/>
                <w:color w:val="auto"/>
              </w:rPr>
            </w:pPr>
            <w:r>
              <w:rPr>
                <w:rFonts w:ascii="Arial" w:cs="Arial" w:eastAsia="Arial" w:hAnsi="Arial"/>
                <w:sz w:val="14"/>
                <w:szCs w:val="14"/>
                <w:color w:val="auto"/>
              </w:rPr>
              <w:t>CATEGORY</w:t>
            </w:r>
          </w:p>
        </w:tc>
        <w:tc>
          <w:tcPr>
            <w:tcW w:w="7660" w:type="dxa"/>
            <w:vAlign w:val="bottom"/>
            <w:tcBorders>
              <w:bottom w:val="single" w:sz="8" w:color="004876"/>
            </w:tcBorders>
            <w:gridSpan w:val="2"/>
          </w:tcPr>
          <w:p>
            <w:pPr>
              <w:ind w:left="280"/>
              <w:spacing w:after="0" w:line="157" w:lineRule="exact"/>
              <w:rPr>
                <w:sz w:val="20"/>
                <w:szCs w:val="20"/>
                <w:color w:val="auto"/>
              </w:rPr>
            </w:pPr>
            <w:r>
              <w:rPr>
                <w:rFonts w:ascii="Arial" w:cs="Arial" w:eastAsia="Arial" w:hAnsi="Arial"/>
                <w:sz w:val="14"/>
                <w:szCs w:val="14"/>
                <w:color w:val="auto"/>
              </w:rPr>
              <w:t>TRIGGER</w:t>
            </w:r>
          </w:p>
        </w:tc>
        <w:tc>
          <w:tcPr>
            <w:tcW w:w="1020" w:type="dxa"/>
            <w:vAlign w:val="bottom"/>
            <w:tcBorders>
              <w:bottom w:val="single" w:sz="8" w:color="004876"/>
            </w:tcBorders>
          </w:tcPr>
          <w:p>
            <w:pPr>
              <w:ind w:left="280"/>
              <w:spacing w:after="0" w:line="157" w:lineRule="exact"/>
              <w:rPr>
                <w:sz w:val="20"/>
                <w:szCs w:val="20"/>
                <w:color w:val="auto"/>
              </w:rPr>
            </w:pPr>
            <w:r>
              <w:rPr>
                <w:rFonts w:ascii="Arial" w:cs="Arial" w:eastAsia="Arial" w:hAnsi="Arial"/>
                <w:sz w:val="14"/>
                <w:szCs w:val="14"/>
                <w:color w:val="auto"/>
              </w:rPr>
              <w:t>VESTED</w:t>
            </w:r>
          </w:p>
        </w:tc>
        <w:tc>
          <w:tcPr>
            <w:tcW w:w="940" w:type="dxa"/>
            <w:vAlign w:val="bottom"/>
            <w:tcBorders>
              <w:bottom w:val="single" w:sz="8" w:color="004876"/>
            </w:tcBorders>
          </w:tcPr>
          <w:p>
            <w:pPr>
              <w:ind w:left="140"/>
              <w:spacing w:after="0" w:line="157" w:lineRule="exact"/>
              <w:rPr>
                <w:sz w:val="20"/>
                <w:szCs w:val="20"/>
                <w:color w:val="auto"/>
              </w:rPr>
            </w:pPr>
            <w:r>
              <w:rPr>
                <w:rFonts w:ascii="Arial" w:cs="Arial" w:eastAsia="Arial" w:hAnsi="Arial"/>
                <w:sz w:val="14"/>
                <w:szCs w:val="14"/>
                <w:color w:val="auto"/>
              </w:rPr>
              <w:t>UNVESTED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Restatement</w:t>
            </w:r>
          </w:p>
        </w:tc>
        <w:tc>
          <w:tcPr>
            <w:tcW w:w="7180" w:type="dxa"/>
            <w:vAlign w:val="bottom"/>
            <w:tcBorders>
              <w:bottom w:val="single" w:sz="8" w:color="7F7F7F"/>
            </w:tcBorders>
          </w:tcPr>
          <w:p>
            <w:pPr>
              <w:ind w:left="280"/>
              <w:spacing w:after="0"/>
              <w:rPr>
                <w:sz w:val="20"/>
                <w:szCs w:val="20"/>
                <w:color w:val="auto"/>
              </w:rPr>
            </w:pPr>
            <w:r>
              <w:rPr>
                <w:rFonts w:ascii="Arial" w:cs="Arial" w:eastAsia="Arial" w:hAnsi="Arial"/>
                <w:sz w:val="14"/>
                <w:szCs w:val="14"/>
                <w:color w:val="auto"/>
              </w:rPr>
              <w:t xml:space="preserve">In the event of a </w:t>
            </w:r>
            <w:r>
              <w:rPr>
                <w:rFonts w:ascii="Arial" w:cs="Arial" w:eastAsia="Arial" w:hAnsi="Arial"/>
                <w:sz w:val="14"/>
                <w:szCs w:val="14"/>
                <w:b w:val="1"/>
                <w:bCs w:val="1"/>
                <w:color w:val="auto"/>
              </w:rPr>
              <w:t>material restatement of the Firm’s financial results</w:t>
            </w:r>
            <w:r>
              <w:rPr>
                <w:rFonts w:ascii="Arial" w:cs="Arial" w:eastAsia="Arial" w:hAnsi="Arial"/>
                <w:sz w:val="14"/>
                <w:szCs w:val="14"/>
                <w:color w:val="auto"/>
              </w:rPr>
              <w:t xml:space="preserve"> for the relevant period</w:t>
            </w:r>
          </w:p>
        </w:tc>
        <w:tc>
          <w:tcPr>
            <w:tcW w:w="480" w:type="dxa"/>
            <w:vAlign w:val="bottom"/>
          </w:tcPr>
          <w:p>
            <w:pPr>
              <w:spacing w:after="0"/>
              <w:rPr>
                <w:sz w:val="18"/>
                <w:szCs w:val="18"/>
                <w:color w:val="auto"/>
              </w:rPr>
            </w:pPr>
          </w:p>
        </w:tc>
        <w:tc>
          <w:tcPr>
            <w:tcW w:w="1020" w:type="dxa"/>
            <w:vAlign w:val="bottom"/>
            <w:vMerge w:val="restart"/>
          </w:tcPr>
          <w:p>
            <w:pPr>
              <w:ind w:left="480"/>
              <w:spacing w:after="0" w:line="141" w:lineRule="exact"/>
              <w:rPr>
                <w:sz w:val="20"/>
                <w:szCs w:val="20"/>
                <w:color w:val="auto"/>
              </w:rPr>
            </w:pPr>
            <w:r>
              <w:rPr>
                <w:rFonts w:ascii="MS PGothic" w:cs="MS PGothic" w:eastAsia="MS PGothic" w:hAnsi="MS PGothic"/>
                <w:sz w:val="14"/>
                <w:szCs w:val="14"/>
                <w:color w:val="73A950"/>
              </w:rPr>
              <w:t>✓</w:t>
            </w:r>
          </w:p>
        </w:tc>
        <w:tc>
          <w:tcPr>
            <w:tcW w:w="940" w:type="dxa"/>
            <w:vAlign w:val="bottom"/>
            <w:vMerge w:val="restart"/>
          </w:tcPr>
          <w:p>
            <w:pPr>
              <w:ind w:left="420"/>
              <w:spacing w:after="0" w:line="141" w:lineRule="exact"/>
              <w:rPr>
                <w:sz w:val="20"/>
                <w:szCs w:val="20"/>
                <w:color w:val="auto"/>
              </w:rPr>
            </w:pPr>
            <w:r>
              <w:rPr>
                <w:rFonts w:ascii="MS PGothic" w:cs="MS PGothic" w:eastAsia="MS PGothic" w:hAnsi="MS PGothic"/>
                <w:sz w:val="14"/>
                <w:szCs w:val="14"/>
                <w:color w:val="73A950"/>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00" w:type="dxa"/>
            <w:vAlign w:val="bottom"/>
            <w:shd w:val="clear" w:color="auto" w:fill="E5E5E5"/>
          </w:tcPr>
          <w:p>
            <w:pPr>
              <w:spacing w:after="0"/>
              <w:rPr>
                <w:sz w:val="8"/>
                <w:szCs w:val="8"/>
                <w:color w:val="auto"/>
              </w:rPr>
            </w:pPr>
          </w:p>
        </w:tc>
        <w:tc>
          <w:tcPr>
            <w:tcW w:w="7660" w:type="dxa"/>
            <w:vAlign w:val="bottom"/>
            <w:gridSpan w:val="2"/>
            <w:vMerge w:val="restart"/>
          </w:tcPr>
          <w:p>
            <w:pPr>
              <w:ind w:left="280"/>
              <w:spacing w:after="0"/>
              <w:rPr>
                <w:sz w:val="20"/>
                <w:szCs w:val="20"/>
                <w:color w:val="auto"/>
              </w:rPr>
            </w:pPr>
            <w:r>
              <w:rPr>
                <w:rFonts w:ascii="Arial" w:cs="Arial" w:eastAsia="Arial" w:hAnsi="Arial"/>
                <w:sz w:val="14"/>
                <w:szCs w:val="14"/>
                <w:color w:val="auto"/>
              </w:rPr>
              <w:t xml:space="preserve">This provision also </w:t>
            </w:r>
            <w:r>
              <w:rPr>
                <w:rFonts w:ascii="Arial" w:cs="Arial" w:eastAsia="Arial" w:hAnsi="Arial"/>
                <w:sz w:val="14"/>
                <w:szCs w:val="14"/>
                <w:b w:val="1"/>
                <w:bCs w:val="1"/>
                <w:color w:val="auto"/>
              </w:rPr>
              <w:t>applies to cash incentives</w:t>
            </w:r>
          </w:p>
        </w:tc>
        <w:tc>
          <w:tcPr>
            <w:tcW w:w="10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00" w:type="dxa"/>
            <w:vAlign w:val="bottom"/>
            <w:tcBorders>
              <w:bottom w:val="single" w:sz="8" w:color="004876"/>
            </w:tcBorders>
            <w:shd w:val="clear" w:color="auto" w:fill="E5E5E5"/>
          </w:tcPr>
          <w:p>
            <w:pPr>
              <w:spacing w:after="0"/>
              <w:rPr>
                <w:sz w:val="10"/>
                <w:szCs w:val="10"/>
                <w:color w:val="auto"/>
              </w:rPr>
            </w:pPr>
          </w:p>
        </w:tc>
        <w:tc>
          <w:tcPr>
            <w:tcW w:w="7660" w:type="dxa"/>
            <w:vAlign w:val="bottom"/>
            <w:tcBorders>
              <w:bottom w:val="single" w:sz="8" w:color="004876"/>
            </w:tcBorders>
            <w:gridSpan w:val="2"/>
            <w:vMerge w:val="continue"/>
          </w:tcPr>
          <w:p>
            <w:pPr>
              <w:spacing w:after="0"/>
              <w:rPr>
                <w:sz w:val="10"/>
                <w:szCs w:val="10"/>
                <w:color w:val="auto"/>
              </w:rPr>
            </w:pPr>
          </w:p>
        </w:tc>
        <w:tc>
          <w:tcPr>
            <w:tcW w:w="1020" w:type="dxa"/>
            <w:vAlign w:val="bottom"/>
            <w:tcBorders>
              <w:bottom w:val="single" w:sz="8" w:color="004876"/>
            </w:tcBorders>
          </w:tcPr>
          <w:p>
            <w:pPr>
              <w:spacing w:after="0"/>
              <w:rPr>
                <w:sz w:val="10"/>
                <w:szCs w:val="10"/>
                <w:color w:val="auto"/>
              </w:rPr>
            </w:pPr>
          </w:p>
        </w:tc>
        <w:tc>
          <w:tcPr>
            <w:tcW w:w="940" w:type="dxa"/>
            <w:vAlign w:val="bottom"/>
            <w:tcBorders>
              <w:bottom w:val="single" w:sz="8" w:color="004876"/>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Misconduct</w:t>
            </w:r>
          </w:p>
        </w:tc>
        <w:tc>
          <w:tcPr>
            <w:tcW w:w="7660" w:type="dxa"/>
            <w:vAlign w:val="bottom"/>
            <w:gridSpan w:val="2"/>
            <w:vMerge w:val="restart"/>
          </w:tcPr>
          <w:p>
            <w:pPr>
              <w:ind w:left="280"/>
              <w:spacing w:after="0"/>
              <w:rPr>
                <w:sz w:val="20"/>
                <w:szCs w:val="20"/>
                <w:color w:val="auto"/>
              </w:rPr>
            </w:pPr>
            <w:r>
              <w:rPr>
                <w:rFonts w:ascii="Arial" w:cs="Arial" w:eastAsia="Arial" w:hAnsi="Arial"/>
                <w:sz w:val="14"/>
                <w:szCs w:val="14"/>
                <w:color w:val="auto"/>
              </w:rPr>
              <w:t xml:space="preserve">If the employee engaged in </w:t>
            </w:r>
            <w:r>
              <w:rPr>
                <w:rFonts w:ascii="Arial" w:cs="Arial" w:eastAsia="Arial" w:hAnsi="Arial"/>
                <w:sz w:val="14"/>
                <w:szCs w:val="14"/>
                <w:b w:val="1"/>
                <w:bCs w:val="1"/>
                <w:color w:val="auto"/>
              </w:rPr>
              <w:t>conduct detrimental</w:t>
            </w:r>
            <w:r>
              <w:rPr>
                <w:rFonts w:ascii="Arial" w:cs="Arial" w:eastAsia="Arial" w:hAnsi="Arial"/>
                <w:sz w:val="14"/>
                <w:szCs w:val="14"/>
                <w:color w:val="auto"/>
              </w:rPr>
              <w:t xml:space="preserve"> to the Firm that causes material financial or reputational</w:t>
            </w:r>
          </w:p>
        </w:tc>
        <w:tc>
          <w:tcPr>
            <w:tcW w:w="1020" w:type="dxa"/>
            <w:vAlign w:val="bottom"/>
            <w:vMerge w:val="restart"/>
          </w:tcPr>
          <w:p>
            <w:pPr>
              <w:ind w:left="480"/>
              <w:spacing w:after="0" w:line="141" w:lineRule="exact"/>
              <w:rPr>
                <w:sz w:val="20"/>
                <w:szCs w:val="20"/>
                <w:color w:val="auto"/>
              </w:rPr>
            </w:pPr>
            <w:r>
              <w:rPr>
                <w:rFonts w:ascii="MS PGothic" w:cs="MS PGothic" w:eastAsia="MS PGothic" w:hAnsi="MS PGothic"/>
                <w:sz w:val="14"/>
                <w:szCs w:val="14"/>
                <w:color w:val="73A950"/>
              </w:rPr>
              <w:t>✓</w:t>
            </w:r>
          </w:p>
        </w:tc>
        <w:tc>
          <w:tcPr>
            <w:tcW w:w="940" w:type="dxa"/>
            <w:vAlign w:val="bottom"/>
            <w:vMerge w:val="restart"/>
          </w:tcPr>
          <w:p>
            <w:pPr>
              <w:ind w:left="420"/>
              <w:spacing w:after="0" w:line="141" w:lineRule="exact"/>
              <w:rPr>
                <w:sz w:val="20"/>
                <w:szCs w:val="20"/>
                <w:color w:val="auto"/>
              </w:rPr>
            </w:pPr>
            <w:r>
              <w:rPr>
                <w:rFonts w:ascii="MS PGothic" w:cs="MS PGothic" w:eastAsia="MS PGothic" w:hAnsi="MS PGothic"/>
                <w:sz w:val="14"/>
                <w:szCs w:val="14"/>
                <w:color w:val="73A950"/>
              </w:rPr>
              <w: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400" w:type="dxa"/>
            <w:vAlign w:val="bottom"/>
            <w:shd w:val="clear" w:color="auto" w:fill="E5E5E5"/>
          </w:tcPr>
          <w:p>
            <w:pPr>
              <w:spacing w:after="0"/>
              <w:rPr>
                <w:sz w:val="2"/>
                <w:szCs w:val="2"/>
                <w:color w:val="auto"/>
              </w:rPr>
            </w:pPr>
          </w:p>
        </w:tc>
        <w:tc>
          <w:tcPr>
            <w:tcW w:w="7660" w:type="dxa"/>
            <w:vAlign w:val="bottom"/>
            <w:gridSpan w:val="2"/>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400" w:type="dxa"/>
            <w:vAlign w:val="bottom"/>
            <w:shd w:val="clear" w:color="auto" w:fill="E5E5E5"/>
          </w:tcPr>
          <w:p>
            <w:pPr>
              <w:spacing w:after="0"/>
              <w:rPr>
                <w:sz w:val="13"/>
                <w:szCs w:val="13"/>
                <w:color w:val="auto"/>
              </w:rPr>
            </w:pPr>
          </w:p>
        </w:tc>
        <w:tc>
          <w:tcPr>
            <w:tcW w:w="766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harm to the Firm</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Borders>
              <w:top w:val="single" w:sz="8" w:color="E5E5E5"/>
              <w:bottom w:val="single" w:sz="8" w:color="E5E5E5"/>
            </w:tcBorders>
            <w:shd w:val="clear" w:color="auto" w:fill="E5E5E5"/>
          </w:tcPr>
          <w:p>
            <w:pPr>
              <w:spacing w:after="0"/>
              <w:rPr>
                <w:sz w:val="18"/>
                <w:szCs w:val="18"/>
                <w:color w:val="auto"/>
              </w:rPr>
            </w:pPr>
          </w:p>
        </w:tc>
        <w:tc>
          <w:tcPr>
            <w:tcW w:w="7180" w:type="dxa"/>
            <w:vAlign w:val="bottom"/>
            <w:tcBorders>
              <w:top w:val="single" w:sz="8" w:color="7F7F7F"/>
              <w:bottom w:val="single" w:sz="8" w:color="7F7F7F"/>
            </w:tcBorders>
          </w:tcPr>
          <w:p>
            <w:pPr>
              <w:ind w:left="280"/>
              <w:spacing w:after="0"/>
              <w:rPr>
                <w:sz w:val="20"/>
                <w:szCs w:val="20"/>
                <w:color w:val="auto"/>
              </w:rPr>
            </w:pPr>
            <w:r>
              <w:rPr>
                <w:rFonts w:ascii="Arial" w:cs="Arial" w:eastAsia="Arial" w:hAnsi="Arial"/>
                <w:sz w:val="14"/>
                <w:szCs w:val="14"/>
                <w:color w:val="auto"/>
              </w:rPr>
              <w:t xml:space="preserve">If the award was based on </w:t>
            </w:r>
            <w:r>
              <w:rPr>
                <w:rFonts w:ascii="Arial" w:cs="Arial" w:eastAsia="Arial" w:hAnsi="Arial"/>
                <w:sz w:val="14"/>
                <w:szCs w:val="14"/>
                <w:b w:val="1"/>
                <w:bCs w:val="1"/>
                <w:color w:val="auto"/>
              </w:rPr>
              <w:t>material misrepresentation</w:t>
            </w:r>
            <w:r>
              <w:rPr>
                <w:rFonts w:ascii="Arial" w:cs="Arial" w:eastAsia="Arial" w:hAnsi="Arial"/>
                <w:sz w:val="14"/>
                <w:szCs w:val="14"/>
                <w:color w:val="auto"/>
              </w:rPr>
              <w:t xml:space="preserve"> by the employee</w:t>
            </w:r>
          </w:p>
        </w:tc>
        <w:tc>
          <w:tcPr>
            <w:tcW w:w="480" w:type="dxa"/>
            <w:vAlign w:val="bottom"/>
          </w:tcPr>
          <w:p>
            <w:pPr>
              <w:spacing w:after="0"/>
              <w:rPr>
                <w:sz w:val="18"/>
                <w:szCs w:val="18"/>
                <w:color w:val="auto"/>
              </w:rPr>
            </w:pPr>
          </w:p>
        </w:tc>
        <w:tc>
          <w:tcPr>
            <w:tcW w:w="1020" w:type="dxa"/>
            <w:vAlign w:val="bottom"/>
            <w:tcBorders>
              <w:top w:val="single" w:sz="8" w:color="7F7F7F"/>
              <w:bottom w:val="single" w:sz="8" w:color="7F7F7F"/>
            </w:tcBorders>
          </w:tcPr>
          <w:p>
            <w:pPr>
              <w:ind w:left="480"/>
              <w:spacing w:after="0" w:line="141" w:lineRule="exact"/>
              <w:rPr>
                <w:sz w:val="20"/>
                <w:szCs w:val="20"/>
                <w:color w:val="auto"/>
              </w:rPr>
            </w:pPr>
            <w:r>
              <w:rPr>
                <w:rFonts w:ascii="MS PGothic" w:cs="MS PGothic" w:eastAsia="MS PGothic" w:hAnsi="MS PGothic"/>
                <w:sz w:val="14"/>
                <w:szCs w:val="14"/>
                <w:color w:val="73A950"/>
              </w:rPr>
              <w:t>✓</w:t>
            </w:r>
          </w:p>
        </w:tc>
        <w:tc>
          <w:tcPr>
            <w:tcW w:w="940" w:type="dxa"/>
            <w:vAlign w:val="bottom"/>
            <w:tcBorders>
              <w:top w:val="single" w:sz="8" w:color="7F7F7F"/>
              <w:bottom w:val="single" w:sz="8" w:color="7F7F7F"/>
            </w:tcBorders>
          </w:tcPr>
          <w:p>
            <w:pPr>
              <w:ind w:left="420"/>
              <w:spacing w:after="0" w:line="141" w:lineRule="exact"/>
              <w:rPr>
                <w:sz w:val="20"/>
                <w:szCs w:val="20"/>
                <w:color w:val="auto"/>
              </w:rPr>
            </w:pPr>
            <w:r>
              <w:rPr>
                <w:rFonts w:ascii="MS PGothic" w:cs="MS PGothic" w:eastAsia="MS PGothic" w:hAnsi="MS PGothic"/>
                <w:sz w:val="14"/>
                <w:szCs w:val="14"/>
                <w:color w:val="73A950"/>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Borders>
              <w:bottom w:val="single" w:sz="8" w:color="004876"/>
            </w:tcBorders>
            <w:shd w:val="clear" w:color="auto" w:fill="E5E5E5"/>
          </w:tcPr>
          <w:p>
            <w:pPr>
              <w:spacing w:after="0"/>
              <w:rPr>
                <w:sz w:val="18"/>
                <w:szCs w:val="18"/>
                <w:color w:val="auto"/>
              </w:rPr>
            </w:pPr>
          </w:p>
        </w:tc>
        <w:tc>
          <w:tcPr>
            <w:tcW w:w="7180" w:type="dxa"/>
            <w:vAlign w:val="bottom"/>
            <w:tcBorders>
              <w:bottom w:val="single" w:sz="8" w:color="004876"/>
            </w:tcBorders>
          </w:tcPr>
          <w:p>
            <w:pPr>
              <w:ind w:left="280"/>
              <w:spacing w:after="0"/>
              <w:rPr>
                <w:sz w:val="20"/>
                <w:szCs w:val="20"/>
                <w:color w:val="auto"/>
              </w:rPr>
            </w:pPr>
            <w:r>
              <w:rPr>
                <w:rFonts w:ascii="Arial" w:cs="Arial" w:eastAsia="Arial" w:hAnsi="Arial"/>
                <w:sz w:val="14"/>
                <w:szCs w:val="14"/>
                <w:color w:val="auto"/>
              </w:rPr>
              <w:t xml:space="preserve">If the employee is </w:t>
            </w:r>
            <w:r>
              <w:rPr>
                <w:rFonts w:ascii="Arial" w:cs="Arial" w:eastAsia="Arial" w:hAnsi="Arial"/>
                <w:sz w:val="14"/>
                <w:szCs w:val="14"/>
                <w:b w:val="1"/>
                <w:bCs w:val="1"/>
                <w:color w:val="auto"/>
              </w:rPr>
              <w:t>terminated for cause</w:t>
            </w:r>
          </w:p>
        </w:tc>
        <w:tc>
          <w:tcPr>
            <w:tcW w:w="480" w:type="dxa"/>
            <w:vAlign w:val="bottom"/>
            <w:tcBorders>
              <w:bottom w:val="single" w:sz="8" w:color="004876"/>
            </w:tcBorders>
          </w:tcPr>
          <w:p>
            <w:pPr>
              <w:spacing w:after="0"/>
              <w:rPr>
                <w:sz w:val="18"/>
                <w:szCs w:val="18"/>
                <w:color w:val="auto"/>
              </w:rPr>
            </w:pPr>
          </w:p>
        </w:tc>
        <w:tc>
          <w:tcPr>
            <w:tcW w:w="1020" w:type="dxa"/>
            <w:vAlign w:val="bottom"/>
            <w:tcBorders>
              <w:bottom w:val="single" w:sz="8" w:color="004876"/>
            </w:tcBorders>
          </w:tcPr>
          <w:p>
            <w:pPr>
              <w:ind w:left="480"/>
              <w:spacing w:after="0" w:line="141" w:lineRule="exact"/>
              <w:rPr>
                <w:sz w:val="20"/>
                <w:szCs w:val="20"/>
                <w:color w:val="auto"/>
              </w:rPr>
            </w:pPr>
            <w:r>
              <w:rPr>
                <w:rFonts w:ascii="MS PGothic" w:cs="MS PGothic" w:eastAsia="MS PGothic" w:hAnsi="MS PGothic"/>
                <w:sz w:val="14"/>
                <w:szCs w:val="14"/>
                <w:color w:val="73A950"/>
              </w:rPr>
              <w:t>✓</w:t>
            </w:r>
          </w:p>
        </w:tc>
        <w:tc>
          <w:tcPr>
            <w:tcW w:w="940" w:type="dxa"/>
            <w:vAlign w:val="bottom"/>
            <w:tcBorders>
              <w:bottom w:val="single" w:sz="8" w:color="004876"/>
            </w:tcBorders>
          </w:tcPr>
          <w:p>
            <w:pPr>
              <w:ind w:left="420"/>
              <w:spacing w:after="0" w:line="141" w:lineRule="exact"/>
              <w:rPr>
                <w:sz w:val="20"/>
                <w:szCs w:val="20"/>
                <w:color w:val="auto"/>
              </w:rPr>
            </w:pPr>
            <w:r>
              <w:rPr>
                <w:rFonts w:ascii="MS PGothic" w:cs="MS PGothic" w:eastAsia="MS PGothic" w:hAnsi="MS PGothic"/>
                <w:sz w:val="14"/>
                <w:szCs w:val="14"/>
                <w:color w:val="73A950"/>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Risk-related and</w:t>
            </w:r>
          </w:p>
        </w:tc>
        <w:tc>
          <w:tcPr>
            <w:tcW w:w="7660" w:type="dxa"/>
            <w:vAlign w:val="bottom"/>
            <w:gridSpan w:val="2"/>
          </w:tcPr>
          <w:p>
            <w:pPr>
              <w:ind w:left="280"/>
              <w:spacing w:after="0"/>
              <w:rPr>
                <w:sz w:val="20"/>
                <w:szCs w:val="20"/>
                <w:color w:val="auto"/>
              </w:rPr>
            </w:pPr>
            <w:r>
              <w:rPr>
                <w:rFonts w:ascii="Arial" w:cs="Arial" w:eastAsia="Arial" w:hAnsi="Arial"/>
                <w:sz w:val="14"/>
                <w:szCs w:val="14"/>
                <w:color w:val="auto"/>
              </w:rPr>
              <w:t xml:space="preserve">If the employee improperly or with gross negligence </w:t>
            </w:r>
            <w:r>
              <w:rPr>
                <w:rFonts w:ascii="Arial" w:cs="Arial" w:eastAsia="Arial" w:hAnsi="Arial"/>
                <w:sz w:val="14"/>
                <w:szCs w:val="14"/>
                <w:b w:val="1"/>
                <w:bCs w:val="1"/>
                <w:color w:val="auto"/>
              </w:rPr>
              <w:t>failed to identify, raise or assess,</w:t>
            </w:r>
            <w:r>
              <w:rPr>
                <w:rFonts w:ascii="Arial" w:cs="Arial" w:eastAsia="Arial" w:hAnsi="Arial"/>
                <w:sz w:val="14"/>
                <w:szCs w:val="14"/>
                <w:color w:val="auto"/>
              </w:rPr>
              <w:t xml:space="preserve"> in a timely</w:t>
            </w:r>
          </w:p>
        </w:tc>
        <w:tc>
          <w:tcPr>
            <w:tcW w:w="1020" w:type="dxa"/>
            <w:vAlign w:val="bottom"/>
          </w:tcPr>
          <w:p>
            <w:pPr>
              <w:ind w:left="480"/>
              <w:spacing w:after="0" w:line="141" w:lineRule="exact"/>
              <w:rPr>
                <w:sz w:val="20"/>
                <w:szCs w:val="20"/>
                <w:color w:val="auto"/>
              </w:rPr>
            </w:pPr>
            <w:r>
              <w:rPr>
                <w:rFonts w:ascii="MS PGothic" w:cs="MS PGothic" w:eastAsia="MS PGothic" w:hAnsi="MS PGothic"/>
                <w:sz w:val="14"/>
                <w:szCs w:val="14"/>
                <w:color w:val="73A950"/>
              </w:rPr>
              <w:t>✓</w:t>
            </w:r>
          </w:p>
        </w:tc>
        <w:tc>
          <w:tcPr>
            <w:tcW w:w="940" w:type="dxa"/>
            <w:vAlign w:val="bottom"/>
          </w:tcPr>
          <w:p>
            <w:pPr>
              <w:ind w:left="420"/>
              <w:spacing w:after="0" w:line="141" w:lineRule="exact"/>
              <w:rPr>
                <w:sz w:val="20"/>
                <w:szCs w:val="20"/>
                <w:color w:val="auto"/>
              </w:rPr>
            </w:pPr>
            <w:r>
              <w:rPr>
                <w:rFonts w:ascii="MS PGothic" w:cs="MS PGothic" w:eastAsia="MS PGothic" w:hAnsi="MS PGothic"/>
                <w:sz w:val="14"/>
                <w:szCs w:val="14"/>
                <w:color w:val="73A950"/>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Other</w:t>
            </w:r>
          </w:p>
        </w:tc>
        <w:tc>
          <w:tcPr>
            <w:tcW w:w="7660" w:type="dxa"/>
            <w:vAlign w:val="bottom"/>
            <w:gridSpan w:val="2"/>
          </w:tcPr>
          <w:p>
            <w:pPr>
              <w:ind w:left="420"/>
              <w:spacing w:after="0"/>
              <w:rPr>
                <w:sz w:val="20"/>
                <w:szCs w:val="20"/>
                <w:color w:val="auto"/>
              </w:rPr>
            </w:pPr>
            <w:r>
              <w:rPr>
                <w:rFonts w:ascii="Arial" w:cs="Arial" w:eastAsia="Arial" w:hAnsi="Arial"/>
                <w:sz w:val="14"/>
                <w:szCs w:val="14"/>
                <w:color w:val="auto"/>
              </w:rPr>
              <w:t xml:space="preserve">manner and as reasonably expected, issues and/or concerns with respect to </w:t>
            </w:r>
            <w:r>
              <w:rPr>
                <w:rFonts w:ascii="Arial" w:cs="Arial" w:eastAsia="Arial" w:hAnsi="Arial"/>
                <w:sz w:val="14"/>
                <w:szCs w:val="14"/>
                <w:b w:val="1"/>
                <w:bCs w:val="1"/>
                <w:color w:val="auto"/>
              </w:rPr>
              <w:t>risks material to the Firm</w:t>
            </w: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00" w:type="dxa"/>
            <w:vAlign w:val="bottom"/>
            <w:tcBorders>
              <w:top w:val="single" w:sz="8" w:color="E5E5E5"/>
            </w:tcBorders>
            <w:shd w:val="clear" w:color="auto" w:fill="E5E5E5"/>
          </w:tcPr>
          <w:p>
            <w:pPr>
              <w:spacing w:after="0"/>
              <w:rPr>
                <w:sz w:val="18"/>
                <w:szCs w:val="18"/>
                <w:color w:val="auto"/>
              </w:rPr>
            </w:pPr>
          </w:p>
        </w:tc>
        <w:tc>
          <w:tcPr>
            <w:tcW w:w="7180" w:type="dxa"/>
            <w:vAlign w:val="bottom"/>
            <w:tcBorders>
              <w:top w:val="single" w:sz="8" w:color="7F7F7F"/>
            </w:tcBorders>
          </w:tcPr>
          <w:p>
            <w:pPr>
              <w:ind w:left="280"/>
              <w:spacing w:after="0"/>
              <w:rPr>
                <w:sz w:val="20"/>
                <w:szCs w:val="20"/>
                <w:color w:val="auto"/>
              </w:rPr>
            </w:pPr>
            <w:r>
              <w:rPr>
                <w:rFonts w:ascii="Arial" w:cs="Arial" w:eastAsia="Arial" w:hAnsi="Arial"/>
                <w:sz w:val="14"/>
                <w:szCs w:val="14"/>
                <w:color w:val="auto"/>
              </w:rPr>
              <w:t xml:space="preserve">If the award was based on </w:t>
            </w:r>
            <w:r>
              <w:rPr>
                <w:rFonts w:ascii="Arial" w:cs="Arial" w:eastAsia="Arial" w:hAnsi="Arial"/>
                <w:sz w:val="14"/>
                <w:szCs w:val="14"/>
                <w:b w:val="1"/>
                <w:bCs w:val="1"/>
                <w:color w:val="auto"/>
              </w:rPr>
              <w:t>materially inaccurate performance metrics</w:t>
            </w:r>
            <w:r>
              <w:rPr>
                <w:rFonts w:ascii="Arial" w:cs="Arial" w:eastAsia="Arial" w:hAnsi="Arial"/>
                <w:sz w:val="14"/>
                <w:szCs w:val="14"/>
                <w:color w:val="auto"/>
              </w:rPr>
              <w:t>, whether or not the employee</w:t>
            </w:r>
          </w:p>
        </w:tc>
        <w:tc>
          <w:tcPr>
            <w:tcW w:w="480" w:type="dxa"/>
            <w:vAlign w:val="bottom"/>
          </w:tcPr>
          <w:p>
            <w:pPr>
              <w:spacing w:after="0"/>
              <w:rPr>
                <w:sz w:val="18"/>
                <w:szCs w:val="18"/>
                <w:color w:val="auto"/>
              </w:rPr>
            </w:pPr>
          </w:p>
        </w:tc>
        <w:tc>
          <w:tcPr>
            <w:tcW w:w="1020" w:type="dxa"/>
            <w:vAlign w:val="bottom"/>
            <w:tcBorders>
              <w:top w:val="single" w:sz="8" w:color="7F7F7F"/>
            </w:tcBorders>
          </w:tcPr>
          <w:p>
            <w:pPr>
              <w:ind w:left="480"/>
              <w:spacing w:after="0" w:line="141" w:lineRule="exact"/>
              <w:rPr>
                <w:sz w:val="20"/>
                <w:szCs w:val="20"/>
                <w:color w:val="auto"/>
              </w:rPr>
            </w:pPr>
            <w:r>
              <w:rPr>
                <w:rFonts w:ascii="MS PGothic" w:cs="MS PGothic" w:eastAsia="MS PGothic" w:hAnsi="MS PGothic"/>
                <w:sz w:val="14"/>
                <w:szCs w:val="14"/>
                <w:color w:val="73A950"/>
              </w:rPr>
              <w:t>✓</w:t>
            </w:r>
          </w:p>
        </w:tc>
        <w:tc>
          <w:tcPr>
            <w:tcW w:w="940" w:type="dxa"/>
            <w:vAlign w:val="bottom"/>
            <w:tcBorders>
              <w:top w:val="single" w:sz="8" w:color="7F7F7F"/>
            </w:tcBorders>
          </w:tcPr>
          <w:p>
            <w:pPr>
              <w:ind w:left="420"/>
              <w:spacing w:after="0" w:line="141" w:lineRule="exact"/>
              <w:rPr>
                <w:sz w:val="20"/>
                <w:szCs w:val="20"/>
                <w:color w:val="auto"/>
              </w:rPr>
            </w:pPr>
            <w:r>
              <w:rPr>
                <w:rFonts w:ascii="MS PGothic" w:cs="MS PGothic" w:eastAsia="MS PGothic" w:hAnsi="MS PGothic"/>
                <w:sz w:val="14"/>
                <w:szCs w:val="14"/>
                <w:color w:val="73A950"/>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00" w:type="dxa"/>
            <w:vAlign w:val="bottom"/>
            <w:tcBorders>
              <w:bottom w:val="single" w:sz="8" w:color="004876"/>
            </w:tcBorders>
            <w:shd w:val="clear" w:color="auto" w:fill="E5E5E5"/>
          </w:tcPr>
          <w:p>
            <w:pPr>
              <w:spacing w:after="0"/>
              <w:rPr>
                <w:sz w:val="13"/>
                <w:szCs w:val="13"/>
                <w:color w:val="auto"/>
              </w:rPr>
            </w:pPr>
          </w:p>
        </w:tc>
        <w:tc>
          <w:tcPr>
            <w:tcW w:w="7660" w:type="dxa"/>
            <w:vAlign w:val="bottom"/>
            <w:tcBorders>
              <w:bottom w:val="single" w:sz="8" w:color="004876"/>
            </w:tcBorders>
            <w:gridSpan w:val="2"/>
          </w:tcPr>
          <w:p>
            <w:pPr>
              <w:ind w:left="420"/>
              <w:spacing w:after="0" w:line="157" w:lineRule="exact"/>
              <w:rPr>
                <w:sz w:val="20"/>
                <w:szCs w:val="20"/>
                <w:color w:val="auto"/>
              </w:rPr>
            </w:pPr>
            <w:r>
              <w:rPr>
                <w:rFonts w:ascii="Arial" w:cs="Arial" w:eastAsia="Arial" w:hAnsi="Arial"/>
                <w:sz w:val="14"/>
                <w:szCs w:val="14"/>
                <w:color w:val="auto"/>
              </w:rPr>
              <w:t>was responsible for the inaccuracy</w:t>
            </w:r>
          </w:p>
        </w:tc>
        <w:tc>
          <w:tcPr>
            <w:tcW w:w="1020" w:type="dxa"/>
            <w:vAlign w:val="bottom"/>
            <w:tcBorders>
              <w:bottom w:val="single" w:sz="8" w:color="004876"/>
            </w:tcBorders>
          </w:tcPr>
          <w:p>
            <w:pPr>
              <w:spacing w:after="0"/>
              <w:rPr>
                <w:sz w:val="13"/>
                <w:szCs w:val="13"/>
                <w:color w:val="auto"/>
              </w:rPr>
            </w:pPr>
          </w:p>
        </w:tc>
        <w:tc>
          <w:tcPr>
            <w:tcW w:w="940" w:type="dxa"/>
            <w:vAlign w:val="bottom"/>
            <w:tcBorders>
              <w:bottom w:val="single" w:sz="8" w:color="004876"/>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Protection-Based</w:t>
            </w:r>
          </w:p>
        </w:tc>
        <w:tc>
          <w:tcPr>
            <w:tcW w:w="7660" w:type="dxa"/>
            <w:vAlign w:val="bottom"/>
            <w:gridSpan w:val="2"/>
          </w:tcPr>
          <w:p>
            <w:pPr>
              <w:ind w:left="280"/>
              <w:spacing w:after="0"/>
              <w:rPr>
                <w:sz w:val="20"/>
                <w:szCs w:val="20"/>
                <w:color w:val="auto"/>
              </w:rPr>
            </w:pPr>
            <w:r>
              <w:rPr>
                <w:rFonts w:ascii="Arial" w:cs="Arial" w:eastAsia="Arial" w:hAnsi="Arial"/>
                <w:sz w:val="14"/>
                <w:szCs w:val="14"/>
                <w:color w:val="auto"/>
              </w:rPr>
              <w:t xml:space="preserve">If </w:t>
            </w:r>
            <w:r>
              <w:rPr>
                <w:rFonts w:ascii="Arial" w:cs="Arial" w:eastAsia="Arial" w:hAnsi="Arial"/>
                <w:sz w:val="14"/>
                <w:szCs w:val="14"/>
                <w:b w:val="1"/>
                <w:bCs w:val="1"/>
                <w:color w:val="auto"/>
              </w:rPr>
              <w:t>performance in relation to the priorities</w:t>
            </w:r>
            <w:r>
              <w:rPr>
                <w:rFonts w:ascii="Arial" w:cs="Arial" w:eastAsia="Arial" w:hAnsi="Arial"/>
                <w:sz w:val="14"/>
                <w:szCs w:val="14"/>
                <w:color w:val="auto"/>
              </w:rPr>
              <w:t xml:space="preserve"> for their position, or the Firm’s performance in relation to the</w:t>
            </w:r>
          </w:p>
        </w:tc>
        <w:tc>
          <w:tcPr>
            <w:tcW w:w="1020" w:type="dxa"/>
            <w:vAlign w:val="bottom"/>
          </w:tcPr>
          <w:p>
            <w:pPr>
              <w:spacing w:after="0"/>
              <w:rPr>
                <w:sz w:val="15"/>
                <w:szCs w:val="15"/>
                <w:color w:val="auto"/>
              </w:rPr>
            </w:pPr>
          </w:p>
        </w:tc>
        <w:tc>
          <w:tcPr>
            <w:tcW w:w="940" w:type="dxa"/>
            <w:vAlign w:val="bottom"/>
            <w:vMerge w:val="restart"/>
          </w:tcPr>
          <w:p>
            <w:pPr>
              <w:ind w:left="420"/>
              <w:spacing w:after="0" w:line="141" w:lineRule="exact"/>
              <w:rPr>
                <w:sz w:val="20"/>
                <w:szCs w:val="20"/>
                <w:color w:val="auto"/>
              </w:rPr>
            </w:pPr>
            <w:r>
              <w:rPr>
                <w:rFonts w:ascii="MS PGothic" w:cs="MS PGothic" w:eastAsia="MS PGothic" w:hAnsi="MS PGothic"/>
                <w:sz w:val="14"/>
                <w:szCs w:val="14"/>
                <w:color w:val="73A950"/>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400" w:type="dxa"/>
            <w:vAlign w:val="bottom"/>
            <w:shd w:val="clear" w:color="auto" w:fill="E5E5E5"/>
          </w:tcPr>
          <w:p>
            <w:pPr>
              <w:ind w:left="60"/>
              <w:spacing w:after="0" w:line="179" w:lineRule="exact"/>
              <w:rPr>
                <w:sz w:val="20"/>
                <w:szCs w:val="20"/>
                <w:color w:val="auto"/>
              </w:rPr>
            </w:pPr>
            <w:r>
              <w:rPr>
                <w:rFonts w:ascii="Arial" w:cs="Arial" w:eastAsia="Arial" w:hAnsi="Arial"/>
                <w:sz w:val="12"/>
                <w:szCs w:val="12"/>
                <w:b w:val="1"/>
                <w:bCs w:val="1"/>
                <w:color w:val="auto"/>
              </w:rPr>
              <w:t>Vesting</w:t>
            </w:r>
            <w:r>
              <w:rPr>
                <w:rFonts w:ascii="Arial" w:cs="Arial" w:eastAsia="Arial" w:hAnsi="Arial"/>
                <w:sz w:val="20"/>
                <w:szCs w:val="20"/>
                <w:b w:val="1"/>
                <w:bCs w:val="1"/>
                <w:color w:val="auto"/>
                <w:vertAlign w:val="superscript"/>
              </w:rPr>
              <w:t>2</w:t>
            </w:r>
          </w:p>
        </w:tc>
        <w:tc>
          <w:tcPr>
            <w:tcW w:w="7660" w:type="dxa"/>
            <w:vAlign w:val="bottom"/>
            <w:gridSpan w:val="2"/>
          </w:tcPr>
          <w:p>
            <w:pPr>
              <w:ind w:left="420"/>
              <w:spacing w:after="0"/>
              <w:rPr>
                <w:sz w:val="20"/>
                <w:szCs w:val="20"/>
                <w:color w:val="auto"/>
              </w:rPr>
            </w:pPr>
            <w:r>
              <w:rPr>
                <w:rFonts w:ascii="Arial" w:cs="Arial" w:eastAsia="Arial" w:hAnsi="Arial"/>
                <w:sz w:val="14"/>
                <w:szCs w:val="14"/>
                <w:color w:val="auto"/>
              </w:rPr>
              <w:t xml:space="preserve">priorities for which they share responsibility as a member of the Operating Committee, </w:t>
            </w:r>
            <w:r>
              <w:rPr>
                <w:rFonts w:ascii="Arial" w:cs="Arial" w:eastAsia="Arial" w:hAnsi="Arial"/>
                <w:sz w:val="14"/>
                <w:szCs w:val="14"/>
                <w:b w:val="1"/>
                <w:bCs w:val="1"/>
                <w:color w:val="auto"/>
              </w:rPr>
              <w:t>has been</w:t>
            </w:r>
          </w:p>
        </w:tc>
        <w:tc>
          <w:tcPr>
            <w:tcW w:w="10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0" w:type="dxa"/>
            <w:vAlign w:val="bottom"/>
            <w:shd w:val="clear" w:color="auto" w:fill="E5E5E5"/>
          </w:tcPr>
          <w:p>
            <w:pPr>
              <w:spacing w:after="0"/>
              <w:rPr>
                <w:sz w:val="15"/>
                <w:szCs w:val="15"/>
                <w:color w:val="auto"/>
              </w:rPr>
            </w:pPr>
          </w:p>
        </w:tc>
        <w:tc>
          <w:tcPr>
            <w:tcW w:w="7660" w:type="dxa"/>
            <w:vAlign w:val="bottom"/>
            <w:gridSpan w:val="2"/>
          </w:tcPr>
          <w:p>
            <w:pPr>
              <w:ind w:left="420"/>
              <w:spacing w:after="0"/>
              <w:rPr>
                <w:sz w:val="20"/>
                <w:szCs w:val="20"/>
                <w:color w:val="auto"/>
              </w:rPr>
            </w:pPr>
            <w:r>
              <w:rPr>
                <w:rFonts w:ascii="Arial" w:cs="Arial" w:eastAsia="Arial" w:hAnsi="Arial"/>
                <w:sz w:val="14"/>
                <w:szCs w:val="14"/>
                <w:b w:val="1"/>
                <w:bCs w:val="1"/>
                <w:color w:val="auto"/>
              </w:rPr>
              <w:t>unsatisfactory for a sustained period of time</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tcBorders>
              <w:top w:val="single" w:sz="8" w:color="E5E5E5"/>
            </w:tcBorders>
            <w:shd w:val="clear" w:color="auto" w:fill="E5E5E5"/>
          </w:tcPr>
          <w:p>
            <w:pPr>
              <w:spacing w:after="0"/>
              <w:rPr>
                <w:sz w:val="17"/>
                <w:szCs w:val="17"/>
                <w:color w:val="auto"/>
              </w:rPr>
            </w:pPr>
          </w:p>
        </w:tc>
        <w:tc>
          <w:tcPr>
            <w:tcW w:w="7180" w:type="dxa"/>
            <w:vAlign w:val="bottom"/>
            <w:tcBorders>
              <w:top w:val="single" w:sz="8" w:color="7F7F7F"/>
            </w:tcBorders>
          </w:tcPr>
          <w:p>
            <w:pPr>
              <w:ind w:left="280"/>
              <w:spacing w:after="0"/>
              <w:rPr>
                <w:sz w:val="20"/>
                <w:szCs w:val="20"/>
                <w:color w:val="auto"/>
              </w:rPr>
            </w:pPr>
            <w:r>
              <w:rPr>
                <w:rFonts w:ascii="Arial" w:cs="Arial" w:eastAsia="Arial" w:hAnsi="Arial"/>
                <w:sz w:val="14"/>
                <w:szCs w:val="14"/>
                <w:color w:val="auto"/>
              </w:rPr>
              <w:t>If awards granted to participants in a LOB for which the Operating Committee member exercised</w:t>
            </w:r>
          </w:p>
        </w:tc>
        <w:tc>
          <w:tcPr>
            <w:tcW w:w="480" w:type="dxa"/>
            <w:vAlign w:val="bottom"/>
          </w:tcPr>
          <w:p>
            <w:pPr>
              <w:spacing w:after="0"/>
              <w:rPr>
                <w:sz w:val="17"/>
                <w:szCs w:val="17"/>
                <w:color w:val="auto"/>
              </w:rPr>
            </w:pPr>
          </w:p>
        </w:tc>
        <w:tc>
          <w:tcPr>
            <w:tcW w:w="1020" w:type="dxa"/>
            <w:vAlign w:val="bottom"/>
            <w:tcBorders>
              <w:top w:val="single" w:sz="8" w:color="7F7F7F"/>
            </w:tcBorders>
          </w:tcPr>
          <w:p>
            <w:pPr>
              <w:spacing w:after="0"/>
              <w:rPr>
                <w:sz w:val="17"/>
                <w:szCs w:val="17"/>
                <w:color w:val="auto"/>
              </w:rPr>
            </w:pPr>
          </w:p>
        </w:tc>
        <w:tc>
          <w:tcPr>
            <w:tcW w:w="940" w:type="dxa"/>
            <w:vAlign w:val="bottom"/>
            <w:tcBorders>
              <w:top w:val="single" w:sz="8" w:color="7F7F7F"/>
            </w:tcBorders>
            <w:vMerge w:val="restart"/>
          </w:tcPr>
          <w:p>
            <w:pPr>
              <w:ind w:left="420"/>
              <w:spacing w:after="0" w:line="141" w:lineRule="exact"/>
              <w:rPr>
                <w:sz w:val="20"/>
                <w:szCs w:val="20"/>
                <w:color w:val="auto"/>
              </w:rPr>
            </w:pPr>
            <w:r>
              <w:rPr>
                <w:rFonts w:ascii="MS PGothic" w:cs="MS PGothic" w:eastAsia="MS PGothic" w:hAnsi="MS PGothic"/>
                <w:sz w:val="14"/>
                <w:szCs w:val="14"/>
                <w:color w:val="73A950"/>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shd w:val="clear" w:color="auto" w:fill="E5E5E5"/>
          </w:tcPr>
          <w:p>
            <w:pPr>
              <w:spacing w:after="0"/>
              <w:rPr>
                <w:sz w:val="14"/>
                <w:szCs w:val="14"/>
                <w:color w:val="auto"/>
              </w:rPr>
            </w:pPr>
          </w:p>
        </w:tc>
        <w:tc>
          <w:tcPr>
            <w:tcW w:w="7660" w:type="dxa"/>
            <w:vAlign w:val="bottom"/>
            <w:gridSpan w:val="2"/>
          </w:tcPr>
          <w:p>
            <w:pPr>
              <w:ind w:left="420"/>
              <w:spacing w:after="0"/>
              <w:rPr>
                <w:sz w:val="20"/>
                <w:szCs w:val="20"/>
                <w:color w:val="auto"/>
              </w:rPr>
            </w:pPr>
            <w:r>
              <w:rPr>
                <w:rFonts w:ascii="Arial" w:cs="Arial" w:eastAsia="Arial" w:hAnsi="Arial"/>
                <w:sz w:val="14"/>
                <w:szCs w:val="14"/>
                <w:color w:val="auto"/>
              </w:rPr>
              <w:t xml:space="preserve">responsibility were in whole or in part cancelled because the LOB </w:t>
            </w:r>
            <w:r>
              <w:rPr>
                <w:rFonts w:ascii="Arial" w:cs="Arial" w:eastAsia="Arial" w:hAnsi="Arial"/>
                <w:sz w:val="14"/>
                <w:szCs w:val="14"/>
                <w:b w:val="1"/>
                <w:bCs w:val="1"/>
                <w:color w:val="auto"/>
              </w:rPr>
              <w:t>did not meet its annual LOB financial</w:t>
            </w:r>
          </w:p>
        </w:tc>
        <w:tc>
          <w:tcPr>
            <w:tcW w:w="10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400" w:type="dxa"/>
            <w:vAlign w:val="bottom"/>
            <w:shd w:val="clear" w:color="auto" w:fill="E5E5E5"/>
          </w:tcPr>
          <w:p>
            <w:pPr>
              <w:spacing w:after="0"/>
              <w:rPr>
                <w:sz w:val="15"/>
                <w:szCs w:val="15"/>
                <w:color w:val="auto"/>
              </w:rPr>
            </w:pPr>
          </w:p>
        </w:tc>
        <w:tc>
          <w:tcPr>
            <w:tcW w:w="7660" w:type="dxa"/>
            <w:vAlign w:val="bottom"/>
            <w:gridSpan w:val="2"/>
          </w:tcPr>
          <w:p>
            <w:pPr>
              <w:ind w:left="420"/>
              <w:spacing w:after="0"/>
              <w:rPr>
                <w:sz w:val="20"/>
                <w:szCs w:val="20"/>
                <w:color w:val="auto"/>
              </w:rPr>
            </w:pPr>
            <w:r>
              <w:rPr>
                <w:rFonts w:ascii="Arial" w:cs="Arial" w:eastAsia="Arial" w:hAnsi="Arial"/>
                <w:sz w:val="14"/>
                <w:szCs w:val="14"/>
                <w:b w:val="1"/>
                <w:bCs w:val="1"/>
                <w:color w:val="auto"/>
              </w:rPr>
              <w:t>threshold</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00" w:type="dxa"/>
            <w:vAlign w:val="bottom"/>
            <w:tcBorders>
              <w:top w:val="single" w:sz="8" w:color="E5E5E5"/>
            </w:tcBorders>
            <w:shd w:val="clear" w:color="auto" w:fill="E5E5E5"/>
          </w:tcPr>
          <w:p>
            <w:pPr>
              <w:spacing w:after="0"/>
              <w:rPr>
                <w:sz w:val="18"/>
                <w:szCs w:val="18"/>
                <w:color w:val="auto"/>
              </w:rPr>
            </w:pPr>
          </w:p>
        </w:tc>
        <w:tc>
          <w:tcPr>
            <w:tcW w:w="7180" w:type="dxa"/>
            <w:vAlign w:val="bottom"/>
            <w:tcBorders>
              <w:top w:val="single" w:sz="8" w:color="7F7F7F"/>
            </w:tcBorders>
          </w:tcPr>
          <w:p>
            <w:pPr>
              <w:ind w:left="280"/>
              <w:spacing w:after="0"/>
              <w:rPr>
                <w:sz w:val="20"/>
                <w:szCs w:val="20"/>
                <w:color w:val="auto"/>
              </w:rPr>
            </w:pPr>
            <w:r>
              <w:rPr>
                <w:rFonts w:ascii="Arial" w:cs="Arial" w:eastAsia="Arial" w:hAnsi="Arial"/>
                <w:sz w:val="14"/>
                <w:szCs w:val="14"/>
                <w:color w:val="auto"/>
              </w:rPr>
              <w:t xml:space="preserve">If for any one calendar year during the vesting period, </w:t>
            </w:r>
            <w:r>
              <w:rPr>
                <w:rFonts w:ascii="Arial" w:cs="Arial" w:eastAsia="Arial" w:hAnsi="Arial"/>
                <w:sz w:val="14"/>
                <w:szCs w:val="14"/>
                <w:b w:val="1"/>
                <w:bCs w:val="1"/>
                <w:color w:val="auto"/>
              </w:rPr>
              <w:t>pre-tax pre-provision income is negative</w:t>
            </w:r>
            <w:r>
              <w:rPr>
                <w:rFonts w:ascii="Arial" w:cs="Arial" w:eastAsia="Arial" w:hAnsi="Arial"/>
                <w:sz w:val="14"/>
                <w:szCs w:val="14"/>
                <w:color w:val="auto"/>
              </w:rPr>
              <w:t>, as</w:t>
            </w:r>
          </w:p>
        </w:tc>
        <w:tc>
          <w:tcPr>
            <w:tcW w:w="480" w:type="dxa"/>
            <w:vAlign w:val="bottom"/>
          </w:tcPr>
          <w:p>
            <w:pPr>
              <w:spacing w:after="0"/>
              <w:rPr>
                <w:sz w:val="18"/>
                <w:szCs w:val="18"/>
                <w:color w:val="auto"/>
              </w:rPr>
            </w:pPr>
          </w:p>
        </w:tc>
        <w:tc>
          <w:tcPr>
            <w:tcW w:w="1020" w:type="dxa"/>
            <w:vAlign w:val="bottom"/>
            <w:tcBorders>
              <w:top w:val="single" w:sz="8" w:color="7F7F7F"/>
            </w:tcBorders>
          </w:tcPr>
          <w:p>
            <w:pPr>
              <w:spacing w:after="0"/>
              <w:rPr>
                <w:sz w:val="18"/>
                <w:szCs w:val="18"/>
                <w:color w:val="auto"/>
              </w:rPr>
            </w:pPr>
          </w:p>
        </w:tc>
        <w:tc>
          <w:tcPr>
            <w:tcW w:w="940" w:type="dxa"/>
            <w:vAlign w:val="bottom"/>
            <w:tcBorders>
              <w:top w:val="single" w:sz="8" w:color="7F7F7F"/>
            </w:tcBorders>
          </w:tcPr>
          <w:p>
            <w:pPr>
              <w:ind w:left="420"/>
              <w:spacing w:after="0" w:line="141" w:lineRule="exact"/>
              <w:rPr>
                <w:sz w:val="20"/>
                <w:szCs w:val="20"/>
                <w:color w:val="auto"/>
              </w:rPr>
            </w:pPr>
            <w:r>
              <w:rPr>
                <w:rFonts w:ascii="MS PGothic" w:cs="MS PGothic" w:eastAsia="MS PGothic" w:hAnsi="MS PGothic"/>
                <w:sz w:val="14"/>
                <w:szCs w:val="14"/>
                <w:color w:val="73A950"/>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00" w:type="dxa"/>
            <w:vAlign w:val="bottom"/>
            <w:shd w:val="clear" w:color="auto" w:fill="E5E5E5"/>
          </w:tcPr>
          <w:p>
            <w:pPr>
              <w:spacing w:after="0"/>
              <w:rPr>
                <w:sz w:val="13"/>
                <w:szCs w:val="13"/>
                <w:color w:val="auto"/>
              </w:rPr>
            </w:pPr>
          </w:p>
        </w:tc>
        <w:tc>
          <w:tcPr>
            <w:tcW w:w="766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reported by the Firm</w:t>
            </w: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400" w:type="dxa"/>
            <w:vAlign w:val="bottom"/>
            <w:tcBorders>
              <w:top w:val="single" w:sz="8" w:color="E5E5E5"/>
            </w:tcBorders>
            <w:shd w:val="clear" w:color="auto" w:fill="E5E5E5"/>
          </w:tcPr>
          <w:p>
            <w:pPr>
              <w:spacing w:after="0"/>
              <w:rPr>
                <w:sz w:val="18"/>
                <w:szCs w:val="18"/>
                <w:color w:val="auto"/>
              </w:rPr>
            </w:pPr>
          </w:p>
        </w:tc>
        <w:tc>
          <w:tcPr>
            <w:tcW w:w="7180" w:type="dxa"/>
            <w:vAlign w:val="bottom"/>
            <w:tcBorders>
              <w:top w:val="single" w:sz="8" w:color="7F7F7F"/>
            </w:tcBorders>
          </w:tcPr>
          <w:p>
            <w:pPr>
              <w:ind w:left="280"/>
              <w:spacing w:after="0"/>
              <w:rPr>
                <w:sz w:val="20"/>
                <w:szCs w:val="20"/>
                <w:color w:val="auto"/>
              </w:rPr>
            </w:pPr>
            <w:r>
              <w:rPr>
                <w:rFonts w:ascii="Arial" w:cs="Arial" w:eastAsia="Arial" w:hAnsi="Arial"/>
                <w:sz w:val="14"/>
                <w:szCs w:val="14"/>
                <w:color w:val="auto"/>
              </w:rPr>
              <w:t xml:space="preserve">If, for the three calendar years preceding the </w:t>
            </w:r>
            <w:r>
              <w:rPr>
                <w:rFonts w:ascii="Arial" w:cs="Arial" w:eastAsia="Arial" w:hAnsi="Arial"/>
                <w:sz w:val="14"/>
                <w:szCs w:val="14"/>
                <w:b w:val="1"/>
                <w:bCs w:val="1"/>
                <w:color w:val="auto"/>
              </w:rPr>
              <w:t>third year</w:t>
            </w:r>
            <w:r>
              <w:rPr>
                <w:rFonts w:ascii="Arial" w:cs="Arial" w:eastAsia="Arial" w:hAnsi="Arial"/>
                <w:sz w:val="14"/>
                <w:szCs w:val="14"/>
                <w:color w:val="auto"/>
              </w:rPr>
              <w:t xml:space="preserve"> vesting date, the Firm </w:t>
            </w:r>
            <w:r>
              <w:rPr>
                <w:rFonts w:ascii="Arial" w:cs="Arial" w:eastAsia="Arial" w:hAnsi="Arial"/>
                <w:sz w:val="14"/>
                <w:szCs w:val="14"/>
                <w:b w:val="1"/>
                <w:bCs w:val="1"/>
                <w:color w:val="auto"/>
              </w:rPr>
              <w:t>does not meet a 15%</w:t>
            </w:r>
          </w:p>
        </w:tc>
        <w:tc>
          <w:tcPr>
            <w:tcW w:w="480" w:type="dxa"/>
            <w:vAlign w:val="bottom"/>
          </w:tcPr>
          <w:p>
            <w:pPr>
              <w:spacing w:after="0"/>
              <w:rPr>
                <w:sz w:val="18"/>
                <w:szCs w:val="18"/>
                <w:color w:val="auto"/>
              </w:rPr>
            </w:pPr>
          </w:p>
        </w:tc>
        <w:tc>
          <w:tcPr>
            <w:tcW w:w="1020" w:type="dxa"/>
            <w:vAlign w:val="bottom"/>
            <w:tcBorders>
              <w:top w:val="single" w:sz="8" w:color="7F7F7F"/>
            </w:tcBorders>
          </w:tcPr>
          <w:p>
            <w:pPr>
              <w:spacing w:after="0"/>
              <w:rPr>
                <w:sz w:val="18"/>
                <w:szCs w:val="18"/>
                <w:color w:val="auto"/>
              </w:rPr>
            </w:pPr>
          </w:p>
        </w:tc>
        <w:tc>
          <w:tcPr>
            <w:tcW w:w="940" w:type="dxa"/>
            <w:vAlign w:val="bottom"/>
            <w:tcBorders>
              <w:top w:val="single" w:sz="8" w:color="7F7F7F"/>
            </w:tcBorders>
          </w:tcPr>
          <w:p>
            <w:pPr>
              <w:ind w:left="420"/>
              <w:spacing w:after="0" w:line="141" w:lineRule="exact"/>
              <w:rPr>
                <w:sz w:val="20"/>
                <w:szCs w:val="20"/>
                <w:color w:val="auto"/>
              </w:rPr>
            </w:pPr>
            <w:r>
              <w:rPr>
                <w:rFonts w:ascii="MS PGothic" w:cs="MS PGothic" w:eastAsia="MS PGothic" w:hAnsi="MS PGothic"/>
                <w:sz w:val="14"/>
                <w:szCs w:val="14"/>
                <w:color w:val="73A950"/>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00" w:type="dxa"/>
            <w:vAlign w:val="bottom"/>
            <w:tcBorders>
              <w:bottom w:val="single" w:sz="8" w:color="004876"/>
            </w:tcBorders>
            <w:shd w:val="clear" w:color="auto" w:fill="E5E5E5"/>
          </w:tcPr>
          <w:p>
            <w:pPr>
              <w:spacing w:after="0"/>
              <w:rPr>
                <w:sz w:val="13"/>
                <w:szCs w:val="13"/>
                <w:color w:val="auto"/>
              </w:rPr>
            </w:pPr>
          </w:p>
        </w:tc>
        <w:tc>
          <w:tcPr>
            <w:tcW w:w="7660" w:type="dxa"/>
            <w:vAlign w:val="bottom"/>
            <w:tcBorders>
              <w:bottom w:val="single" w:sz="8" w:color="004876"/>
            </w:tcBorders>
            <w:gridSpan w:val="2"/>
          </w:tcPr>
          <w:p>
            <w:pPr>
              <w:ind w:left="420"/>
              <w:spacing w:after="0" w:line="157" w:lineRule="exact"/>
              <w:rPr>
                <w:sz w:val="20"/>
                <w:szCs w:val="20"/>
                <w:color w:val="auto"/>
              </w:rPr>
            </w:pPr>
            <w:r>
              <w:rPr>
                <w:rFonts w:ascii="Arial" w:cs="Arial" w:eastAsia="Arial" w:hAnsi="Arial"/>
                <w:sz w:val="14"/>
                <w:szCs w:val="14"/>
                <w:b w:val="1"/>
                <w:bCs w:val="1"/>
                <w:color w:val="auto"/>
              </w:rPr>
              <w:t>cumulative ROTCE</w:t>
            </w:r>
          </w:p>
        </w:tc>
        <w:tc>
          <w:tcPr>
            <w:tcW w:w="1020" w:type="dxa"/>
            <w:vAlign w:val="bottom"/>
            <w:tcBorders>
              <w:bottom w:val="single" w:sz="8" w:color="004876"/>
            </w:tcBorders>
          </w:tcPr>
          <w:p>
            <w:pPr>
              <w:spacing w:after="0"/>
              <w:rPr>
                <w:sz w:val="13"/>
                <w:szCs w:val="13"/>
                <w:color w:val="auto"/>
              </w:rPr>
            </w:pPr>
          </w:p>
        </w:tc>
        <w:tc>
          <w:tcPr>
            <w:tcW w:w="940" w:type="dxa"/>
            <w:vAlign w:val="bottom"/>
            <w:tcBorders>
              <w:bottom w:val="single" w:sz="8" w:color="004876"/>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20" w:right="240" w:hanging="167"/>
        <w:spacing w:after="0" w:line="223" w:lineRule="auto"/>
        <w:tabs>
          <w:tab w:leader="none" w:pos="42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In accordance with U.K. rules, the Firm has a local Malus and Clawback Policy which, for relevant Identified Staff, enables the Firm to cancel and/or recover incentive compensation for a minimum period of seven years following the date of the award in certain circumstances. The policy was updated for the 2017 performance year to reflect new guidelines from the European Banking Authority. Incentive compensation awards made to relevant Identified Staff on or after January 1, 2015, including Mr. Pinto’s incentive compensation awards, are subject to this Malus and Clawback Policy in addition to the recovery provisions in the table above.</w:t>
      </w:r>
    </w:p>
    <w:p>
      <w:pPr>
        <w:spacing w:after="0" w:line="52" w:lineRule="exact"/>
        <w:rPr>
          <w:sz w:val="20"/>
          <w:szCs w:val="20"/>
          <w:color w:val="auto"/>
        </w:rPr>
      </w:pPr>
    </w:p>
    <w:p>
      <w:pPr>
        <w:ind w:left="420" w:hanging="167"/>
        <w:spacing w:after="0"/>
        <w:tabs>
          <w:tab w:leader="none" w:pos="420" w:val="left"/>
        </w:tabs>
        <w:numPr>
          <w:ilvl w:val="0"/>
          <w:numId w:val="125"/>
        </w:numPr>
        <w:rPr>
          <w:rFonts w:ascii="Arial" w:cs="Arial" w:eastAsia="Arial" w:hAnsi="Arial"/>
          <w:sz w:val="11"/>
          <w:szCs w:val="11"/>
          <w:color w:val="auto"/>
        </w:rPr>
      </w:pPr>
      <w:r>
        <w:rPr>
          <w:rFonts w:ascii="Arial" w:cs="Arial" w:eastAsia="Arial" w:hAnsi="Arial"/>
          <w:sz w:val="13"/>
          <w:szCs w:val="13"/>
          <w:color w:val="auto"/>
        </w:rPr>
        <w:t>Provisions apply to PSUs and to RSUs granted after 2011 to the Operating Committee and may result in cancellation of up to a total of 50% of the award.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63</w:t>
            </w:r>
          </w:p>
        </w:tc>
      </w:tr>
    </w:tbl>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Compensation &amp; Management</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Development Committee report</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&amp; Management Development Committee has</w:t>
      </w:r>
    </w:p>
    <w:p>
      <w:pPr>
        <w:ind w:left="200"/>
        <w:spacing w:after="0" w:line="234" w:lineRule="auto"/>
        <w:rPr>
          <w:sz w:val="20"/>
          <w:szCs w:val="20"/>
          <w:color w:val="auto"/>
        </w:rPr>
      </w:pPr>
      <w:r>
        <w:rPr>
          <w:rFonts w:ascii="Arial" w:cs="Arial" w:eastAsia="Arial" w:hAnsi="Arial"/>
          <w:sz w:val="18"/>
          <w:szCs w:val="18"/>
          <w:color w:val="auto"/>
        </w:rPr>
        <w:t>reviewed the Compensation Discussion and Analysis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discussed that analysis with management.</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Based on such review and discussion with management, the</w:t>
      </w:r>
    </w:p>
    <w:p>
      <w:pPr>
        <w:ind w:left="200"/>
        <w:spacing w:after="0" w:line="234" w:lineRule="auto"/>
        <w:rPr>
          <w:sz w:val="20"/>
          <w:szCs w:val="20"/>
          <w:color w:val="auto"/>
        </w:rPr>
      </w:pPr>
      <w:r>
        <w:rPr>
          <w:rFonts w:ascii="Arial" w:cs="Arial" w:eastAsia="Arial" w:hAnsi="Arial"/>
          <w:sz w:val="18"/>
          <w:szCs w:val="18"/>
          <w:color w:val="auto"/>
        </w:rPr>
        <w:t>CMDC recommended to the Board of Directors that the</w:t>
      </w:r>
    </w:p>
    <w:p>
      <w:pPr>
        <w:ind w:left="200"/>
        <w:spacing w:after="0" w:line="235" w:lineRule="auto"/>
        <w:rPr>
          <w:sz w:val="20"/>
          <w:szCs w:val="20"/>
          <w:color w:val="auto"/>
        </w:rPr>
      </w:pPr>
      <w:r>
        <w:rPr>
          <w:rFonts w:ascii="Arial" w:cs="Arial" w:eastAsia="Arial" w:hAnsi="Arial"/>
          <w:sz w:val="18"/>
          <w:szCs w:val="18"/>
          <w:color w:val="auto"/>
        </w:rPr>
        <w:t>Compensation Discussion and Analysis be included in this proxy</w:t>
      </w:r>
    </w:p>
    <w:p>
      <w:pPr>
        <w:ind w:left="200"/>
        <w:spacing w:after="0" w:line="235" w:lineRule="auto"/>
        <w:rPr>
          <w:sz w:val="20"/>
          <w:szCs w:val="20"/>
          <w:color w:val="auto"/>
        </w:rPr>
      </w:pPr>
      <w:r>
        <w:rPr>
          <w:rFonts w:ascii="Arial" w:cs="Arial" w:eastAsia="Arial" w:hAnsi="Arial"/>
          <w:sz w:val="18"/>
          <w:szCs w:val="18"/>
          <w:color w:val="auto"/>
        </w:rPr>
        <w:t>statement and our Annual Report on Form 10-K for the year</w:t>
      </w:r>
    </w:p>
    <w:p>
      <w:pPr>
        <w:ind w:left="200"/>
        <w:spacing w:after="0" w:line="235" w:lineRule="auto"/>
        <w:rPr>
          <w:sz w:val="20"/>
          <w:szCs w:val="20"/>
          <w:color w:val="auto"/>
        </w:rPr>
      </w:pPr>
      <w:r>
        <w:rPr>
          <w:rFonts w:ascii="Arial" w:cs="Arial" w:eastAsia="Arial" w:hAnsi="Arial"/>
          <w:sz w:val="18"/>
          <w:szCs w:val="18"/>
          <w:color w:val="auto"/>
        </w:rPr>
        <w:t>ended December 31, 2018. This report is provided as of</w:t>
      </w:r>
    </w:p>
    <w:p>
      <w:pPr>
        <w:ind w:left="200"/>
        <w:spacing w:after="0" w:line="235" w:lineRule="auto"/>
        <w:rPr>
          <w:sz w:val="20"/>
          <w:szCs w:val="20"/>
          <w:color w:val="auto"/>
        </w:rPr>
      </w:pPr>
      <w:r>
        <w:rPr>
          <w:rFonts w:ascii="Arial" w:cs="Arial" w:eastAsia="Arial" w:hAnsi="Arial"/>
          <w:sz w:val="18"/>
          <w:szCs w:val="18"/>
          <w:color w:val="auto"/>
        </w:rPr>
        <w:t>March 19, 2019, by the following independent directors, who</w:t>
      </w:r>
    </w:p>
    <w:p>
      <w:pPr>
        <w:ind w:left="200"/>
        <w:spacing w:after="0" w:line="235" w:lineRule="auto"/>
        <w:rPr>
          <w:sz w:val="20"/>
          <w:szCs w:val="20"/>
          <w:color w:val="auto"/>
        </w:rPr>
      </w:pPr>
      <w:r>
        <w:rPr>
          <w:rFonts w:ascii="Arial" w:cs="Arial" w:eastAsia="Arial" w:hAnsi="Arial"/>
          <w:sz w:val="18"/>
          <w:szCs w:val="18"/>
          <w:color w:val="auto"/>
        </w:rPr>
        <w:t>comprise the Compensation &amp; Management Development</w:t>
      </w:r>
    </w:p>
    <w:p>
      <w:pPr>
        <w:ind w:left="200"/>
        <w:spacing w:after="0"/>
        <w:rPr>
          <w:sz w:val="20"/>
          <w:szCs w:val="20"/>
          <w:color w:val="auto"/>
        </w:rPr>
      </w:pPr>
      <w:r>
        <w:rPr>
          <w:rFonts w:ascii="Arial" w:cs="Arial" w:eastAsia="Arial" w:hAnsi="Arial"/>
          <w:sz w:val="18"/>
          <w:szCs w:val="18"/>
          <w:color w:val="auto"/>
        </w:rPr>
        <w:t>Committee: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Lee R. Raymond (Chair)</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Stephen B. Burke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William C. Weldon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229235</wp:posOffset>
            </wp:positionV>
            <wp:extent cx="3353435" cy="12179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53435" cy="121793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Compensation Discussion and Analysis is intended to</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describe our 2018 performance, the compensation</w:t>
      </w:r>
    </w:p>
    <w:p>
      <w:pPr>
        <w:ind w:left="300"/>
        <w:spacing w:after="0" w:line="234" w:lineRule="auto"/>
        <w:rPr>
          <w:sz w:val="20"/>
          <w:szCs w:val="20"/>
          <w:color w:val="auto"/>
        </w:rPr>
      </w:pPr>
      <w:r>
        <w:rPr>
          <w:rFonts w:ascii="Arial" w:cs="Arial" w:eastAsia="Arial" w:hAnsi="Arial"/>
          <w:sz w:val="18"/>
          <w:szCs w:val="18"/>
          <w:b w:val="1"/>
          <w:bCs w:val="1"/>
          <w:color w:val="auto"/>
        </w:rPr>
        <w:t>decisions for our Named Executive Officers and the Firm’s</w:t>
      </w:r>
    </w:p>
    <w:p>
      <w:pPr>
        <w:ind w:left="300"/>
        <w:spacing w:after="0" w:line="235" w:lineRule="auto"/>
        <w:rPr>
          <w:sz w:val="20"/>
          <w:szCs w:val="20"/>
          <w:color w:val="auto"/>
        </w:rPr>
      </w:pPr>
      <w:r>
        <w:rPr>
          <w:rFonts w:ascii="Arial" w:cs="Arial" w:eastAsia="Arial" w:hAnsi="Arial"/>
          <w:sz w:val="18"/>
          <w:szCs w:val="18"/>
          <w:b w:val="1"/>
          <w:bCs w:val="1"/>
          <w:color w:val="auto"/>
        </w:rPr>
        <w:t>philosophy and approach to compensation. The following</w:t>
      </w:r>
    </w:p>
    <w:p>
      <w:pPr>
        <w:ind w:left="300"/>
        <w:spacing w:after="0" w:line="235" w:lineRule="auto"/>
        <w:rPr>
          <w:sz w:val="20"/>
          <w:szCs w:val="20"/>
          <w:color w:val="auto"/>
        </w:rPr>
      </w:pPr>
      <w:r>
        <w:rPr>
          <w:rFonts w:ascii="Arial" w:cs="Arial" w:eastAsia="Arial" w:hAnsi="Arial"/>
          <w:sz w:val="18"/>
          <w:szCs w:val="18"/>
          <w:b w:val="1"/>
          <w:bCs w:val="1"/>
          <w:color w:val="auto"/>
        </w:rPr>
        <w:t>tables on pages 65-74 present additional information</w:t>
      </w:r>
    </w:p>
    <w:p>
      <w:pPr>
        <w:ind w:left="300"/>
        <w:spacing w:after="0" w:line="235" w:lineRule="auto"/>
        <w:rPr>
          <w:sz w:val="20"/>
          <w:szCs w:val="20"/>
          <w:color w:val="auto"/>
        </w:rPr>
      </w:pPr>
      <w:r>
        <w:rPr>
          <w:rFonts w:ascii="Arial" w:cs="Arial" w:eastAsia="Arial" w:hAnsi="Arial"/>
          <w:sz w:val="18"/>
          <w:szCs w:val="18"/>
          <w:b w:val="1"/>
          <w:bCs w:val="1"/>
          <w:color w:val="auto"/>
        </w:rPr>
        <w:t>required in accordance with SEC rules, including the</w:t>
      </w: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344"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64</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960"/>
        <w:spacing w:after="0"/>
        <w:rPr>
          <w:sz w:val="20"/>
          <w:szCs w:val="20"/>
          <w:color w:val="auto"/>
        </w:rPr>
      </w:pPr>
      <w:r>
        <w:rPr>
          <w:rFonts w:ascii="Arial" w:cs="Arial" w:eastAsia="Arial" w:hAnsi="Arial"/>
          <w:sz w:val="16"/>
          <w:szCs w:val="16"/>
          <w:color w:val="333333"/>
        </w:rPr>
        <w:t>EXECUTIVE COMPENSATION</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Executive compensation tables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SUMMARY COMPENSATION TABLE (SCT)</w:t>
      </w:r>
    </w:p>
    <w:p>
      <w:pPr>
        <w:spacing w:after="0" w:line="99"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The following table and related narratives present the compensation for our Named Executive Officers in the format specified by the SEC. The table below reflects equity awards made in 2018 for 2017 performance. The “NEO Compensation” table on page 57 of this proxy statement shows how the CMDC viewed compensation actions for 2018 performance.</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Change in</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pension value</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and non-</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qualified</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deferred</w:t>
            </w: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All other</w:t>
            </w:r>
          </w:p>
        </w:tc>
        <w:tc>
          <w:tcPr>
            <w:tcW w:w="1100" w:type="dxa"/>
            <w:vAlign w:val="bottom"/>
          </w:tcPr>
          <w:p>
            <w:pPr>
              <w:spacing w:after="0"/>
              <w:rPr>
                <w:sz w:val="14"/>
                <w:szCs w:val="14"/>
                <w:color w:val="auto"/>
              </w:rPr>
            </w:pPr>
          </w:p>
        </w:tc>
      </w:tr>
      <w:tr>
        <w:trPr>
          <w:trHeight w:val="159"/>
        </w:trPr>
        <w:tc>
          <w:tcPr>
            <w:tcW w:w="296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Name and</w:t>
            </w: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jc w:val="right"/>
              <w:ind w:right="48"/>
              <w:spacing w:after="0" w:line="159" w:lineRule="exact"/>
              <w:rPr>
                <w:sz w:val="20"/>
                <w:szCs w:val="20"/>
                <w:color w:val="auto"/>
              </w:rPr>
            </w:pPr>
            <w:r>
              <w:rPr>
                <w:rFonts w:ascii="Arial" w:cs="Arial" w:eastAsia="Arial" w:hAnsi="Arial"/>
                <w:sz w:val="14"/>
                <w:szCs w:val="14"/>
                <w:b w:val="1"/>
                <w:bCs w:val="1"/>
                <w:color w:val="auto"/>
              </w:rPr>
              <w:t>Stock</w:t>
            </w:r>
          </w:p>
        </w:tc>
        <w:tc>
          <w:tcPr>
            <w:tcW w:w="1220" w:type="dxa"/>
            <w:vAlign w:val="bottom"/>
          </w:tcPr>
          <w:p>
            <w:pPr>
              <w:jc w:val="right"/>
              <w:ind w:right="48"/>
              <w:spacing w:after="0" w:line="159" w:lineRule="exact"/>
              <w:rPr>
                <w:sz w:val="20"/>
                <w:szCs w:val="20"/>
                <w:color w:val="auto"/>
              </w:rPr>
            </w:pPr>
            <w:r>
              <w:rPr>
                <w:rFonts w:ascii="Arial" w:cs="Arial" w:eastAsia="Arial" w:hAnsi="Arial"/>
                <w:sz w:val="14"/>
                <w:szCs w:val="14"/>
                <w:b w:val="1"/>
                <w:bCs w:val="1"/>
                <w:color w:val="auto"/>
              </w:rPr>
              <w:t>compensation</w:t>
            </w:r>
          </w:p>
        </w:tc>
        <w:tc>
          <w:tcPr>
            <w:tcW w:w="1080" w:type="dxa"/>
            <w:vAlign w:val="bottom"/>
          </w:tcPr>
          <w:p>
            <w:pPr>
              <w:jc w:val="right"/>
              <w:ind w:right="172"/>
              <w:spacing w:after="0" w:line="159" w:lineRule="exact"/>
              <w:rPr>
                <w:sz w:val="20"/>
                <w:szCs w:val="20"/>
                <w:color w:val="auto"/>
              </w:rPr>
            </w:pPr>
            <w:r>
              <w:rPr>
                <w:rFonts w:ascii="Arial" w:cs="Arial" w:eastAsia="Arial" w:hAnsi="Arial"/>
                <w:sz w:val="14"/>
                <w:szCs w:val="14"/>
                <w:b w:val="1"/>
                <w:bCs w:val="1"/>
                <w:color w:val="auto"/>
              </w:rPr>
              <w:t>compen-</w:t>
            </w:r>
          </w:p>
        </w:tc>
        <w:tc>
          <w:tcPr>
            <w:tcW w:w="1100" w:type="dxa"/>
            <w:vAlign w:val="bottom"/>
          </w:tcPr>
          <w:p>
            <w:pPr>
              <w:spacing w:after="0"/>
              <w:rPr>
                <w:sz w:val="13"/>
                <w:szCs w:val="13"/>
                <w:color w:val="auto"/>
              </w:rPr>
            </w:pPr>
          </w:p>
        </w:tc>
      </w:tr>
      <w:tr>
        <w:trPr>
          <w:trHeight w:val="192"/>
        </w:trPr>
        <w:tc>
          <w:tcPr>
            <w:tcW w:w="296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principal position</w:t>
            </w:r>
          </w:p>
        </w:tc>
        <w:tc>
          <w:tcPr>
            <w:tcW w:w="1100" w:type="dxa"/>
            <w:vAlign w:val="bottom"/>
            <w:tcBorders>
              <w:bottom w:val="single" w:sz="8" w:color="004876"/>
            </w:tcBorders>
          </w:tcPr>
          <w:p>
            <w:pPr>
              <w:jc w:val="right"/>
              <w:ind w:right="248"/>
              <w:spacing w:after="0"/>
              <w:rPr>
                <w:sz w:val="20"/>
                <w:szCs w:val="20"/>
                <w:color w:val="auto"/>
              </w:rPr>
            </w:pPr>
            <w:r>
              <w:rPr>
                <w:rFonts w:ascii="Arial" w:cs="Arial" w:eastAsia="Arial" w:hAnsi="Arial"/>
                <w:sz w:val="14"/>
                <w:szCs w:val="14"/>
                <w:b w:val="1"/>
                <w:bCs w:val="1"/>
                <w:color w:val="auto"/>
              </w:rPr>
              <w:t>Year</w:t>
            </w:r>
          </w:p>
        </w:tc>
        <w:tc>
          <w:tcPr>
            <w:tcW w:w="1360" w:type="dxa"/>
            <w:vAlign w:val="bottom"/>
            <w:tcBorders>
              <w:bottom w:val="single" w:sz="8" w:color="004876"/>
            </w:tcBorders>
          </w:tcPr>
          <w:p>
            <w:pPr>
              <w:jc w:val="right"/>
              <w:ind w:right="129"/>
              <w:spacing w:after="0" w:line="192" w:lineRule="exact"/>
              <w:rPr>
                <w:sz w:val="20"/>
                <w:szCs w:val="20"/>
                <w:color w:val="auto"/>
              </w:rPr>
            </w:pPr>
            <w:r>
              <w:rPr>
                <w:rFonts w:ascii="Arial" w:cs="Arial" w:eastAsia="Arial" w:hAnsi="Arial"/>
                <w:sz w:val="13"/>
                <w:szCs w:val="13"/>
                <w:b w:val="1"/>
                <w:bCs w:val="1"/>
                <w:color w:val="auto"/>
              </w:rPr>
              <w:t>Salary ($)</w:t>
            </w:r>
            <w:r>
              <w:rPr>
                <w:rFonts w:ascii="Arial" w:cs="Arial" w:eastAsia="Arial" w:hAnsi="Arial"/>
                <w:sz w:val="22"/>
                <w:szCs w:val="22"/>
                <w:b w:val="1"/>
                <w:bCs w:val="1"/>
                <w:color w:val="auto"/>
                <w:vertAlign w:val="superscript"/>
              </w:rPr>
              <w:t>1</w:t>
            </w:r>
          </w:p>
        </w:tc>
        <w:tc>
          <w:tcPr>
            <w:tcW w:w="1060" w:type="dxa"/>
            <w:vAlign w:val="bottom"/>
            <w:tcBorders>
              <w:bottom w:val="single" w:sz="8" w:color="004876"/>
            </w:tcBorders>
          </w:tcPr>
          <w:p>
            <w:pPr>
              <w:jc w:val="right"/>
              <w:ind w:right="48"/>
              <w:spacing w:after="0" w:line="192" w:lineRule="exact"/>
              <w:rPr>
                <w:sz w:val="20"/>
                <w:szCs w:val="20"/>
                <w:color w:val="auto"/>
              </w:rPr>
            </w:pPr>
            <w:r>
              <w:rPr>
                <w:rFonts w:ascii="Arial" w:cs="Arial" w:eastAsia="Arial" w:hAnsi="Arial"/>
                <w:sz w:val="13"/>
                <w:szCs w:val="13"/>
                <w:b w:val="1"/>
                <w:bCs w:val="1"/>
                <w:color w:val="auto"/>
              </w:rPr>
              <w:t>Bonus ($)</w:t>
            </w:r>
            <w:r>
              <w:rPr>
                <w:rFonts w:ascii="Arial" w:cs="Arial" w:eastAsia="Arial" w:hAnsi="Arial"/>
                <w:sz w:val="22"/>
                <w:szCs w:val="22"/>
                <w:b w:val="1"/>
                <w:bCs w:val="1"/>
                <w:color w:val="auto"/>
                <w:vertAlign w:val="superscript"/>
              </w:rPr>
              <w:t>2</w:t>
            </w:r>
          </w:p>
        </w:tc>
        <w:tc>
          <w:tcPr>
            <w:tcW w:w="1140" w:type="dxa"/>
            <w:vAlign w:val="bottom"/>
            <w:tcBorders>
              <w:bottom w:val="single" w:sz="8" w:color="004876"/>
            </w:tcBorders>
          </w:tcPr>
          <w:p>
            <w:pPr>
              <w:jc w:val="right"/>
              <w:ind w:right="48"/>
              <w:spacing w:after="0" w:line="192" w:lineRule="exact"/>
              <w:rPr>
                <w:sz w:val="20"/>
                <w:szCs w:val="20"/>
                <w:color w:val="auto"/>
              </w:rPr>
            </w:pPr>
            <w:r>
              <w:rPr>
                <w:rFonts w:ascii="Arial" w:cs="Arial" w:eastAsia="Arial" w:hAnsi="Arial"/>
                <w:sz w:val="13"/>
                <w:szCs w:val="13"/>
                <w:b w:val="1"/>
                <w:bCs w:val="1"/>
                <w:color w:val="auto"/>
              </w:rPr>
              <w:t>awards ($)</w:t>
            </w:r>
            <w:r>
              <w:rPr>
                <w:rFonts w:ascii="Arial" w:cs="Arial" w:eastAsia="Arial" w:hAnsi="Arial"/>
                <w:sz w:val="22"/>
                <w:szCs w:val="22"/>
                <w:b w:val="1"/>
                <w:bCs w:val="1"/>
                <w:color w:val="auto"/>
                <w:vertAlign w:val="superscript"/>
              </w:rPr>
              <w:t>3</w:t>
            </w:r>
          </w:p>
        </w:tc>
        <w:tc>
          <w:tcPr>
            <w:tcW w:w="1220" w:type="dxa"/>
            <w:vAlign w:val="bottom"/>
            <w:tcBorders>
              <w:bottom w:val="single" w:sz="8" w:color="004876"/>
            </w:tcBorders>
          </w:tcPr>
          <w:p>
            <w:pPr>
              <w:jc w:val="right"/>
              <w:ind w:right="48"/>
              <w:spacing w:after="0" w:line="192" w:lineRule="exact"/>
              <w:rPr>
                <w:sz w:val="20"/>
                <w:szCs w:val="20"/>
                <w:color w:val="auto"/>
              </w:rPr>
            </w:pPr>
            <w:r>
              <w:rPr>
                <w:rFonts w:ascii="Arial" w:cs="Arial" w:eastAsia="Arial" w:hAnsi="Arial"/>
                <w:sz w:val="13"/>
                <w:szCs w:val="13"/>
                <w:b w:val="1"/>
                <w:bCs w:val="1"/>
                <w:color w:val="auto"/>
              </w:rPr>
              <w:t>earnings ($)</w:t>
            </w:r>
            <w:r>
              <w:rPr>
                <w:rFonts w:ascii="Arial" w:cs="Arial" w:eastAsia="Arial" w:hAnsi="Arial"/>
                <w:sz w:val="22"/>
                <w:szCs w:val="22"/>
                <w:b w:val="1"/>
                <w:bCs w:val="1"/>
                <w:color w:val="auto"/>
                <w:vertAlign w:val="superscript"/>
              </w:rPr>
              <w:t>4</w:t>
            </w:r>
          </w:p>
        </w:tc>
        <w:tc>
          <w:tcPr>
            <w:tcW w:w="1080" w:type="dxa"/>
            <w:vAlign w:val="bottom"/>
            <w:tcBorders>
              <w:bottom w:val="single" w:sz="8" w:color="004876"/>
            </w:tcBorders>
          </w:tcPr>
          <w:p>
            <w:pPr>
              <w:jc w:val="right"/>
              <w:ind w:right="172"/>
              <w:spacing w:after="0" w:line="192" w:lineRule="exact"/>
              <w:rPr>
                <w:sz w:val="20"/>
                <w:szCs w:val="20"/>
                <w:color w:val="auto"/>
              </w:rPr>
            </w:pPr>
            <w:r>
              <w:rPr>
                <w:rFonts w:ascii="Arial" w:cs="Arial" w:eastAsia="Arial" w:hAnsi="Arial"/>
                <w:sz w:val="13"/>
                <w:szCs w:val="13"/>
                <w:b w:val="1"/>
                <w:bCs w:val="1"/>
                <w:color w:val="auto"/>
              </w:rPr>
              <w:t>sation ($)</w:t>
            </w:r>
            <w:r>
              <w:rPr>
                <w:rFonts w:ascii="Arial" w:cs="Arial" w:eastAsia="Arial" w:hAnsi="Arial"/>
                <w:sz w:val="22"/>
                <w:szCs w:val="22"/>
                <w:b w:val="1"/>
                <w:bCs w:val="1"/>
                <w:color w:val="auto"/>
                <w:vertAlign w:val="superscript"/>
              </w:rPr>
              <w:t>5</w:t>
            </w:r>
          </w:p>
        </w:tc>
        <w:tc>
          <w:tcPr>
            <w:tcW w:w="1100" w:type="dxa"/>
            <w:vAlign w:val="bottom"/>
            <w:tcBorders>
              <w:bottom w:val="single" w:sz="8" w:color="004876"/>
            </w:tcBorders>
          </w:tcPr>
          <w:p>
            <w:pPr>
              <w:jc w:val="right"/>
              <w:ind w:right="48"/>
              <w:spacing w:after="0"/>
              <w:rPr>
                <w:sz w:val="20"/>
                <w:szCs w:val="20"/>
                <w:color w:val="auto"/>
              </w:rPr>
            </w:pPr>
            <w:r>
              <w:rPr>
                <w:rFonts w:ascii="Arial" w:cs="Arial" w:eastAsia="Arial" w:hAnsi="Arial"/>
                <w:sz w:val="14"/>
                <w:szCs w:val="14"/>
                <w:b w:val="1"/>
                <w:bCs w:val="1"/>
                <w:color w:val="auto"/>
              </w:rPr>
              <w:t>Total ($)</w:t>
            </w:r>
          </w:p>
        </w:tc>
      </w:tr>
      <w:tr>
        <w:trPr>
          <w:trHeight w:val="166"/>
        </w:trPr>
        <w:tc>
          <w:tcPr>
            <w:tcW w:w="2960" w:type="dxa"/>
            <w:vAlign w:val="bottom"/>
          </w:tcPr>
          <w:p>
            <w:pPr>
              <w:ind w:left="60"/>
              <w:spacing w:after="0" w:line="166" w:lineRule="exact"/>
              <w:rPr>
                <w:sz w:val="20"/>
                <w:szCs w:val="20"/>
                <w:color w:val="auto"/>
              </w:rPr>
            </w:pPr>
            <w:r>
              <w:rPr>
                <w:rFonts w:ascii="Arial" w:cs="Arial" w:eastAsia="Arial" w:hAnsi="Arial"/>
                <w:sz w:val="12"/>
                <w:szCs w:val="12"/>
                <w:b w:val="1"/>
                <w:bCs w:val="1"/>
                <w:color w:val="auto"/>
              </w:rPr>
              <w:t>James Dimon</w:t>
            </w:r>
            <w:r>
              <w:rPr>
                <w:rFonts w:ascii="Arial" w:cs="Arial" w:eastAsia="Arial" w:hAnsi="Arial"/>
                <w:sz w:val="19"/>
                <w:szCs w:val="19"/>
                <w:b w:val="1"/>
                <w:bCs w:val="1"/>
                <w:color w:val="auto"/>
                <w:vertAlign w:val="superscript"/>
              </w:rPr>
              <w:t>6</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2018</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$ 1,500,000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$ 5,000,000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$ 23,000,000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$ 13,905</w:t>
            </w:r>
          </w:p>
        </w:tc>
        <w:tc>
          <w:tcPr>
            <w:tcW w:w="1080" w:type="dxa"/>
            <w:vAlign w:val="bottom"/>
          </w:tcPr>
          <w:p>
            <w:pPr>
              <w:jc w:val="right"/>
              <w:ind w:right="112"/>
              <w:spacing w:after="0" w:line="166" w:lineRule="exact"/>
              <w:rPr>
                <w:sz w:val="20"/>
                <w:szCs w:val="20"/>
                <w:color w:val="auto"/>
              </w:rPr>
            </w:pPr>
            <w:r>
              <w:rPr>
                <w:rFonts w:ascii="Arial" w:cs="Arial" w:eastAsia="Arial" w:hAnsi="Arial"/>
                <w:sz w:val="12"/>
                <w:szCs w:val="12"/>
                <w:color w:val="auto"/>
              </w:rPr>
              <w:t>$  519,840</w:t>
            </w:r>
            <w:r>
              <w:rPr>
                <w:rFonts w:ascii="Arial" w:cs="Arial" w:eastAsia="Arial" w:hAnsi="Arial"/>
                <w:sz w:val="19"/>
                <w:szCs w:val="19"/>
                <w:color w:val="auto"/>
                <w:vertAlign w:val="superscript"/>
              </w:rPr>
              <w:t>7</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$ 30,033,745</w:t>
            </w:r>
          </w:p>
        </w:tc>
      </w:tr>
      <w:tr>
        <w:trPr>
          <w:trHeight w:val="170"/>
        </w:trPr>
        <w:tc>
          <w:tcPr>
            <w:tcW w:w="2960" w:type="dxa"/>
            <w:vAlign w:val="bottom"/>
          </w:tcPr>
          <w:p>
            <w:pPr>
              <w:ind w:left="60"/>
              <w:spacing w:after="0"/>
              <w:rPr>
                <w:sz w:val="20"/>
                <w:szCs w:val="20"/>
                <w:color w:val="auto"/>
              </w:rPr>
            </w:pPr>
            <w:r>
              <w:rPr>
                <w:rFonts w:ascii="Arial" w:cs="Arial" w:eastAsia="Arial" w:hAnsi="Arial"/>
                <w:sz w:val="14"/>
                <w:szCs w:val="14"/>
                <w:color w:val="auto"/>
              </w:rPr>
              <w:t>Chairman and CEO</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2017</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1,500,000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5,000,000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21,500,000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35,509</w:t>
            </w:r>
          </w:p>
        </w:tc>
        <w:tc>
          <w:tcPr>
            <w:tcW w:w="1080" w:type="dxa"/>
            <w:vAlign w:val="bottom"/>
          </w:tcPr>
          <w:p>
            <w:pPr>
              <w:jc w:val="right"/>
              <w:ind w:right="112"/>
              <w:spacing w:after="0" w:line="170" w:lineRule="exact"/>
              <w:rPr>
                <w:sz w:val="20"/>
                <w:szCs w:val="20"/>
                <w:color w:val="auto"/>
              </w:rPr>
            </w:pPr>
            <w:r>
              <w:rPr>
                <w:rFonts w:ascii="Arial" w:cs="Arial" w:eastAsia="Arial" w:hAnsi="Arial"/>
                <w:sz w:val="12"/>
                <w:szCs w:val="12"/>
                <w:color w:val="auto"/>
              </w:rPr>
              <w:t>286,228</w:t>
            </w:r>
            <w:r>
              <w:rPr>
                <w:rFonts w:ascii="Arial" w:cs="Arial" w:eastAsia="Arial" w:hAnsi="Arial"/>
                <w:sz w:val="19"/>
                <w:szCs w:val="19"/>
                <w:color w:val="auto"/>
                <w:vertAlign w:val="superscript"/>
              </w:rPr>
              <w:t>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28,321,737</w:t>
            </w:r>
          </w:p>
        </w:tc>
      </w:tr>
      <w:tr>
        <w:trPr>
          <w:trHeight w:val="157"/>
        </w:trPr>
        <w:tc>
          <w:tcPr>
            <w:tcW w:w="2960" w:type="dxa"/>
            <w:vAlign w:val="bottom"/>
            <w:tcBorders>
              <w:bottom w:val="single" w:sz="8" w:color="336C91"/>
            </w:tcBorders>
          </w:tcPr>
          <w:p>
            <w:pPr>
              <w:spacing w:after="0"/>
              <w:rPr>
                <w:sz w:val="13"/>
                <w:szCs w:val="13"/>
                <w:color w:val="auto"/>
              </w:rPr>
            </w:pPr>
          </w:p>
        </w:tc>
        <w:tc>
          <w:tcPr>
            <w:tcW w:w="1100" w:type="dxa"/>
            <w:vAlign w:val="bottom"/>
            <w:tcBorders>
              <w:bottom w:val="single" w:sz="8" w:color="336C91"/>
            </w:tcBorders>
          </w:tcPr>
          <w:p>
            <w:pPr>
              <w:jc w:val="right"/>
              <w:ind w:right="248"/>
              <w:spacing w:after="0" w:line="157" w:lineRule="exact"/>
              <w:rPr>
                <w:sz w:val="20"/>
                <w:szCs w:val="20"/>
                <w:color w:val="auto"/>
              </w:rPr>
            </w:pPr>
            <w:r>
              <w:rPr>
                <w:rFonts w:ascii="Arial" w:cs="Arial" w:eastAsia="Arial" w:hAnsi="Arial"/>
                <w:sz w:val="14"/>
                <w:szCs w:val="14"/>
                <w:color w:val="auto"/>
              </w:rPr>
              <w:t>2016</w:t>
            </w:r>
          </w:p>
        </w:tc>
        <w:tc>
          <w:tcPr>
            <w:tcW w:w="1360" w:type="dxa"/>
            <w:vAlign w:val="bottom"/>
            <w:tcBorders>
              <w:bottom w:val="single" w:sz="8" w:color="336C91"/>
            </w:tcBorders>
          </w:tcPr>
          <w:p>
            <w:pPr>
              <w:jc w:val="right"/>
              <w:ind w:right="129"/>
              <w:spacing w:after="0" w:line="157" w:lineRule="exact"/>
              <w:rPr>
                <w:sz w:val="20"/>
                <w:szCs w:val="20"/>
                <w:color w:val="auto"/>
              </w:rPr>
            </w:pPr>
            <w:r>
              <w:rPr>
                <w:rFonts w:ascii="Arial" w:cs="Arial" w:eastAsia="Arial" w:hAnsi="Arial"/>
                <w:sz w:val="14"/>
                <w:szCs w:val="14"/>
                <w:color w:val="auto"/>
              </w:rPr>
              <w:t>1,500,000</w:t>
            </w:r>
          </w:p>
        </w:tc>
        <w:tc>
          <w:tcPr>
            <w:tcW w:w="106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5,000,000</w:t>
            </w:r>
          </w:p>
        </w:tc>
        <w:tc>
          <w:tcPr>
            <w:tcW w:w="114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20,500,000</w:t>
            </w:r>
          </w:p>
        </w:tc>
        <w:tc>
          <w:tcPr>
            <w:tcW w:w="122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31,341</w:t>
            </w:r>
          </w:p>
        </w:tc>
        <w:tc>
          <w:tcPr>
            <w:tcW w:w="1080" w:type="dxa"/>
            <w:vAlign w:val="bottom"/>
            <w:tcBorders>
              <w:bottom w:val="single" w:sz="8" w:color="336C91"/>
            </w:tcBorders>
          </w:tcPr>
          <w:p>
            <w:pPr>
              <w:jc w:val="right"/>
              <w:ind w:right="172"/>
              <w:spacing w:after="0" w:line="157" w:lineRule="exact"/>
              <w:rPr>
                <w:sz w:val="20"/>
                <w:szCs w:val="20"/>
                <w:color w:val="auto"/>
              </w:rPr>
            </w:pPr>
            <w:r>
              <w:rPr>
                <w:rFonts w:ascii="Arial" w:cs="Arial" w:eastAsia="Arial" w:hAnsi="Arial"/>
                <w:sz w:val="14"/>
                <w:szCs w:val="14"/>
                <w:color w:val="auto"/>
              </w:rPr>
              <w:t>205,551</w:t>
            </w:r>
          </w:p>
        </w:tc>
        <w:tc>
          <w:tcPr>
            <w:tcW w:w="110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27,236,892</w:t>
            </w:r>
          </w:p>
        </w:tc>
      </w:tr>
      <w:tr>
        <w:trPr>
          <w:trHeight w:val="160"/>
        </w:trPr>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Daniel Pinto</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2018</w:t>
            </w:r>
          </w:p>
        </w:tc>
        <w:tc>
          <w:tcPr>
            <w:tcW w:w="1360" w:type="dxa"/>
            <w:vAlign w:val="bottom"/>
          </w:tcPr>
          <w:p>
            <w:pPr>
              <w:jc w:val="right"/>
              <w:ind w:right="69"/>
              <w:spacing w:after="0" w:line="160" w:lineRule="exact"/>
              <w:rPr>
                <w:sz w:val="20"/>
                <w:szCs w:val="20"/>
                <w:color w:val="auto"/>
              </w:rPr>
            </w:pPr>
            <w:r>
              <w:rPr>
                <w:rFonts w:ascii="Arial" w:cs="Arial" w:eastAsia="Arial" w:hAnsi="Arial"/>
                <w:sz w:val="11"/>
                <w:szCs w:val="11"/>
                <w:color w:val="auto"/>
              </w:rPr>
              <w:t>8,276,026</w:t>
            </w:r>
            <w:r>
              <w:rPr>
                <w:rFonts w:ascii="Arial" w:cs="Arial" w:eastAsia="Arial" w:hAnsi="Arial"/>
                <w:sz w:val="18"/>
                <w:szCs w:val="18"/>
                <w:color w:val="auto"/>
                <w:vertAlign w:val="superscript"/>
              </w:rPr>
              <w:t>9</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12,761,372</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
              <w:spacing w:after="0" w:line="160" w:lineRule="exact"/>
              <w:rPr>
                <w:sz w:val="20"/>
                <w:szCs w:val="20"/>
                <w:color w:val="auto"/>
              </w:rPr>
            </w:pPr>
            <w:r>
              <w:rPr>
                <w:rFonts w:ascii="Arial" w:cs="Arial" w:eastAsia="Arial" w:hAnsi="Arial"/>
                <w:sz w:val="11"/>
                <w:szCs w:val="11"/>
                <w:color w:val="auto"/>
              </w:rPr>
              <w:t>68,548</w:t>
            </w:r>
            <w:r>
              <w:rPr>
                <w:rFonts w:ascii="Arial" w:cs="Arial" w:eastAsia="Arial" w:hAnsi="Arial"/>
                <w:sz w:val="18"/>
                <w:szCs w:val="18"/>
                <w:color w:val="auto"/>
                <w:vertAlign w:val="superscript"/>
              </w:rPr>
              <w:t>10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21,105,946</w:t>
            </w:r>
          </w:p>
        </w:tc>
      </w:tr>
      <w:tr>
        <w:trPr>
          <w:trHeight w:val="162"/>
        </w:trPr>
        <w:tc>
          <w:tcPr>
            <w:tcW w:w="2960" w:type="dxa"/>
            <w:vAlign w:val="bottom"/>
          </w:tcPr>
          <w:p>
            <w:pPr>
              <w:ind w:left="60"/>
              <w:spacing w:after="0"/>
              <w:rPr>
                <w:sz w:val="20"/>
                <w:szCs w:val="20"/>
                <w:color w:val="auto"/>
              </w:rPr>
            </w:pPr>
            <w:r>
              <w:rPr>
                <w:rFonts w:ascii="Arial" w:cs="Arial" w:eastAsia="Arial" w:hAnsi="Arial"/>
                <w:sz w:val="14"/>
                <w:szCs w:val="14"/>
                <w:color w:val="auto"/>
              </w:rPr>
              <w:t>Co-President and Co-COO; CEO CIB</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2017</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8,238,628</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10,696,766</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72"/>
              <w:spacing w:after="0"/>
              <w:rPr>
                <w:sz w:val="20"/>
                <w:szCs w:val="20"/>
                <w:color w:val="auto"/>
              </w:rPr>
            </w:pPr>
            <w:r>
              <w:rPr>
                <w:rFonts w:ascii="Arial" w:cs="Arial" w:eastAsia="Arial" w:hAnsi="Arial"/>
                <w:sz w:val="14"/>
                <w:szCs w:val="14"/>
                <w:color w:val="auto"/>
              </w:rPr>
              <w:t>80,384</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19,015,778</w:t>
            </w:r>
          </w:p>
        </w:tc>
      </w:tr>
      <w:tr>
        <w:trPr>
          <w:trHeight w:val="157"/>
        </w:trPr>
        <w:tc>
          <w:tcPr>
            <w:tcW w:w="2960" w:type="dxa"/>
            <w:vAlign w:val="bottom"/>
            <w:tcBorders>
              <w:bottom w:val="single" w:sz="8" w:color="336C91"/>
            </w:tcBorders>
          </w:tcPr>
          <w:p>
            <w:pPr>
              <w:spacing w:after="0"/>
              <w:rPr>
                <w:sz w:val="13"/>
                <w:szCs w:val="13"/>
                <w:color w:val="auto"/>
              </w:rPr>
            </w:pPr>
          </w:p>
        </w:tc>
        <w:tc>
          <w:tcPr>
            <w:tcW w:w="1100" w:type="dxa"/>
            <w:vAlign w:val="bottom"/>
            <w:tcBorders>
              <w:bottom w:val="single" w:sz="8" w:color="336C91"/>
            </w:tcBorders>
          </w:tcPr>
          <w:p>
            <w:pPr>
              <w:jc w:val="right"/>
              <w:ind w:right="248"/>
              <w:spacing w:after="0" w:line="157" w:lineRule="exact"/>
              <w:rPr>
                <w:sz w:val="20"/>
                <w:szCs w:val="20"/>
                <w:color w:val="auto"/>
              </w:rPr>
            </w:pPr>
            <w:r>
              <w:rPr>
                <w:rFonts w:ascii="Arial" w:cs="Arial" w:eastAsia="Arial" w:hAnsi="Arial"/>
                <w:sz w:val="14"/>
                <w:szCs w:val="14"/>
                <w:color w:val="auto"/>
              </w:rPr>
              <w:t>2016</w:t>
            </w:r>
          </w:p>
        </w:tc>
        <w:tc>
          <w:tcPr>
            <w:tcW w:w="1360" w:type="dxa"/>
            <w:vAlign w:val="bottom"/>
            <w:tcBorders>
              <w:bottom w:val="single" w:sz="8" w:color="336C91"/>
            </w:tcBorders>
          </w:tcPr>
          <w:p>
            <w:pPr>
              <w:jc w:val="right"/>
              <w:ind w:right="129"/>
              <w:spacing w:after="0" w:line="157" w:lineRule="exact"/>
              <w:rPr>
                <w:sz w:val="20"/>
                <w:szCs w:val="20"/>
                <w:color w:val="auto"/>
              </w:rPr>
            </w:pPr>
            <w:r>
              <w:rPr>
                <w:rFonts w:ascii="Arial" w:cs="Arial" w:eastAsia="Arial" w:hAnsi="Arial"/>
                <w:sz w:val="14"/>
                <w:szCs w:val="14"/>
                <w:color w:val="auto"/>
              </w:rPr>
              <w:t>8,303,234</w:t>
            </w:r>
          </w:p>
        </w:tc>
        <w:tc>
          <w:tcPr>
            <w:tcW w:w="106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11,615,750</w:t>
            </w:r>
          </w:p>
        </w:tc>
        <w:tc>
          <w:tcPr>
            <w:tcW w:w="122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336C91"/>
            </w:tcBorders>
          </w:tcPr>
          <w:p>
            <w:pPr>
              <w:jc w:val="right"/>
              <w:ind w:right="172"/>
              <w:spacing w:after="0" w:line="157" w:lineRule="exact"/>
              <w:rPr>
                <w:sz w:val="20"/>
                <w:szCs w:val="20"/>
                <w:color w:val="auto"/>
              </w:rPr>
            </w:pPr>
            <w:r>
              <w:rPr>
                <w:rFonts w:ascii="Arial" w:cs="Arial" w:eastAsia="Arial" w:hAnsi="Arial"/>
                <w:sz w:val="14"/>
                <w:szCs w:val="14"/>
                <w:color w:val="auto"/>
              </w:rPr>
              <w:t>103,640</w:t>
            </w:r>
          </w:p>
        </w:tc>
        <w:tc>
          <w:tcPr>
            <w:tcW w:w="110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20,022,624</w:t>
            </w:r>
          </w:p>
        </w:tc>
      </w:tr>
      <w:tr>
        <w:trPr>
          <w:trHeight w:val="160"/>
        </w:trPr>
        <w:tc>
          <w:tcPr>
            <w:tcW w:w="2960" w:type="dxa"/>
            <w:vAlign w:val="bottom"/>
          </w:tcPr>
          <w:p>
            <w:pPr>
              <w:ind w:left="60"/>
              <w:spacing w:after="0" w:line="160" w:lineRule="exact"/>
              <w:rPr>
                <w:sz w:val="20"/>
                <w:szCs w:val="20"/>
                <w:color w:val="auto"/>
              </w:rPr>
            </w:pPr>
            <w:r>
              <w:rPr>
                <w:rFonts w:ascii="Arial" w:cs="Arial" w:eastAsia="Arial" w:hAnsi="Arial"/>
                <w:sz w:val="11"/>
                <w:szCs w:val="11"/>
                <w:b w:val="1"/>
                <w:bCs w:val="1"/>
                <w:color w:val="auto"/>
              </w:rPr>
              <w:t>Gordon Smith</w:t>
            </w:r>
            <w:r>
              <w:rPr>
                <w:rFonts w:ascii="Arial" w:cs="Arial" w:eastAsia="Arial" w:hAnsi="Arial"/>
                <w:sz w:val="18"/>
                <w:szCs w:val="18"/>
                <w:b w:val="1"/>
                <w:bCs w:val="1"/>
                <w:color w:val="auto"/>
                <w:vertAlign w:val="superscript"/>
              </w:rPr>
              <w:t>11</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2018</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750,000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8,500,000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11,550,000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4,089</w:t>
            </w:r>
          </w:p>
        </w:tc>
        <w:tc>
          <w:tcPr>
            <w:tcW w:w="10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20,804,089</w:t>
            </w:r>
          </w:p>
        </w:tc>
      </w:tr>
      <w:tr>
        <w:trPr>
          <w:trHeight w:val="157"/>
        </w:trPr>
        <w:tc>
          <w:tcPr>
            <w:tcW w:w="2960" w:type="dxa"/>
            <w:vAlign w:val="bottom"/>
            <w:tcBorders>
              <w:bottom w:val="single" w:sz="8" w:color="336C91"/>
            </w:tcBorders>
          </w:tcPr>
          <w:p>
            <w:pPr>
              <w:ind w:left="60"/>
              <w:spacing w:after="0" w:line="157" w:lineRule="exact"/>
              <w:rPr>
                <w:sz w:val="20"/>
                <w:szCs w:val="20"/>
                <w:color w:val="auto"/>
              </w:rPr>
            </w:pPr>
            <w:r>
              <w:rPr>
                <w:rFonts w:ascii="Arial" w:cs="Arial" w:eastAsia="Arial" w:hAnsi="Arial"/>
                <w:sz w:val="14"/>
                <w:szCs w:val="14"/>
                <w:color w:val="auto"/>
              </w:rPr>
              <w:t>Co-President and Co-COO; CEO CCB</w:t>
            </w:r>
          </w:p>
        </w:tc>
        <w:tc>
          <w:tcPr>
            <w:tcW w:w="1100" w:type="dxa"/>
            <w:vAlign w:val="bottom"/>
            <w:tcBorders>
              <w:bottom w:val="single" w:sz="8" w:color="336C91"/>
            </w:tcBorders>
          </w:tcPr>
          <w:p>
            <w:pPr>
              <w:jc w:val="right"/>
              <w:ind w:right="248"/>
              <w:spacing w:after="0" w:line="157" w:lineRule="exact"/>
              <w:rPr>
                <w:sz w:val="20"/>
                <w:szCs w:val="20"/>
                <w:color w:val="auto"/>
              </w:rPr>
            </w:pPr>
            <w:r>
              <w:rPr>
                <w:rFonts w:ascii="Arial" w:cs="Arial" w:eastAsia="Arial" w:hAnsi="Arial"/>
                <w:sz w:val="14"/>
                <w:szCs w:val="14"/>
                <w:color w:val="auto"/>
              </w:rPr>
              <w:t>2017</w:t>
            </w:r>
          </w:p>
        </w:tc>
        <w:tc>
          <w:tcPr>
            <w:tcW w:w="1360" w:type="dxa"/>
            <w:vAlign w:val="bottom"/>
            <w:tcBorders>
              <w:bottom w:val="single" w:sz="8" w:color="336C91"/>
            </w:tcBorders>
          </w:tcPr>
          <w:p>
            <w:pPr>
              <w:jc w:val="right"/>
              <w:ind w:right="129"/>
              <w:spacing w:after="0" w:line="157" w:lineRule="exact"/>
              <w:rPr>
                <w:sz w:val="20"/>
                <w:szCs w:val="20"/>
                <w:color w:val="auto"/>
              </w:rPr>
            </w:pPr>
            <w:r>
              <w:rPr>
                <w:rFonts w:ascii="Arial" w:cs="Arial" w:eastAsia="Arial" w:hAnsi="Arial"/>
                <w:sz w:val="14"/>
                <w:szCs w:val="14"/>
                <w:color w:val="auto"/>
              </w:rPr>
              <w:t>750,000</w:t>
            </w:r>
          </w:p>
        </w:tc>
        <w:tc>
          <w:tcPr>
            <w:tcW w:w="106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7,700,000</w:t>
            </w:r>
          </w:p>
        </w:tc>
        <w:tc>
          <w:tcPr>
            <w:tcW w:w="114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10,950,000</w:t>
            </w:r>
          </w:p>
        </w:tc>
        <w:tc>
          <w:tcPr>
            <w:tcW w:w="122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6,985</w:t>
            </w:r>
          </w:p>
        </w:tc>
        <w:tc>
          <w:tcPr>
            <w:tcW w:w="1080" w:type="dxa"/>
            <w:vAlign w:val="bottom"/>
            <w:tcBorders>
              <w:bottom w:val="single" w:sz="8" w:color="336C91"/>
            </w:tcBorders>
          </w:tcPr>
          <w:p>
            <w:pPr>
              <w:jc w:val="right"/>
              <w:ind w:right="172"/>
              <w:spacing w:after="0" w:line="15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19,406,985</w:t>
            </w:r>
          </w:p>
        </w:tc>
      </w:tr>
      <w:tr>
        <w:trPr>
          <w:trHeight w:val="160"/>
        </w:trPr>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2018</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750,000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7,900,000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11,250,000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19,900,000</w:t>
            </w:r>
          </w:p>
        </w:tc>
      </w:tr>
      <w:tr>
        <w:trPr>
          <w:trHeight w:val="162"/>
        </w:trPr>
        <w:tc>
          <w:tcPr>
            <w:tcW w:w="2960" w:type="dxa"/>
            <w:vAlign w:val="bottom"/>
          </w:tcPr>
          <w:p>
            <w:pPr>
              <w:ind w:left="60"/>
              <w:spacing w:after="0"/>
              <w:rPr>
                <w:sz w:val="20"/>
                <w:szCs w:val="20"/>
                <w:color w:val="auto"/>
              </w:rPr>
            </w:pPr>
            <w:r>
              <w:rPr>
                <w:rFonts w:ascii="Arial" w:cs="Arial" w:eastAsia="Arial" w:hAnsi="Arial"/>
                <w:sz w:val="14"/>
                <w:szCs w:val="14"/>
                <w:color w:val="auto"/>
              </w:rPr>
              <w:t>CEO AWM</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2017</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750,000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7,500,000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10,950,000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42,152</w:t>
            </w:r>
          </w:p>
        </w:tc>
        <w:tc>
          <w:tcPr>
            <w:tcW w:w="10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19,242,152</w:t>
            </w:r>
          </w:p>
        </w:tc>
      </w:tr>
      <w:tr>
        <w:trPr>
          <w:trHeight w:val="157"/>
        </w:trPr>
        <w:tc>
          <w:tcPr>
            <w:tcW w:w="2960" w:type="dxa"/>
            <w:vAlign w:val="bottom"/>
            <w:tcBorders>
              <w:bottom w:val="single" w:sz="8" w:color="336C91"/>
            </w:tcBorders>
          </w:tcPr>
          <w:p>
            <w:pPr>
              <w:spacing w:after="0"/>
              <w:rPr>
                <w:sz w:val="13"/>
                <w:szCs w:val="13"/>
                <w:color w:val="auto"/>
              </w:rPr>
            </w:pPr>
          </w:p>
        </w:tc>
        <w:tc>
          <w:tcPr>
            <w:tcW w:w="1100" w:type="dxa"/>
            <w:vAlign w:val="bottom"/>
            <w:tcBorders>
              <w:bottom w:val="single" w:sz="8" w:color="336C91"/>
            </w:tcBorders>
          </w:tcPr>
          <w:p>
            <w:pPr>
              <w:jc w:val="right"/>
              <w:ind w:right="248"/>
              <w:spacing w:after="0" w:line="157" w:lineRule="exact"/>
              <w:rPr>
                <w:sz w:val="20"/>
                <w:szCs w:val="20"/>
                <w:color w:val="auto"/>
              </w:rPr>
            </w:pPr>
            <w:r>
              <w:rPr>
                <w:rFonts w:ascii="Arial" w:cs="Arial" w:eastAsia="Arial" w:hAnsi="Arial"/>
                <w:sz w:val="14"/>
                <w:szCs w:val="14"/>
                <w:color w:val="auto"/>
              </w:rPr>
              <w:t>2016</w:t>
            </w:r>
          </w:p>
        </w:tc>
        <w:tc>
          <w:tcPr>
            <w:tcW w:w="1360" w:type="dxa"/>
            <w:vAlign w:val="bottom"/>
            <w:tcBorders>
              <w:bottom w:val="single" w:sz="8" w:color="336C91"/>
            </w:tcBorders>
          </w:tcPr>
          <w:p>
            <w:pPr>
              <w:jc w:val="right"/>
              <w:ind w:right="129"/>
              <w:spacing w:after="0" w:line="157" w:lineRule="exact"/>
              <w:rPr>
                <w:sz w:val="20"/>
                <w:szCs w:val="20"/>
                <w:color w:val="auto"/>
              </w:rPr>
            </w:pPr>
            <w:r>
              <w:rPr>
                <w:rFonts w:ascii="Arial" w:cs="Arial" w:eastAsia="Arial" w:hAnsi="Arial"/>
                <w:sz w:val="14"/>
                <w:szCs w:val="14"/>
                <w:color w:val="auto"/>
              </w:rPr>
              <w:t>750,000</w:t>
            </w:r>
          </w:p>
        </w:tc>
        <w:tc>
          <w:tcPr>
            <w:tcW w:w="106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7,300,000</w:t>
            </w:r>
          </w:p>
        </w:tc>
        <w:tc>
          <w:tcPr>
            <w:tcW w:w="114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10,350,000</w:t>
            </w:r>
          </w:p>
        </w:tc>
        <w:tc>
          <w:tcPr>
            <w:tcW w:w="122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32,124</w:t>
            </w:r>
          </w:p>
        </w:tc>
        <w:tc>
          <w:tcPr>
            <w:tcW w:w="1080" w:type="dxa"/>
            <w:vAlign w:val="bottom"/>
            <w:tcBorders>
              <w:bottom w:val="single" w:sz="8" w:color="336C91"/>
            </w:tcBorders>
          </w:tcPr>
          <w:p>
            <w:pPr>
              <w:jc w:val="right"/>
              <w:ind w:right="172"/>
              <w:spacing w:after="0" w:line="15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18,432,124</w:t>
            </w:r>
          </w:p>
        </w:tc>
      </w:tr>
      <w:tr>
        <w:trPr>
          <w:trHeight w:val="160"/>
        </w:trPr>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2018</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750,000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5,700,000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7,650,000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2"/>
              <w:spacing w:after="0" w:line="160" w:lineRule="exact"/>
              <w:rPr>
                <w:sz w:val="20"/>
                <w:szCs w:val="20"/>
                <w:color w:val="auto"/>
              </w:rPr>
            </w:pPr>
            <w:r>
              <w:rPr>
                <w:rFonts w:ascii="Arial" w:cs="Arial" w:eastAsia="Arial" w:hAnsi="Arial"/>
                <w:sz w:val="11"/>
                <w:szCs w:val="11"/>
                <w:color w:val="auto"/>
              </w:rPr>
              <w:t>60,501</w:t>
            </w:r>
            <w:r>
              <w:rPr>
                <w:rFonts w:ascii="Arial" w:cs="Arial" w:eastAsia="Arial" w:hAnsi="Arial"/>
                <w:sz w:val="18"/>
                <w:szCs w:val="18"/>
                <w:color w:val="auto"/>
                <w:vertAlign w:val="superscript"/>
              </w:rPr>
              <w:t>12</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14,160,501</w:t>
            </w:r>
          </w:p>
        </w:tc>
      </w:tr>
      <w:tr>
        <w:trPr>
          <w:trHeight w:val="162"/>
        </w:trPr>
        <w:tc>
          <w:tcPr>
            <w:tcW w:w="296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1100" w:type="dxa"/>
            <w:vAlign w:val="bottom"/>
          </w:tcPr>
          <w:p>
            <w:pPr>
              <w:jc w:val="right"/>
              <w:ind w:right="248"/>
              <w:spacing w:after="0"/>
              <w:rPr>
                <w:sz w:val="20"/>
                <w:szCs w:val="20"/>
                <w:color w:val="auto"/>
              </w:rPr>
            </w:pPr>
            <w:r>
              <w:rPr>
                <w:rFonts w:ascii="Arial" w:cs="Arial" w:eastAsia="Arial" w:hAnsi="Arial"/>
                <w:sz w:val="14"/>
                <w:szCs w:val="14"/>
                <w:color w:val="auto"/>
              </w:rPr>
              <w:t>2017</w:t>
            </w:r>
          </w:p>
        </w:tc>
        <w:tc>
          <w:tcPr>
            <w:tcW w:w="1360" w:type="dxa"/>
            <w:vAlign w:val="bottom"/>
          </w:tcPr>
          <w:p>
            <w:pPr>
              <w:jc w:val="right"/>
              <w:ind w:right="129"/>
              <w:spacing w:after="0"/>
              <w:rPr>
                <w:sz w:val="20"/>
                <w:szCs w:val="20"/>
                <w:color w:val="auto"/>
              </w:rPr>
            </w:pPr>
            <w:r>
              <w:rPr>
                <w:rFonts w:ascii="Arial" w:cs="Arial" w:eastAsia="Arial" w:hAnsi="Arial"/>
                <w:sz w:val="14"/>
                <w:szCs w:val="14"/>
                <w:color w:val="auto"/>
              </w:rPr>
              <w:t>750,000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5,100,000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7,050,000</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72"/>
              <w:spacing w:after="0"/>
              <w:rPr>
                <w:sz w:val="20"/>
                <w:szCs w:val="20"/>
                <w:color w:val="auto"/>
              </w:rPr>
            </w:pPr>
            <w:r>
              <w:rPr>
                <w:rFonts w:ascii="Arial" w:cs="Arial" w:eastAsia="Arial" w:hAnsi="Arial"/>
                <w:sz w:val="14"/>
                <w:szCs w:val="14"/>
                <w:color w:val="auto"/>
              </w:rPr>
              <w:t>60,969</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12,960,969</w:t>
            </w:r>
          </w:p>
        </w:tc>
      </w:tr>
      <w:tr>
        <w:trPr>
          <w:trHeight w:val="157"/>
        </w:trPr>
        <w:tc>
          <w:tcPr>
            <w:tcW w:w="2960" w:type="dxa"/>
            <w:vAlign w:val="bottom"/>
            <w:tcBorders>
              <w:bottom w:val="single" w:sz="8" w:color="336C91"/>
            </w:tcBorders>
          </w:tcPr>
          <w:p>
            <w:pPr>
              <w:spacing w:after="0"/>
              <w:rPr>
                <w:sz w:val="13"/>
                <w:szCs w:val="13"/>
                <w:color w:val="auto"/>
              </w:rPr>
            </w:pPr>
          </w:p>
        </w:tc>
        <w:tc>
          <w:tcPr>
            <w:tcW w:w="1100" w:type="dxa"/>
            <w:vAlign w:val="bottom"/>
            <w:tcBorders>
              <w:bottom w:val="single" w:sz="8" w:color="336C91"/>
            </w:tcBorders>
          </w:tcPr>
          <w:p>
            <w:pPr>
              <w:jc w:val="right"/>
              <w:ind w:right="248"/>
              <w:spacing w:after="0" w:line="157" w:lineRule="exact"/>
              <w:rPr>
                <w:sz w:val="20"/>
                <w:szCs w:val="20"/>
                <w:color w:val="auto"/>
              </w:rPr>
            </w:pPr>
            <w:r>
              <w:rPr>
                <w:rFonts w:ascii="Arial" w:cs="Arial" w:eastAsia="Arial" w:hAnsi="Arial"/>
                <w:sz w:val="14"/>
                <w:szCs w:val="14"/>
                <w:color w:val="auto"/>
              </w:rPr>
              <w:t>2016</w:t>
            </w:r>
          </w:p>
        </w:tc>
        <w:tc>
          <w:tcPr>
            <w:tcW w:w="1360" w:type="dxa"/>
            <w:vAlign w:val="bottom"/>
            <w:tcBorders>
              <w:bottom w:val="single" w:sz="8" w:color="336C91"/>
            </w:tcBorders>
          </w:tcPr>
          <w:p>
            <w:pPr>
              <w:jc w:val="right"/>
              <w:ind w:right="129"/>
              <w:spacing w:after="0" w:line="157" w:lineRule="exact"/>
              <w:rPr>
                <w:sz w:val="20"/>
                <w:szCs w:val="20"/>
                <w:color w:val="auto"/>
              </w:rPr>
            </w:pPr>
            <w:r>
              <w:rPr>
                <w:rFonts w:ascii="Arial" w:cs="Arial" w:eastAsia="Arial" w:hAnsi="Arial"/>
                <w:sz w:val="14"/>
                <w:szCs w:val="14"/>
                <w:color w:val="auto"/>
              </w:rPr>
              <w:t>750,000</w:t>
            </w:r>
          </w:p>
        </w:tc>
        <w:tc>
          <w:tcPr>
            <w:tcW w:w="106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4,700,000</w:t>
            </w:r>
          </w:p>
        </w:tc>
        <w:tc>
          <w:tcPr>
            <w:tcW w:w="114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6,150,000</w:t>
            </w:r>
          </w:p>
        </w:tc>
        <w:tc>
          <w:tcPr>
            <w:tcW w:w="122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336C91"/>
            </w:tcBorders>
          </w:tcPr>
          <w:p>
            <w:pPr>
              <w:jc w:val="right"/>
              <w:ind w:right="172"/>
              <w:spacing w:after="0" w:line="157" w:lineRule="exact"/>
              <w:rPr>
                <w:sz w:val="20"/>
                <w:szCs w:val="20"/>
                <w:color w:val="auto"/>
              </w:rPr>
            </w:pPr>
            <w:r>
              <w:rPr>
                <w:rFonts w:ascii="Arial" w:cs="Arial" w:eastAsia="Arial" w:hAnsi="Arial"/>
                <w:sz w:val="14"/>
                <w:szCs w:val="14"/>
                <w:color w:val="auto"/>
              </w:rPr>
              <w:t>48,595</w:t>
            </w:r>
          </w:p>
        </w:tc>
        <w:tc>
          <w:tcPr>
            <w:tcW w:w="1100" w:type="dxa"/>
            <w:vAlign w:val="bottom"/>
            <w:tcBorders>
              <w:bottom w:val="single" w:sz="8" w:color="336C91"/>
            </w:tcBorders>
          </w:tcPr>
          <w:p>
            <w:pPr>
              <w:jc w:val="right"/>
              <w:ind w:right="48"/>
              <w:spacing w:after="0" w:line="157" w:lineRule="exact"/>
              <w:rPr>
                <w:sz w:val="20"/>
                <w:szCs w:val="20"/>
                <w:color w:val="auto"/>
              </w:rPr>
            </w:pPr>
            <w:r>
              <w:rPr>
                <w:rFonts w:ascii="Arial" w:cs="Arial" w:eastAsia="Arial" w:hAnsi="Arial"/>
                <w:sz w:val="14"/>
                <w:szCs w:val="14"/>
                <w:color w:val="auto"/>
              </w:rPr>
              <w:t>11,648,595</w:t>
            </w:r>
          </w:p>
        </w:tc>
      </w:tr>
    </w:tbl>
    <w:p>
      <w:pPr>
        <w:ind w:left="420" w:hanging="176"/>
        <w:spacing w:after="0" w:line="189" w:lineRule="auto"/>
        <w:tabs>
          <w:tab w:leader="none" w:pos="420" w:val="left"/>
        </w:tabs>
        <w:numPr>
          <w:ilvl w:val="0"/>
          <w:numId w:val="126"/>
        </w:numPr>
        <w:rPr>
          <w:rFonts w:ascii="Arial" w:cs="Arial" w:eastAsia="Arial" w:hAnsi="Arial"/>
          <w:sz w:val="24"/>
          <w:szCs w:val="24"/>
          <w:color w:val="auto"/>
          <w:vertAlign w:val="superscript"/>
        </w:rPr>
      </w:pPr>
      <w:r>
        <w:rPr>
          <w:rFonts w:ascii="Arial" w:cs="Arial" w:eastAsia="Arial" w:hAnsi="Arial"/>
          <w:sz w:val="14"/>
          <w:szCs w:val="14"/>
          <w:color w:val="auto"/>
        </w:rPr>
        <w:t>Salary reflects the actual amount paid in each year.</w:t>
      </w:r>
    </w:p>
    <w:p>
      <w:pPr>
        <w:spacing w:after="0" w:line="58" w:lineRule="exact"/>
        <w:rPr>
          <w:sz w:val="20"/>
          <w:szCs w:val="20"/>
          <w:color w:val="auto"/>
        </w:rPr>
      </w:pPr>
    </w:p>
    <w:p>
      <w:pPr>
        <w:ind w:left="420" w:right="60" w:hanging="176"/>
        <w:spacing w:after="0" w:line="183" w:lineRule="auto"/>
        <w:tabs>
          <w:tab w:leader="none" w:pos="420" w:val="left"/>
        </w:tabs>
        <w:numPr>
          <w:ilvl w:val="0"/>
          <w:numId w:val="127"/>
        </w:numPr>
        <w:rPr>
          <w:rFonts w:ascii="Arial" w:cs="Arial" w:eastAsia="Arial" w:hAnsi="Arial"/>
          <w:sz w:val="24"/>
          <w:szCs w:val="24"/>
          <w:color w:val="auto"/>
          <w:vertAlign w:val="superscript"/>
        </w:rPr>
      </w:pPr>
      <w:r>
        <w:rPr>
          <w:rFonts w:ascii="Arial" w:cs="Arial" w:eastAsia="Arial" w:hAnsi="Arial"/>
          <w:sz w:val="14"/>
          <w:szCs w:val="14"/>
          <w:color w:val="auto"/>
        </w:rPr>
        <w:t>Includes amounts awarded, whether paid or deferred. Cash incentive compensation reflects compensation earned in connection with the performance year shown, which was awarded in January of the following year.</w:t>
      </w:r>
    </w:p>
    <w:p>
      <w:pPr>
        <w:spacing w:after="0" w:line="58" w:lineRule="exact"/>
        <w:rPr>
          <w:sz w:val="20"/>
          <w:szCs w:val="20"/>
          <w:color w:val="auto"/>
        </w:rPr>
      </w:pPr>
    </w:p>
    <w:p>
      <w:pPr>
        <w:ind w:left="420" w:right="60" w:hanging="176"/>
        <w:spacing w:after="0" w:line="214" w:lineRule="auto"/>
        <w:tabs>
          <w:tab w:leader="none" w:pos="420" w:val="left"/>
        </w:tabs>
        <w:numPr>
          <w:ilvl w:val="0"/>
          <w:numId w:val="128"/>
        </w:numPr>
        <w:rPr>
          <w:rFonts w:ascii="Arial" w:cs="Arial" w:eastAsia="Arial" w:hAnsi="Arial"/>
          <w:sz w:val="24"/>
          <w:szCs w:val="24"/>
          <w:color w:val="auto"/>
          <w:vertAlign w:val="superscript"/>
        </w:rPr>
      </w:pPr>
      <w:r>
        <w:rPr>
          <w:rFonts w:ascii="Arial" w:cs="Arial" w:eastAsia="Arial" w:hAnsi="Arial"/>
          <w:sz w:val="14"/>
          <w:szCs w:val="14"/>
          <w:color w:val="auto"/>
        </w:rPr>
        <w:t>Includes amounts awarded during the year shown. Amounts are the fair value on the grant date in accordance with applicable accounting guidance (i.e., at target for PSUs awarded in 2018). At the maximum level of performance, the value of PSUs awarded in 2018 would be: $34,500,000 for Mr. Dimon; $9,571,029 for Mr. Pinto; $8,662,500 for Mr. Smith; $8,437,500 for Ms. Erdoes; and $5,737,500 for Ms. Lake. The Firm’s accounting for employee stock-based incentives is described in Note 9 to the Firm’s Consolidated Financial Statements in the 2018 Annual Report on pages 209-210. Our Annual Report may be accessed on our website at jpmorganchase.com, under Investor Relations. No stock options or SARs were granted to NEOs in 2018.</w:t>
      </w:r>
    </w:p>
    <w:p>
      <w:pPr>
        <w:spacing w:after="0" w:line="58" w:lineRule="exact"/>
        <w:rPr>
          <w:sz w:val="20"/>
          <w:szCs w:val="20"/>
          <w:color w:val="auto"/>
        </w:rPr>
      </w:pPr>
    </w:p>
    <w:p>
      <w:pPr>
        <w:ind w:left="420" w:right="280" w:hanging="176"/>
        <w:spacing w:after="0" w:line="208" w:lineRule="auto"/>
        <w:tabs>
          <w:tab w:leader="none" w:pos="420" w:val="left"/>
        </w:tabs>
        <w:numPr>
          <w:ilvl w:val="0"/>
          <w:numId w:val="129"/>
        </w:numPr>
        <w:rPr>
          <w:rFonts w:ascii="Arial" w:cs="Arial" w:eastAsia="Arial" w:hAnsi="Arial"/>
          <w:sz w:val="24"/>
          <w:szCs w:val="24"/>
          <w:color w:val="auto"/>
          <w:vertAlign w:val="superscript"/>
        </w:rPr>
      </w:pPr>
      <w:r>
        <w:rPr>
          <w:rFonts w:ascii="Arial" w:cs="Arial" w:eastAsia="Arial" w:hAnsi="Arial"/>
          <w:sz w:val="14"/>
          <w:szCs w:val="14"/>
          <w:color w:val="auto"/>
        </w:rPr>
        <w:t>Amounts for years 2018, 2017 and 2016 are the aggregate change in the actuarial present value of the accumulated benefits under all defined benefit pension plans (including supplemental plans). For 2018, Ms. Erdoes had a reduction in pension value in the amount of $(13,874). Amounts shown also include earnings in excess of 120% of the applicable federal rate on deferred compensation balances where the rate of return is not calculated in the same or in a similar manner as earnings on hypothetical investments available under the Firm’s qualified plans. For all NEOs this amount was $0 for each of 2018, 2017 and 2016.</w:t>
      </w:r>
    </w:p>
    <w:p>
      <w:pPr>
        <w:spacing w:after="0" w:line="58" w:lineRule="exact"/>
        <w:rPr>
          <w:sz w:val="20"/>
          <w:szCs w:val="20"/>
          <w:color w:val="auto"/>
        </w:rPr>
      </w:pPr>
    </w:p>
    <w:p>
      <w:pPr>
        <w:ind w:left="420" w:right="160" w:hanging="176"/>
        <w:spacing w:after="0" w:line="199" w:lineRule="auto"/>
        <w:tabs>
          <w:tab w:leader="none" w:pos="420" w:val="left"/>
        </w:tabs>
        <w:numPr>
          <w:ilvl w:val="0"/>
          <w:numId w:val="130"/>
        </w:numPr>
        <w:rPr>
          <w:rFonts w:ascii="Arial" w:cs="Arial" w:eastAsia="Arial" w:hAnsi="Arial"/>
          <w:sz w:val="24"/>
          <w:szCs w:val="24"/>
          <w:color w:val="auto"/>
          <w:vertAlign w:val="superscript"/>
        </w:rPr>
      </w:pPr>
      <w:r>
        <w:rPr>
          <w:rFonts w:ascii="Arial" w:cs="Arial" w:eastAsia="Arial" w:hAnsi="Arial"/>
          <w:sz w:val="14"/>
          <w:szCs w:val="14"/>
          <w:color w:val="auto"/>
        </w:rPr>
        <w:t>“All other compensation” includes tax planning and compliance assistance in connection with business travel and the cost, if any, for a named executive officer’s spouse to attend business-related events where spousal attendance is expected or customary. These did not exceed the greater of $25,000 or 10% of the named executive officer’s total perquisites and personal benefits except as specifically noted in the footnotes that follow.</w:t>
      </w:r>
    </w:p>
    <w:p>
      <w:pPr>
        <w:spacing w:after="0" w:line="58" w:lineRule="exact"/>
        <w:rPr>
          <w:sz w:val="20"/>
          <w:szCs w:val="20"/>
          <w:color w:val="auto"/>
        </w:rPr>
      </w:pPr>
    </w:p>
    <w:p>
      <w:pPr>
        <w:ind w:left="420" w:right="40" w:hanging="176"/>
        <w:spacing w:after="0" w:line="214" w:lineRule="auto"/>
        <w:tabs>
          <w:tab w:leader="none" w:pos="420" w:val="left"/>
        </w:tabs>
        <w:numPr>
          <w:ilvl w:val="0"/>
          <w:numId w:val="131"/>
        </w:numPr>
        <w:rPr>
          <w:rFonts w:ascii="Arial" w:cs="Arial" w:eastAsia="Arial" w:hAnsi="Arial"/>
          <w:sz w:val="24"/>
          <w:szCs w:val="24"/>
          <w:color w:val="auto"/>
          <w:vertAlign w:val="superscript"/>
        </w:rPr>
      </w:pPr>
      <w:r>
        <w:rPr>
          <w:rFonts w:ascii="Arial" w:cs="Arial" w:eastAsia="Arial" w:hAnsi="Arial"/>
          <w:sz w:val="14"/>
          <w:szCs w:val="14"/>
          <w:color w:val="auto"/>
        </w:rPr>
        <w:t>Mr. Dimon’s 2018 reported compensation is lower in the SCT ($30.0 million) than in the “NEO Compensation” table on page 57 ($31.0 million) due to a change in his year-over-year pay being delivered in equity. Pursuant to SEC rules, equity received for performance year 2017 ($23.0 million), which was granted in January 2018, is included in the 2018 SCT. For performance year 2018, Mr. Dimon’s equity compensation ($24.5 million, which was granted in January 2019), will be reported in the 2019 SCT. A portion of Mr. Dimon’s performance year 2018 compensation was not awarded in equity ($5 million was awarded in the form of a cash incentive with no year-over-year change), and is therefore included in the 2018 SCT. The SCT also includes the value of All Other Compensation of $519,840.</w:t>
      </w:r>
    </w:p>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65</w:t>
            </w:r>
          </w:p>
        </w:tc>
      </w:tr>
    </w:tbl>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224" w:lineRule="exact"/>
        <w:rPr>
          <w:sz w:val="20"/>
          <w:szCs w:val="20"/>
          <w:color w:val="auto"/>
        </w:rPr>
      </w:pPr>
    </w:p>
    <w:p>
      <w:pPr>
        <w:ind w:left="420" w:right="40" w:hanging="176"/>
        <w:spacing w:after="0"/>
        <w:tabs>
          <w:tab w:leader="none" w:pos="420" w:val="left"/>
        </w:tabs>
        <w:numPr>
          <w:ilvl w:val="0"/>
          <w:numId w:val="132"/>
        </w:numPr>
        <w:rPr>
          <w:rFonts w:ascii="Arial" w:cs="Arial" w:eastAsia="Arial" w:hAnsi="Arial"/>
          <w:sz w:val="24"/>
          <w:szCs w:val="24"/>
          <w:color w:val="auto"/>
          <w:vertAlign w:val="superscript"/>
        </w:rPr>
      </w:pPr>
      <w:r>
        <w:rPr>
          <w:rFonts w:ascii="Arial" w:cs="Arial" w:eastAsia="Arial" w:hAnsi="Arial"/>
          <w:sz w:val="14"/>
          <w:szCs w:val="14"/>
          <w:color w:val="auto"/>
        </w:rPr>
        <w:t>The “All other compensation” column for Mr. Dimon includes: $282,283 filing fee and related legal and accounting fees paid by the Firm on Mr. Dimon’s behalf under the Hart-Scott-Rodino Antitrust Improvements Act of 1976, in order for Mr. Dimon to maintain and increase his stock ownership in the Firm (this amount was imputed as income to Mr. Dimon); $165,653 for personal use of corporate aircraft; $32,258 for personal use of corporate cars; and $38,921 for the cost of residential and related security paid by the Firm. Mr. Dimon’s personal use of corporate aircraft and cars, and certain related security, is required pursuant to security measures approved by the Board.</w:t>
      </w:r>
    </w:p>
    <w:p>
      <w:pPr>
        <w:spacing w:after="0" w:line="118" w:lineRule="exact"/>
        <w:rPr>
          <w:rFonts w:ascii="Arial" w:cs="Arial" w:eastAsia="Arial" w:hAnsi="Arial"/>
          <w:sz w:val="24"/>
          <w:szCs w:val="24"/>
          <w:color w:val="auto"/>
          <w:vertAlign w:val="superscript"/>
        </w:rPr>
      </w:pPr>
    </w:p>
    <w:p>
      <w:pPr>
        <w:ind w:left="420"/>
        <w:spacing w:after="0"/>
        <w:rPr>
          <w:rFonts w:ascii="Arial" w:cs="Arial" w:eastAsia="Arial" w:hAnsi="Arial"/>
          <w:sz w:val="24"/>
          <w:szCs w:val="24"/>
          <w:color w:val="auto"/>
          <w:vertAlign w:val="superscript"/>
        </w:rPr>
      </w:pPr>
      <w:r>
        <w:rPr>
          <w:rFonts w:ascii="Arial" w:cs="Arial" w:eastAsia="Arial" w:hAnsi="Arial"/>
          <w:sz w:val="14"/>
          <w:szCs w:val="14"/>
          <w:color w:val="auto"/>
        </w:rPr>
        <w:t>Incremental  costs are determined as follows:</w:t>
      </w:r>
    </w:p>
    <w:p>
      <w:pPr>
        <w:spacing w:after="0" w:line="68" w:lineRule="exact"/>
        <w:rPr>
          <w:rFonts w:ascii="Arial" w:cs="Arial" w:eastAsia="Arial" w:hAnsi="Arial"/>
          <w:sz w:val="24"/>
          <w:szCs w:val="24"/>
          <w:color w:val="auto"/>
          <w:vertAlign w:val="superscript"/>
        </w:rPr>
      </w:pPr>
    </w:p>
    <w:p>
      <w:pPr>
        <w:ind w:left="680" w:right="220" w:hanging="247"/>
        <w:spacing w:after="0" w:line="241" w:lineRule="auto"/>
        <w:tabs>
          <w:tab w:leader="none" w:pos="631" w:val="left"/>
        </w:tabs>
        <w:numPr>
          <w:ilvl w:val="1"/>
          <w:numId w:val="132"/>
        </w:numPr>
        <w:rPr>
          <w:rFonts w:ascii="Arial" w:cs="Arial" w:eastAsia="Arial" w:hAnsi="Arial"/>
          <w:sz w:val="12"/>
          <w:szCs w:val="12"/>
          <w:color w:val="auto"/>
        </w:rPr>
      </w:pPr>
      <w:r>
        <w:rPr>
          <w:rFonts w:ascii="Arial" w:cs="Arial" w:eastAsia="Arial" w:hAnsi="Arial"/>
          <w:sz w:val="14"/>
          <w:szCs w:val="14"/>
          <w:color w:val="auto"/>
        </w:rPr>
        <w:t>Aircraft: operating cost per flight hour for the aircraft type used, developed by an independent reference source, including fuel, fuel additives and lubricants; landing and parking fees; crew expenses; small supplies and catering; maintenance, labor and parts; engine restoration costs; and a maintenance service plan.</w:t>
      </w:r>
    </w:p>
    <w:p>
      <w:pPr>
        <w:ind w:left="680" w:right="120" w:hanging="247"/>
        <w:spacing w:after="0" w:line="258" w:lineRule="auto"/>
        <w:tabs>
          <w:tab w:leader="none" w:pos="679" w:val="left"/>
        </w:tabs>
        <w:numPr>
          <w:ilvl w:val="1"/>
          <w:numId w:val="132"/>
        </w:numPr>
        <w:rPr>
          <w:rFonts w:ascii="Arial" w:cs="Arial" w:eastAsia="Arial" w:hAnsi="Arial"/>
          <w:sz w:val="12"/>
          <w:szCs w:val="12"/>
          <w:color w:val="auto"/>
        </w:rPr>
      </w:pPr>
      <w:r>
        <w:rPr>
          <w:rFonts w:ascii="Arial" w:cs="Arial" w:eastAsia="Arial" w:hAnsi="Arial"/>
          <w:sz w:val="14"/>
          <w:szCs w:val="14"/>
          <w:color w:val="auto"/>
        </w:rPr>
        <w:t>Cars: annual lease valuation of the assigned cars; annual insurance premiums; fuel expense; estimated annual maintenance; other miscellaneous expense; and annual drivers’ compensation, including salary, overtime, benefits and bonus. The resulting total is allocated between personal and business use based on mileage.</w:t>
      </w:r>
    </w:p>
    <w:p>
      <w:pPr>
        <w:ind w:left="440" w:hanging="222"/>
        <w:spacing w:after="0" w:line="201" w:lineRule="auto"/>
        <w:tabs>
          <w:tab w:leader="none" w:pos="440" w:val="left"/>
        </w:tabs>
        <w:numPr>
          <w:ilvl w:val="0"/>
          <w:numId w:val="133"/>
        </w:numPr>
        <w:rPr>
          <w:rFonts w:ascii="Arial" w:cs="Arial" w:eastAsia="Arial" w:hAnsi="Arial"/>
          <w:sz w:val="24"/>
          <w:szCs w:val="24"/>
          <w:color w:val="auto"/>
          <w:vertAlign w:val="superscript"/>
        </w:rPr>
      </w:pPr>
      <w:r>
        <w:rPr>
          <w:rFonts w:ascii="Arial" w:cs="Arial" w:eastAsia="Arial" w:hAnsi="Arial"/>
          <w:sz w:val="14"/>
          <w:szCs w:val="14"/>
          <w:color w:val="auto"/>
        </w:rPr>
        <w:t>The 2017 amount has been revised.</w:t>
      </w:r>
    </w:p>
    <w:p>
      <w:pPr>
        <w:spacing w:after="0" w:line="57" w:lineRule="exact"/>
        <w:rPr>
          <w:sz w:val="20"/>
          <w:szCs w:val="20"/>
          <w:color w:val="auto"/>
        </w:rPr>
      </w:pPr>
    </w:p>
    <w:p>
      <w:pPr>
        <w:ind w:left="440" w:hanging="222"/>
        <w:spacing w:after="0" w:line="225" w:lineRule="auto"/>
        <w:tabs>
          <w:tab w:leader="none" w:pos="440" w:val="left"/>
        </w:tabs>
        <w:numPr>
          <w:ilvl w:val="0"/>
          <w:numId w:val="134"/>
        </w:numPr>
        <w:rPr>
          <w:rFonts w:ascii="Arial" w:cs="Arial" w:eastAsia="Arial" w:hAnsi="Arial"/>
          <w:sz w:val="24"/>
          <w:szCs w:val="24"/>
          <w:color w:val="auto"/>
          <w:vertAlign w:val="superscript"/>
        </w:rPr>
      </w:pPr>
      <w:r>
        <w:rPr>
          <w:rFonts w:ascii="Arial" w:cs="Arial" w:eastAsia="Arial" w:hAnsi="Arial"/>
          <w:sz w:val="14"/>
          <w:szCs w:val="14"/>
          <w:color w:val="auto"/>
        </w:rPr>
        <w:t>Since Mr. Pinto is located in the U.K., the terms and composition of his compensation reflect the requirements of local regulations, including changes that came into effect in 2014 to comply with the Capital Requirements Directive IV. These requirements include that at least 60% of his incentive compensation is deferred, and that his incentive compensation is not more than twice his fixed compensation in respect of any given performance year. Mr. Pinto’s fixed compensation is comprised of salary and an annual cash fixed allowance, which from June 2017, has been payable in equal monthly installments. Mr. Pinto’s salary of £475,000 is denominated and paid in pound sterling (“GBP”) and his fixed allowance of $7,635,000 is denominated in USD and paid in GBP. Both are unchanged since 2016. The CMDC elected to defer 100% of Mr. Pinto’s variable compensation into equity – 50% into RSUs and 50% into PSUs – in order to maintain a comparable deferred equity portion to similarly situated Firm employees. For the purposes of this table, a blended applicable rate of 1.34953 U.S. dollars per GBP, which was based on a 10-month average rate, has been used to convert Mr. Pinto’s salary to U.S. dollars for 2018. The blended applicable rates used to convert Mr. Pinto’s salary for 2017 and 2016 were 1.27079 and 1.40681 U.S. dollars per GBP, respectively.</w:t>
      </w:r>
    </w:p>
    <w:p>
      <w:pPr>
        <w:spacing w:after="0" w:line="60" w:lineRule="exact"/>
        <w:rPr>
          <w:sz w:val="20"/>
          <w:szCs w:val="20"/>
          <w:color w:val="auto"/>
        </w:rPr>
      </w:pPr>
    </w:p>
    <w:p>
      <w:pPr>
        <w:ind w:left="460" w:right="560" w:hanging="243"/>
        <w:spacing w:after="0" w:line="183" w:lineRule="auto"/>
        <w:tabs>
          <w:tab w:leader="none" w:pos="460" w:val="left"/>
        </w:tabs>
        <w:numPr>
          <w:ilvl w:val="0"/>
          <w:numId w:val="135"/>
        </w:numPr>
        <w:rPr>
          <w:rFonts w:ascii="Arial" w:cs="Arial" w:eastAsia="Arial" w:hAnsi="Arial"/>
          <w:sz w:val="24"/>
          <w:szCs w:val="24"/>
          <w:color w:val="auto"/>
          <w:vertAlign w:val="superscript"/>
        </w:rPr>
      </w:pPr>
      <w:r>
        <w:rPr>
          <w:rFonts w:ascii="Arial" w:cs="Arial" w:eastAsia="Arial" w:hAnsi="Arial"/>
          <w:sz w:val="14"/>
          <w:szCs w:val="14"/>
          <w:color w:val="auto"/>
        </w:rPr>
        <w:t>The “All other compensation” column for Mr. Pinto includes $22,488 in employer contributions to a non-U.S. defined contribution plan; $29,165 in tax compliance assistance for non-U.K. business travel; $5,345 for personal use of cars; and $11,550 for spousal travel related to business events.</w:t>
      </w:r>
    </w:p>
    <w:p>
      <w:pPr>
        <w:spacing w:after="0" w:line="1" w:lineRule="exact"/>
        <w:rPr>
          <w:rFonts w:ascii="Arial" w:cs="Arial" w:eastAsia="Arial" w:hAnsi="Arial"/>
          <w:sz w:val="24"/>
          <w:szCs w:val="24"/>
          <w:color w:val="auto"/>
          <w:vertAlign w:val="superscript"/>
        </w:rPr>
      </w:pPr>
    </w:p>
    <w:p>
      <w:pPr>
        <w:ind w:left="460" w:hanging="243"/>
        <w:spacing w:after="0" w:line="199" w:lineRule="auto"/>
        <w:tabs>
          <w:tab w:leader="none" w:pos="460" w:val="left"/>
        </w:tabs>
        <w:numPr>
          <w:ilvl w:val="0"/>
          <w:numId w:val="135"/>
        </w:numPr>
        <w:rPr>
          <w:rFonts w:ascii="Arial" w:cs="Arial" w:eastAsia="Arial" w:hAnsi="Arial"/>
          <w:sz w:val="24"/>
          <w:szCs w:val="24"/>
          <w:color w:val="auto"/>
          <w:vertAlign w:val="superscript"/>
        </w:rPr>
      </w:pPr>
      <w:r>
        <w:rPr>
          <w:rFonts w:ascii="Arial" w:cs="Arial" w:eastAsia="Arial" w:hAnsi="Arial"/>
          <w:sz w:val="14"/>
          <w:szCs w:val="14"/>
          <w:color w:val="auto"/>
        </w:rPr>
        <w:t>Mr. Smith was not a NEO in 2016.</w:t>
      </w:r>
    </w:p>
    <w:p>
      <w:pPr>
        <w:spacing w:after="0" w:line="58" w:lineRule="exact"/>
        <w:rPr>
          <w:rFonts w:ascii="Arial" w:cs="Arial" w:eastAsia="Arial" w:hAnsi="Arial"/>
          <w:sz w:val="24"/>
          <w:szCs w:val="24"/>
          <w:color w:val="auto"/>
          <w:vertAlign w:val="superscript"/>
        </w:rPr>
      </w:pPr>
    </w:p>
    <w:p>
      <w:pPr>
        <w:ind w:left="460" w:right="60" w:hanging="243"/>
        <w:spacing w:after="0" w:line="208" w:lineRule="auto"/>
        <w:tabs>
          <w:tab w:leader="none" w:pos="460" w:val="left"/>
        </w:tabs>
        <w:numPr>
          <w:ilvl w:val="0"/>
          <w:numId w:val="135"/>
        </w:numPr>
        <w:rPr>
          <w:rFonts w:ascii="Arial" w:cs="Arial" w:eastAsia="Arial" w:hAnsi="Arial"/>
          <w:sz w:val="24"/>
          <w:szCs w:val="24"/>
          <w:color w:val="auto"/>
          <w:vertAlign w:val="superscript"/>
        </w:rPr>
      </w:pPr>
      <w:r>
        <w:rPr>
          <w:rFonts w:ascii="Arial" w:cs="Arial" w:eastAsia="Arial" w:hAnsi="Arial"/>
          <w:sz w:val="14"/>
          <w:szCs w:val="14"/>
          <w:color w:val="auto"/>
        </w:rPr>
        <w:t>The “All other compensation” column for Ms. Lake includes $22,834 in employer contributions to a non-U.S. defined contribution plan and $37,667 for tax settlement payments made on behalf of Ms. Lake in connection with her international assignment at the Firm’s request and consistent with the Firm’s policy for employees working on international assignments. The Firm’s expatriate assignment policy provides that the Firm will be responsible for any incremental U.S. and state income taxes due on home-country employer-provided benefits that would not otherwise be taxable to the employee in their home country.</w:t>
      </w:r>
    </w:p>
    <w:p>
      <w:pPr>
        <w:spacing w:after="0" w:line="128"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66</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960"/>
        <w:spacing w:after="0"/>
        <w:rPr>
          <w:sz w:val="20"/>
          <w:szCs w:val="20"/>
          <w:color w:val="auto"/>
        </w:rPr>
      </w:pPr>
      <w:r>
        <w:rPr>
          <w:rFonts w:ascii="Arial" w:cs="Arial" w:eastAsia="Arial" w:hAnsi="Arial"/>
          <w:sz w:val="16"/>
          <w:szCs w:val="16"/>
          <w:color w:val="333333"/>
        </w:rPr>
        <w:t>EXECUTIVE COMPENSATION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II. 2018 GRANTS OF PLAN-BASED AWARDS</w:t>
      </w:r>
      <w:r>
        <w:rPr>
          <w:rFonts w:ascii="Arial" w:cs="Arial" w:eastAsia="Arial" w:hAnsi="Arial"/>
          <w:sz w:val="15"/>
          <w:szCs w:val="15"/>
          <w:b w:val="1"/>
          <w:bCs w:val="1"/>
          <w:color w:val="auto"/>
        </w:rPr>
        <w:t>1</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grants of plan-based awards made in 2018 for the 2017 performance year.</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Estimated Future Payout Under Equity</w:t>
            </w: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9"/>
        </w:trPr>
        <w:tc>
          <w:tcPr>
            <w:tcW w:w="2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20" w:type="dxa"/>
            <w:vAlign w:val="bottom"/>
            <w:gridSpan w:val="3"/>
          </w:tcPr>
          <w:p>
            <w:pPr>
              <w:jc w:val="center"/>
              <w:spacing w:after="0" w:line="179" w:lineRule="exact"/>
              <w:rPr>
                <w:sz w:val="20"/>
                <w:szCs w:val="20"/>
                <w:color w:val="auto"/>
              </w:rPr>
            </w:pPr>
            <w:r>
              <w:rPr>
                <w:rFonts w:ascii="Arial" w:cs="Arial" w:eastAsia="Arial" w:hAnsi="Arial"/>
                <w:sz w:val="12"/>
                <w:szCs w:val="12"/>
                <w:b w:val="1"/>
                <w:bCs w:val="1"/>
                <w:color w:val="auto"/>
              </w:rPr>
              <w:t>Incentive Plan Awards (PSUs)</w:t>
            </w:r>
            <w:r>
              <w:rPr>
                <w:rFonts w:ascii="Arial" w:cs="Arial" w:eastAsia="Arial" w:hAnsi="Arial"/>
                <w:sz w:val="20"/>
                <w:szCs w:val="20"/>
                <w:b w:val="1"/>
                <w:bCs w:val="1"/>
                <w:color w:val="auto"/>
                <w:vertAlign w:val="superscript"/>
              </w:rPr>
              <w:t>2</w:t>
            </w:r>
          </w:p>
        </w:tc>
        <w:tc>
          <w:tcPr>
            <w:tcW w:w="1840" w:type="dxa"/>
            <w:vAlign w:val="bottom"/>
            <w:gridSpan w:val="2"/>
          </w:tcPr>
          <w:p>
            <w:pPr>
              <w:jc w:val="right"/>
              <w:spacing w:after="0" w:line="179" w:lineRule="exact"/>
              <w:rPr>
                <w:sz w:val="20"/>
                <w:szCs w:val="20"/>
                <w:color w:val="auto"/>
              </w:rPr>
            </w:pPr>
            <w:r>
              <w:rPr>
                <w:rFonts w:ascii="Arial" w:cs="Arial" w:eastAsia="Arial" w:hAnsi="Arial"/>
                <w:sz w:val="12"/>
                <w:szCs w:val="12"/>
                <w:b w:val="1"/>
                <w:bCs w:val="1"/>
                <w:color w:val="auto"/>
              </w:rPr>
              <w:t>Stock awards (RSUs)</w:t>
            </w:r>
            <w:r>
              <w:rPr>
                <w:rFonts w:ascii="Arial" w:cs="Arial" w:eastAsia="Arial" w:hAnsi="Arial"/>
                <w:sz w:val="20"/>
                <w:szCs w:val="20"/>
                <w:b w:val="1"/>
                <w:bCs w:val="1"/>
                <w:color w:val="auto"/>
                <w:vertAlign w:val="superscript"/>
              </w:rPr>
              <w:t>3</w:t>
            </w:r>
          </w:p>
        </w:tc>
        <w:tc>
          <w:tcPr>
            <w:tcW w:w="1280" w:type="dxa"/>
            <w:vAlign w:val="bottom"/>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40" w:type="dxa"/>
            <w:vAlign w:val="bottom"/>
            <w:tcBorders>
              <w:top w:val="single" w:sz="8" w:color="004876"/>
            </w:tcBorders>
          </w:tcPr>
          <w:p>
            <w:pPr>
              <w:spacing w:after="0"/>
              <w:rPr>
                <w:sz w:val="12"/>
                <w:szCs w:val="12"/>
                <w:color w:val="auto"/>
              </w:rPr>
            </w:pPr>
          </w:p>
        </w:tc>
        <w:tc>
          <w:tcPr>
            <w:tcW w:w="940" w:type="dxa"/>
            <w:vAlign w:val="bottom"/>
            <w:tcBorders>
              <w:top w:val="single" w:sz="8" w:color="004876"/>
            </w:tcBorders>
          </w:tcPr>
          <w:p>
            <w:pPr>
              <w:spacing w:after="0"/>
              <w:rPr>
                <w:sz w:val="12"/>
                <w:szCs w:val="12"/>
                <w:color w:val="auto"/>
              </w:rPr>
            </w:pPr>
          </w:p>
        </w:tc>
        <w:tc>
          <w:tcPr>
            <w:tcW w:w="1040" w:type="dxa"/>
            <w:vAlign w:val="bottom"/>
            <w:tcBorders>
              <w:top w:val="single" w:sz="8" w:color="004876"/>
            </w:tcBorders>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Borders>
              <w:top w:val="single" w:sz="8" w:color="004876"/>
            </w:tcBorders>
          </w:tcPr>
          <w:p>
            <w:pPr>
              <w:jc w:val="right"/>
              <w:spacing w:after="0" w:line="143" w:lineRule="exact"/>
              <w:rPr>
                <w:sz w:val="20"/>
                <w:szCs w:val="20"/>
                <w:color w:val="auto"/>
              </w:rPr>
            </w:pPr>
            <w:r>
              <w:rPr>
                <w:rFonts w:ascii="Arial" w:cs="Arial" w:eastAsia="Arial" w:hAnsi="Arial"/>
                <w:sz w:val="14"/>
                <w:szCs w:val="14"/>
                <w:b w:val="1"/>
                <w:bCs w:val="1"/>
                <w:color w:val="auto"/>
              </w:rPr>
              <w:t>Number of shares of</w:t>
            </w:r>
          </w:p>
        </w:tc>
        <w:tc>
          <w:tcPr>
            <w:tcW w:w="1280" w:type="dxa"/>
            <w:vAlign w:val="bottom"/>
          </w:tcPr>
          <w:p>
            <w:pPr>
              <w:spacing w:after="0"/>
              <w:rPr>
                <w:sz w:val="12"/>
                <w:szCs w:val="12"/>
                <w:color w:val="auto"/>
              </w:rPr>
            </w:pPr>
          </w:p>
        </w:tc>
      </w:tr>
      <w:tr>
        <w:trPr>
          <w:trHeight w:val="159"/>
        </w:trPr>
        <w:tc>
          <w:tcPr>
            <w:tcW w:w="2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restricted</w:t>
            </w:r>
          </w:p>
        </w:tc>
        <w:tc>
          <w:tcPr>
            <w:tcW w:w="12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Grant date</w:t>
            </w:r>
          </w:p>
        </w:tc>
      </w:tr>
      <w:tr>
        <w:trPr>
          <w:trHeight w:val="192"/>
        </w:trPr>
        <w:tc>
          <w:tcPr>
            <w:tcW w:w="270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Name</w:t>
            </w:r>
          </w:p>
        </w:tc>
        <w:tc>
          <w:tcPr>
            <w:tcW w:w="2180" w:type="dxa"/>
            <w:vAlign w:val="bottom"/>
            <w:tcBorders>
              <w:bottom w:val="single" w:sz="8" w:color="004876"/>
            </w:tcBorders>
          </w:tcPr>
          <w:p>
            <w:pPr>
              <w:jc w:val="right"/>
              <w:ind w:right="228"/>
              <w:spacing w:after="0"/>
              <w:rPr>
                <w:sz w:val="20"/>
                <w:szCs w:val="20"/>
                <w:color w:val="auto"/>
              </w:rPr>
            </w:pPr>
            <w:r>
              <w:rPr>
                <w:rFonts w:ascii="Arial" w:cs="Arial" w:eastAsia="Arial" w:hAnsi="Arial"/>
                <w:sz w:val="14"/>
                <w:szCs w:val="14"/>
                <w:b w:val="1"/>
                <w:bCs w:val="1"/>
                <w:color w:val="auto"/>
              </w:rPr>
              <w:t>Grant date</w:t>
            </w:r>
          </w:p>
        </w:tc>
        <w:tc>
          <w:tcPr>
            <w:tcW w:w="1040" w:type="dxa"/>
            <w:vAlign w:val="bottom"/>
            <w:tcBorders>
              <w:bottom w:val="single" w:sz="8" w:color="004876"/>
            </w:tcBorders>
          </w:tcPr>
          <w:p>
            <w:pPr>
              <w:jc w:val="center"/>
              <w:ind w:right="49"/>
              <w:spacing w:after="0"/>
              <w:rPr>
                <w:sz w:val="20"/>
                <w:szCs w:val="20"/>
                <w:color w:val="auto"/>
              </w:rPr>
            </w:pPr>
            <w:r>
              <w:rPr>
                <w:rFonts w:ascii="Arial" w:cs="Arial" w:eastAsia="Arial" w:hAnsi="Arial"/>
                <w:sz w:val="14"/>
                <w:szCs w:val="14"/>
                <w:b w:val="1"/>
                <w:bCs w:val="1"/>
                <w:color w:val="auto"/>
              </w:rPr>
              <w:t>Threshold (#)</w:t>
            </w:r>
          </w:p>
        </w:tc>
        <w:tc>
          <w:tcPr>
            <w:tcW w:w="940" w:type="dxa"/>
            <w:vAlign w:val="bottom"/>
            <w:tcBorders>
              <w:bottom w:val="single" w:sz="8" w:color="004876"/>
            </w:tcBorders>
          </w:tcPr>
          <w:p>
            <w:pPr>
              <w:jc w:val="center"/>
              <w:spacing w:after="0"/>
              <w:rPr>
                <w:sz w:val="20"/>
                <w:szCs w:val="20"/>
                <w:color w:val="auto"/>
              </w:rPr>
            </w:pPr>
            <w:r>
              <w:rPr>
                <w:rFonts w:ascii="Arial" w:cs="Arial" w:eastAsia="Arial" w:hAnsi="Arial"/>
                <w:sz w:val="14"/>
                <w:szCs w:val="14"/>
                <w:b w:val="1"/>
                <w:bCs w:val="1"/>
                <w:color w:val="auto"/>
              </w:rPr>
              <w:t>Target (#)</w:t>
            </w:r>
          </w:p>
        </w:tc>
        <w:tc>
          <w:tcPr>
            <w:tcW w:w="104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Maximum (#)</w:t>
            </w:r>
          </w:p>
        </w:tc>
        <w:tc>
          <w:tcPr>
            <w:tcW w:w="320" w:type="dxa"/>
            <w:vAlign w:val="bottom"/>
            <w:tcBorders>
              <w:bottom w:val="single" w:sz="8" w:color="004876"/>
            </w:tcBorders>
          </w:tcPr>
          <w:p>
            <w:pPr>
              <w:spacing w:after="0"/>
              <w:rPr>
                <w:sz w:val="16"/>
                <w:szCs w:val="16"/>
                <w:color w:val="auto"/>
              </w:rPr>
            </w:pPr>
          </w:p>
        </w:tc>
        <w:tc>
          <w:tcPr>
            <w:tcW w:w="152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stock or units (#)</w:t>
            </w:r>
          </w:p>
        </w:tc>
        <w:tc>
          <w:tcPr>
            <w:tcW w:w="1280" w:type="dxa"/>
            <w:vAlign w:val="bottom"/>
            <w:tcBorders>
              <w:bottom w:val="single" w:sz="8" w:color="004876"/>
            </w:tcBorders>
          </w:tcPr>
          <w:p>
            <w:pPr>
              <w:jc w:val="right"/>
              <w:spacing w:after="0" w:line="192" w:lineRule="exact"/>
              <w:rPr>
                <w:sz w:val="20"/>
                <w:szCs w:val="20"/>
                <w:color w:val="auto"/>
              </w:rPr>
            </w:pPr>
            <w:r>
              <w:rPr>
                <w:rFonts w:ascii="Arial" w:cs="Arial" w:eastAsia="Arial" w:hAnsi="Arial"/>
                <w:sz w:val="13"/>
                <w:szCs w:val="13"/>
                <w:b w:val="1"/>
                <w:bCs w:val="1"/>
                <w:color w:val="auto"/>
              </w:rPr>
              <w:t>fair value ($)</w:t>
            </w:r>
            <w:r>
              <w:rPr>
                <w:rFonts w:ascii="Arial" w:cs="Arial" w:eastAsia="Arial" w:hAnsi="Arial"/>
                <w:sz w:val="22"/>
                <w:szCs w:val="22"/>
                <w:b w:val="1"/>
                <w:bCs w:val="1"/>
                <w:color w:val="auto"/>
                <w:vertAlign w:val="superscript"/>
              </w:rPr>
              <w:t>4</w:t>
            </w:r>
          </w:p>
        </w:tc>
      </w:tr>
      <w:tr>
        <w:trPr>
          <w:trHeight w:val="198"/>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James Dimon</w:t>
            </w:r>
          </w:p>
        </w:tc>
        <w:tc>
          <w:tcPr>
            <w:tcW w:w="2180" w:type="dxa"/>
            <w:vAlign w:val="bottom"/>
          </w:tcPr>
          <w:p>
            <w:pPr>
              <w:jc w:val="right"/>
              <w:ind w:right="228"/>
              <w:spacing w:after="0"/>
              <w:rPr>
                <w:sz w:val="20"/>
                <w:szCs w:val="20"/>
                <w:color w:val="auto"/>
              </w:rPr>
            </w:pPr>
            <w:r>
              <w:rPr>
                <w:rFonts w:ascii="Arial" w:cs="Arial" w:eastAsia="Arial" w:hAnsi="Arial"/>
                <w:sz w:val="14"/>
                <w:szCs w:val="14"/>
                <w:color w:val="auto"/>
              </w:rPr>
              <w:t>1/16/2018</w:t>
            </w:r>
          </w:p>
        </w:tc>
        <w:tc>
          <w:tcPr>
            <w:tcW w:w="104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204,900</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307,350</w:t>
            </w:r>
          </w:p>
        </w:tc>
        <w:tc>
          <w:tcPr>
            <w:tcW w:w="320" w:type="dxa"/>
            <w:vAlign w:val="bottom"/>
          </w:tcPr>
          <w:p>
            <w:pPr>
              <w:spacing w:after="0"/>
              <w:rPr>
                <w:sz w:val="17"/>
                <w:szCs w:val="17"/>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  23,000,000</w:t>
            </w:r>
          </w:p>
        </w:tc>
      </w:tr>
      <w:tr>
        <w:trPr>
          <w:trHeight w:val="26"/>
        </w:trPr>
        <w:tc>
          <w:tcPr>
            <w:tcW w:w="2700" w:type="dxa"/>
            <w:vAlign w:val="bottom"/>
            <w:tcBorders>
              <w:bottom w:val="single" w:sz="8" w:color="336C91"/>
            </w:tcBorders>
          </w:tcPr>
          <w:p>
            <w:pPr>
              <w:spacing w:after="0"/>
              <w:rPr>
                <w:sz w:val="2"/>
                <w:szCs w:val="2"/>
                <w:color w:val="auto"/>
              </w:rPr>
            </w:pPr>
          </w:p>
        </w:tc>
        <w:tc>
          <w:tcPr>
            <w:tcW w:w="2180" w:type="dxa"/>
            <w:vAlign w:val="bottom"/>
            <w:tcBorders>
              <w:bottom w:val="single" w:sz="8" w:color="336C91"/>
            </w:tcBorders>
          </w:tcPr>
          <w:p>
            <w:pPr>
              <w:spacing w:after="0"/>
              <w:rPr>
                <w:sz w:val="2"/>
                <w:szCs w:val="2"/>
                <w:color w:val="auto"/>
              </w:rPr>
            </w:pPr>
          </w:p>
        </w:tc>
        <w:tc>
          <w:tcPr>
            <w:tcW w:w="1040" w:type="dxa"/>
            <w:vAlign w:val="bottom"/>
            <w:tcBorders>
              <w:bottom w:val="single" w:sz="8" w:color="336C91"/>
            </w:tcBorders>
          </w:tcPr>
          <w:p>
            <w:pPr>
              <w:spacing w:after="0"/>
              <w:rPr>
                <w:sz w:val="2"/>
                <w:szCs w:val="2"/>
                <w:color w:val="auto"/>
              </w:rPr>
            </w:pPr>
          </w:p>
        </w:tc>
        <w:tc>
          <w:tcPr>
            <w:tcW w:w="940" w:type="dxa"/>
            <w:vAlign w:val="bottom"/>
            <w:tcBorders>
              <w:bottom w:val="single" w:sz="8" w:color="336C91"/>
            </w:tcBorders>
          </w:tcPr>
          <w:p>
            <w:pPr>
              <w:spacing w:after="0"/>
              <w:rPr>
                <w:sz w:val="2"/>
                <w:szCs w:val="2"/>
                <w:color w:val="auto"/>
              </w:rPr>
            </w:pPr>
          </w:p>
        </w:tc>
        <w:tc>
          <w:tcPr>
            <w:tcW w:w="1040" w:type="dxa"/>
            <w:vAlign w:val="bottom"/>
            <w:tcBorders>
              <w:bottom w:val="single" w:sz="8" w:color="336C91"/>
            </w:tcBorders>
          </w:tcPr>
          <w:p>
            <w:pPr>
              <w:spacing w:after="0"/>
              <w:rPr>
                <w:sz w:val="2"/>
                <w:szCs w:val="2"/>
                <w:color w:val="auto"/>
              </w:rPr>
            </w:pPr>
          </w:p>
        </w:tc>
        <w:tc>
          <w:tcPr>
            <w:tcW w:w="320" w:type="dxa"/>
            <w:vAlign w:val="bottom"/>
            <w:tcBorders>
              <w:bottom w:val="single" w:sz="8" w:color="336C91"/>
            </w:tcBorders>
          </w:tcPr>
          <w:p>
            <w:pPr>
              <w:spacing w:after="0"/>
              <w:rPr>
                <w:sz w:val="2"/>
                <w:szCs w:val="2"/>
                <w:color w:val="auto"/>
              </w:rPr>
            </w:pPr>
          </w:p>
        </w:tc>
        <w:tc>
          <w:tcPr>
            <w:tcW w:w="1520" w:type="dxa"/>
            <w:vAlign w:val="bottom"/>
            <w:tcBorders>
              <w:bottom w:val="single" w:sz="8" w:color="336C91"/>
            </w:tcBorders>
          </w:tcPr>
          <w:p>
            <w:pPr>
              <w:spacing w:after="0"/>
              <w:rPr>
                <w:sz w:val="2"/>
                <w:szCs w:val="2"/>
                <w:color w:val="auto"/>
              </w:rPr>
            </w:pPr>
          </w:p>
        </w:tc>
        <w:tc>
          <w:tcPr>
            <w:tcW w:w="1280" w:type="dxa"/>
            <w:vAlign w:val="bottom"/>
            <w:tcBorders>
              <w:bottom w:val="single" w:sz="8" w:color="336C91"/>
            </w:tcBorders>
          </w:tcPr>
          <w:p>
            <w:pPr>
              <w:spacing w:after="0"/>
              <w:rPr>
                <w:sz w:val="2"/>
                <w:szCs w:val="2"/>
                <w:color w:val="auto"/>
              </w:rPr>
            </w:pPr>
          </w:p>
        </w:tc>
      </w:tr>
      <w:tr>
        <w:trPr>
          <w:trHeight w:val="198"/>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Daniel Pinto</w:t>
            </w:r>
          </w:p>
        </w:tc>
        <w:tc>
          <w:tcPr>
            <w:tcW w:w="2180" w:type="dxa"/>
            <w:vAlign w:val="bottom"/>
          </w:tcPr>
          <w:p>
            <w:pPr>
              <w:jc w:val="right"/>
              <w:ind w:right="228"/>
              <w:spacing w:after="0"/>
              <w:rPr>
                <w:sz w:val="20"/>
                <w:szCs w:val="20"/>
                <w:color w:val="auto"/>
              </w:rPr>
            </w:pPr>
            <w:r>
              <w:rPr>
                <w:rFonts w:ascii="Arial" w:cs="Arial" w:eastAsia="Arial" w:hAnsi="Arial"/>
                <w:sz w:val="14"/>
                <w:szCs w:val="14"/>
                <w:color w:val="auto"/>
              </w:rPr>
              <w:t>1/16/2018</w:t>
            </w:r>
          </w:p>
        </w:tc>
        <w:tc>
          <w:tcPr>
            <w:tcW w:w="104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368"/>
              <w:spacing w:after="0"/>
              <w:rPr>
                <w:sz w:val="20"/>
                <w:szCs w:val="20"/>
                <w:color w:val="auto"/>
              </w:rPr>
            </w:pPr>
            <w:r>
              <w:rPr>
                <w:rFonts w:ascii="Arial" w:cs="Arial" w:eastAsia="Arial" w:hAnsi="Arial"/>
                <w:sz w:val="14"/>
                <w:szCs w:val="14"/>
                <w:color w:val="auto"/>
              </w:rPr>
              <w:t>63,680</w:t>
            </w:r>
          </w:p>
        </w:tc>
        <w:tc>
          <w:tcPr>
            <w:tcW w:w="1280" w:type="dxa"/>
            <w:vAlign w:val="bottom"/>
          </w:tcPr>
          <w:p>
            <w:pPr>
              <w:jc w:val="right"/>
              <w:spacing w:after="0"/>
              <w:rPr>
                <w:sz w:val="20"/>
                <w:szCs w:val="20"/>
                <w:color w:val="auto"/>
              </w:rPr>
            </w:pPr>
            <w:r>
              <w:rPr>
                <w:rFonts w:ascii="Arial" w:cs="Arial" w:eastAsia="Arial" w:hAnsi="Arial"/>
                <w:sz w:val="14"/>
                <w:szCs w:val="14"/>
                <w:color w:val="auto"/>
              </w:rPr>
              <w:t>6,380,686</w:t>
            </w:r>
          </w:p>
        </w:tc>
      </w:tr>
      <w:tr>
        <w:trPr>
          <w:trHeight w:val="230"/>
        </w:trPr>
        <w:tc>
          <w:tcPr>
            <w:tcW w:w="2700" w:type="dxa"/>
            <w:vAlign w:val="bottom"/>
          </w:tcPr>
          <w:p>
            <w:pPr>
              <w:spacing w:after="0"/>
              <w:rPr>
                <w:sz w:val="19"/>
                <w:szCs w:val="19"/>
                <w:color w:val="auto"/>
              </w:rPr>
            </w:pPr>
          </w:p>
        </w:tc>
        <w:tc>
          <w:tcPr>
            <w:tcW w:w="2180" w:type="dxa"/>
            <w:vAlign w:val="bottom"/>
          </w:tcPr>
          <w:p>
            <w:pPr>
              <w:jc w:val="right"/>
              <w:ind w:right="228"/>
              <w:spacing w:after="0"/>
              <w:rPr>
                <w:sz w:val="20"/>
                <w:szCs w:val="20"/>
                <w:color w:val="auto"/>
              </w:rPr>
            </w:pPr>
            <w:r>
              <w:rPr>
                <w:rFonts w:ascii="Arial" w:cs="Arial" w:eastAsia="Arial" w:hAnsi="Arial"/>
                <w:sz w:val="14"/>
                <w:szCs w:val="14"/>
                <w:color w:val="auto"/>
              </w:rPr>
              <w:t>1/16/2018</w:t>
            </w:r>
          </w:p>
        </w:tc>
        <w:tc>
          <w:tcPr>
            <w:tcW w:w="104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65,076</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97,614</w:t>
            </w:r>
          </w:p>
        </w:tc>
        <w:tc>
          <w:tcPr>
            <w:tcW w:w="320" w:type="dxa"/>
            <w:vAlign w:val="bottom"/>
          </w:tcPr>
          <w:p>
            <w:pPr>
              <w:spacing w:after="0"/>
              <w:rPr>
                <w:sz w:val="19"/>
                <w:szCs w:val="19"/>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6,380,686</w:t>
            </w:r>
          </w:p>
        </w:tc>
      </w:tr>
      <w:tr>
        <w:trPr>
          <w:trHeight w:val="26"/>
        </w:trPr>
        <w:tc>
          <w:tcPr>
            <w:tcW w:w="2700" w:type="dxa"/>
            <w:vAlign w:val="bottom"/>
            <w:tcBorders>
              <w:bottom w:val="single" w:sz="8" w:color="336C91"/>
            </w:tcBorders>
          </w:tcPr>
          <w:p>
            <w:pPr>
              <w:spacing w:after="0"/>
              <w:rPr>
                <w:sz w:val="2"/>
                <w:szCs w:val="2"/>
                <w:color w:val="auto"/>
              </w:rPr>
            </w:pPr>
          </w:p>
        </w:tc>
        <w:tc>
          <w:tcPr>
            <w:tcW w:w="2180" w:type="dxa"/>
            <w:vAlign w:val="bottom"/>
            <w:tcBorders>
              <w:bottom w:val="single" w:sz="8" w:color="336C91"/>
            </w:tcBorders>
          </w:tcPr>
          <w:p>
            <w:pPr>
              <w:spacing w:after="0"/>
              <w:rPr>
                <w:sz w:val="2"/>
                <w:szCs w:val="2"/>
                <w:color w:val="auto"/>
              </w:rPr>
            </w:pPr>
          </w:p>
        </w:tc>
        <w:tc>
          <w:tcPr>
            <w:tcW w:w="1040" w:type="dxa"/>
            <w:vAlign w:val="bottom"/>
            <w:tcBorders>
              <w:bottom w:val="single" w:sz="8" w:color="336C91"/>
            </w:tcBorders>
          </w:tcPr>
          <w:p>
            <w:pPr>
              <w:spacing w:after="0"/>
              <w:rPr>
                <w:sz w:val="2"/>
                <w:szCs w:val="2"/>
                <w:color w:val="auto"/>
              </w:rPr>
            </w:pPr>
          </w:p>
        </w:tc>
        <w:tc>
          <w:tcPr>
            <w:tcW w:w="940" w:type="dxa"/>
            <w:vAlign w:val="bottom"/>
            <w:tcBorders>
              <w:bottom w:val="single" w:sz="8" w:color="336C91"/>
            </w:tcBorders>
          </w:tcPr>
          <w:p>
            <w:pPr>
              <w:spacing w:after="0"/>
              <w:rPr>
                <w:sz w:val="2"/>
                <w:szCs w:val="2"/>
                <w:color w:val="auto"/>
              </w:rPr>
            </w:pPr>
          </w:p>
        </w:tc>
        <w:tc>
          <w:tcPr>
            <w:tcW w:w="1040" w:type="dxa"/>
            <w:vAlign w:val="bottom"/>
            <w:tcBorders>
              <w:bottom w:val="single" w:sz="8" w:color="336C91"/>
            </w:tcBorders>
          </w:tcPr>
          <w:p>
            <w:pPr>
              <w:spacing w:after="0"/>
              <w:rPr>
                <w:sz w:val="2"/>
                <w:szCs w:val="2"/>
                <w:color w:val="auto"/>
              </w:rPr>
            </w:pPr>
          </w:p>
        </w:tc>
        <w:tc>
          <w:tcPr>
            <w:tcW w:w="320" w:type="dxa"/>
            <w:vAlign w:val="bottom"/>
            <w:tcBorders>
              <w:bottom w:val="single" w:sz="8" w:color="336C91"/>
            </w:tcBorders>
          </w:tcPr>
          <w:p>
            <w:pPr>
              <w:spacing w:after="0"/>
              <w:rPr>
                <w:sz w:val="2"/>
                <w:szCs w:val="2"/>
                <w:color w:val="auto"/>
              </w:rPr>
            </w:pPr>
          </w:p>
        </w:tc>
        <w:tc>
          <w:tcPr>
            <w:tcW w:w="1520" w:type="dxa"/>
            <w:vAlign w:val="bottom"/>
            <w:tcBorders>
              <w:bottom w:val="single" w:sz="8" w:color="336C91"/>
            </w:tcBorders>
          </w:tcPr>
          <w:p>
            <w:pPr>
              <w:spacing w:after="0"/>
              <w:rPr>
                <w:sz w:val="2"/>
                <w:szCs w:val="2"/>
                <w:color w:val="auto"/>
              </w:rPr>
            </w:pPr>
          </w:p>
        </w:tc>
        <w:tc>
          <w:tcPr>
            <w:tcW w:w="1280" w:type="dxa"/>
            <w:vAlign w:val="bottom"/>
            <w:tcBorders>
              <w:bottom w:val="single" w:sz="8" w:color="336C91"/>
            </w:tcBorders>
          </w:tcPr>
          <w:p>
            <w:pPr>
              <w:spacing w:after="0"/>
              <w:rPr>
                <w:sz w:val="2"/>
                <w:szCs w:val="2"/>
                <w:color w:val="auto"/>
              </w:rPr>
            </w:pPr>
          </w:p>
        </w:tc>
      </w:tr>
      <w:tr>
        <w:trPr>
          <w:trHeight w:val="198"/>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Gordon Smith</w:t>
            </w:r>
          </w:p>
        </w:tc>
        <w:tc>
          <w:tcPr>
            <w:tcW w:w="2180" w:type="dxa"/>
            <w:vAlign w:val="bottom"/>
          </w:tcPr>
          <w:p>
            <w:pPr>
              <w:jc w:val="right"/>
              <w:ind w:right="228"/>
              <w:spacing w:after="0"/>
              <w:rPr>
                <w:sz w:val="20"/>
                <w:szCs w:val="20"/>
                <w:color w:val="auto"/>
              </w:rPr>
            </w:pPr>
            <w:r>
              <w:rPr>
                <w:rFonts w:ascii="Arial" w:cs="Arial" w:eastAsia="Arial" w:hAnsi="Arial"/>
                <w:sz w:val="14"/>
                <w:szCs w:val="14"/>
                <w:color w:val="auto"/>
              </w:rPr>
              <w:t>1/16/2018</w:t>
            </w:r>
          </w:p>
        </w:tc>
        <w:tc>
          <w:tcPr>
            <w:tcW w:w="104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368"/>
              <w:spacing w:after="0"/>
              <w:rPr>
                <w:sz w:val="20"/>
                <w:szCs w:val="20"/>
                <w:color w:val="auto"/>
              </w:rPr>
            </w:pPr>
            <w:r>
              <w:rPr>
                <w:rFonts w:ascii="Arial" w:cs="Arial" w:eastAsia="Arial" w:hAnsi="Arial"/>
                <w:sz w:val="14"/>
                <w:szCs w:val="14"/>
                <w:color w:val="auto"/>
              </w:rPr>
              <w:t>51,448</w:t>
            </w:r>
          </w:p>
        </w:tc>
        <w:tc>
          <w:tcPr>
            <w:tcW w:w="1280" w:type="dxa"/>
            <w:vAlign w:val="bottom"/>
          </w:tcPr>
          <w:p>
            <w:pPr>
              <w:jc w:val="right"/>
              <w:spacing w:after="0"/>
              <w:rPr>
                <w:sz w:val="20"/>
                <w:szCs w:val="20"/>
                <w:color w:val="auto"/>
              </w:rPr>
            </w:pPr>
            <w:r>
              <w:rPr>
                <w:rFonts w:ascii="Arial" w:cs="Arial" w:eastAsia="Arial" w:hAnsi="Arial"/>
                <w:sz w:val="14"/>
                <w:szCs w:val="14"/>
                <w:color w:val="auto"/>
              </w:rPr>
              <w:t>5,775,000</w:t>
            </w:r>
          </w:p>
        </w:tc>
      </w:tr>
      <w:tr>
        <w:trPr>
          <w:trHeight w:val="230"/>
        </w:trPr>
        <w:tc>
          <w:tcPr>
            <w:tcW w:w="2700" w:type="dxa"/>
            <w:vAlign w:val="bottom"/>
          </w:tcPr>
          <w:p>
            <w:pPr>
              <w:spacing w:after="0"/>
              <w:rPr>
                <w:sz w:val="19"/>
                <w:szCs w:val="19"/>
                <w:color w:val="auto"/>
              </w:rPr>
            </w:pPr>
          </w:p>
        </w:tc>
        <w:tc>
          <w:tcPr>
            <w:tcW w:w="2180" w:type="dxa"/>
            <w:vAlign w:val="bottom"/>
          </w:tcPr>
          <w:p>
            <w:pPr>
              <w:jc w:val="right"/>
              <w:ind w:right="228"/>
              <w:spacing w:after="0"/>
              <w:rPr>
                <w:sz w:val="20"/>
                <w:szCs w:val="20"/>
                <w:color w:val="auto"/>
              </w:rPr>
            </w:pPr>
            <w:r>
              <w:rPr>
                <w:rFonts w:ascii="Arial" w:cs="Arial" w:eastAsia="Arial" w:hAnsi="Arial"/>
                <w:sz w:val="14"/>
                <w:szCs w:val="14"/>
                <w:color w:val="auto"/>
              </w:rPr>
              <w:t>1/16/2018</w:t>
            </w:r>
          </w:p>
        </w:tc>
        <w:tc>
          <w:tcPr>
            <w:tcW w:w="104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51,448</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77,172</w:t>
            </w:r>
          </w:p>
        </w:tc>
        <w:tc>
          <w:tcPr>
            <w:tcW w:w="320" w:type="dxa"/>
            <w:vAlign w:val="bottom"/>
          </w:tcPr>
          <w:p>
            <w:pPr>
              <w:spacing w:after="0"/>
              <w:rPr>
                <w:sz w:val="19"/>
                <w:szCs w:val="19"/>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5,775,000</w:t>
            </w:r>
          </w:p>
        </w:tc>
      </w:tr>
      <w:tr>
        <w:trPr>
          <w:trHeight w:val="26"/>
        </w:trPr>
        <w:tc>
          <w:tcPr>
            <w:tcW w:w="2700" w:type="dxa"/>
            <w:vAlign w:val="bottom"/>
            <w:tcBorders>
              <w:bottom w:val="single" w:sz="8" w:color="336C91"/>
            </w:tcBorders>
          </w:tcPr>
          <w:p>
            <w:pPr>
              <w:spacing w:after="0"/>
              <w:rPr>
                <w:sz w:val="2"/>
                <w:szCs w:val="2"/>
                <w:color w:val="auto"/>
              </w:rPr>
            </w:pPr>
          </w:p>
        </w:tc>
        <w:tc>
          <w:tcPr>
            <w:tcW w:w="2180" w:type="dxa"/>
            <w:vAlign w:val="bottom"/>
            <w:tcBorders>
              <w:bottom w:val="single" w:sz="8" w:color="336C91"/>
            </w:tcBorders>
          </w:tcPr>
          <w:p>
            <w:pPr>
              <w:spacing w:after="0"/>
              <w:rPr>
                <w:sz w:val="2"/>
                <w:szCs w:val="2"/>
                <w:color w:val="auto"/>
              </w:rPr>
            </w:pPr>
          </w:p>
        </w:tc>
        <w:tc>
          <w:tcPr>
            <w:tcW w:w="1040" w:type="dxa"/>
            <w:vAlign w:val="bottom"/>
            <w:tcBorders>
              <w:bottom w:val="single" w:sz="8" w:color="336C91"/>
            </w:tcBorders>
          </w:tcPr>
          <w:p>
            <w:pPr>
              <w:spacing w:after="0"/>
              <w:rPr>
                <w:sz w:val="2"/>
                <w:szCs w:val="2"/>
                <w:color w:val="auto"/>
              </w:rPr>
            </w:pPr>
          </w:p>
        </w:tc>
        <w:tc>
          <w:tcPr>
            <w:tcW w:w="940" w:type="dxa"/>
            <w:vAlign w:val="bottom"/>
            <w:tcBorders>
              <w:bottom w:val="single" w:sz="8" w:color="336C91"/>
            </w:tcBorders>
          </w:tcPr>
          <w:p>
            <w:pPr>
              <w:spacing w:after="0"/>
              <w:rPr>
                <w:sz w:val="2"/>
                <w:szCs w:val="2"/>
                <w:color w:val="auto"/>
              </w:rPr>
            </w:pPr>
          </w:p>
        </w:tc>
        <w:tc>
          <w:tcPr>
            <w:tcW w:w="1040" w:type="dxa"/>
            <w:vAlign w:val="bottom"/>
            <w:tcBorders>
              <w:bottom w:val="single" w:sz="8" w:color="336C91"/>
            </w:tcBorders>
          </w:tcPr>
          <w:p>
            <w:pPr>
              <w:spacing w:after="0"/>
              <w:rPr>
                <w:sz w:val="2"/>
                <w:szCs w:val="2"/>
                <w:color w:val="auto"/>
              </w:rPr>
            </w:pPr>
          </w:p>
        </w:tc>
        <w:tc>
          <w:tcPr>
            <w:tcW w:w="320" w:type="dxa"/>
            <w:vAlign w:val="bottom"/>
            <w:tcBorders>
              <w:bottom w:val="single" w:sz="8" w:color="336C91"/>
            </w:tcBorders>
          </w:tcPr>
          <w:p>
            <w:pPr>
              <w:spacing w:after="0"/>
              <w:rPr>
                <w:sz w:val="2"/>
                <w:szCs w:val="2"/>
                <w:color w:val="auto"/>
              </w:rPr>
            </w:pPr>
          </w:p>
        </w:tc>
        <w:tc>
          <w:tcPr>
            <w:tcW w:w="1520" w:type="dxa"/>
            <w:vAlign w:val="bottom"/>
            <w:tcBorders>
              <w:bottom w:val="single" w:sz="8" w:color="336C91"/>
            </w:tcBorders>
          </w:tcPr>
          <w:p>
            <w:pPr>
              <w:spacing w:after="0"/>
              <w:rPr>
                <w:sz w:val="2"/>
                <w:szCs w:val="2"/>
                <w:color w:val="auto"/>
              </w:rPr>
            </w:pPr>
          </w:p>
        </w:tc>
        <w:tc>
          <w:tcPr>
            <w:tcW w:w="1280" w:type="dxa"/>
            <w:vAlign w:val="bottom"/>
            <w:tcBorders>
              <w:bottom w:val="single" w:sz="8" w:color="336C91"/>
            </w:tcBorders>
          </w:tcPr>
          <w:p>
            <w:pPr>
              <w:spacing w:after="0"/>
              <w:rPr>
                <w:sz w:val="2"/>
                <w:szCs w:val="2"/>
                <w:color w:val="auto"/>
              </w:rPr>
            </w:pPr>
          </w:p>
        </w:tc>
      </w:tr>
      <w:tr>
        <w:trPr>
          <w:trHeight w:val="198"/>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2180" w:type="dxa"/>
            <w:vAlign w:val="bottom"/>
          </w:tcPr>
          <w:p>
            <w:pPr>
              <w:jc w:val="right"/>
              <w:ind w:right="228"/>
              <w:spacing w:after="0"/>
              <w:rPr>
                <w:sz w:val="20"/>
                <w:szCs w:val="20"/>
                <w:color w:val="auto"/>
              </w:rPr>
            </w:pPr>
            <w:r>
              <w:rPr>
                <w:rFonts w:ascii="Arial" w:cs="Arial" w:eastAsia="Arial" w:hAnsi="Arial"/>
                <w:sz w:val="14"/>
                <w:szCs w:val="14"/>
                <w:color w:val="auto"/>
              </w:rPr>
              <w:t>1/16/2018</w:t>
            </w:r>
          </w:p>
        </w:tc>
        <w:tc>
          <w:tcPr>
            <w:tcW w:w="104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368"/>
              <w:spacing w:after="0"/>
              <w:rPr>
                <w:sz w:val="20"/>
                <w:szCs w:val="20"/>
                <w:color w:val="auto"/>
              </w:rPr>
            </w:pPr>
            <w:r>
              <w:rPr>
                <w:rFonts w:ascii="Arial" w:cs="Arial" w:eastAsia="Arial" w:hAnsi="Arial"/>
                <w:sz w:val="14"/>
                <w:szCs w:val="14"/>
                <w:color w:val="auto"/>
              </w:rPr>
              <w:t>50,112</w:t>
            </w:r>
          </w:p>
        </w:tc>
        <w:tc>
          <w:tcPr>
            <w:tcW w:w="1280" w:type="dxa"/>
            <w:vAlign w:val="bottom"/>
          </w:tcPr>
          <w:p>
            <w:pPr>
              <w:jc w:val="right"/>
              <w:spacing w:after="0"/>
              <w:rPr>
                <w:sz w:val="20"/>
                <w:szCs w:val="20"/>
                <w:color w:val="auto"/>
              </w:rPr>
            </w:pPr>
            <w:r>
              <w:rPr>
                <w:rFonts w:ascii="Arial" w:cs="Arial" w:eastAsia="Arial" w:hAnsi="Arial"/>
                <w:sz w:val="14"/>
                <w:szCs w:val="14"/>
                <w:color w:val="auto"/>
              </w:rPr>
              <w:t>5,625,000</w:t>
            </w:r>
          </w:p>
        </w:tc>
      </w:tr>
      <w:tr>
        <w:trPr>
          <w:trHeight w:val="230"/>
        </w:trPr>
        <w:tc>
          <w:tcPr>
            <w:tcW w:w="2700" w:type="dxa"/>
            <w:vAlign w:val="bottom"/>
          </w:tcPr>
          <w:p>
            <w:pPr>
              <w:spacing w:after="0"/>
              <w:rPr>
                <w:sz w:val="19"/>
                <w:szCs w:val="19"/>
                <w:color w:val="auto"/>
              </w:rPr>
            </w:pPr>
          </w:p>
        </w:tc>
        <w:tc>
          <w:tcPr>
            <w:tcW w:w="2180" w:type="dxa"/>
            <w:vAlign w:val="bottom"/>
          </w:tcPr>
          <w:p>
            <w:pPr>
              <w:jc w:val="right"/>
              <w:ind w:right="228"/>
              <w:spacing w:after="0"/>
              <w:rPr>
                <w:sz w:val="20"/>
                <w:szCs w:val="20"/>
                <w:color w:val="auto"/>
              </w:rPr>
            </w:pPr>
            <w:r>
              <w:rPr>
                <w:rFonts w:ascii="Arial" w:cs="Arial" w:eastAsia="Arial" w:hAnsi="Arial"/>
                <w:sz w:val="14"/>
                <w:szCs w:val="14"/>
                <w:color w:val="auto"/>
              </w:rPr>
              <w:t>1/16/2018</w:t>
            </w:r>
          </w:p>
        </w:tc>
        <w:tc>
          <w:tcPr>
            <w:tcW w:w="104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50,112</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75,168</w:t>
            </w:r>
          </w:p>
        </w:tc>
        <w:tc>
          <w:tcPr>
            <w:tcW w:w="320" w:type="dxa"/>
            <w:vAlign w:val="bottom"/>
          </w:tcPr>
          <w:p>
            <w:pPr>
              <w:spacing w:after="0"/>
              <w:rPr>
                <w:sz w:val="19"/>
                <w:szCs w:val="19"/>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5,625,000</w:t>
            </w:r>
          </w:p>
        </w:tc>
      </w:tr>
      <w:tr>
        <w:trPr>
          <w:trHeight w:val="26"/>
        </w:trPr>
        <w:tc>
          <w:tcPr>
            <w:tcW w:w="2700" w:type="dxa"/>
            <w:vAlign w:val="bottom"/>
            <w:tcBorders>
              <w:bottom w:val="single" w:sz="8" w:color="336C91"/>
            </w:tcBorders>
          </w:tcPr>
          <w:p>
            <w:pPr>
              <w:spacing w:after="0"/>
              <w:rPr>
                <w:sz w:val="2"/>
                <w:szCs w:val="2"/>
                <w:color w:val="auto"/>
              </w:rPr>
            </w:pPr>
          </w:p>
        </w:tc>
        <w:tc>
          <w:tcPr>
            <w:tcW w:w="2180" w:type="dxa"/>
            <w:vAlign w:val="bottom"/>
            <w:tcBorders>
              <w:bottom w:val="single" w:sz="8" w:color="336C91"/>
            </w:tcBorders>
          </w:tcPr>
          <w:p>
            <w:pPr>
              <w:spacing w:after="0"/>
              <w:rPr>
                <w:sz w:val="2"/>
                <w:szCs w:val="2"/>
                <w:color w:val="auto"/>
              </w:rPr>
            </w:pPr>
          </w:p>
        </w:tc>
        <w:tc>
          <w:tcPr>
            <w:tcW w:w="1040" w:type="dxa"/>
            <w:vAlign w:val="bottom"/>
            <w:tcBorders>
              <w:bottom w:val="single" w:sz="8" w:color="336C91"/>
            </w:tcBorders>
          </w:tcPr>
          <w:p>
            <w:pPr>
              <w:spacing w:after="0"/>
              <w:rPr>
                <w:sz w:val="2"/>
                <w:szCs w:val="2"/>
                <w:color w:val="auto"/>
              </w:rPr>
            </w:pPr>
          </w:p>
        </w:tc>
        <w:tc>
          <w:tcPr>
            <w:tcW w:w="940" w:type="dxa"/>
            <w:vAlign w:val="bottom"/>
            <w:tcBorders>
              <w:bottom w:val="single" w:sz="8" w:color="336C91"/>
            </w:tcBorders>
          </w:tcPr>
          <w:p>
            <w:pPr>
              <w:spacing w:after="0"/>
              <w:rPr>
                <w:sz w:val="2"/>
                <w:szCs w:val="2"/>
                <w:color w:val="auto"/>
              </w:rPr>
            </w:pPr>
          </w:p>
        </w:tc>
        <w:tc>
          <w:tcPr>
            <w:tcW w:w="1040" w:type="dxa"/>
            <w:vAlign w:val="bottom"/>
            <w:tcBorders>
              <w:bottom w:val="single" w:sz="8" w:color="336C91"/>
            </w:tcBorders>
          </w:tcPr>
          <w:p>
            <w:pPr>
              <w:spacing w:after="0"/>
              <w:rPr>
                <w:sz w:val="2"/>
                <w:szCs w:val="2"/>
                <w:color w:val="auto"/>
              </w:rPr>
            </w:pPr>
          </w:p>
        </w:tc>
        <w:tc>
          <w:tcPr>
            <w:tcW w:w="320" w:type="dxa"/>
            <w:vAlign w:val="bottom"/>
            <w:tcBorders>
              <w:bottom w:val="single" w:sz="8" w:color="336C91"/>
            </w:tcBorders>
          </w:tcPr>
          <w:p>
            <w:pPr>
              <w:spacing w:after="0"/>
              <w:rPr>
                <w:sz w:val="2"/>
                <w:szCs w:val="2"/>
                <w:color w:val="auto"/>
              </w:rPr>
            </w:pPr>
          </w:p>
        </w:tc>
        <w:tc>
          <w:tcPr>
            <w:tcW w:w="1520" w:type="dxa"/>
            <w:vAlign w:val="bottom"/>
            <w:tcBorders>
              <w:bottom w:val="single" w:sz="8" w:color="336C91"/>
            </w:tcBorders>
          </w:tcPr>
          <w:p>
            <w:pPr>
              <w:spacing w:after="0"/>
              <w:rPr>
                <w:sz w:val="2"/>
                <w:szCs w:val="2"/>
                <w:color w:val="auto"/>
              </w:rPr>
            </w:pPr>
          </w:p>
        </w:tc>
        <w:tc>
          <w:tcPr>
            <w:tcW w:w="1280" w:type="dxa"/>
            <w:vAlign w:val="bottom"/>
            <w:tcBorders>
              <w:bottom w:val="single" w:sz="8" w:color="336C91"/>
            </w:tcBorders>
          </w:tcPr>
          <w:p>
            <w:pPr>
              <w:spacing w:after="0"/>
              <w:rPr>
                <w:sz w:val="2"/>
                <w:szCs w:val="2"/>
                <w:color w:val="auto"/>
              </w:rPr>
            </w:pPr>
          </w:p>
        </w:tc>
      </w:tr>
      <w:tr>
        <w:trPr>
          <w:trHeight w:val="198"/>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2180" w:type="dxa"/>
            <w:vAlign w:val="bottom"/>
          </w:tcPr>
          <w:p>
            <w:pPr>
              <w:jc w:val="right"/>
              <w:ind w:right="228"/>
              <w:spacing w:after="0"/>
              <w:rPr>
                <w:sz w:val="20"/>
                <w:szCs w:val="20"/>
                <w:color w:val="auto"/>
              </w:rPr>
            </w:pPr>
            <w:r>
              <w:rPr>
                <w:rFonts w:ascii="Arial" w:cs="Arial" w:eastAsia="Arial" w:hAnsi="Arial"/>
                <w:sz w:val="14"/>
                <w:szCs w:val="14"/>
                <w:color w:val="auto"/>
              </w:rPr>
              <w:t>1/16/2018</w:t>
            </w:r>
          </w:p>
        </w:tc>
        <w:tc>
          <w:tcPr>
            <w:tcW w:w="104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368"/>
              <w:spacing w:after="0"/>
              <w:rPr>
                <w:sz w:val="20"/>
                <w:szCs w:val="20"/>
                <w:color w:val="auto"/>
              </w:rPr>
            </w:pPr>
            <w:r>
              <w:rPr>
                <w:rFonts w:ascii="Arial" w:cs="Arial" w:eastAsia="Arial" w:hAnsi="Arial"/>
                <w:sz w:val="14"/>
                <w:szCs w:val="14"/>
                <w:color w:val="auto"/>
              </w:rPr>
              <w:t>34,076</w:t>
            </w:r>
          </w:p>
        </w:tc>
        <w:tc>
          <w:tcPr>
            <w:tcW w:w="1280" w:type="dxa"/>
            <w:vAlign w:val="bottom"/>
          </w:tcPr>
          <w:p>
            <w:pPr>
              <w:jc w:val="right"/>
              <w:spacing w:after="0"/>
              <w:rPr>
                <w:sz w:val="20"/>
                <w:szCs w:val="20"/>
                <w:color w:val="auto"/>
              </w:rPr>
            </w:pPr>
            <w:r>
              <w:rPr>
                <w:rFonts w:ascii="Arial" w:cs="Arial" w:eastAsia="Arial" w:hAnsi="Arial"/>
                <w:sz w:val="14"/>
                <w:szCs w:val="14"/>
                <w:color w:val="auto"/>
              </w:rPr>
              <w:t>3,825,000</w:t>
            </w:r>
          </w:p>
        </w:tc>
      </w:tr>
      <w:tr>
        <w:trPr>
          <w:trHeight w:val="230"/>
        </w:trPr>
        <w:tc>
          <w:tcPr>
            <w:tcW w:w="2700" w:type="dxa"/>
            <w:vAlign w:val="bottom"/>
          </w:tcPr>
          <w:p>
            <w:pPr>
              <w:spacing w:after="0"/>
              <w:rPr>
                <w:sz w:val="19"/>
                <w:szCs w:val="19"/>
                <w:color w:val="auto"/>
              </w:rPr>
            </w:pPr>
          </w:p>
        </w:tc>
        <w:tc>
          <w:tcPr>
            <w:tcW w:w="2180" w:type="dxa"/>
            <w:vAlign w:val="bottom"/>
          </w:tcPr>
          <w:p>
            <w:pPr>
              <w:jc w:val="right"/>
              <w:ind w:right="228"/>
              <w:spacing w:after="0"/>
              <w:rPr>
                <w:sz w:val="20"/>
                <w:szCs w:val="20"/>
                <w:color w:val="auto"/>
              </w:rPr>
            </w:pPr>
            <w:r>
              <w:rPr>
                <w:rFonts w:ascii="Arial" w:cs="Arial" w:eastAsia="Arial" w:hAnsi="Arial"/>
                <w:sz w:val="14"/>
                <w:szCs w:val="14"/>
                <w:color w:val="auto"/>
              </w:rPr>
              <w:t>1/16/2018</w:t>
            </w:r>
          </w:p>
        </w:tc>
        <w:tc>
          <w:tcPr>
            <w:tcW w:w="104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34,076</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51,114</w:t>
            </w:r>
          </w:p>
        </w:tc>
        <w:tc>
          <w:tcPr>
            <w:tcW w:w="320" w:type="dxa"/>
            <w:vAlign w:val="bottom"/>
          </w:tcPr>
          <w:p>
            <w:pPr>
              <w:spacing w:after="0"/>
              <w:rPr>
                <w:sz w:val="19"/>
                <w:szCs w:val="19"/>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3,825,000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wp:posOffset>
            </wp:positionV>
            <wp:extent cx="6997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4" w:lineRule="exact"/>
        <w:rPr>
          <w:sz w:val="20"/>
          <w:szCs w:val="20"/>
          <w:color w:val="auto"/>
        </w:rPr>
      </w:pPr>
    </w:p>
    <w:p>
      <w:pPr>
        <w:ind w:left="420" w:right="440" w:hanging="176"/>
        <w:spacing w:after="0" w:line="183" w:lineRule="auto"/>
        <w:tabs>
          <w:tab w:leader="none" w:pos="420" w:val="left"/>
        </w:tabs>
        <w:numPr>
          <w:ilvl w:val="0"/>
          <w:numId w:val="136"/>
        </w:numPr>
        <w:rPr>
          <w:rFonts w:ascii="Arial" w:cs="Arial" w:eastAsia="Arial" w:hAnsi="Arial"/>
          <w:sz w:val="24"/>
          <w:szCs w:val="24"/>
          <w:color w:val="auto"/>
          <w:vertAlign w:val="superscript"/>
        </w:rPr>
      </w:pPr>
      <w:r>
        <w:rPr>
          <w:rFonts w:ascii="Arial" w:cs="Arial" w:eastAsia="Arial" w:hAnsi="Arial"/>
          <w:sz w:val="14"/>
          <w:szCs w:val="14"/>
          <w:color w:val="auto"/>
        </w:rPr>
        <w:t>Equity grants are awarded as part of the annual compensation process and as part of employment offers for new hires. Grants made as part of the annual incentive compensation process are generally awarded in January after earnings are released. RSUs and PSUs carry no voting rights.</w:t>
      </w:r>
    </w:p>
    <w:p>
      <w:pPr>
        <w:spacing w:after="0" w:line="31" w:lineRule="exact"/>
        <w:rPr>
          <w:sz w:val="20"/>
          <w:szCs w:val="20"/>
          <w:color w:val="auto"/>
        </w:rPr>
      </w:pPr>
    </w:p>
    <w:p>
      <w:pPr>
        <w:ind w:left="440" w:right="60"/>
        <w:spacing w:after="0" w:line="250" w:lineRule="auto"/>
        <w:rPr>
          <w:sz w:val="20"/>
          <w:szCs w:val="20"/>
          <w:color w:val="auto"/>
        </w:rPr>
      </w:pPr>
      <w:r>
        <w:rPr>
          <w:rFonts w:ascii="Arial" w:cs="Arial" w:eastAsia="Arial" w:hAnsi="Arial"/>
          <w:sz w:val="14"/>
          <w:szCs w:val="14"/>
          <w:color w:val="auto"/>
        </w:rPr>
        <w:t>On January 15, 2019, the Firm awarded RSU and PSU awards as part of the 2018 annual incentive compensation. Because these awards were granted in 2019, they do not appear in this table, which is required to include only equity awards actually granted during 2018. These 2019 awards are however reflected in the “NEO Compensation” table on page 57 of this proxy statement. No SARs have been awarded since 2013.</w:t>
      </w:r>
    </w:p>
    <w:p>
      <w:pPr>
        <w:spacing w:after="0" w:line="24" w:lineRule="exact"/>
        <w:rPr>
          <w:sz w:val="20"/>
          <w:szCs w:val="20"/>
          <w:color w:val="auto"/>
        </w:rPr>
      </w:pPr>
    </w:p>
    <w:p>
      <w:pPr>
        <w:ind w:left="420" w:right="20" w:hanging="176"/>
        <w:spacing w:after="0" w:line="208" w:lineRule="auto"/>
        <w:tabs>
          <w:tab w:leader="none" w:pos="420" w:val="left"/>
        </w:tabs>
        <w:numPr>
          <w:ilvl w:val="0"/>
          <w:numId w:val="137"/>
        </w:numPr>
        <w:rPr>
          <w:rFonts w:ascii="Arial" w:cs="Arial" w:eastAsia="Arial" w:hAnsi="Arial"/>
          <w:sz w:val="24"/>
          <w:szCs w:val="24"/>
          <w:color w:val="auto"/>
          <w:vertAlign w:val="superscript"/>
        </w:rPr>
      </w:pPr>
      <w:r>
        <w:rPr>
          <w:rFonts w:ascii="Arial" w:cs="Arial" w:eastAsia="Arial" w:hAnsi="Arial"/>
          <w:sz w:val="14"/>
          <w:szCs w:val="14"/>
          <w:color w:val="auto"/>
        </w:rPr>
        <w:t>For NEOs other than Mr. Pinto, PSUs vest on March 25, 2021, and are subject to a two-year holding period post-vesting. Under rules applicable in the U.K., for Mr. Pinto, PSUs vest in five equal installments on March 25, 2021, 2022, 2023, 2024 and 2025, and are subject to: (i) a twelve-month holding period for all installments post-vesting, (ii) a two-year holding period for the installment vesting on March 25, 2021, with the holding periods associated with (i) and (ii) above running concurrently. Each PSU represents the right to receive one share of common stock on the vesting date.</w:t>
      </w:r>
    </w:p>
    <w:p>
      <w:pPr>
        <w:spacing w:after="0" w:line="31" w:lineRule="exact"/>
        <w:rPr>
          <w:sz w:val="20"/>
          <w:szCs w:val="20"/>
          <w:color w:val="auto"/>
        </w:rPr>
      </w:pPr>
    </w:p>
    <w:p>
      <w:pPr>
        <w:ind w:left="440" w:right="120"/>
        <w:spacing w:after="0" w:line="241" w:lineRule="auto"/>
        <w:rPr>
          <w:sz w:val="20"/>
          <w:szCs w:val="20"/>
          <w:color w:val="auto"/>
        </w:rPr>
      </w:pPr>
      <w:r>
        <w:rPr>
          <w:rFonts w:ascii="Arial" w:cs="Arial" w:eastAsia="Arial" w:hAnsi="Arial"/>
          <w:sz w:val="14"/>
          <w:szCs w:val="14"/>
          <w:color w:val="auto"/>
        </w:rPr>
        <w:t>The ultimate number of PSUs that will vest will be determined by the Firm’s performance for each applicable performance year, and for NEOs other than Mr. Pinto, will include any accumulated reinvested dividend equivalent shares. The dividend equivalent shares, if any, will be based on: (1) the number of PSUs earned at vesting; and</w:t>
      </w:r>
    </w:p>
    <w:p>
      <w:pPr>
        <w:spacing w:after="0" w:line="1" w:lineRule="exact"/>
        <w:rPr>
          <w:sz w:val="20"/>
          <w:szCs w:val="20"/>
          <w:color w:val="auto"/>
        </w:rPr>
      </w:pPr>
    </w:p>
    <w:p>
      <w:pPr>
        <w:jc w:val="both"/>
        <w:ind w:left="440" w:right="100" w:hanging="7"/>
        <w:spacing w:after="0" w:line="250" w:lineRule="auto"/>
        <w:tabs>
          <w:tab w:leader="none" w:pos="656" w:val="left"/>
        </w:tabs>
        <w:numPr>
          <w:ilvl w:val="0"/>
          <w:numId w:val="138"/>
        </w:numPr>
        <w:rPr>
          <w:rFonts w:ascii="Arial" w:cs="Arial" w:eastAsia="Arial" w:hAnsi="Arial"/>
          <w:sz w:val="14"/>
          <w:szCs w:val="14"/>
          <w:color w:val="auto"/>
        </w:rPr>
      </w:pPr>
      <w:r>
        <w:rPr>
          <w:rFonts w:ascii="Arial" w:cs="Arial" w:eastAsia="Arial" w:hAnsi="Arial"/>
          <w:sz w:val="14"/>
          <w:szCs w:val="14"/>
          <w:color w:val="auto"/>
        </w:rPr>
        <w:t>on dividends that would have been paid on the Firm’s common stock during the vesting period as of each dividend payment date, if any. Under rules applicable in the U.K., for Mr. Pinto, the PSUs are not eligible for reinvested dividend equivalent shares and an assessment is also made of his qualitative performance in determining the ultimate number of PSUs that will vest.</w:t>
      </w:r>
    </w:p>
    <w:p>
      <w:pPr>
        <w:spacing w:after="0" w:line="24" w:lineRule="exact"/>
        <w:rPr>
          <w:sz w:val="20"/>
          <w:szCs w:val="20"/>
          <w:color w:val="auto"/>
        </w:rPr>
      </w:pPr>
    </w:p>
    <w:p>
      <w:pPr>
        <w:ind w:left="420" w:right="20" w:hanging="176"/>
        <w:spacing w:after="0" w:line="183" w:lineRule="auto"/>
        <w:tabs>
          <w:tab w:leader="none" w:pos="420" w:val="left"/>
        </w:tabs>
        <w:numPr>
          <w:ilvl w:val="0"/>
          <w:numId w:val="139"/>
        </w:numPr>
        <w:rPr>
          <w:rFonts w:ascii="Arial" w:cs="Arial" w:eastAsia="Arial" w:hAnsi="Arial"/>
          <w:sz w:val="24"/>
          <w:szCs w:val="24"/>
          <w:color w:val="auto"/>
          <w:vertAlign w:val="superscript"/>
        </w:rPr>
      </w:pPr>
      <w:r>
        <w:rPr>
          <w:rFonts w:ascii="Arial" w:cs="Arial" w:eastAsia="Arial" w:hAnsi="Arial"/>
          <w:sz w:val="14"/>
          <w:szCs w:val="14"/>
          <w:color w:val="auto"/>
        </w:rPr>
        <w:t>For NEOs other than Mr. Pinto, RSUs vest in two equal installments on January 13, 2020 and 2021. Each RSU represents the right to receive one share of common stock on the vesting date and non-preferential dividend equivalents, payable in cash, equal to any dividends paid on the Firm’s common stock during the vesting period.</w:t>
      </w:r>
    </w:p>
    <w:p>
      <w:pPr>
        <w:spacing w:after="0" w:line="31" w:lineRule="exact"/>
        <w:rPr>
          <w:sz w:val="20"/>
          <w:szCs w:val="20"/>
          <w:color w:val="auto"/>
        </w:rPr>
      </w:pPr>
    </w:p>
    <w:p>
      <w:pPr>
        <w:ind w:left="440" w:right="400"/>
        <w:spacing w:after="0" w:line="258" w:lineRule="auto"/>
        <w:rPr>
          <w:sz w:val="20"/>
          <w:szCs w:val="20"/>
          <w:color w:val="auto"/>
        </w:rPr>
      </w:pPr>
      <w:r>
        <w:rPr>
          <w:rFonts w:ascii="Arial" w:cs="Arial" w:eastAsia="Arial" w:hAnsi="Arial"/>
          <w:sz w:val="14"/>
          <w:szCs w:val="14"/>
          <w:color w:val="auto"/>
        </w:rPr>
        <w:t>Under rules applicable in the U.K., for Mr. Pinto, RSUs vest in five equal installments on January 13, 2021, 2022, 2023, 2024 and 2025, and are subject to a twelve-month holding period post-vesting. Mr. Pinto’s RSUs are not eligible for dividend equivalents.</w:t>
      </w:r>
    </w:p>
    <w:p>
      <w:pPr>
        <w:spacing w:after="0" w:line="19" w:lineRule="exact"/>
        <w:rPr>
          <w:sz w:val="20"/>
          <w:szCs w:val="20"/>
          <w:color w:val="auto"/>
        </w:rPr>
      </w:pPr>
    </w:p>
    <w:p>
      <w:pPr>
        <w:ind w:left="420" w:right="560" w:hanging="176"/>
        <w:spacing w:after="0" w:line="183" w:lineRule="auto"/>
        <w:tabs>
          <w:tab w:leader="none" w:pos="420" w:val="left"/>
        </w:tabs>
        <w:numPr>
          <w:ilvl w:val="0"/>
          <w:numId w:val="140"/>
        </w:numPr>
        <w:rPr>
          <w:rFonts w:ascii="Arial" w:cs="Arial" w:eastAsia="Arial" w:hAnsi="Arial"/>
          <w:sz w:val="24"/>
          <w:szCs w:val="24"/>
          <w:color w:val="auto"/>
          <w:vertAlign w:val="superscript"/>
        </w:rPr>
      </w:pPr>
      <w:r>
        <w:rPr>
          <w:rFonts w:ascii="Arial" w:cs="Arial" w:eastAsia="Arial" w:hAnsi="Arial"/>
          <w:sz w:val="14"/>
          <w:szCs w:val="14"/>
          <w:color w:val="auto"/>
        </w:rPr>
        <w:t>Represents the aggregate grant date fair value for RSUs and PSUs. The aggregate grant date fair value is based on the average of the high and the low prices of JPMorgan Chase common stock on the grant date multiplied by the number of shares granted (for RSUs) or target number of PSUs.</w:t>
      </w:r>
    </w:p>
    <w:p>
      <w:pPr>
        <w:spacing w:after="0" w:line="12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67</w:t>
            </w:r>
          </w:p>
        </w:tc>
      </w:tr>
    </w:tbl>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III. OUTSTANDING EQUITY AWARDS AT FISCAL YEAR-END 2018</w:t>
      </w:r>
    </w:p>
    <w:p>
      <w:pPr>
        <w:spacing w:after="0" w:line="18"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The following table shows the number of shares of the Firm’s common stock underlying (i) exercisable SARs and (ii) RSUs and PSUs that had not yet vested held by the Firm’s Named Executive Officers on December 31, 2018.</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Borders>
              <w:bottom w:val="single" w:sz="8" w:color="004876"/>
            </w:tcBorders>
          </w:tcPr>
          <w:p>
            <w:pPr>
              <w:spacing w:after="0"/>
              <w:rPr>
                <w:sz w:val="15"/>
                <w:szCs w:val="15"/>
                <w:color w:val="auto"/>
              </w:rPr>
            </w:pPr>
          </w:p>
        </w:tc>
        <w:tc>
          <w:tcPr>
            <w:tcW w:w="1300" w:type="dxa"/>
            <w:vAlign w:val="bottom"/>
            <w:tcBorders>
              <w:bottom w:val="single" w:sz="8" w:color="004876"/>
            </w:tcBorders>
            <w:gridSpan w:val="2"/>
          </w:tcPr>
          <w:p>
            <w:pPr>
              <w:jc w:val="right"/>
              <w:ind w:right="128"/>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Borders>
              <w:bottom w:val="single" w:sz="8" w:color="004876"/>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tcBorders>
              <w:bottom w:val="single" w:sz="8" w:color="004876"/>
            </w:tcBorders>
            <w:gridSpan w:val="3"/>
          </w:tcPr>
          <w:p>
            <w:pPr>
              <w:jc w:val="right"/>
              <w:ind w:right="868"/>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unearned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shares or units</w:t>
            </w: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Option/</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Option</w:t>
            </w: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Option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of</w:t>
            </w: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shares or units of</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unexercised</w:t>
            </w: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stock that</w:t>
            </w:r>
          </w:p>
        </w:tc>
        <w:tc>
          <w:tcPr>
            <w:tcW w:w="5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stock that have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stock award</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options: #</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expiration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have</w:t>
            </w: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not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tcBorders>
              <w:bottom w:val="single" w:sz="8" w:color="004876"/>
            </w:tcBorders>
            <w:gridSpan w:val="3"/>
          </w:tcPr>
          <w:p>
            <w:pPr>
              <w:ind w:left="60"/>
              <w:spacing w:after="0"/>
              <w:rPr>
                <w:sz w:val="20"/>
                <w:szCs w:val="20"/>
                <w:color w:val="auto"/>
              </w:rPr>
            </w:pPr>
            <w:r>
              <w:rPr>
                <w:rFonts w:ascii="Arial" w:cs="Arial" w:eastAsia="Arial" w:hAnsi="Arial"/>
                <w:sz w:val="14"/>
                <w:szCs w:val="14"/>
                <w:b w:val="1"/>
                <w:bCs w:val="1"/>
                <w:color w:val="auto"/>
              </w:rPr>
              <w:t>Name</w:t>
            </w:r>
          </w:p>
        </w:tc>
        <w:tc>
          <w:tcPr>
            <w:tcW w:w="2420" w:type="dxa"/>
            <w:vAlign w:val="bottom"/>
            <w:tcBorders>
              <w:bottom w:val="single" w:sz="8" w:color="004876"/>
            </w:tcBorders>
            <w:gridSpan w:val="2"/>
          </w:tcPr>
          <w:p>
            <w:pPr>
              <w:jc w:val="right"/>
              <w:ind w:right="760"/>
              <w:spacing w:after="0" w:line="189" w:lineRule="exact"/>
              <w:rPr>
                <w:sz w:val="20"/>
                <w:szCs w:val="20"/>
                <w:color w:val="auto"/>
              </w:rPr>
            </w:pPr>
            <w:r>
              <w:rPr>
                <w:rFonts w:ascii="Arial" w:cs="Arial" w:eastAsia="Arial" w:hAnsi="Arial"/>
                <w:sz w:val="13"/>
                <w:szCs w:val="13"/>
                <w:b w:val="1"/>
                <w:bCs w:val="1"/>
                <w:color w:val="auto"/>
              </w:rPr>
              <w:t>grant date</w:t>
            </w:r>
            <w:r>
              <w:rPr>
                <w:rFonts w:ascii="Arial" w:cs="Arial" w:eastAsia="Arial" w:hAnsi="Arial"/>
                <w:sz w:val="21"/>
                <w:szCs w:val="21"/>
                <w:b w:val="1"/>
                <w:bCs w:val="1"/>
                <w:color w:val="auto"/>
                <w:vertAlign w:val="superscript"/>
              </w:rPr>
              <w:t>1</w:t>
            </w:r>
          </w:p>
        </w:tc>
        <w:tc>
          <w:tcPr>
            <w:tcW w:w="1060" w:type="dxa"/>
            <w:vAlign w:val="bottom"/>
            <w:tcBorders>
              <w:bottom w:val="single" w:sz="8" w:color="004876"/>
            </w:tcBorders>
          </w:tcPr>
          <w:p>
            <w:pPr>
              <w:jc w:val="right"/>
              <w:spacing w:after="0" w:line="189" w:lineRule="exact"/>
              <w:rPr>
                <w:sz w:val="20"/>
                <w:szCs w:val="20"/>
                <w:color w:val="auto"/>
              </w:rPr>
            </w:pPr>
            <w:r>
              <w:rPr>
                <w:rFonts w:ascii="Arial" w:cs="Arial" w:eastAsia="Arial" w:hAnsi="Arial"/>
                <w:sz w:val="13"/>
                <w:szCs w:val="13"/>
                <w:b w:val="1"/>
                <w:bCs w:val="1"/>
                <w:color w:val="auto"/>
              </w:rPr>
              <w:t>exercisable</w:t>
            </w:r>
            <w:r>
              <w:rPr>
                <w:rFonts w:ascii="Arial" w:cs="Arial" w:eastAsia="Arial" w:hAnsi="Arial"/>
                <w:sz w:val="21"/>
                <w:szCs w:val="21"/>
                <w:b w:val="1"/>
                <w:bCs w:val="1"/>
                <w:color w:val="auto"/>
                <w:vertAlign w:val="superscript"/>
              </w:rPr>
              <w:t>1,2,3</w:t>
            </w:r>
          </w:p>
        </w:tc>
        <w:tc>
          <w:tcPr>
            <w:tcW w:w="340" w:type="dxa"/>
            <w:vAlign w:val="bottom"/>
            <w:tcBorders>
              <w:bottom w:val="single" w:sz="8" w:color="004876"/>
            </w:tcBorders>
          </w:tcPr>
          <w:p>
            <w:pPr>
              <w:spacing w:after="0"/>
              <w:rPr>
                <w:sz w:val="16"/>
                <w:szCs w:val="16"/>
                <w:color w:val="auto"/>
              </w:rPr>
            </w:pPr>
          </w:p>
        </w:tc>
        <w:tc>
          <w:tcPr>
            <w:tcW w:w="96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price ($)</w:t>
            </w:r>
          </w:p>
        </w:tc>
        <w:tc>
          <w:tcPr>
            <w:tcW w:w="1220" w:type="dxa"/>
            <w:vAlign w:val="bottom"/>
            <w:tcBorders>
              <w:bottom w:val="single" w:sz="8" w:color="004876"/>
            </w:tcBorders>
            <w:gridSpan w:val="3"/>
          </w:tcPr>
          <w:p>
            <w:pPr>
              <w:jc w:val="right"/>
              <w:ind w:right="340"/>
              <w:spacing w:after="0"/>
              <w:rPr>
                <w:sz w:val="20"/>
                <w:szCs w:val="20"/>
                <w:color w:val="auto"/>
              </w:rPr>
            </w:pPr>
            <w:r>
              <w:rPr>
                <w:rFonts w:ascii="Arial" w:cs="Arial" w:eastAsia="Arial" w:hAnsi="Arial"/>
                <w:sz w:val="14"/>
                <w:szCs w:val="14"/>
                <w:b w:val="1"/>
                <w:bCs w:val="1"/>
                <w:color w:val="auto"/>
              </w:rPr>
              <w:t>date</w:t>
            </w:r>
          </w:p>
        </w:tc>
        <w:tc>
          <w:tcPr>
            <w:tcW w:w="1040" w:type="dxa"/>
            <w:vAlign w:val="bottom"/>
            <w:tcBorders>
              <w:bottom w:val="single" w:sz="8" w:color="004876"/>
            </w:tcBorders>
          </w:tcPr>
          <w:p>
            <w:pPr>
              <w:jc w:val="right"/>
              <w:spacing w:after="0" w:line="189" w:lineRule="exact"/>
              <w:rPr>
                <w:sz w:val="20"/>
                <w:szCs w:val="20"/>
                <w:color w:val="auto"/>
              </w:rPr>
            </w:pPr>
            <w:r>
              <w:rPr>
                <w:rFonts w:ascii="Arial" w:cs="Arial" w:eastAsia="Arial" w:hAnsi="Arial"/>
                <w:sz w:val="13"/>
                <w:szCs w:val="13"/>
                <w:b w:val="1"/>
                <w:bCs w:val="1"/>
                <w:color w:val="auto"/>
              </w:rPr>
              <w:t>not vested</w:t>
            </w:r>
            <w:r>
              <w:rPr>
                <w:rFonts w:ascii="Arial" w:cs="Arial" w:eastAsia="Arial" w:hAnsi="Arial"/>
                <w:sz w:val="21"/>
                <w:szCs w:val="21"/>
                <w:b w:val="1"/>
                <w:bCs w:val="1"/>
                <w:color w:val="auto"/>
                <w:vertAlign w:val="superscript"/>
              </w:rPr>
              <w:t>1,3</w:t>
            </w:r>
          </w:p>
        </w:tc>
        <w:tc>
          <w:tcPr>
            <w:tcW w:w="540" w:type="dxa"/>
            <w:vAlign w:val="bottom"/>
            <w:tcBorders>
              <w:bottom w:val="single" w:sz="8" w:color="004876"/>
            </w:tcBorders>
          </w:tcPr>
          <w:p>
            <w:pPr>
              <w:spacing w:after="0"/>
              <w:rPr>
                <w:sz w:val="16"/>
                <w:szCs w:val="16"/>
                <w:color w:val="auto"/>
              </w:rPr>
            </w:pPr>
          </w:p>
        </w:tc>
        <w:tc>
          <w:tcPr>
            <w:tcW w:w="1220" w:type="dxa"/>
            <w:vAlign w:val="bottom"/>
            <w:tcBorders>
              <w:bottom w:val="single" w:sz="8" w:color="004876"/>
            </w:tcBorders>
          </w:tcPr>
          <w:p>
            <w:pPr>
              <w:jc w:val="right"/>
              <w:spacing w:after="0" w:line="189"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1"/>
                <w:szCs w:val="21"/>
                <w:b w:val="1"/>
                <w:bCs w:val="1"/>
                <w:color w:val="auto"/>
                <w:vertAlign w:val="superscript"/>
              </w:rPr>
              <w:t>1,3,4</w:t>
            </w:r>
          </w:p>
        </w:tc>
        <w:tc>
          <w:tcPr>
            <w:tcW w:w="220" w:type="dxa"/>
            <w:vAlign w:val="bottom"/>
            <w:tcBorders>
              <w:bottom w:val="single" w:sz="8" w:color="004876"/>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00" w:type="dxa"/>
            <w:vAlign w:val="bottom"/>
            <w:gridSpan w:val="3"/>
          </w:tcPr>
          <w:p>
            <w:pPr>
              <w:ind w:left="60"/>
              <w:spacing w:after="0"/>
              <w:rPr>
                <w:sz w:val="20"/>
                <w:szCs w:val="20"/>
                <w:color w:val="auto"/>
              </w:rPr>
            </w:pPr>
            <w:r>
              <w:rPr>
                <w:rFonts w:ascii="Arial" w:cs="Arial" w:eastAsia="Arial" w:hAnsi="Arial"/>
                <w:sz w:val="14"/>
                <w:szCs w:val="14"/>
                <w:b w:val="1"/>
                <w:bCs w:val="1"/>
                <w:color w:val="auto"/>
              </w:rPr>
              <w:t>James Dimon</w:t>
            </w:r>
          </w:p>
        </w:tc>
        <w:tc>
          <w:tcPr>
            <w:tcW w:w="1900" w:type="dxa"/>
            <w:vAlign w:val="bottom"/>
            <w:tcBorders>
              <w:right w:val="single" w:sz="8" w:color="004876"/>
            </w:tcBorders>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2/3/2010</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563,562</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$43.20</w:t>
            </w:r>
          </w:p>
        </w:tc>
        <w:tc>
          <w:tcPr>
            <w:tcW w:w="960" w:type="dxa"/>
            <w:vAlign w:val="bottom"/>
          </w:tcPr>
          <w:p>
            <w:pPr>
              <w:jc w:val="right"/>
              <w:spacing w:after="0"/>
              <w:rPr>
                <w:sz w:val="20"/>
                <w:szCs w:val="20"/>
                <w:color w:val="auto"/>
              </w:rPr>
            </w:pPr>
            <w:r>
              <w:rPr>
                <w:rFonts w:ascii="Arial" w:cs="Arial" w:eastAsia="Arial" w:hAnsi="Arial"/>
                <w:sz w:val="14"/>
                <w:szCs w:val="14"/>
                <w:color w:val="auto"/>
              </w:rPr>
              <w:t>1/20/2020</w:t>
            </w:r>
          </w:p>
        </w:tc>
        <w:tc>
          <w:tcPr>
            <w:tcW w:w="60" w:type="dxa"/>
            <w:vAlign w:val="bottom"/>
            <w:tcBorders>
              <w:right w:val="single" w:sz="8" w:color="004876"/>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2/16/2011</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367,377</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47.73</w:t>
            </w:r>
          </w:p>
        </w:tc>
        <w:tc>
          <w:tcPr>
            <w:tcW w:w="960" w:type="dxa"/>
            <w:vAlign w:val="bottom"/>
          </w:tcPr>
          <w:p>
            <w:pPr>
              <w:jc w:val="right"/>
              <w:spacing w:after="0"/>
              <w:rPr>
                <w:sz w:val="20"/>
                <w:szCs w:val="20"/>
                <w:color w:val="auto"/>
              </w:rPr>
            </w:pPr>
            <w:r>
              <w:rPr>
                <w:rFonts w:ascii="Arial" w:cs="Arial" w:eastAsia="Arial" w:hAnsi="Arial"/>
                <w:sz w:val="14"/>
                <w:szCs w:val="14"/>
                <w:color w:val="auto"/>
              </w:rPr>
              <w:t>2/16/2021</w:t>
            </w: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1/18/2012</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562,430</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35.61</w:t>
            </w:r>
          </w:p>
        </w:tc>
        <w:tc>
          <w:tcPr>
            <w:tcW w:w="960" w:type="dxa"/>
            <w:vAlign w:val="bottom"/>
          </w:tcPr>
          <w:p>
            <w:pPr>
              <w:jc w:val="right"/>
              <w:spacing w:after="0"/>
              <w:rPr>
                <w:sz w:val="20"/>
                <w:szCs w:val="20"/>
                <w:color w:val="auto"/>
              </w:rPr>
            </w:pPr>
            <w:r>
              <w:rPr>
                <w:rFonts w:ascii="Arial" w:cs="Arial" w:eastAsia="Arial" w:hAnsi="Arial"/>
                <w:sz w:val="14"/>
                <w:szCs w:val="14"/>
                <w:color w:val="auto"/>
              </w:rPr>
              <w:t>1/18/2022</w:t>
            </w: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900" w:type="dxa"/>
            <w:vAlign w:val="bottom"/>
            <w:tcBorders>
              <w:right w:val="single" w:sz="8" w:color="004876"/>
            </w:tcBorders>
          </w:tcPr>
          <w:p>
            <w:pPr>
              <w:jc w:val="right"/>
              <w:ind w:right="168"/>
              <w:spacing w:after="0" w:line="247" w:lineRule="exact"/>
              <w:rPr>
                <w:sz w:val="20"/>
                <w:szCs w:val="20"/>
                <w:color w:val="auto"/>
              </w:rPr>
            </w:pPr>
            <w:r>
              <w:rPr>
                <w:rFonts w:ascii="Arial" w:cs="Arial" w:eastAsia="Arial" w:hAnsi="Arial"/>
                <w:sz w:val="14"/>
                <w:szCs w:val="14"/>
                <w:color w:val="auto"/>
              </w:rPr>
              <w:t xml:space="preserve">1/19/2016 </w:t>
            </w:r>
            <w:r>
              <w:rPr>
                <w:rFonts w:ascii="Arial" w:cs="Arial" w:eastAsia="Arial" w:hAnsi="Arial"/>
                <w:sz w:val="24"/>
                <w:szCs w:val="24"/>
                <w:color w:val="auto"/>
                <w:vertAlign w:val="superscript"/>
              </w:rPr>
              <w:t>5</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573,648</w:t>
            </w:r>
          </w:p>
        </w:tc>
        <w:tc>
          <w:tcPr>
            <w:tcW w:w="540" w:type="dxa"/>
            <w:vAlign w:val="bottom"/>
          </w:tcPr>
          <w:p>
            <w:pPr>
              <w:ind w:left="60"/>
              <w:spacing w:after="0"/>
              <w:rPr>
                <w:sz w:val="20"/>
                <w:szCs w:val="20"/>
                <w:color w:val="auto"/>
              </w:rPr>
            </w:pPr>
            <w:r>
              <w:rPr>
                <w:rFonts w:ascii="Arial" w:cs="Arial" w:eastAsia="Arial" w:hAnsi="Arial"/>
                <w:sz w:val="12"/>
                <w:szCs w:val="12"/>
                <w:color w:val="auto"/>
              </w:rPr>
              <w:t>b</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1/17/2017</w:t>
            </w: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397,891</w:t>
            </w:r>
          </w:p>
        </w:tc>
        <w:tc>
          <w:tcPr>
            <w:tcW w:w="220" w:type="dxa"/>
            <w:vAlign w:val="bottom"/>
          </w:tcPr>
          <w:p>
            <w:pPr>
              <w:ind w:left="6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1/16/2018</w:t>
            </w:r>
          </w:p>
        </w:tc>
        <w:tc>
          <w:tcPr>
            <w:tcW w:w="520" w:type="dxa"/>
            <w:vAlign w:val="bottom"/>
          </w:tcPr>
          <w:p>
            <w:pPr>
              <w:spacing w:after="0"/>
              <w:rPr>
                <w:sz w:val="17"/>
                <w:szCs w:val="17"/>
                <w:color w:val="auto"/>
              </w:rPr>
            </w:pPr>
          </w:p>
        </w:tc>
        <w:tc>
          <w:tcPr>
            <w:tcW w:w="106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7"/>
                <w:szCs w:val="17"/>
                <w:color w:val="auto"/>
              </w:rPr>
            </w:pPr>
          </w:p>
        </w:tc>
        <w:tc>
          <w:tcPr>
            <w:tcW w:w="122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312,689</w:t>
            </w:r>
          </w:p>
        </w:tc>
        <w:tc>
          <w:tcPr>
            <w:tcW w:w="220" w:type="dxa"/>
            <w:vAlign w:val="bottom"/>
          </w:tcPr>
          <w:p>
            <w:pPr>
              <w:ind w:left="6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25"/>
        </w:trPr>
        <w:tc>
          <w:tcPr>
            <w:tcW w:w="2000" w:type="dxa"/>
            <w:vAlign w:val="bottom"/>
            <w:gridSpan w:val="3"/>
          </w:tcPr>
          <w:p>
            <w:pPr>
              <w:ind w:left="60"/>
              <w:spacing w:after="0"/>
              <w:rPr>
                <w:sz w:val="20"/>
                <w:szCs w:val="20"/>
                <w:color w:val="auto"/>
              </w:rPr>
            </w:pPr>
            <w:r>
              <w:rPr>
                <w:rFonts w:ascii="Arial" w:cs="Arial" w:eastAsia="Arial" w:hAnsi="Arial"/>
                <w:sz w:val="14"/>
                <w:szCs w:val="14"/>
                <w:color w:val="auto"/>
              </w:rPr>
              <w:t>Total awards (#)</w:t>
            </w:r>
          </w:p>
        </w:tc>
        <w:tc>
          <w:tcPr>
            <w:tcW w:w="1900" w:type="dxa"/>
            <w:vAlign w:val="bottom"/>
            <w:tcBorders>
              <w:right w:val="single" w:sz="8" w:color="004876"/>
            </w:tcBorders>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1,493,369</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Borders>
              <w:right w:val="single" w:sz="8" w:color="004876"/>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573,648</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710,580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00" w:type="dxa"/>
            <w:vAlign w:val="bottom"/>
            <w:gridSpan w:val="3"/>
            <w:vMerge w:val="restart"/>
          </w:tcPr>
          <w:p>
            <w:pPr>
              <w:ind w:left="60"/>
              <w:spacing w:after="0"/>
              <w:rPr>
                <w:sz w:val="20"/>
                <w:szCs w:val="20"/>
                <w:color w:val="auto"/>
              </w:rPr>
            </w:pPr>
            <w:r>
              <w:rPr>
                <w:rFonts w:ascii="Arial" w:cs="Arial" w:eastAsia="Arial" w:hAnsi="Arial"/>
                <w:sz w:val="14"/>
                <w:szCs w:val="14"/>
                <w:color w:val="auto"/>
              </w:rPr>
              <w:t>Market value ($)</w:t>
            </w:r>
            <w:r>
              <w:rPr>
                <w:rFonts w:ascii="Arial" w:cs="Arial" w:eastAsia="Arial" w:hAnsi="Arial"/>
                <w:sz w:val="24"/>
                <w:szCs w:val="24"/>
                <w:color w:val="auto"/>
                <w:vertAlign w:val="superscript"/>
              </w:rPr>
              <w:t>6</w:t>
            </w:r>
          </w:p>
        </w:tc>
        <w:tc>
          <w:tcPr>
            <w:tcW w:w="1900" w:type="dxa"/>
            <w:vAlign w:val="bottom"/>
            <w:tcBorders>
              <w:right w:val="single" w:sz="8" w:color="004876"/>
            </w:tcBorders>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Borders>
              <w:bottom w:val="single" w:sz="8" w:color="004876"/>
            </w:tcBorders>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Borders>
              <w:right w:val="single" w:sz="8" w:color="004876"/>
            </w:tcBorders>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Borders>
              <w:bottom w:val="single" w:sz="8" w:color="004876"/>
            </w:tcBorders>
          </w:tcPr>
          <w:p>
            <w:pPr>
              <w:spacing w:after="0"/>
              <w:rPr>
                <w:sz w:val="3"/>
                <w:szCs w:val="3"/>
                <w:color w:val="auto"/>
              </w:rPr>
            </w:pPr>
          </w:p>
        </w:tc>
        <w:tc>
          <w:tcPr>
            <w:tcW w:w="540" w:type="dxa"/>
            <w:vAlign w:val="bottom"/>
          </w:tcPr>
          <w:p>
            <w:pPr>
              <w:spacing w:after="0"/>
              <w:rPr>
                <w:sz w:val="3"/>
                <w:szCs w:val="3"/>
                <w:color w:val="auto"/>
              </w:rPr>
            </w:pPr>
          </w:p>
        </w:tc>
        <w:tc>
          <w:tcPr>
            <w:tcW w:w="1220" w:type="dxa"/>
            <w:vAlign w:val="bottom"/>
            <w:tcBorders>
              <w:bottom w:val="single" w:sz="8" w:color="004876"/>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336C91"/>
            </w:tcBorders>
            <w:gridSpan w:val="3"/>
            <w:vMerge w:val="continue"/>
          </w:tcPr>
          <w:p>
            <w:pPr>
              <w:spacing w:after="0"/>
              <w:rPr>
                <w:sz w:val="19"/>
                <w:szCs w:val="19"/>
                <w:color w:val="auto"/>
              </w:rPr>
            </w:pPr>
          </w:p>
        </w:tc>
        <w:tc>
          <w:tcPr>
            <w:tcW w:w="1900" w:type="dxa"/>
            <w:vAlign w:val="bottom"/>
            <w:tcBorders>
              <w:bottom w:val="single" w:sz="8" w:color="336C91"/>
              <w:right w:val="single" w:sz="8" w:color="004876"/>
            </w:tcBorders>
          </w:tcPr>
          <w:p>
            <w:pPr>
              <w:spacing w:after="0"/>
              <w:rPr>
                <w:sz w:val="19"/>
                <w:szCs w:val="19"/>
                <w:color w:val="auto"/>
              </w:rPr>
            </w:pPr>
          </w:p>
        </w:tc>
        <w:tc>
          <w:tcPr>
            <w:tcW w:w="520" w:type="dxa"/>
            <w:vAlign w:val="bottom"/>
            <w:tcBorders>
              <w:bottom w:val="single" w:sz="8" w:color="336C91"/>
            </w:tcBorders>
          </w:tcPr>
          <w:p>
            <w:pPr>
              <w:spacing w:after="0"/>
              <w:rPr>
                <w:sz w:val="19"/>
                <w:szCs w:val="19"/>
                <w:color w:val="auto"/>
              </w:rPr>
            </w:pPr>
          </w:p>
        </w:tc>
        <w:tc>
          <w:tcPr>
            <w:tcW w:w="106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$83,873,767</w:t>
            </w:r>
          </w:p>
        </w:tc>
        <w:tc>
          <w:tcPr>
            <w:tcW w:w="340" w:type="dxa"/>
            <w:vAlign w:val="bottom"/>
            <w:tcBorders>
              <w:bottom w:val="single" w:sz="8" w:color="336C91"/>
            </w:tcBorders>
          </w:tcPr>
          <w:p>
            <w:pPr>
              <w:spacing w:after="0"/>
              <w:rPr>
                <w:sz w:val="19"/>
                <w:szCs w:val="19"/>
                <w:color w:val="auto"/>
              </w:rPr>
            </w:pPr>
          </w:p>
        </w:tc>
        <w:tc>
          <w:tcPr>
            <w:tcW w:w="960" w:type="dxa"/>
            <w:vAlign w:val="bottom"/>
            <w:tcBorders>
              <w:bottom w:val="single" w:sz="8" w:color="336C91"/>
            </w:tcBorders>
          </w:tcPr>
          <w:p>
            <w:pPr>
              <w:spacing w:after="0"/>
              <w:rPr>
                <w:sz w:val="19"/>
                <w:szCs w:val="19"/>
                <w:color w:val="auto"/>
              </w:rPr>
            </w:pPr>
          </w:p>
        </w:tc>
        <w:tc>
          <w:tcPr>
            <w:tcW w:w="960" w:type="dxa"/>
            <w:vAlign w:val="bottom"/>
            <w:tcBorders>
              <w:bottom w:val="single" w:sz="8" w:color="336C91"/>
            </w:tcBorders>
          </w:tcPr>
          <w:p>
            <w:pPr>
              <w:spacing w:after="0"/>
              <w:rPr>
                <w:sz w:val="19"/>
                <w:szCs w:val="19"/>
                <w:color w:val="auto"/>
              </w:rPr>
            </w:pPr>
          </w:p>
        </w:tc>
        <w:tc>
          <w:tcPr>
            <w:tcW w:w="60" w:type="dxa"/>
            <w:vAlign w:val="bottom"/>
            <w:tcBorders>
              <w:bottom w:val="single" w:sz="8" w:color="336C91"/>
              <w:right w:val="single" w:sz="8" w:color="004876"/>
            </w:tcBorders>
          </w:tcPr>
          <w:p>
            <w:pPr>
              <w:spacing w:after="0"/>
              <w:rPr>
                <w:sz w:val="19"/>
                <w:szCs w:val="19"/>
                <w:color w:val="auto"/>
              </w:rPr>
            </w:pPr>
          </w:p>
        </w:tc>
        <w:tc>
          <w:tcPr>
            <w:tcW w:w="200" w:type="dxa"/>
            <w:vAlign w:val="bottom"/>
            <w:tcBorders>
              <w:bottom w:val="single" w:sz="8" w:color="336C91"/>
            </w:tcBorders>
          </w:tcPr>
          <w:p>
            <w:pPr>
              <w:spacing w:after="0"/>
              <w:rPr>
                <w:sz w:val="19"/>
                <w:szCs w:val="19"/>
                <w:color w:val="auto"/>
              </w:rPr>
            </w:pPr>
          </w:p>
        </w:tc>
        <w:tc>
          <w:tcPr>
            <w:tcW w:w="104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$55,999,518</w:t>
            </w:r>
          </w:p>
        </w:tc>
        <w:tc>
          <w:tcPr>
            <w:tcW w:w="540" w:type="dxa"/>
            <w:vAlign w:val="bottom"/>
            <w:tcBorders>
              <w:bottom w:val="single" w:sz="8" w:color="336C91"/>
            </w:tcBorders>
          </w:tcPr>
          <w:p>
            <w:pPr>
              <w:spacing w:after="0"/>
              <w:rPr>
                <w:sz w:val="19"/>
                <w:szCs w:val="19"/>
                <w:color w:val="auto"/>
              </w:rPr>
            </w:pPr>
          </w:p>
        </w:tc>
        <w:tc>
          <w:tcPr>
            <w:tcW w:w="122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$69,366,820</w:t>
            </w:r>
          </w:p>
        </w:tc>
        <w:tc>
          <w:tcPr>
            <w:tcW w:w="220" w:type="dxa"/>
            <w:vAlign w:val="bottom"/>
            <w:tcBorders>
              <w:bottom w:val="single" w:sz="8" w:color="336C91"/>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00" w:type="dxa"/>
            <w:vAlign w:val="bottom"/>
            <w:gridSpan w:val="3"/>
          </w:tcPr>
          <w:p>
            <w:pPr>
              <w:ind w:left="60"/>
              <w:spacing w:after="0"/>
              <w:rPr>
                <w:sz w:val="20"/>
                <w:szCs w:val="20"/>
                <w:color w:val="auto"/>
              </w:rPr>
            </w:pPr>
            <w:r>
              <w:rPr>
                <w:rFonts w:ascii="Arial" w:cs="Arial" w:eastAsia="Arial" w:hAnsi="Arial"/>
                <w:sz w:val="14"/>
                <w:szCs w:val="14"/>
                <w:b w:val="1"/>
                <w:bCs w:val="1"/>
                <w:color w:val="auto"/>
              </w:rPr>
              <w:t>Daniel Pinto</w:t>
            </w:r>
          </w:p>
        </w:tc>
        <w:tc>
          <w:tcPr>
            <w:tcW w:w="1900" w:type="dxa"/>
            <w:vAlign w:val="bottom"/>
            <w:tcBorders>
              <w:right w:val="single" w:sz="8" w:color="004876"/>
            </w:tcBorders>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1/20/2010</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85,000</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$43.20</w:t>
            </w:r>
          </w:p>
        </w:tc>
        <w:tc>
          <w:tcPr>
            <w:tcW w:w="960" w:type="dxa"/>
            <w:vAlign w:val="bottom"/>
          </w:tcPr>
          <w:p>
            <w:pPr>
              <w:jc w:val="right"/>
              <w:spacing w:after="0"/>
              <w:rPr>
                <w:sz w:val="20"/>
                <w:szCs w:val="20"/>
                <w:color w:val="auto"/>
              </w:rPr>
            </w:pPr>
            <w:r>
              <w:rPr>
                <w:rFonts w:ascii="Arial" w:cs="Arial" w:eastAsia="Arial" w:hAnsi="Arial"/>
                <w:sz w:val="14"/>
                <w:szCs w:val="14"/>
                <w:color w:val="auto"/>
              </w:rPr>
              <w:t>1/20/2020</w:t>
            </w:r>
          </w:p>
        </w:tc>
        <w:tc>
          <w:tcPr>
            <w:tcW w:w="60" w:type="dxa"/>
            <w:vAlign w:val="bottom"/>
            <w:tcBorders>
              <w:right w:val="single" w:sz="8" w:color="004876"/>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1/19/2011</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75,000</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44.29</w:t>
            </w:r>
          </w:p>
        </w:tc>
        <w:tc>
          <w:tcPr>
            <w:tcW w:w="960" w:type="dxa"/>
            <w:vAlign w:val="bottom"/>
          </w:tcPr>
          <w:p>
            <w:pPr>
              <w:jc w:val="right"/>
              <w:spacing w:after="0"/>
              <w:rPr>
                <w:sz w:val="20"/>
                <w:szCs w:val="20"/>
                <w:color w:val="auto"/>
              </w:rPr>
            </w:pPr>
            <w:r>
              <w:rPr>
                <w:rFonts w:ascii="Arial" w:cs="Arial" w:eastAsia="Arial" w:hAnsi="Arial"/>
                <w:sz w:val="14"/>
                <w:szCs w:val="14"/>
                <w:color w:val="auto"/>
              </w:rPr>
              <w:t>1/19/2021</w:t>
            </w: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1/18/2012</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82,115</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35.61</w:t>
            </w:r>
          </w:p>
        </w:tc>
        <w:tc>
          <w:tcPr>
            <w:tcW w:w="960" w:type="dxa"/>
            <w:vAlign w:val="bottom"/>
          </w:tcPr>
          <w:p>
            <w:pPr>
              <w:jc w:val="right"/>
              <w:spacing w:after="0"/>
              <w:rPr>
                <w:sz w:val="20"/>
                <w:szCs w:val="20"/>
                <w:color w:val="auto"/>
              </w:rPr>
            </w:pPr>
            <w:r>
              <w:rPr>
                <w:rFonts w:ascii="Arial" w:cs="Arial" w:eastAsia="Arial" w:hAnsi="Arial"/>
                <w:sz w:val="14"/>
                <w:szCs w:val="14"/>
                <w:color w:val="auto"/>
              </w:rPr>
              <w:t>1/18/2022</w:t>
            </w: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1/17/2013</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104,603</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46.58</w:t>
            </w:r>
          </w:p>
        </w:tc>
        <w:tc>
          <w:tcPr>
            <w:tcW w:w="960" w:type="dxa"/>
            <w:vAlign w:val="bottom"/>
          </w:tcPr>
          <w:p>
            <w:pPr>
              <w:jc w:val="right"/>
              <w:spacing w:after="0"/>
              <w:rPr>
                <w:sz w:val="20"/>
                <w:szCs w:val="20"/>
                <w:color w:val="auto"/>
              </w:rPr>
            </w:pPr>
            <w:r>
              <w:rPr>
                <w:rFonts w:ascii="Arial" w:cs="Arial" w:eastAsia="Arial" w:hAnsi="Arial"/>
                <w:sz w:val="14"/>
                <w:szCs w:val="14"/>
                <w:color w:val="auto"/>
              </w:rPr>
              <w:t>1/17/2023</w:t>
            </w: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900" w:type="dxa"/>
            <w:vAlign w:val="bottom"/>
            <w:tcBorders>
              <w:right w:val="single" w:sz="8" w:color="004876"/>
            </w:tcBorders>
          </w:tcPr>
          <w:p>
            <w:pPr>
              <w:jc w:val="right"/>
              <w:ind w:right="168"/>
              <w:spacing w:after="0" w:line="247" w:lineRule="exact"/>
              <w:rPr>
                <w:sz w:val="20"/>
                <w:szCs w:val="20"/>
                <w:color w:val="auto"/>
              </w:rPr>
            </w:pPr>
            <w:r>
              <w:rPr>
                <w:rFonts w:ascii="Arial" w:cs="Arial" w:eastAsia="Arial" w:hAnsi="Arial"/>
                <w:sz w:val="14"/>
                <w:szCs w:val="14"/>
                <w:color w:val="auto"/>
              </w:rPr>
              <w:t xml:space="preserve">1/19/2016 </w:t>
            </w:r>
            <w:r>
              <w:rPr>
                <w:rFonts w:ascii="Arial" w:cs="Arial" w:eastAsia="Arial" w:hAnsi="Arial"/>
                <w:sz w:val="24"/>
                <w:szCs w:val="24"/>
                <w:color w:val="auto"/>
                <w:vertAlign w:val="superscript"/>
              </w:rPr>
              <w:t>5</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162,522</w:t>
            </w:r>
          </w:p>
        </w:tc>
        <w:tc>
          <w:tcPr>
            <w:tcW w:w="540" w:type="dxa"/>
            <w:vAlign w:val="bottom"/>
          </w:tcPr>
          <w:p>
            <w:pPr>
              <w:ind w:left="60"/>
              <w:spacing w:after="0"/>
              <w:rPr>
                <w:sz w:val="20"/>
                <w:szCs w:val="20"/>
                <w:color w:val="auto"/>
              </w:rPr>
            </w:pPr>
            <w:r>
              <w:rPr>
                <w:rFonts w:ascii="Arial" w:cs="Arial" w:eastAsia="Arial" w:hAnsi="Arial"/>
                <w:sz w:val="12"/>
                <w:szCs w:val="12"/>
                <w:color w:val="auto"/>
              </w:rPr>
              <w:t>b</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1/19/2016</w:t>
            </w: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50,733</w:t>
            </w:r>
          </w:p>
        </w:tc>
        <w:tc>
          <w:tcPr>
            <w:tcW w:w="540" w:type="dxa"/>
            <w:vAlign w:val="bottom"/>
          </w:tcPr>
          <w:p>
            <w:pPr>
              <w:ind w:left="60"/>
              <w:spacing w:after="0"/>
              <w:rPr>
                <w:sz w:val="20"/>
                <w:szCs w:val="20"/>
                <w:color w:val="auto"/>
              </w:rPr>
            </w:pPr>
            <w:r>
              <w:rPr>
                <w:rFonts w:ascii="Arial" w:cs="Arial" w:eastAsia="Arial" w:hAnsi="Arial"/>
                <w:sz w:val="12"/>
                <w:szCs w:val="12"/>
                <w:color w:val="auto"/>
              </w:rPr>
              <w:t>c</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1/17/2017</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63,483</w:t>
            </w:r>
          </w:p>
        </w:tc>
        <w:tc>
          <w:tcPr>
            <w:tcW w:w="540" w:type="dxa"/>
            <w:vAlign w:val="bottom"/>
          </w:tcPr>
          <w:p>
            <w:pPr>
              <w:ind w:left="60"/>
              <w:spacing w:after="0"/>
              <w:rPr>
                <w:sz w:val="20"/>
                <w:szCs w:val="20"/>
                <w:color w:val="auto"/>
              </w:rPr>
            </w:pPr>
            <w:r>
              <w:rPr>
                <w:rFonts w:ascii="Arial" w:cs="Arial" w:eastAsia="Arial" w:hAnsi="Arial"/>
                <w:sz w:val="12"/>
                <w:szCs w:val="12"/>
                <w:color w:val="auto"/>
              </w:rPr>
              <w:t>e</w:t>
            </w:r>
          </w:p>
        </w:tc>
        <w:tc>
          <w:tcPr>
            <w:tcW w:w="1220" w:type="dxa"/>
            <w:vAlign w:val="bottom"/>
          </w:tcPr>
          <w:p>
            <w:pPr>
              <w:jc w:val="right"/>
              <w:spacing w:after="0"/>
              <w:rPr>
                <w:sz w:val="20"/>
                <w:szCs w:val="20"/>
                <w:color w:val="auto"/>
              </w:rPr>
            </w:pPr>
            <w:r>
              <w:rPr>
                <w:rFonts w:ascii="Arial" w:cs="Arial" w:eastAsia="Arial" w:hAnsi="Arial"/>
                <w:sz w:val="14"/>
                <w:szCs w:val="14"/>
                <w:color w:val="auto"/>
              </w:rPr>
              <w:t>98,982</w:t>
            </w:r>
          </w:p>
        </w:tc>
        <w:tc>
          <w:tcPr>
            <w:tcW w:w="220" w:type="dxa"/>
            <w:vAlign w:val="bottom"/>
          </w:tcPr>
          <w:p>
            <w:pPr>
              <w:ind w:left="60"/>
              <w:spacing w:after="0"/>
              <w:rPr>
                <w:sz w:val="20"/>
                <w:szCs w:val="20"/>
                <w:color w:val="auto"/>
              </w:rPr>
            </w:pPr>
            <w:r>
              <w:rPr>
                <w:rFonts w:ascii="Arial" w:cs="Arial" w:eastAsia="Arial" w:hAnsi="Arial"/>
                <w:sz w:val="12"/>
                <w:szCs w:val="12"/>
                <w:color w:val="auto"/>
              </w:rPr>
              <w:t>d</w:t>
            </w: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1/16/2018</w:t>
            </w:r>
          </w:p>
        </w:tc>
        <w:tc>
          <w:tcPr>
            <w:tcW w:w="520" w:type="dxa"/>
            <w:vAlign w:val="bottom"/>
          </w:tcPr>
          <w:p>
            <w:pPr>
              <w:spacing w:after="0"/>
              <w:rPr>
                <w:sz w:val="17"/>
                <w:szCs w:val="17"/>
                <w:color w:val="auto"/>
              </w:rPr>
            </w:pPr>
          </w:p>
        </w:tc>
        <w:tc>
          <w:tcPr>
            <w:tcW w:w="106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63,680</w:t>
            </w:r>
          </w:p>
        </w:tc>
        <w:tc>
          <w:tcPr>
            <w:tcW w:w="540" w:type="dxa"/>
            <w:vAlign w:val="bottom"/>
          </w:tcPr>
          <w:p>
            <w:pPr>
              <w:ind w:left="60"/>
              <w:spacing w:after="0"/>
              <w:rPr>
                <w:sz w:val="20"/>
                <w:szCs w:val="20"/>
                <w:color w:val="auto"/>
              </w:rPr>
            </w:pPr>
            <w:r>
              <w:rPr>
                <w:rFonts w:ascii="Arial" w:cs="Arial" w:eastAsia="Arial" w:hAnsi="Arial"/>
                <w:sz w:val="12"/>
                <w:szCs w:val="12"/>
                <w:color w:val="auto"/>
              </w:rPr>
              <w:t>e</w:t>
            </w:r>
          </w:p>
        </w:tc>
        <w:tc>
          <w:tcPr>
            <w:tcW w:w="122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97,614</w:t>
            </w:r>
          </w:p>
        </w:tc>
        <w:tc>
          <w:tcPr>
            <w:tcW w:w="220" w:type="dxa"/>
            <w:vAlign w:val="bottom"/>
          </w:tcPr>
          <w:p>
            <w:pPr>
              <w:ind w:left="60"/>
              <w:spacing w:after="0"/>
              <w:rPr>
                <w:sz w:val="20"/>
                <w:szCs w:val="20"/>
                <w:color w:val="auto"/>
              </w:rPr>
            </w:pPr>
            <w:r>
              <w:rPr>
                <w:rFonts w:ascii="Arial" w:cs="Arial" w:eastAsia="Arial" w:hAnsi="Arial"/>
                <w:sz w:val="12"/>
                <w:szCs w:val="12"/>
                <w:color w:val="auto"/>
              </w:rPr>
              <w:t>e</w:t>
            </w:r>
          </w:p>
        </w:tc>
        <w:tc>
          <w:tcPr>
            <w:tcW w:w="0" w:type="dxa"/>
            <w:vAlign w:val="bottom"/>
          </w:tcPr>
          <w:p>
            <w:pPr>
              <w:spacing w:after="0"/>
              <w:rPr>
                <w:sz w:val="1"/>
                <w:szCs w:val="1"/>
                <w:color w:val="auto"/>
              </w:rPr>
            </w:pPr>
          </w:p>
        </w:tc>
      </w:tr>
      <w:tr>
        <w:trPr>
          <w:trHeight w:val="225"/>
        </w:trPr>
        <w:tc>
          <w:tcPr>
            <w:tcW w:w="2000" w:type="dxa"/>
            <w:vAlign w:val="bottom"/>
            <w:gridSpan w:val="3"/>
          </w:tcPr>
          <w:p>
            <w:pPr>
              <w:ind w:left="60"/>
              <w:spacing w:after="0"/>
              <w:rPr>
                <w:sz w:val="20"/>
                <w:szCs w:val="20"/>
                <w:color w:val="auto"/>
              </w:rPr>
            </w:pPr>
            <w:r>
              <w:rPr>
                <w:rFonts w:ascii="Arial" w:cs="Arial" w:eastAsia="Arial" w:hAnsi="Arial"/>
                <w:sz w:val="14"/>
                <w:szCs w:val="14"/>
                <w:color w:val="auto"/>
              </w:rPr>
              <w:t>Total awards (#)</w:t>
            </w:r>
          </w:p>
        </w:tc>
        <w:tc>
          <w:tcPr>
            <w:tcW w:w="1900" w:type="dxa"/>
            <w:vAlign w:val="bottom"/>
            <w:tcBorders>
              <w:right w:val="single" w:sz="8" w:color="004876"/>
            </w:tcBorders>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346,718</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Borders>
              <w:right w:val="single" w:sz="8" w:color="004876"/>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340,418</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196,596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00" w:type="dxa"/>
            <w:vAlign w:val="bottom"/>
            <w:gridSpan w:val="3"/>
            <w:vMerge w:val="restart"/>
          </w:tcPr>
          <w:p>
            <w:pPr>
              <w:ind w:left="60"/>
              <w:spacing w:after="0"/>
              <w:rPr>
                <w:sz w:val="20"/>
                <w:szCs w:val="20"/>
                <w:color w:val="auto"/>
              </w:rPr>
            </w:pPr>
            <w:r>
              <w:rPr>
                <w:rFonts w:ascii="Arial" w:cs="Arial" w:eastAsia="Arial" w:hAnsi="Arial"/>
                <w:sz w:val="14"/>
                <w:szCs w:val="14"/>
                <w:color w:val="auto"/>
              </w:rPr>
              <w:t>Market value ($)</w:t>
            </w:r>
            <w:r>
              <w:rPr>
                <w:rFonts w:ascii="Arial" w:cs="Arial" w:eastAsia="Arial" w:hAnsi="Arial"/>
                <w:sz w:val="24"/>
                <w:szCs w:val="24"/>
                <w:color w:val="auto"/>
                <w:vertAlign w:val="superscript"/>
              </w:rPr>
              <w:t>6</w:t>
            </w:r>
          </w:p>
        </w:tc>
        <w:tc>
          <w:tcPr>
            <w:tcW w:w="1900" w:type="dxa"/>
            <w:vAlign w:val="bottom"/>
            <w:tcBorders>
              <w:right w:val="single" w:sz="8" w:color="004876"/>
            </w:tcBorders>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Borders>
              <w:bottom w:val="single" w:sz="8" w:color="004876"/>
            </w:tcBorders>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Borders>
              <w:right w:val="single" w:sz="8" w:color="004876"/>
            </w:tcBorders>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Borders>
              <w:bottom w:val="single" w:sz="8" w:color="004876"/>
            </w:tcBorders>
          </w:tcPr>
          <w:p>
            <w:pPr>
              <w:spacing w:after="0"/>
              <w:rPr>
                <w:sz w:val="3"/>
                <w:szCs w:val="3"/>
                <w:color w:val="auto"/>
              </w:rPr>
            </w:pPr>
          </w:p>
        </w:tc>
        <w:tc>
          <w:tcPr>
            <w:tcW w:w="540" w:type="dxa"/>
            <w:vAlign w:val="bottom"/>
          </w:tcPr>
          <w:p>
            <w:pPr>
              <w:spacing w:after="0"/>
              <w:rPr>
                <w:sz w:val="3"/>
                <w:szCs w:val="3"/>
                <w:color w:val="auto"/>
              </w:rPr>
            </w:pPr>
          </w:p>
        </w:tc>
        <w:tc>
          <w:tcPr>
            <w:tcW w:w="1220" w:type="dxa"/>
            <w:vAlign w:val="bottom"/>
            <w:tcBorders>
              <w:bottom w:val="single" w:sz="8" w:color="004876"/>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336C91"/>
            </w:tcBorders>
            <w:gridSpan w:val="3"/>
            <w:vMerge w:val="continue"/>
          </w:tcPr>
          <w:p>
            <w:pPr>
              <w:spacing w:after="0"/>
              <w:rPr>
                <w:sz w:val="19"/>
                <w:szCs w:val="19"/>
                <w:color w:val="auto"/>
              </w:rPr>
            </w:pPr>
          </w:p>
        </w:tc>
        <w:tc>
          <w:tcPr>
            <w:tcW w:w="1900" w:type="dxa"/>
            <w:vAlign w:val="bottom"/>
            <w:tcBorders>
              <w:bottom w:val="single" w:sz="8" w:color="336C91"/>
              <w:right w:val="single" w:sz="8" w:color="004876"/>
            </w:tcBorders>
          </w:tcPr>
          <w:p>
            <w:pPr>
              <w:spacing w:after="0"/>
              <w:rPr>
                <w:sz w:val="19"/>
                <w:szCs w:val="19"/>
                <w:color w:val="auto"/>
              </w:rPr>
            </w:pPr>
          </w:p>
        </w:tc>
        <w:tc>
          <w:tcPr>
            <w:tcW w:w="520" w:type="dxa"/>
            <w:vAlign w:val="bottom"/>
            <w:tcBorders>
              <w:bottom w:val="single" w:sz="8" w:color="336C91"/>
            </w:tcBorders>
          </w:tcPr>
          <w:p>
            <w:pPr>
              <w:spacing w:after="0"/>
              <w:rPr>
                <w:sz w:val="19"/>
                <w:szCs w:val="19"/>
                <w:color w:val="auto"/>
              </w:rPr>
            </w:pPr>
          </w:p>
        </w:tc>
        <w:tc>
          <w:tcPr>
            <w:tcW w:w="106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$19,056,338</w:t>
            </w:r>
          </w:p>
        </w:tc>
        <w:tc>
          <w:tcPr>
            <w:tcW w:w="340" w:type="dxa"/>
            <w:vAlign w:val="bottom"/>
            <w:tcBorders>
              <w:bottom w:val="single" w:sz="8" w:color="336C91"/>
            </w:tcBorders>
          </w:tcPr>
          <w:p>
            <w:pPr>
              <w:spacing w:after="0"/>
              <w:rPr>
                <w:sz w:val="19"/>
                <w:szCs w:val="19"/>
                <w:color w:val="auto"/>
              </w:rPr>
            </w:pPr>
          </w:p>
        </w:tc>
        <w:tc>
          <w:tcPr>
            <w:tcW w:w="960" w:type="dxa"/>
            <w:vAlign w:val="bottom"/>
            <w:tcBorders>
              <w:bottom w:val="single" w:sz="8" w:color="336C91"/>
            </w:tcBorders>
          </w:tcPr>
          <w:p>
            <w:pPr>
              <w:spacing w:after="0"/>
              <w:rPr>
                <w:sz w:val="19"/>
                <w:szCs w:val="19"/>
                <w:color w:val="auto"/>
              </w:rPr>
            </w:pPr>
          </w:p>
        </w:tc>
        <w:tc>
          <w:tcPr>
            <w:tcW w:w="960" w:type="dxa"/>
            <w:vAlign w:val="bottom"/>
            <w:tcBorders>
              <w:bottom w:val="single" w:sz="8" w:color="336C91"/>
            </w:tcBorders>
          </w:tcPr>
          <w:p>
            <w:pPr>
              <w:spacing w:after="0"/>
              <w:rPr>
                <w:sz w:val="19"/>
                <w:szCs w:val="19"/>
                <w:color w:val="auto"/>
              </w:rPr>
            </w:pPr>
          </w:p>
        </w:tc>
        <w:tc>
          <w:tcPr>
            <w:tcW w:w="60" w:type="dxa"/>
            <w:vAlign w:val="bottom"/>
            <w:tcBorders>
              <w:bottom w:val="single" w:sz="8" w:color="336C91"/>
              <w:right w:val="single" w:sz="8" w:color="004876"/>
            </w:tcBorders>
          </w:tcPr>
          <w:p>
            <w:pPr>
              <w:spacing w:after="0"/>
              <w:rPr>
                <w:sz w:val="19"/>
                <w:szCs w:val="19"/>
                <w:color w:val="auto"/>
              </w:rPr>
            </w:pPr>
          </w:p>
        </w:tc>
        <w:tc>
          <w:tcPr>
            <w:tcW w:w="200" w:type="dxa"/>
            <w:vAlign w:val="bottom"/>
            <w:tcBorders>
              <w:bottom w:val="single" w:sz="8" w:color="336C91"/>
            </w:tcBorders>
          </w:tcPr>
          <w:p>
            <w:pPr>
              <w:spacing w:after="0"/>
              <w:rPr>
                <w:sz w:val="19"/>
                <w:szCs w:val="19"/>
                <w:color w:val="auto"/>
              </w:rPr>
            </w:pPr>
          </w:p>
        </w:tc>
        <w:tc>
          <w:tcPr>
            <w:tcW w:w="104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$33,231,605</w:t>
            </w:r>
          </w:p>
        </w:tc>
        <w:tc>
          <w:tcPr>
            <w:tcW w:w="540" w:type="dxa"/>
            <w:vAlign w:val="bottom"/>
            <w:tcBorders>
              <w:bottom w:val="single" w:sz="8" w:color="336C91"/>
            </w:tcBorders>
          </w:tcPr>
          <w:p>
            <w:pPr>
              <w:spacing w:after="0"/>
              <w:rPr>
                <w:sz w:val="19"/>
                <w:szCs w:val="19"/>
                <w:color w:val="auto"/>
              </w:rPr>
            </w:pPr>
          </w:p>
        </w:tc>
        <w:tc>
          <w:tcPr>
            <w:tcW w:w="122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$19,191,702</w:t>
            </w:r>
          </w:p>
        </w:tc>
        <w:tc>
          <w:tcPr>
            <w:tcW w:w="220" w:type="dxa"/>
            <w:vAlign w:val="bottom"/>
            <w:tcBorders>
              <w:bottom w:val="single" w:sz="8" w:color="336C91"/>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00" w:type="dxa"/>
            <w:vAlign w:val="bottom"/>
            <w:gridSpan w:val="3"/>
          </w:tcPr>
          <w:p>
            <w:pPr>
              <w:ind w:left="60"/>
              <w:spacing w:after="0"/>
              <w:rPr>
                <w:sz w:val="20"/>
                <w:szCs w:val="20"/>
                <w:color w:val="auto"/>
              </w:rPr>
            </w:pPr>
            <w:r>
              <w:rPr>
                <w:rFonts w:ascii="Arial" w:cs="Arial" w:eastAsia="Arial" w:hAnsi="Arial"/>
                <w:sz w:val="14"/>
                <w:szCs w:val="14"/>
                <w:b w:val="1"/>
                <w:bCs w:val="1"/>
                <w:color w:val="auto"/>
              </w:rPr>
              <w:t>Gordon Smith</w:t>
            </w:r>
          </w:p>
        </w:tc>
        <w:tc>
          <w:tcPr>
            <w:tcW w:w="1900" w:type="dxa"/>
            <w:vAlign w:val="bottom"/>
            <w:tcBorders>
              <w:right w:val="single" w:sz="8" w:color="004876"/>
            </w:tcBorders>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2/3/2010</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149,179</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$43.20</w:t>
            </w:r>
          </w:p>
        </w:tc>
        <w:tc>
          <w:tcPr>
            <w:tcW w:w="960" w:type="dxa"/>
            <w:vAlign w:val="bottom"/>
          </w:tcPr>
          <w:p>
            <w:pPr>
              <w:jc w:val="right"/>
              <w:spacing w:after="0"/>
              <w:rPr>
                <w:sz w:val="20"/>
                <w:szCs w:val="20"/>
                <w:color w:val="auto"/>
              </w:rPr>
            </w:pPr>
            <w:r>
              <w:rPr>
                <w:rFonts w:ascii="Arial" w:cs="Arial" w:eastAsia="Arial" w:hAnsi="Arial"/>
                <w:sz w:val="14"/>
                <w:szCs w:val="14"/>
                <w:color w:val="auto"/>
              </w:rPr>
              <w:t>1/20/2020</w:t>
            </w:r>
          </w:p>
        </w:tc>
        <w:tc>
          <w:tcPr>
            <w:tcW w:w="60" w:type="dxa"/>
            <w:vAlign w:val="bottom"/>
            <w:tcBorders>
              <w:right w:val="single" w:sz="8" w:color="004876"/>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1/19/2011</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76,924</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44.29</w:t>
            </w:r>
          </w:p>
        </w:tc>
        <w:tc>
          <w:tcPr>
            <w:tcW w:w="960" w:type="dxa"/>
            <w:vAlign w:val="bottom"/>
          </w:tcPr>
          <w:p>
            <w:pPr>
              <w:jc w:val="right"/>
              <w:spacing w:after="0"/>
              <w:rPr>
                <w:sz w:val="20"/>
                <w:szCs w:val="20"/>
                <w:color w:val="auto"/>
              </w:rPr>
            </w:pPr>
            <w:r>
              <w:rPr>
                <w:rFonts w:ascii="Arial" w:cs="Arial" w:eastAsia="Arial" w:hAnsi="Arial"/>
                <w:sz w:val="14"/>
                <w:szCs w:val="14"/>
                <w:color w:val="auto"/>
              </w:rPr>
              <w:t>1/19/2021</w:t>
            </w: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1/18/2012</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44,995</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35.61</w:t>
            </w:r>
          </w:p>
        </w:tc>
        <w:tc>
          <w:tcPr>
            <w:tcW w:w="960" w:type="dxa"/>
            <w:vAlign w:val="bottom"/>
          </w:tcPr>
          <w:p>
            <w:pPr>
              <w:jc w:val="right"/>
              <w:spacing w:after="0"/>
              <w:rPr>
                <w:sz w:val="20"/>
                <w:szCs w:val="20"/>
                <w:color w:val="auto"/>
              </w:rPr>
            </w:pPr>
            <w:r>
              <w:rPr>
                <w:rFonts w:ascii="Arial" w:cs="Arial" w:eastAsia="Arial" w:hAnsi="Arial"/>
                <w:sz w:val="14"/>
                <w:szCs w:val="14"/>
                <w:color w:val="auto"/>
              </w:rPr>
              <w:t>1/18/2022</w:t>
            </w: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1/17/2013</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209,206</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46.58</w:t>
            </w:r>
          </w:p>
        </w:tc>
        <w:tc>
          <w:tcPr>
            <w:tcW w:w="960" w:type="dxa"/>
            <w:vAlign w:val="bottom"/>
          </w:tcPr>
          <w:p>
            <w:pPr>
              <w:jc w:val="right"/>
              <w:spacing w:after="0"/>
              <w:rPr>
                <w:sz w:val="20"/>
                <w:szCs w:val="20"/>
                <w:color w:val="auto"/>
              </w:rPr>
            </w:pPr>
            <w:r>
              <w:rPr>
                <w:rFonts w:ascii="Arial" w:cs="Arial" w:eastAsia="Arial" w:hAnsi="Arial"/>
                <w:sz w:val="14"/>
                <w:szCs w:val="14"/>
                <w:color w:val="auto"/>
              </w:rPr>
              <w:t>1/17/2023</w:t>
            </w: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900" w:type="dxa"/>
            <w:vAlign w:val="bottom"/>
            <w:tcBorders>
              <w:right w:val="single" w:sz="8" w:color="004876"/>
            </w:tcBorders>
          </w:tcPr>
          <w:p>
            <w:pPr>
              <w:jc w:val="right"/>
              <w:ind w:right="168"/>
              <w:spacing w:after="0" w:line="247" w:lineRule="exact"/>
              <w:rPr>
                <w:sz w:val="20"/>
                <w:szCs w:val="20"/>
                <w:color w:val="auto"/>
              </w:rPr>
            </w:pPr>
            <w:r>
              <w:rPr>
                <w:rFonts w:ascii="Arial" w:cs="Arial" w:eastAsia="Arial" w:hAnsi="Arial"/>
                <w:sz w:val="14"/>
                <w:szCs w:val="14"/>
                <w:color w:val="auto"/>
              </w:rPr>
              <w:t xml:space="preserve">1/19/2016 </w:t>
            </w:r>
            <w:r>
              <w:rPr>
                <w:rFonts w:ascii="Arial" w:cs="Arial" w:eastAsia="Arial" w:hAnsi="Arial"/>
                <w:sz w:val="24"/>
                <w:szCs w:val="24"/>
                <w:color w:val="auto"/>
                <w:vertAlign w:val="superscript"/>
              </w:rPr>
              <w:t>5</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136,417</w:t>
            </w:r>
          </w:p>
        </w:tc>
        <w:tc>
          <w:tcPr>
            <w:tcW w:w="540" w:type="dxa"/>
            <w:vAlign w:val="bottom"/>
          </w:tcPr>
          <w:p>
            <w:pPr>
              <w:ind w:left="60"/>
              <w:spacing w:after="0"/>
              <w:rPr>
                <w:sz w:val="20"/>
                <w:szCs w:val="20"/>
                <w:color w:val="auto"/>
              </w:rPr>
            </w:pPr>
            <w:r>
              <w:rPr>
                <w:rFonts w:ascii="Arial" w:cs="Arial" w:eastAsia="Arial" w:hAnsi="Arial"/>
                <w:sz w:val="12"/>
                <w:szCs w:val="12"/>
                <w:color w:val="auto"/>
              </w:rPr>
              <w:t>b</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1/19/2016</w:t>
            </w: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42,584</w:t>
            </w:r>
          </w:p>
        </w:tc>
        <w:tc>
          <w:tcPr>
            <w:tcW w:w="540" w:type="dxa"/>
            <w:vAlign w:val="bottom"/>
          </w:tcPr>
          <w:p>
            <w:pPr>
              <w:ind w:left="60"/>
              <w:spacing w:after="0"/>
              <w:rPr>
                <w:sz w:val="20"/>
                <w:szCs w:val="20"/>
                <w:color w:val="auto"/>
              </w:rPr>
            </w:pPr>
            <w:r>
              <w:rPr>
                <w:rFonts w:ascii="Arial" w:cs="Arial" w:eastAsia="Arial" w:hAnsi="Arial"/>
                <w:sz w:val="12"/>
                <w:szCs w:val="12"/>
                <w:color w:val="auto"/>
              </w:rPr>
              <w:t>c</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1/17/2017</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64,986</w:t>
            </w:r>
          </w:p>
        </w:tc>
        <w:tc>
          <w:tcPr>
            <w:tcW w:w="540" w:type="dxa"/>
            <w:vAlign w:val="bottom"/>
          </w:tcPr>
          <w:p>
            <w:pPr>
              <w:ind w:left="60"/>
              <w:spacing w:after="0"/>
              <w:rPr>
                <w:sz w:val="20"/>
                <w:szCs w:val="20"/>
                <w:color w:val="auto"/>
              </w:rPr>
            </w:pPr>
            <w:r>
              <w:rPr>
                <w:rFonts w:ascii="Arial" w:cs="Arial" w:eastAsia="Arial" w:hAnsi="Arial"/>
                <w:sz w:val="12"/>
                <w:szCs w:val="12"/>
                <w:color w:val="auto"/>
              </w:rPr>
              <w:t>c</w:t>
            </w:r>
          </w:p>
        </w:tc>
        <w:tc>
          <w:tcPr>
            <w:tcW w:w="1220" w:type="dxa"/>
            <w:vAlign w:val="bottom"/>
          </w:tcPr>
          <w:p>
            <w:pPr>
              <w:jc w:val="right"/>
              <w:spacing w:after="0"/>
              <w:rPr>
                <w:sz w:val="20"/>
                <w:szCs w:val="20"/>
                <w:color w:val="auto"/>
              </w:rPr>
            </w:pPr>
            <w:r>
              <w:rPr>
                <w:rFonts w:ascii="Arial" w:cs="Arial" w:eastAsia="Arial" w:hAnsi="Arial"/>
                <w:sz w:val="14"/>
                <w:szCs w:val="14"/>
                <w:color w:val="auto"/>
              </w:rPr>
              <w:t>101,325</w:t>
            </w:r>
          </w:p>
        </w:tc>
        <w:tc>
          <w:tcPr>
            <w:tcW w:w="220" w:type="dxa"/>
            <w:vAlign w:val="bottom"/>
          </w:tcPr>
          <w:p>
            <w:pPr>
              <w:ind w:left="6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00" w:type="dxa"/>
            <w:vAlign w:val="bottom"/>
            <w:tcBorders>
              <w:right w:val="single" w:sz="8" w:color="004876"/>
            </w:tcBorders>
          </w:tcPr>
          <w:p>
            <w:pPr>
              <w:jc w:val="right"/>
              <w:ind w:right="248"/>
              <w:spacing w:after="0"/>
              <w:rPr>
                <w:sz w:val="20"/>
                <w:szCs w:val="20"/>
                <w:color w:val="auto"/>
              </w:rPr>
            </w:pPr>
            <w:r>
              <w:rPr>
                <w:rFonts w:ascii="Arial" w:cs="Arial" w:eastAsia="Arial" w:hAnsi="Arial"/>
                <w:sz w:val="14"/>
                <w:szCs w:val="14"/>
                <w:color w:val="auto"/>
              </w:rPr>
              <w:t>1/16/2018</w:t>
            </w:r>
          </w:p>
        </w:tc>
        <w:tc>
          <w:tcPr>
            <w:tcW w:w="520" w:type="dxa"/>
            <w:vAlign w:val="bottom"/>
          </w:tcPr>
          <w:p>
            <w:pPr>
              <w:spacing w:after="0"/>
              <w:rPr>
                <w:sz w:val="17"/>
                <w:szCs w:val="17"/>
                <w:color w:val="auto"/>
              </w:rPr>
            </w:pPr>
          </w:p>
        </w:tc>
        <w:tc>
          <w:tcPr>
            <w:tcW w:w="106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51,448</w:t>
            </w:r>
          </w:p>
        </w:tc>
        <w:tc>
          <w:tcPr>
            <w:tcW w:w="540" w:type="dxa"/>
            <w:vAlign w:val="bottom"/>
          </w:tcPr>
          <w:p>
            <w:pPr>
              <w:ind w:left="60"/>
              <w:spacing w:after="0"/>
              <w:rPr>
                <w:sz w:val="20"/>
                <w:szCs w:val="20"/>
                <w:color w:val="auto"/>
              </w:rPr>
            </w:pPr>
            <w:r>
              <w:rPr>
                <w:rFonts w:ascii="Arial" w:cs="Arial" w:eastAsia="Arial" w:hAnsi="Arial"/>
                <w:sz w:val="12"/>
                <w:szCs w:val="12"/>
                <w:color w:val="auto"/>
              </w:rPr>
              <w:t>c</w:t>
            </w:r>
          </w:p>
        </w:tc>
        <w:tc>
          <w:tcPr>
            <w:tcW w:w="122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78,513</w:t>
            </w:r>
          </w:p>
        </w:tc>
        <w:tc>
          <w:tcPr>
            <w:tcW w:w="220" w:type="dxa"/>
            <w:vAlign w:val="bottom"/>
          </w:tcPr>
          <w:p>
            <w:pPr>
              <w:ind w:left="6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25"/>
        </w:trPr>
        <w:tc>
          <w:tcPr>
            <w:tcW w:w="2000" w:type="dxa"/>
            <w:vAlign w:val="bottom"/>
            <w:gridSpan w:val="3"/>
          </w:tcPr>
          <w:p>
            <w:pPr>
              <w:ind w:left="60"/>
              <w:spacing w:after="0"/>
              <w:rPr>
                <w:sz w:val="20"/>
                <w:szCs w:val="20"/>
                <w:color w:val="auto"/>
              </w:rPr>
            </w:pPr>
            <w:r>
              <w:rPr>
                <w:rFonts w:ascii="Arial" w:cs="Arial" w:eastAsia="Arial" w:hAnsi="Arial"/>
                <w:sz w:val="14"/>
                <w:szCs w:val="14"/>
                <w:color w:val="auto"/>
              </w:rPr>
              <w:t>Total awards (#)</w:t>
            </w:r>
          </w:p>
        </w:tc>
        <w:tc>
          <w:tcPr>
            <w:tcW w:w="1900" w:type="dxa"/>
            <w:vAlign w:val="bottom"/>
            <w:tcBorders>
              <w:right w:val="single" w:sz="8" w:color="004876"/>
            </w:tcBorders>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480,304</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Borders>
              <w:right w:val="single" w:sz="8" w:color="004876"/>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295,435</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179,838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00" w:type="dxa"/>
            <w:vAlign w:val="bottom"/>
            <w:gridSpan w:val="3"/>
            <w:vMerge w:val="restart"/>
          </w:tcPr>
          <w:p>
            <w:pPr>
              <w:ind w:left="60"/>
              <w:spacing w:after="0"/>
              <w:rPr>
                <w:sz w:val="20"/>
                <w:szCs w:val="20"/>
                <w:color w:val="auto"/>
              </w:rPr>
            </w:pPr>
            <w:r>
              <w:rPr>
                <w:rFonts w:ascii="Arial" w:cs="Arial" w:eastAsia="Arial" w:hAnsi="Arial"/>
                <w:sz w:val="14"/>
                <w:szCs w:val="14"/>
                <w:color w:val="auto"/>
              </w:rPr>
              <w:t>Market value ($)</w:t>
            </w:r>
            <w:r>
              <w:rPr>
                <w:rFonts w:ascii="Arial" w:cs="Arial" w:eastAsia="Arial" w:hAnsi="Arial"/>
                <w:sz w:val="24"/>
                <w:szCs w:val="24"/>
                <w:color w:val="auto"/>
                <w:vertAlign w:val="superscript"/>
              </w:rPr>
              <w:t>6</w:t>
            </w:r>
          </w:p>
        </w:tc>
        <w:tc>
          <w:tcPr>
            <w:tcW w:w="1900" w:type="dxa"/>
            <w:vAlign w:val="bottom"/>
            <w:tcBorders>
              <w:right w:val="single" w:sz="8" w:color="004876"/>
            </w:tcBorders>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Borders>
              <w:bottom w:val="single" w:sz="8" w:color="004876"/>
            </w:tcBorders>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Borders>
              <w:right w:val="single" w:sz="8" w:color="004876"/>
            </w:tcBorders>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Borders>
              <w:bottom w:val="single" w:sz="8" w:color="004876"/>
            </w:tcBorders>
          </w:tcPr>
          <w:p>
            <w:pPr>
              <w:spacing w:after="0"/>
              <w:rPr>
                <w:sz w:val="3"/>
                <w:szCs w:val="3"/>
                <w:color w:val="auto"/>
              </w:rPr>
            </w:pPr>
          </w:p>
        </w:tc>
        <w:tc>
          <w:tcPr>
            <w:tcW w:w="540" w:type="dxa"/>
            <w:vAlign w:val="bottom"/>
          </w:tcPr>
          <w:p>
            <w:pPr>
              <w:spacing w:after="0"/>
              <w:rPr>
                <w:sz w:val="3"/>
                <w:szCs w:val="3"/>
                <w:color w:val="auto"/>
              </w:rPr>
            </w:pPr>
          </w:p>
        </w:tc>
        <w:tc>
          <w:tcPr>
            <w:tcW w:w="1220" w:type="dxa"/>
            <w:vAlign w:val="bottom"/>
            <w:tcBorders>
              <w:bottom w:val="single" w:sz="8" w:color="004876"/>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336C91"/>
            </w:tcBorders>
            <w:gridSpan w:val="3"/>
            <w:vMerge w:val="continue"/>
          </w:tcPr>
          <w:p>
            <w:pPr>
              <w:spacing w:after="0"/>
              <w:rPr>
                <w:sz w:val="19"/>
                <w:szCs w:val="19"/>
                <w:color w:val="auto"/>
              </w:rPr>
            </w:pPr>
          </w:p>
        </w:tc>
        <w:tc>
          <w:tcPr>
            <w:tcW w:w="1900" w:type="dxa"/>
            <w:vAlign w:val="bottom"/>
            <w:tcBorders>
              <w:bottom w:val="single" w:sz="8" w:color="336C91"/>
              <w:right w:val="single" w:sz="8" w:color="004876"/>
            </w:tcBorders>
          </w:tcPr>
          <w:p>
            <w:pPr>
              <w:spacing w:after="0"/>
              <w:rPr>
                <w:sz w:val="19"/>
                <w:szCs w:val="19"/>
                <w:color w:val="auto"/>
              </w:rPr>
            </w:pPr>
          </w:p>
        </w:tc>
        <w:tc>
          <w:tcPr>
            <w:tcW w:w="520" w:type="dxa"/>
            <w:vAlign w:val="bottom"/>
            <w:tcBorders>
              <w:bottom w:val="single" w:sz="8" w:color="336C91"/>
            </w:tcBorders>
          </w:tcPr>
          <w:p>
            <w:pPr>
              <w:spacing w:after="0"/>
              <w:rPr>
                <w:sz w:val="19"/>
                <w:szCs w:val="19"/>
                <w:color w:val="auto"/>
              </w:rPr>
            </w:pPr>
          </w:p>
        </w:tc>
        <w:tc>
          <w:tcPr>
            <w:tcW w:w="106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$25,688,692</w:t>
            </w:r>
          </w:p>
        </w:tc>
        <w:tc>
          <w:tcPr>
            <w:tcW w:w="340" w:type="dxa"/>
            <w:vAlign w:val="bottom"/>
            <w:tcBorders>
              <w:bottom w:val="single" w:sz="8" w:color="336C91"/>
            </w:tcBorders>
          </w:tcPr>
          <w:p>
            <w:pPr>
              <w:spacing w:after="0"/>
              <w:rPr>
                <w:sz w:val="19"/>
                <w:szCs w:val="19"/>
                <w:color w:val="auto"/>
              </w:rPr>
            </w:pPr>
          </w:p>
        </w:tc>
        <w:tc>
          <w:tcPr>
            <w:tcW w:w="960" w:type="dxa"/>
            <w:vAlign w:val="bottom"/>
            <w:tcBorders>
              <w:bottom w:val="single" w:sz="8" w:color="336C91"/>
            </w:tcBorders>
          </w:tcPr>
          <w:p>
            <w:pPr>
              <w:spacing w:after="0"/>
              <w:rPr>
                <w:sz w:val="19"/>
                <w:szCs w:val="19"/>
                <w:color w:val="auto"/>
              </w:rPr>
            </w:pPr>
          </w:p>
        </w:tc>
        <w:tc>
          <w:tcPr>
            <w:tcW w:w="960" w:type="dxa"/>
            <w:vAlign w:val="bottom"/>
            <w:tcBorders>
              <w:bottom w:val="single" w:sz="8" w:color="336C91"/>
            </w:tcBorders>
          </w:tcPr>
          <w:p>
            <w:pPr>
              <w:spacing w:after="0"/>
              <w:rPr>
                <w:sz w:val="19"/>
                <w:szCs w:val="19"/>
                <w:color w:val="auto"/>
              </w:rPr>
            </w:pPr>
          </w:p>
        </w:tc>
        <w:tc>
          <w:tcPr>
            <w:tcW w:w="60" w:type="dxa"/>
            <w:vAlign w:val="bottom"/>
            <w:tcBorders>
              <w:bottom w:val="single" w:sz="8" w:color="336C91"/>
              <w:right w:val="single" w:sz="8" w:color="004876"/>
            </w:tcBorders>
          </w:tcPr>
          <w:p>
            <w:pPr>
              <w:spacing w:after="0"/>
              <w:rPr>
                <w:sz w:val="19"/>
                <w:szCs w:val="19"/>
                <w:color w:val="auto"/>
              </w:rPr>
            </w:pPr>
          </w:p>
        </w:tc>
        <w:tc>
          <w:tcPr>
            <w:tcW w:w="200" w:type="dxa"/>
            <w:vAlign w:val="bottom"/>
            <w:tcBorders>
              <w:bottom w:val="single" w:sz="8" w:color="336C91"/>
            </w:tcBorders>
          </w:tcPr>
          <w:p>
            <w:pPr>
              <w:spacing w:after="0"/>
              <w:rPr>
                <w:sz w:val="19"/>
                <w:szCs w:val="19"/>
                <w:color w:val="auto"/>
              </w:rPr>
            </w:pPr>
          </w:p>
        </w:tc>
        <w:tc>
          <w:tcPr>
            <w:tcW w:w="104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$28,840,365</w:t>
            </w:r>
          </w:p>
        </w:tc>
        <w:tc>
          <w:tcPr>
            <w:tcW w:w="540" w:type="dxa"/>
            <w:vAlign w:val="bottom"/>
            <w:tcBorders>
              <w:bottom w:val="single" w:sz="8" w:color="336C91"/>
            </w:tcBorders>
          </w:tcPr>
          <w:p>
            <w:pPr>
              <w:spacing w:after="0"/>
              <w:rPr>
                <w:sz w:val="19"/>
                <w:szCs w:val="19"/>
                <w:color w:val="auto"/>
              </w:rPr>
            </w:pPr>
          </w:p>
        </w:tc>
        <w:tc>
          <w:tcPr>
            <w:tcW w:w="122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$17,555,786</w:t>
            </w:r>
          </w:p>
        </w:tc>
        <w:tc>
          <w:tcPr>
            <w:tcW w:w="220" w:type="dxa"/>
            <w:vAlign w:val="bottom"/>
            <w:tcBorders>
              <w:bottom w:val="single" w:sz="8" w:color="336C91"/>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4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68</w:t>
            </w:r>
          </w:p>
        </w:tc>
        <w:tc>
          <w:tcPr>
            <w:tcW w:w="240" w:type="dxa"/>
            <w:vAlign w:val="bottom"/>
          </w:tcPr>
          <w:p>
            <w:pPr>
              <w:spacing w:after="0"/>
              <w:rPr>
                <w:sz w:val="24"/>
                <w:szCs w:val="24"/>
                <w:color w:val="auto"/>
              </w:rPr>
            </w:pPr>
          </w:p>
        </w:tc>
        <w:tc>
          <w:tcPr>
            <w:tcW w:w="1420" w:type="dxa"/>
            <w:vAlign w:val="bottom"/>
            <w:tcBorders>
              <w:bottom w:val="single" w:sz="8" w:color="004876"/>
            </w:tcBorders>
          </w:tcPr>
          <w:p>
            <w:pPr>
              <w:spacing w:after="0"/>
              <w:rPr>
                <w:sz w:val="24"/>
                <w:szCs w:val="24"/>
                <w:color w:val="auto"/>
              </w:rPr>
            </w:pPr>
          </w:p>
        </w:tc>
        <w:tc>
          <w:tcPr>
            <w:tcW w:w="1900" w:type="dxa"/>
            <w:vAlign w:val="bottom"/>
            <w:tcBorders>
              <w:bottom w:val="single" w:sz="8" w:color="004876"/>
            </w:tcBorders>
          </w:tcPr>
          <w:p>
            <w:pPr>
              <w:spacing w:after="0"/>
              <w:rPr>
                <w:sz w:val="24"/>
                <w:szCs w:val="24"/>
                <w:color w:val="auto"/>
              </w:rPr>
            </w:pPr>
          </w:p>
        </w:tc>
        <w:tc>
          <w:tcPr>
            <w:tcW w:w="520" w:type="dxa"/>
            <w:vAlign w:val="bottom"/>
            <w:tcBorders>
              <w:bottom w:val="single" w:sz="8" w:color="004876"/>
            </w:tcBorders>
          </w:tcPr>
          <w:p>
            <w:pPr>
              <w:spacing w:after="0"/>
              <w:rPr>
                <w:sz w:val="24"/>
                <w:szCs w:val="24"/>
                <w:color w:val="auto"/>
              </w:rPr>
            </w:pPr>
          </w:p>
        </w:tc>
        <w:tc>
          <w:tcPr>
            <w:tcW w:w="1060" w:type="dxa"/>
            <w:vAlign w:val="bottom"/>
            <w:tcBorders>
              <w:bottom w:val="single" w:sz="8" w:color="004876"/>
            </w:tcBorders>
          </w:tcPr>
          <w:p>
            <w:pPr>
              <w:spacing w:after="0"/>
              <w:rPr>
                <w:sz w:val="24"/>
                <w:szCs w:val="24"/>
                <w:color w:val="auto"/>
              </w:rPr>
            </w:pPr>
          </w:p>
        </w:tc>
        <w:tc>
          <w:tcPr>
            <w:tcW w:w="340" w:type="dxa"/>
            <w:vAlign w:val="bottom"/>
            <w:tcBorders>
              <w:bottom w:val="single" w:sz="8" w:color="004876"/>
            </w:tcBorders>
          </w:tcPr>
          <w:p>
            <w:pPr>
              <w:spacing w:after="0"/>
              <w:rPr>
                <w:sz w:val="24"/>
                <w:szCs w:val="24"/>
                <w:color w:val="auto"/>
              </w:rPr>
            </w:pPr>
          </w:p>
        </w:tc>
        <w:tc>
          <w:tcPr>
            <w:tcW w:w="960" w:type="dxa"/>
            <w:vAlign w:val="bottom"/>
            <w:tcBorders>
              <w:bottom w:val="single" w:sz="8" w:color="004876"/>
            </w:tcBorders>
          </w:tcPr>
          <w:p>
            <w:pPr>
              <w:spacing w:after="0"/>
              <w:rPr>
                <w:sz w:val="24"/>
                <w:szCs w:val="24"/>
                <w:color w:val="auto"/>
              </w:rPr>
            </w:pPr>
          </w:p>
        </w:tc>
        <w:tc>
          <w:tcPr>
            <w:tcW w:w="4240" w:type="dxa"/>
            <w:vAlign w:val="bottom"/>
            <w:tcBorders>
              <w:bottom w:val="single" w:sz="8" w:color="004876"/>
            </w:tcBorders>
            <w:gridSpan w:val="7"/>
          </w:tcPr>
          <w:p>
            <w:pPr>
              <w:ind w:left="880"/>
              <w:spacing w:after="0"/>
              <w:rPr>
                <w:sz w:val="20"/>
                <w:szCs w:val="20"/>
                <w:color w:val="auto"/>
              </w:rPr>
            </w:pPr>
            <w:r>
              <w:rPr>
                <w:rFonts w:ascii="Arial" w:cs="Arial" w:eastAsia="Arial" w:hAnsi="Arial"/>
                <w:sz w:val="13"/>
                <w:szCs w:val="13"/>
                <w:color w:val="auto"/>
              </w:rPr>
              <w:t>JPMORGAN CHASE &amp; CO. • 2019 PROXY STATEMENT</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960"/>
        <w:spacing w:after="0"/>
        <w:rPr>
          <w:sz w:val="20"/>
          <w:szCs w:val="20"/>
          <w:color w:val="auto"/>
        </w:rPr>
      </w:pPr>
      <w:r>
        <w:rPr>
          <w:rFonts w:ascii="Arial" w:cs="Arial" w:eastAsia="Arial" w:hAnsi="Arial"/>
          <w:sz w:val="16"/>
          <w:szCs w:val="16"/>
          <w:color w:val="333333"/>
        </w:rPr>
        <w:t>EXECUTIVE COMPENSATION</w:t>
      </w:r>
    </w:p>
    <w:p>
      <w:pPr>
        <w:spacing w:after="0" w:line="139"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Borders>
              <w:bottom w:val="single" w:sz="8" w:color="004876"/>
            </w:tcBorders>
          </w:tcPr>
          <w:p>
            <w:pPr>
              <w:spacing w:after="0"/>
              <w:rPr>
                <w:sz w:val="15"/>
                <w:szCs w:val="15"/>
                <w:color w:val="auto"/>
              </w:rPr>
            </w:pPr>
          </w:p>
        </w:tc>
        <w:tc>
          <w:tcPr>
            <w:tcW w:w="1300" w:type="dxa"/>
            <w:vAlign w:val="bottom"/>
            <w:tcBorders>
              <w:bottom w:val="single" w:sz="8" w:color="004876"/>
            </w:tcBorders>
            <w:gridSpan w:val="2"/>
          </w:tcPr>
          <w:p>
            <w:pPr>
              <w:jc w:val="right"/>
              <w:ind w:right="128"/>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Borders>
              <w:bottom w:val="single" w:sz="8" w:color="004876"/>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tcBorders>
              <w:bottom w:val="single" w:sz="8" w:color="004876"/>
            </w:tcBorders>
            <w:gridSpan w:val="3"/>
          </w:tcPr>
          <w:p>
            <w:pPr>
              <w:jc w:val="right"/>
              <w:ind w:right="868"/>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unearned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shares or units</w:t>
            </w: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2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Option/</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Option</w:t>
            </w: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Option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of</w:t>
            </w: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shares or units of</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unexercised</w:t>
            </w:r>
          </w:p>
        </w:tc>
        <w:tc>
          <w:tcPr>
            <w:tcW w:w="3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stock that</w:t>
            </w:r>
          </w:p>
        </w:tc>
        <w:tc>
          <w:tcPr>
            <w:tcW w:w="5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stock that have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2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stock award</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options: #</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expiration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have</w:t>
            </w:r>
          </w:p>
        </w:tc>
        <w:tc>
          <w:tcPr>
            <w:tcW w:w="5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not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6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Name</w:t>
            </w:r>
          </w:p>
        </w:tc>
        <w:tc>
          <w:tcPr>
            <w:tcW w:w="2160" w:type="dxa"/>
            <w:vAlign w:val="bottom"/>
            <w:tcBorders>
              <w:bottom w:val="single" w:sz="8" w:color="004876"/>
            </w:tcBorders>
            <w:gridSpan w:val="2"/>
          </w:tcPr>
          <w:p>
            <w:pPr>
              <w:jc w:val="right"/>
              <w:ind w:right="640"/>
              <w:spacing w:after="0" w:line="189" w:lineRule="exact"/>
              <w:rPr>
                <w:sz w:val="20"/>
                <w:szCs w:val="20"/>
                <w:color w:val="auto"/>
              </w:rPr>
            </w:pPr>
            <w:r>
              <w:rPr>
                <w:rFonts w:ascii="Arial" w:cs="Arial" w:eastAsia="Arial" w:hAnsi="Arial"/>
                <w:sz w:val="13"/>
                <w:szCs w:val="13"/>
                <w:b w:val="1"/>
                <w:bCs w:val="1"/>
                <w:color w:val="auto"/>
              </w:rPr>
              <w:t>grant date</w:t>
            </w:r>
            <w:r>
              <w:rPr>
                <w:rFonts w:ascii="Arial" w:cs="Arial" w:eastAsia="Arial" w:hAnsi="Arial"/>
                <w:sz w:val="21"/>
                <w:szCs w:val="21"/>
                <w:b w:val="1"/>
                <w:bCs w:val="1"/>
                <w:color w:val="auto"/>
                <w:vertAlign w:val="superscript"/>
              </w:rPr>
              <w:t>1</w:t>
            </w:r>
          </w:p>
        </w:tc>
        <w:tc>
          <w:tcPr>
            <w:tcW w:w="1060" w:type="dxa"/>
            <w:vAlign w:val="bottom"/>
            <w:tcBorders>
              <w:bottom w:val="single" w:sz="8" w:color="004876"/>
            </w:tcBorders>
          </w:tcPr>
          <w:p>
            <w:pPr>
              <w:jc w:val="right"/>
              <w:spacing w:after="0" w:line="189" w:lineRule="exact"/>
              <w:rPr>
                <w:sz w:val="20"/>
                <w:szCs w:val="20"/>
                <w:color w:val="auto"/>
              </w:rPr>
            </w:pPr>
            <w:r>
              <w:rPr>
                <w:rFonts w:ascii="Arial" w:cs="Arial" w:eastAsia="Arial" w:hAnsi="Arial"/>
                <w:sz w:val="13"/>
                <w:szCs w:val="13"/>
                <w:b w:val="1"/>
                <w:bCs w:val="1"/>
                <w:color w:val="auto"/>
              </w:rPr>
              <w:t>exercisable</w:t>
            </w:r>
            <w:r>
              <w:rPr>
                <w:rFonts w:ascii="Arial" w:cs="Arial" w:eastAsia="Arial" w:hAnsi="Arial"/>
                <w:sz w:val="21"/>
                <w:szCs w:val="21"/>
                <w:b w:val="1"/>
                <w:bCs w:val="1"/>
                <w:color w:val="auto"/>
                <w:vertAlign w:val="superscript"/>
              </w:rPr>
              <w:t>1,2,3</w:t>
            </w:r>
          </w:p>
        </w:tc>
        <w:tc>
          <w:tcPr>
            <w:tcW w:w="340" w:type="dxa"/>
            <w:vAlign w:val="bottom"/>
            <w:tcBorders>
              <w:bottom w:val="single" w:sz="8" w:color="004876"/>
            </w:tcBorders>
          </w:tcPr>
          <w:p>
            <w:pPr>
              <w:spacing w:after="0"/>
              <w:rPr>
                <w:sz w:val="16"/>
                <w:szCs w:val="16"/>
                <w:color w:val="auto"/>
              </w:rPr>
            </w:pPr>
          </w:p>
        </w:tc>
        <w:tc>
          <w:tcPr>
            <w:tcW w:w="96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price ($)</w:t>
            </w:r>
          </w:p>
        </w:tc>
        <w:tc>
          <w:tcPr>
            <w:tcW w:w="1220" w:type="dxa"/>
            <w:vAlign w:val="bottom"/>
            <w:tcBorders>
              <w:bottom w:val="single" w:sz="8" w:color="004876"/>
            </w:tcBorders>
            <w:gridSpan w:val="3"/>
          </w:tcPr>
          <w:p>
            <w:pPr>
              <w:jc w:val="right"/>
              <w:ind w:right="340"/>
              <w:spacing w:after="0"/>
              <w:rPr>
                <w:sz w:val="20"/>
                <w:szCs w:val="20"/>
                <w:color w:val="auto"/>
              </w:rPr>
            </w:pPr>
            <w:r>
              <w:rPr>
                <w:rFonts w:ascii="Arial" w:cs="Arial" w:eastAsia="Arial" w:hAnsi="Arial"/>
                <w:sz w:val="14"/>
                <w:szCs w:val="14"/>
                <w:b w:val="1"/>
                <w:bCs w:val="1"/>
                <w:color w:val="auto"/>
              </w:rPr>
              <w:t>date</w:t>
            </w:r>
          </w:p>
        </w:tc>
        <w:tc>
          <w:tcPr>
            <w:tcW w:w="1040" w:type="dxa"/>
            <w:vAlign w:val="bottom"/>
            <w:tcBorders>
              <w:bottom w:val="single" w:sz="8" w:color="004876"/>
            </w:tcBorders>
          </w:tcPr>
          <w:p>
            <w:pPr>
              <w:jc w:val="right"/>
              <w:spacing w:after="0" w:line="189" w:lineRule="exact"/>
              <w:rPr>
                <w:sz w:val="20"/>
                <w:szCs w:val="20"/>
                <w:color w:val="auto"/>
              </w:rPr>
            </w:pPr>
            <w:r>
              <w:rPr>
                <w:rFonts w:ascii="Arial" w:cs="Arial" w:eastAsia="Arial" w:hAnsi="Arial"/>
                <w:sz w:val="13"/>
                <w:szCs w:val="13"/>
                <w:b w:val="1"/>
                <w:bCs w:val="1"/>
                <w:color w:val="auto"/>
              </w:rPr>
              <w:t>not vested</w:t>
            </w:r>
            <w:r>
              <w:rPr>
                <w:rFonts w:ascii="Arial" w:cs="Arial" w:eastAsia="Arial" w:hAnsi="Arial"/>
                <w:sz w:val="21"/>
                <w:szCs w:val="21"/>
                <w:b w:val="1"/>
                <w:bCs w:val="1"/>
                <w:color w:val="auto"/>
                <w:vertAlign w:val="superscript"/>
              </w:rPr>
              <w:t>1,3</w:t>
            </w:r>
          </w:p>
        </w:tc>
        <w:tc>
          <w:tcPr>
            <w:tcW w:w="540" w:type="dxa"/>
            <w:vAlign w:val="bottom"/>
            <w:tcBorders>
              <w:bottom w:val="single" w:sz="8" w:color="004876"/>
            </w:tcBorders>
          </w:tcPr>
          <w:p>
            <w:pPr>
              <w:spacing w:after="0"/>
              <w:rPr>
                <w:sz w:val="16"/>
                <w:szCs w:val="16"/>
                <w:color w:val="auto"/>
              </w:rPr>
            </w:pPr>
          </w:p>
        </w:tc>
        <w:tc>
          <w:tcPr>
            <w:tcW w:w="1220" w:type="dxa"/>
            <w:vAlign w:val="bottom"/>
            <w:tcBorders>
              <w:bottom w:val="single" w:sz="8" w:color="004876"/>
            </w:tcBorders>
          </w:tcPr>
          <w:p>
            <w:pPr>
              <w:jc w:val="right"/>
              <w:spacing w:after="0" w:line="189"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1"/>
                <w:szCs w:val="21"/>
                <w:b w:val="1"/>
                <w:bCs w:val="1"/>
                <w:color w:val="auto"/>
                <w:vertAlign w:val="superscript"/>
              </w:rPr>
              <w:t>1,3,4</w:t>
            </w:r>
          </w:p>
        </w:tc>
        <w:tc>
          <w:tcPr>
            <w:tcW w:w="220" w:type="dxa"/>
            <w:vAlign w:val="bottom"/>
            <w:tcBorders>
              <w:bottom w:val="single" w:sz="8" w:color="004876"/>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6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1760" w:type="dxa"/>
            <w:vAlign w:val="bottom"/>
            <w:tcBorders>
              <w:right w:val="single" w:sz="8" w:color="004876"/>
            </w:tcBorders>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1760" w:type="dxa"/>
            <w:vAlign w:val="bottom"/>
            <w:tcBorders>
              <w:right w:val="single" w:sz="8" w:color="004876"/>
            </w:tcBorders>
          </w:tcPr>
          <w:p>
            <w:pPr>
              <w:ind w:left="880"/>
              <w:spacing w:after="0"/>
              <w:rPr>
                <w:sz w:val="20"/>
                <w:szCs w:val="20"/>
                <w:color w:val="auto"/>
              </w:rPr>
            </w:pPr>
            <w:r>
              <w:rPr>
                <w:rFonts w:ascii="Arial" w:cs="Arial" w:eastAsia="Arial" w:hAnsi="Arial"/>
                <w:sz w:val="14"/>
                <w:szCs w:val="14"/>
                <w:color w:val="auto"/>
              </w:rPr>
              <w:t>1/17/2013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209,206</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$46.58</w:t>
            </w:r>
          </w:p>
        </w:tc>
        <w:tc>
          <w:tcPr>
            <w:tcW w:w="960" w:type="dxa"/>
            <w:vAlign w:val="bottom"/>
          </w:tcPr>
          <w:p>
            <w:pPr>
              <w:jc w:val="right"/>
              <w:spacing w:after="0"/>
              <w:rPr>
                <w:sz w:val="20"/>
                <w:szCs w:val="20"/>
                <w:color w:val="auto"/>
              </w:rPr>
            </w:pPr>
            <w:r>
              <w:rPr>
                <w:rFonts w:ascii="Arial" w:cs="Arial" w:eastAsia="Arial" w:hAnsi="Arial"/>
                <w:sz w:val="14"/>
                <w:szCs w:val="14"/>
                <w:color w:val="auto"/>
              </w:rPr>
              <w:t>1/17/2023</w:t>
            </w:r>
          </w:p>
        </w:tc>
        <w:tc>
          <w:tcPr>
            <w:tcW w:w="60" w:type="dxa"/>
            <w:vAlign w:val="bottom"/>
            <w:tcBorders>
              <w:right w:val="single" w:sz="8" w:color="004876"/>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260" w:type="dxa"/>
            <w:vAlign w:val="bottom"/>
          </w:tcPr>
          <w:p>
            <w:pPr>
              <w:spacing w:after="0"/>
              <w:rPr>
                <w:sz w:val="22"/>
                <w:szCs w:val="22"/>
                <w:color w:val="auto"/>
              </w:rPr>
            </w:pPr>
          </w:p>
        </w:tc>
        <w:tc>
          <w:tcPr>
            <w:tcW w:w="1760" w:type="dxa"/>
            <w:vAlign w:val="bottom"/>
            <w:tcBorders>
              <w:right w:val="single" w:sz="8" w:color="004876"/>
            </w:tcBorders>
          </w:tcPr>
          <w:p>
            <w:pPr>
              <w:ind w:left="880"/>
              <w:spacing w:after="0" w:line="260" w:lineRule="exact"/>
              <w:rPr>
                <w:sz w:val="20"/>
                <w:szCs w:val="20"/>
                <w:color w:val="auto"/>
              </w:rPr>
            </w:pPr>
            <w:r>
              <w:rPr>
                <w:rFonts w:ascii="Arial" w:cs="Arial" w:eastAsia="Arial" w:hAnsi="Arial"/>
                <w:sz w:val="14"/>
                <w:szCs w:val="14"/>
                <w:color w:val="auto"/>
              </w:rPr>
              <w:t xml:space="preserve">1/19/2016 </w:t>
            </w:r>
            <w:r>
              <w:rPr>
                <w:rFonts w:ascii="Arial" w:cs="Arial" w:eastAsia="Arial" w:hAnsi="Arial"/>
                <w:sz w:val="24"/>
                <w:szCs w:val="24"/>
                <w:color w:val="auto"/>
                <w:vertAlign w:val="superscript"/>
              </w:rPr>
              <w:t>5</w:t>
            </w: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144,811</w:t>
            </w:r>
          </w:p>
        </w:tc>
        <w:tc>
          <w:tcPr>
            <w:tcW w:w="540" w:type="dxa"/>
            <w:vAlign w:val="bottom"/>
          </w:tcPr>
          <w:p>
            <w:pPr>
              <w:ind w:left="60"/>
              <w:spacing w:after="0"/>
              <w:rPr>
                <w:sz w:val="20"/>
                <w:szCs w:val="20"/>
                <w:color w:val="auto"/>
              </w:rPr>
            </w:pPr>
            <w:r>
              <w:rPr>
                <w:rFonts w:ascii="Arial" w:cs="Arial" w:eastAsia="Arial" w:hAnsi="Arial"/>
                <w:sz w:val="12"/>
                <w:szCs w:val="12"/>
                <w:color w:val="auto"/>
              </w:rPr>
              <w:t>b</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1760" w:type="dxa"/>
            <w:vAlign w:val="bottom"/>
            <w:tcBorders>
              <w:right w:val="single" w:sz="8" w:color="004876"/>
            </w:tcBorders>
          </w:tcPr>
          <w:p>
            <w:pPr>
              <w:ind w:left="880"/>
              <w:spacing w:after="0"/>
              <w:rPr>
                <w:sz w:val="20"/>
                <w:szCs w:val="20"/>
                <w:color w:val="auto"/>
              </w:rPr>
            </w:pPr>
            <w:r>
              <w:rPr>
                <w:rFonts w:ascii="Arial" w:cs="Arial" w:eastAsia="Arial" w:hAnsi="Arial"/>
                <w:sz w:val="14"/>
                <w:szCs w:val="14"/>
                <w:color w:val="auto"/>
              </w:rPr>
              <w:t>1/19/2016</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45,205</w:t>
            </w:r>
          </w:p>
        </w:tc>
        <w:tc>
          <w:tcPr>
            <w:tcW w:w="540" w:type="dxa"/>
            <w:vAlign w:val="bottom"/>
          </w:tcPr>
          <w:p>
            <w:pPr>
              <w:ind w:left="60"/>
              <w:spacing w:after="0"/>
              <w:rPr>
                <w:sz w:val="20"/>
                <w:szCs w:val="20"/>
                <w:color w:val="auto"/>
              </w:rPr>
            </w:pPr>
            <w:r>
              <w:rPr>
                <w:rFonts w:ascii="Arial" w:cs="Arial" w:eastAsia="Arial" w:hAnsi="Arial"/>
                <w:sz w:val="12"/>
                <w:szCs w:val="12"/>
                <w:color w:val="auto"/>
              </w:rPr>
              <w:t>c</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760" w:type="dxa"/>
            <w:vAlign w:val="bottom"/>
            <w:tcBorders>
              <w:right w:val="single" w:sz="8" w:color="004876"/>
            </w:tcBorders>
          </w:tcPr>
          <w:p>
            <w:pPr>
              <w:ind w:left="880"/>
              <w:spacing w:after="0"/>
              <w:rPr>
                <w:sz w:val="20"/>
                <w:szCs w:val="20"/>
                <w:color w:val="auto"/>
              </w:rPr>
            </w:pPr>
            <w:r>
              <w:rPr>
                <w:rFonts w:ascii="Arial" w:cs="Arial" w:eastAsia="Arial" w:hAnsi="Arial"/>
                <w:sz w:val="14"/>
                <w:szCs w:val="14"/>
                <w:color w:val="auto"/>
              </w:rPr>
              <w:t>1/17/2017</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64,986</w:t>
            </w:r>
          </w:p>
        </w:tc>
        <w:tc>
          <w:tcPr>
            <w:tcW w:w="540" w:type="dxa"/>
            <w:vAlign w:val="bottom"/>
          </w:tcPr>
          <w:p>
            <w:pPr>
              <w:ind w:left="60"/>
              <w:spacing w:after="0"/>
              <w:rPr>
                <w:sz w:val="20"/>
                <w:szCs w:val="20"/>
                <w:color w:val="auto"/>
              </w:rPr>
            </w:pPr>
            <w:r>
              <w:rPr>
                <w:rFonts w:ascii="Arial" w:cs="Arial" w:eastAsia="Arial" w:hAnsi="Arial"/>
                <w:sz w:val="12"/>
                <w:szCs w:val="12"/>
                <w:color w:val="auto"/>
              </w:rPr>
              <w:t>c</w:t>
            </w:r>
          </w:p>
        </w:tc>
        <w:tc>
          <w:tcPr>
            <w:tcW w:w="1220" w:type="dxa"/>
            <w:vAlign w:val="bottom"/>
          </w:tcPr>
          <w:p>
            <w:pPr>
              <w:jc w:val="right"/>
              <w:spacing w:after="0"/>
              <w:rPr>
                <w:sz w:val="20"/>
                <w:szCs w:val="20"/>
                <w:color w:val="auto"/>
              </w:rPr>
            </w:pPr>
            <w:r>
              <w:rPr>
                <w:rFonts w:ascii="Arial" w:cs="Arial" w:eastAsia="Arial" w:hAnsi="Arial"/>
                <w:sz w:val="14"/>
                <w:szCs w:val="14"/>
                <w:color w:val="auto"/>
              </w:rPr>
              <w:t>101,325</w:t>
            </w:r>
          </w:p>
        </w:tc>
        <w:tc>
          <w:tcPr>
            <w:tcW w:w="220" w:type="dxa"/>
            <w:vAlign w:val="bottom"/>
          </w:tcPr>
          <w:p>
            <w:pPr>
              <w:ind w:left="6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01"/>
        </w:trPr>
        <w:tc>
          <w:tcPr>
            <w:tcW w:w="2260" w:type="dxa"/>
            <w:vAlign w:val="bottom"/>
          </w:tcPr>
          <w:p>
            <w:pPr>
              <w:spacing w:after="0"/>
              <w:rPr>
                <w:sz w:val="17"/>
                <w:szCs w:val="17"/>
                <w:color w:val="auto"/>
              </w:rPr>
            </w:pPr>
          </w:p>
        </w:tc>
        <w:tc>
          <w:tcPr>
            <w:tcW w:w="1760" w:type="dxa"/>
            <w:vAlign w:val="bottom"/>
            <w:tcBorders>
              <w:right w:val="single" w:sz="8" w:color="004876"/>
            </w:tcBorders>
          </w:tcPr>
          <w:p>
            <w:pPr>
              <w:ind w:left="880"/>
              <w:spacing w:after="0"/>
              <w:rPr>
                <w:sz w:val="20"/>
                <w:szCs w:val="20"/>
                <w:color w:val="auto"/>
              </w:rPr>
            </w:pPr>
            <w:r>
              <w:rPr>
                <w:rFonts w:ascii="Arial" w:cs="Arial" w:eastAsia="Arial" w:hAnsi="Arial"/>
                <w:sz w:val="14"/>
                <w:szCs w:val="14"/>
                <w:color w:val="auto"/>
              </w:rPr>
              <w:t>1/16/2018</w:t>
            </w:r>
          </w:p>
        </w:tc>
        <w:tc>
          <w:tcPr>
            <w:tcW w:w="400" w:type="dxa"/>
            <w:vAlign w:val="bottom"/>
          </w:tcPr>
          <w:p>
            <w:pPr>
              <w:spacing w:after="0"/>
              <w:rPr>
                <w:sz w:val="17"/>
                <w:szCs w:val="17"/>
                <w:color w:val="auto"/>
              </w:rPr>
            </w:pPr>
          </w:p>
        </w:tc>
        <w:tc>
          <w:tcPr>
            <w:tcW w:w="106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50,112</w:t>
            </w:r>
          </w:p>
        </w:tc>
        <w:tc>
          <w:tcPr>
            <w:tcW w:w="540" w:type="dxa"/>
            <w:vAlign w:val="bottom"/>
          </w:tcPr>
          <w:p>
            <w:pPr>
              <w:ind w:left="60"/>
              <w:spacing w:after="0"/>
              <w:rPr>
                <w:sz w:val="20"/>
                <w:szCs w:val="20"/>
                <w:color w:val="auto"/>
              </w:rPr>
            </w:pPr>
            <w:r>
              <w:rPr>
                <w:rFonts w:ascii="Arial" w:cs="Arial" w:eastAsia="Arial" w:hAnsi="Arial"/>
                <w:sz w:val="12"/>
                <w:szCs w:val="12"/>
                <w:color w:val="auto"/>
              </w:rPr>
              <w:t>c</w:t>
            </w:r>
          </w:p>
        </w:tc>
        <w:tc>
          <w:tcPr>
            <w:tcW w:w="122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76,474</w:t>
            </w:r>
          </w:p>
        </w:tc>
        <w:tc>
          <w:tcPr>
            <w:tcW w:w="220" w:type="dxa"/>
            <w:vAlign w:val="bottom"/>
          </w:tcPr>
          <w:p>
            <w:pPr>
              <w:ind w:left="6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25"/>
        </w:trPr>
        <w:tc>
          <w:tcPr>
            <w:tcW w:w="2260" w:type="dxa"/>
            <w:vAlign w:val="bottom"/>
          </w:tcPr>
          <w:p>
            <w:pPr>
              <w:ind w:left="60"/>
              <w:spacing w:after="0"/>
              <w:rPr>
                <w:sz w:val="20"/>
                <w:szCs w:val="20"/>
                <w:color w:val="auto"/>
              </w:rPr>
            </w:pPr>
            <w:r>
              <w:rPr>
                <w:rFonts w:ascii="Arial" w:cs="Arial" w:eastAsia="Arial" w:hAnsi="Arial"/>
                <w:sz w:val="14"/>
                <w:szCs w:val="14"/>
                <w:color w:val="auto"/>
              </w:rPr>
              <w:t>Total awards (#)</w:t>
            </w:r>
          </w:p>
        </w:tc>
        <w:tc>
          <w:tcPr>
            <w:tcW w:w="1760" w:type="dxa"/>
            <w:vAlign w:val="bottom"/>
            <w:tcBorders>
              <w:right w:val="single" w:sz="8" w:color="004876"/>
            </w:tcBorders>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209,206</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Borders>
              <w:right w:val="single" w:sz="8" w:color="004876"/>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305,114</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177,799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260" w:type="dxa"/>
            <w:vAlign w:val="bottom"/>
            <w:vMerge w:val="restart"/>
          </w:tcPr>
          <w:p>
            <w:pPr>
              <w:ind w:left="60"/>
              <w:spacing w:after="0" w:line="228" w:lineRule="exact"/>
              <w:rPr>
                <w:sz w:val="20"/>
                <w:szCs w:val="20"/>
                <w:color w:val="auto"/>
              </w:rPr>
            </w:pPr>
            <w:r>
              <w:rPr>
                <w:rFonts w:ascii="Arial" w:cs="Arial" w:eastAsia="Arial" w:hAnsi="Arial"/>
                <w:sz w:val="14"/>
                <w:szCs w:val="14"/>
                <w:color w:val="auto"/>
              </w:rPr>
              <w:t>Market value ($)</w:t>
            </w:r>
            <w:r>
              <w:rPr>
                <w:rFonts w:ascii="Arial" w:cs="Arial" w:eastAsia="Arial" w:hAnsi="Arial"/>
                <w:sz w:val="24"/>
                <w:szCs w:val="24"/>
                <w:color w:val="auto"/>
                <w:vertAlign w:val="superscript"/>
              </w:rPr>
              <w:t>6</w:t>
            </w:r>
          </w:p>
        </w:tc>
        <w:tc>
          <w:tcPr>
            <w:tcW w:w="1760" w:type="dxa"/>
            <w:vAlign w:val="bottom"/>
            <w:tcBorders>
              <w:right w:val="single" w:sz="8" w:color="004876"/>
            </w:tcBorders>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Borders>
              <w:bottom w:val="single" w:sz="8" w:color="004876"/>
            </w:tcBorders>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Borders>
              <w:right w:val="single" w:sz="8" w:color="004876"/>
            </w:tcBorders>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Borders>
              <w:bottom w:val="single" w:sz="8" w:color="004876"/>
            </w:tcBorders>
          </w:tcPr>
          <w:p>
            <w:pPr>
              <w:spacing w:after="0"/>
              <w:rPr>
                <w:sz w:val="3"/>
                <w:szCs w:val="3"/>
                <w:color w:val="auto"/>
              </w:rPr>
            </w:pPr>
          </w:p>
        </w:tc>
        <w:tc>
          <w:tcPr>
            <w:tcW w:w="540" w:type="dxa"/>
            <w:vAlign w:val="bottom"/>
          </w:tcPr>
          <w:p>
            <w:pPr>
              <w:spacing w:after="0"/>
              <w:rPr>
                <w:sz w:val="3"/>
                <w:szCs w:val="3"/>
                <w:color w:val="auto"/>
              </w:rPr>
            </w:pPr>
          </w:p>
        </w:tc>
        <w:tc>
          <w:tcPr>
            <w:tcW w:w="1220" w:type="dxa"/>
            <w:vAlign w:val="bottom"/>
            <w:tcBorders>
              <w:bottom w:val="single" w:sz="8" w:color="004876"/>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260" w:type="dxa"/>
            <w:vAlign w:val="bottom"/>
            <w:tcBorders>
              <w:bottom w:val="single" w:sz="8" w:color="336C91"/>
            </w:tcBorders>
            <w:vMerge w:val="continue"/>
          </w:tcPr>
          <w:p>
            <w:pPr>
              <w:spacing w:after="0"/>
              <w:rPr>
                <w:sz w:val="14"/>
                <w:szCs w:val="14"/>
                <w:color w:val="auto"/>
              </w:rPr>
            </w:pPr>
          </w:p>
        </w:tc>
        <w:tc>
          <w:tcPr>
            <w:tcW w:w="1760" w:type="dxa"/>
            <w:vAlign w:val="bottom"/>
            <w:tcBorders>
              <w:bottom w:val="single" w:sz="8" w:color="336C91"/>
              <w:right w:val="single" w:sz="8" w:color="004876"/>
            </w:tcBorders>
          </w:tcPr>
          <w:p>
            <w:pPr>
              <w:spacing w:after="0"/>
              <w:rPr>
                <w:sz w:val="14"/>
                <w:szCs w:val="14"/>
                <w:color w:val="auto"/>
              </w:rPr>
            </w:pPr>
          </w:p>
        </w:tc>
        <w:tc>
          <w:tcPr>
            <w:tcW w:w="400" w:type="dxa"/>
            <w:vAlign w:val="bottom"/>
            <w:tcBorders>
              <w:bottom w:val="single" w:sz="8" w:color="336C91"/>
            </w:tcBorders>
          </w:tcPr>
          <w:p>
            <w:pPr>
              <w:spacing w:after="0"/>
              <w:rPr>
                <w:sz w:val="14"/>
                <w:szCs w:val="14"/>
                <w:color w:val="auto"/>
              </w:rPr>
            </w:pPr>
          </w:p>
        </w:tc>
        <w:tc>
          <w:tcPr>
            <w:tcW w:w="106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$10,677,874</w:t>
            </w:r>
          </w:p>
        </w:tc>
        <w:tc>
          <w:tcPr>
            <w:tcW w:w="340" w:type="dxa"/>
            <w:vAlign w:val="bottom"/>
            <w:tcBorders>
              <w:bottom w:val="single" w:sz="8" w:color="336C91"/>
            </w:tcBorders>
          </w:tcPr>
          <w:p>
            <w:pPr>
              <w:spacing w:after="0"/>
              <w:rPr>
                <w:sz w:val="14"/>
                <w:szCs w:val="14"/>
                <w:color w:val="auto"/>
              </w:rPr>
            </w:pPr>
          </w:p>
        </w:tc>
        <w:tc>
          <w:tcPr>
            <w:tcW w:w="960" w:type="dxa"/>
            <w:vAlign w:val="bottom"/>
            <w:tcBorders>
              <w:bottom w:val="single" w:sz="8" w:color="336C91"/>
            </w:tcBorders>
          </w:tcPr>
          <w:p>
            <w:pPr>
              <w:spacing w:after="0"/>
              <w:rPr>
                <w:sz w:val="14"/>
                <w:szCs w:val="14"/>
                <w:color w:val="auto"/>
              </w:rPr>
            </w:pPr>
          </w:p>
        </w:tc>
        <w:tc>
          <w:tcPr>
            <w:tcW w:w="960" w:type="dxa"/>
            <w:vAlign w:val="bottom"/>
            <w:tcBorders>
              <w:bottom w:val="single" w:sz="8" w:color="336C91"/>
            </w:tcBorders>
          </w:tcPr>
          <w:p>
            <w:pPr>
              <w:spacing w:after="0"/>
              <w:rPr>
                <w:sz w:val="14"/>
                <w:szCs w:val="14"/>
                <w:color w:val="auto"/>
              </w:rPr>
            </w:pPr>
          </w:p>
        </w:tc>
        <w:tc>
          <w:tcPr>
            <w:tcW w:w="60" w:type="dxa"/>
            <w:vAlign w:val="bottom"/>
            <w:tcBorders>
              <w:bottom w:val="single" w:sz="8" w:color="336C91"/>
              <w:right w:val="single" w:sz="8" w:color="004876"/>
            </w:tcBorders>
          </w:tcPr>
          <w:p>
            <w:pPr>
              <w:spacing w:after="0"/>
              <w:rPr>
                <w:sz w:val="14"/>
                <w:szCs w:val="14"/>
                <w:color w:val="auto"/>
              </w:rPr>
            </w:pPr>
          </w:p>
        </w:tc>
        <w:tc>
          <w:tcPr>
            <w:tcW w:w="200" w:type="dxa"/>
            <w:vAlign w:val="bottom"/>
            <w:tcBorders>
              <w:bottom w:val="single" w:sz="8" w:color="336C91"/>
            </w:tcBorders>
          </w:tcPr>
          <w:p>
            <w:pPr>
              <w:spacing w:after="0"/>
              <w:rPr>
                <w:sz w:val="14"/>
                <w:szCs w:val="14"/>
                <w:color w:val="auto"/>
              </w:rPr>
            </w:pPr>
          </w:p>
        </w:tc>
        <w:tc>
          <w:tcPr>
            <w:tcW w:w="104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$29,785,229</w:t>
            </w:r>
          </w:p>
        </w:tc>
        <w:tc>
          <w:tcPr>
            <w:tcW w:w="540" w:type="dxa"/>
            <w:vAlign w:val="bottom"/>
            <w:tcBorders>
              <w:bottom w:val="single" w:sz="8" w:color="336C91"/>
            </w:tcBorders>
          </w:tcPr>
          <w:p>
            <w:pPr>
              <w:spacing w:after="0"/>
              <w:rPr>
                <w:sz w:val="14"/>
                <w:szCs w:val="14"/>
                <w:color w:val="auto"/>
              </w:rPr>
            </w:pPr>
          </w:p>
        </w:tc>
        <w:tc>
          <w:tcPr>
            <w:tcW w:w="122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$17,356,738</w:t>
            </w:r>
          </w:p>
        </w:tc>
        <w:tc>
          <w:tcPr>
            <w:tcW w:w="220" w:type="dxa"/>
            <w:vAlign w:val="bottom"/>
            <w:tcBorders>
              <w:bottom w:val="single" w:sz="8" w:color="336C91"/>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26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1760" w:type="dxa"/>
            <w:vAlign w:val="bottom"/>
            <w:tcBorders>
              <w:right w:val="single" w:sz="8" w:color="004876"/>
            </w:tcBorders>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Borders>
              <w:right w:val="single" w:sz="8" w:color="004876"/>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1760" w:type="dxa"/>
            <w:vAlign w:val="bottom"/>
            <w:tcBorders>
              <w:right w:val="single" w:sz="8" w:color="004876"/>
            </w:tcBorders>
          </w:tcPr>
          <w:p>
            <w:pPr>
              <w:ind w:left="880"/>
              <w:spacing w:after="0"/>
              <w:rPr>
                <w:sz w:val="20"/>
                <w:szCs w:val="20"/>
                <w:color w:val="auto"/>
              </w:rPr>
            </w:pPr>
            <w:r>
              <w:rPr>
                <w:rFonts w:ascii="Arial" w:cs="Arial" w:eastAsia="Arial" w:hAnsi="Arial"/>
                <w:sz w:val="14"/>
                <w:szCs w:val="14"/>
                <w:color w:val="auto"/>
              </w:rPr>
              <w:t>1/17/2013</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341,842</w:t>
            </w:r>
          </w:p>
        </w:tc>
        <w:tc>
          <w:tcPr>
            <w:tcW w:w="340" w:type="dxa"/>
            <w:vAlign w:val="bottom"/>
          </w:tcPr>
          <w:p>
            <w:pPr>
              <w:ind w:left="60"/>
              <w:spacing w:after="0"/>
              <w:rPr>
                <w:sz w:val="20"/>
                <w:szCs w:val="20"/>
                <w:color w:val="auto"/>
              </w:rPr>
            </w:pPr>
            <w:r>
              <w:rPr>
                <w:rFonts w:ascii="Arial" w:cs="Arial" w:eastAsia="Arial" w:hAnsi="Arial"/>
                <w:sz w:val="12"/>
                <w:szCs w:val="12"/>
                <w:color w:val="auto"/>
              </w:rPr>
              <w:t>a</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$ 46.58</w:t>
            </w:r>
          </w:p>
        </w:tc>
        <w:tc>
          <w:tcPr>
            <w:tcW w:w="960" w:type="dxa"/>
            <w:vAlign w:val="bottom"/>
          </w:tcPr>
          <w:p>
            <w:pPr>
              <w:jc w:val="right"/>
              <w:spacing w:after="0"/>
              <w:rPr>
                <w:sz w:val="20"/>
                <w:szCs w:val="20"/>
                <w:color w:val="auto"/>
              </w:rPr>
            </w:pPr>
            <w:r>
              <w:rPr>
                <w:rFonts w:ascii="Arial" w:cs="Arial" w:eastAsia="Arial" w:hAnsi="Arial"/>
                <w:sz w:val="14"/>
                <w:szCs w:val="14"/>
                <w:color w:val="auto"/>
              </w:rPr>
              <w:t>1/17/2023</w:t>
            </w:r>
          </w:p>
        </w:tc>
        <w:tc>
          <w:tcPr>
            <w:tcW w:w="60" w:type="dxa"/>
            <w:vAlign w:val="bottom"/>
            <w:tcBorders>
              <w:right w:val="single" w:sz="8" w:color="004876"/>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260" w:type="dxa"/>
            <w:vAlign w:val="bottom"/>
          </w:tcPr>
          <w:p>
            <w:pPr>
              <w:spacing w:after="0"/>
              <w:rPr>
                <w:sz w:val="22"/>
                <w:szCs w:val="22"/>
                <w:color w:val="auto"/>
              </w:rPr>
            </w:pPr>
          </w:p>
        </w:tc>
        <w:tc>
          <w:tcPr>
            <w:tcW w:w="1760" w:type="dxa"/>
            <w:vAlign w:val="bottom"/>
            <w:tcBorders>
              <w:right w:val="single" w:sz="8" w:color="004876"/>
            </w:tcBorders>
          </w:tcPr>
          <w:p>
            <w:pPr>
              <w:ind w:left="880"/>
              <w:spacing w:after="0" w:line="260" w:lineRule="exact"/>
              <w:rPr>
                <w:sz w:val="20"/>
                <w:szCs w:val="20"/>
                <w:color w:val="auto"/>
              </w:rPr>
            </w:pPr>
            <w:r>
              <w:rPr>
                <w:rFonts w:ascii="Arial" w:cs="Arial" w:eastAsia="Arial" w:hAnsi="Arial"/>
                <w:sz w:val="14"/>
                <w:szCs w:val="14"/>
                <w:color w:val="auto"/>
              </w:rPr>
              <w:t xml:space="preserve">1/19/2016 </w:t>
            </w:r>
            <w:r>
              <w:rPr>
                <w:rFonts w:ascii="Arial" w:cs="Arial" w:eastAsia="Arial" w:hAnsi="Arial"/>
                <w:sz w:val="24"/>
                <w:szCs w:val="24"/>
                <w:color w:val="auto"/>
                <w:vertAlign w:val="superscript"/>
              </w:rPr>
              <w:t>5</w:t>
            </w: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86,049</w:t>
            </w:r>
          </w:p>
        </w:tc>
        <w:tc>
          <w:tcPr>
            <w:tcW w:w="540" w:type="dxa"/>
            <w:vAlign w:val="bottom"/>
          </w:tcPr>
          <w:p>
            <w:pPr>
              <w:ind w:left="60"/>
              <w:spacing w:after="0"/>
              <w:rPr>
                <w:sz w:val="20"/>
                <w:szCs w:val="20"/>
                <w:color w:val="auto"/>
              </w:rPr>
            </w:pPr>
            <w:r>
              <w:rPr>
                <w:rFonts w:ascii="Arial" w:cs="Arial" w:eastAsia="Arial" w:hAnsi="Arial"/>
                <w:sz w:val="12"/>
                <w:szCs w:val="12"/>
                <w:color w:val="auto"/>
              </w:rPr>
              <w:t>b</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1760" w:type="dxa"/>
            <w:vAlign w:val="bottom"/>
            <w:tcBorders>
              <w:right w:val="single" w:sz="8" w:color="004876"/>
            </w:tcBorders>
          </w:tcPr>
          <w:p>
            <w:pPr>
              <w:ind w:left="880"/>
              <w:spacing w:after="0"/>
              <w:rPr>
                <w:sz w:val="20"/>
                <w:szCs w:val="20"/>
                <w:color w:val="auto"/>
              </w:rPr>
            </w:pPr>
            <w:r>
              <w:rPr>
                <w:rFonts w:ascii="Arial" w:cs="Arial" w:eastAsia="Arial" w:hAnsi="Arial"/>
                <w:sz w:val="14"/>
                <w:szCs w:val="14"/>
                <w:color w:val="auto"/>
              </w:rPr>
              <w:t>1/19/2016</w:t>
            </w: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26,861</w:t>
            </w:r>
          </w:p>
        </w:tc>
        <w:tc>
          <w:tcPr>
            <w:tcW w:w="540" w:type="dxa"/>
            <w:vAlign w:val="bottom"/>
          </w:tcPr>
          <w:p>
            <w:pPr>
              <w:ind w:left="60"/>
              <w:spacing w:after="0"/>
              <w:rPr>
                <w:sz w:val="20"/>
                <w:szCs w:val="20"/>
                <w:color w:val="auto"/>
              </w:rPr>
            </w:pPr>
            <w:r>
              <w:rPr>
                <w:rFonts w:ascii="Arial" w:cs="Arial" w:eastAsia="Arial" w:hAnsi="Arial"/>
                <w:sz w:val="12"/>
                <w:szCs w:val="12"/>
                <w:color w:val="auto"/>
              </w:rPr>
              <w:t>c</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760" w:type="dxa"/>
            <w:vAlign w:val="bottom"/>
            <w:tcBorders>
              <w:right w:val="single" w:sz="8" w:color="004876"/>
            </w:tcBorders>
          </w:tcPr>
          <w:p>
            <w:pPr>
              <w:ind w:left="880"/>
              <w:spacing w:after="0"/>
              <w:rPr>
                <w:sz w:val="20"/>
                <w:szCs w:val="20"/>
                <w:color w:val="auto"/>
              </w:rPr>
            </w:pPr>
            <w:r>
              <w:rPr>
                <w:rFonts w:ascii="Arial" w:cs="Arial" w:eastAsia="Arial" w:hAnsi="Arial"/>
                <w:sz w:val="14"/>
                <w:szCs w:val="14"/>
                <w:color w:val="auto"/>
              </w:rPr>
              <w:t>1/17/2017</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41,840</w:t>
            </w:r>
          </w:p>
        </w:tc>
        <w:tc>
          <w:tcPr>
            <w:tcW w:w="540" w:type="dxa"/>
            <w:vAlign w:val="bottom"/>
          </w:tcPr>
          <w:p>
            <w:pPr>
              <w:ind w:left="60"/>
              <w:spacing w:after="0"/>
              <w:rPr>
                <w:sz w:val="20"/>
                <w:szCs w:val="20"/>
                <w:color w:val="auto"/>
              </w:rPr>
            </w:pPr>
            <w:r>
              <w:rPr>
                <w:rFonts w:ascii="Arial" w:cs="Arial" w:eastAsia="Arial" w:hAnsi="Arial"/>
                <w:sz w:val="12"/>
                <w:szCs w:val="12"/>
                <w:color w:val="auto"/>
              </w:rPr>
              <w:t>c</w:t>
            </w:r>
          </w:p>
        </w:tc>
        <w:tc>
          <w:tcPr>
            <w:tcW w:w="1220" w:type="dxa"/>
            <w:vAlign w:val="bottom"/>
          </w:tcPr>
          <w:p>
            <w:pPr>
              <w:jc w:val="right"/>
              <w:spacing w:after="0"/>
              <w:rPr>
                <w:sz w:val="20"/>
                <w:szCs w:val="20"/>
                <w:color w:val="auto"/>
              </w:rPr>
            </w:pPr>
            <w:r>
              <w:rPr>
                <w:rFonts w:ascii="Arial" w:cs="Arial" w:eastAsia="Arial" w:hAnsi="Arial"/>
                <w:sz w:val="14"/>
                <w:szCs w:val="14"/>
                <w:color w:val="auto"/>
              </w:rPr>
              <w:t>65,236</w:t>
            </w:r>
          </w:p>
        </w:tc>
        <w:tc>
          <w:tcPr>
            <w:tcW w:w="220" w:type="dxa"/>
            <w:vAlign w:val="bottom"/>
          </w:tcPr>
          <w:p>
            <w:pPr>
              <w:ind w:left="6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01"/>
        </w:trPr>
        <w:tc>
          <w:tcPr>
            <w:tcW w:w="2260" w:type="dxa"/>
            <w:vAlign w:val="bottom"/>
          </w:tcPr>
          <w:p>
            <w:pPr>
              <w:spacing w:after="0"/>
              <w:rPr>
                <w:sz w:val="17"/>
                <w:szCs w:val="17"/>
                <w:color w:val="auto"/>
              </w:rPr>
            </w:pPr>
          </w:p>
        </w:tc>
        <w:tc>
          <w:tcPr>
            <w:tcW w:w="1760" w:type="dxa"/>
            <w:vAlign w:val="bottom"/>
            <w:tcBorders>
              <w:right w:val="single" w:sz="8" w:color="004876"/>
            </w:tcBorders>
          </w:tcPr>
          <w:p>
            <w:pPr>
              <w:ind w:left="880"/>
              <w:spacing w:after="0"/>
              <w:rPr>
                <w:sz w:val="20"/>
                <w:szCs w:val="20"/>
                <w:color w:val="auto"/>
              </w:rPr>
            </w:pPr>
            <w:r>
              <w:rPr>
                <w:rFonts w:ascii="Arial" w:cs="Arial" w:eastAsia="Arial" w:hAnsi="Arial"/>
                <w:sz w:val="14"/>
                <w:szCs w:val="14"/>
                <w:color w:val="auto"/>
              </w:rPr>
              <w:t>1/16/2018</w:t>
            </w:r>
          </w:p>
        </w:tc>
        <w:tc>
          <w:tcPr>
            <w:tcW w:w="400" w:type="dxa"/>
            <w:vAlign w:val="bottom"/>
          </w:tcPr>
          <w:p>
            <w:pPr>
              <w:spacing w:after="0"/>
              <w:rPr>
                <w:sz w:val="17"/>
                <w:szCs w:val="17"/>
                <w:color w:val="auto"/>
              </w:rPr>
            </w:pPr>
          </w:p>
        </w:tc>
        <w:tc>
          <w:tcPr>
            <w:tcW w:w="106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004876"/>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4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34,076</w:t>
            </w:r>
          </w:p>
        </w:tc>
        <w:tc>
          <w:tcPr>
            <w:tcW w:w="540" w:type="dxa"/>
            <w:vAlign w:val="bottom"/>
          </w:tcPr>
          <w:p>
            <w:pPr>
              <w:ind w:left="60"/>
              <w:spacing w:after="0"/>
              <w:rPr>
                <w:sz w:val="20"/>
                <w:szCs w:val="20"/>
                <w:color w:val="auto"/>
              </w:rPr>
            </w:pPr>
            <w:r>
              <w:rPr>
                <w:rFonts w:ascii="Arial" w:cs="Arial" w:eastAsia="Arial" w:hAnsi="Arial"/>
                <w:sz w:val="12"/>
                <w:szCs w:val="12"/>
                <w:color w:val="auto"/>
              </w:rPr>
              <w:t>c</w:t>
            </w:r>
          </w:p>
        </w:tc>
        <w:tc>
          <w:tcPr>
            <w:tcW w:w="122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52,002</w:t>
            </w:r>
          </w:p>
        </w:tc>
        <w:tc>
          <w:tcPr>
            <w:tcW w:w="220" w:type="dxa"/>
            <w:vAlign w:val="bottom"/>
          </w:tcPr>
          <w:p>
            <w:pPr>
              <w:ind w:left="60"/>
              <w:spacing w:after="0"/>
              <w:rPr>
                <w:sz w:val="20"/>
                <w:szCs w:val="20"/>
                <w:color w:val="auto"/>
              </w:rPr>
            </w:pPr>
            <w:r>
              <w:rPr>
                <w:rFonts w:ascii="Arial" w:cs="Arial" w:eastAsia="Arial" w:hAnsi="Arial"/>
                <w:sz w:val="12"/>
                <w:szCs w:val="12"/>
                <w:color w:val="auto"/>
              </w:rPr>
              <w:t>b</w:t>
            </w:r>
          </w:p>
        </w:tc>
        <w:tc>
          <w:tcPr>
            <w:tcW w:w="0" w:type="dxa"/>
            <w:vAlign w:val="bottom"/>
          </w:tcPr>
          <w:p>
            <w:pPr>
              <w:spacing w:after="0"/>
              <w:rPr>
                <w:sz w:val="1"/>
                <w:szCs w:val="1"/>
                <w:color w:val="auto"/>
              </w:rPr>
            </w:pPr>
          </w:p>
        </w:tc>
      </w:tr>
      <w:tr>
        <w:trPr>
          <w:trHeight w:val="225"/>
        </w:trPr>
        <w:tc>
          <w:tcPr>
            <w:tcW w:w="2260" w:type="dxa"/>
            <w:vAlign w:val="bottom"/>
          </w:tcPr>
          <w:p>
            <w:pPr>
              <w:ind w:left="60"/>
              <w:spacing w:after="0"/>
              <w:rPr>
                <w:sz w:val="20"/>
                <w:szCs w:val="20"/>
                <w:color w:val="auto"/>
              </w:rPr>
            </w:pPr>
            <w:r>
              <w:rPr>
                <w:rFonts w:ascii="Arial" w:cs="Arial" w:eastAsia="Arial" w:hAnsi="Arial"/>
                <w:sz w:val="14"/>
                <w:szCs w:val="14"/>
                <w:color w:val="auto"/>
              </w:rPr>
              <w:t>Total awards (#)</w:t>
            </w:r>
          </w:p>
        </w:tc>
        <w:tc>
          <w:tcPr>
            <w:tcW w:w="1760" w:type="dxa"/>
            <w:vAlign w:val="bottom"/>
            <w:tcBorders>
              <w:right w:val="single" w:sz="8" w:color="004876"/>
            </w:tcBorders>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341,842</w:t>
            </w: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Borders>
              <w:right w:val="single" w:sz="8" w:color="004876"/>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188,826</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117,238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260" w:type="dxa"/>
            <w:vAlign w:val="bottom"/>
            <w:vMerge w:val="restart"/>
          </w:tcPr>
          <w:p>
            <w:pPr>
              <w:ind w:left="60"/>
              <w:spacing w:after="0"/>
              <w:rPr>
                <w:sz w:val="20"/>
                <w:szCs w:val="20"/>
                <w:color w:val="auto"/>
              </w:rPr>
            </w:pPr>
            <w:r>
              <w:rPr>
                <w:rFonts w:ascii="Arial" w:cs="Arial" w:eastAsia="Arial" w:hAnsi="Arial"/>
                <w:sz w:val="14"/>
                <w:szCs w:val="14"/>
                <w:color w:val="auto"/>
              </w:rPr>
              <w:t>Market value ($)</w:t>
            </w:r>
            <w:r>
              <w:rPr>
                <w:rFonts w:ascii="Arial" w:cs="Arial" w:eastAsia="Arial" w:hAnsi="Arial"/>
                <w:sz w:val="24"/>
                <w:szCs w:val="24"/>
                <w:color w:val="auto"/>
                <w:vertAlign w:val="superscript"/>
              </w:rPr>
              <w:t>6</w:t>
            </w:r>
          </w:p>
        </w:tc>
        <w:tc>
          <w:tcPr>
            <w:tcW w:w="1760" w:type="dxa"/>
            <w:vAlign w:val="bottom"/>
            <w:tcBorders>
              <w:right w:val="single" w:sz="8" w:color="004876"/>
            </w:tcBorders>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Borders>
              <w:bottom w:val="single" w:sz="8" w:color="004876"/>
            </w:tcBorders>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Borders>
              <w:right w:val="single" w:sz="8" w:color="004876"/>
            </w:tcBorders>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Borders>
              <w:bottom w:val="single" w:sz="8" w:color="004876"/>
            </w:tcBorders>
          </w:tcPr>
          <w:p>
            <w:pPr>
              <w:spacing w:after="0"/>
              <w:rPr>
                <w:sz w:val="3"/>
                <w:szCs w:val="3"/>
                <w:color w:val="auto"/>
              </w:rPr>
            </w:pPr>
          </w:p>
        </w:tc>
        <w:tc>
          <w:tcPr>
            <w:tcW w:w="540" w:type="dxa"/>
            <w:vAlign w:val="bottom"/>
          </w:tcPr>
          <w:p>
            <w:pPr>
              <w:spacing w:after="0"/>
              <w:rPr>
                <w:sz w:val="3"/>
                <w:szCs w:val="3"/>
                <w:color w:val="auto"/>
              </w:rPr>
            </w:pPr>
          </w:p>
        </w:tc>
        <w:tc>
          <w:tcPr>
            <w:tcW w:w="1220" w:type="dxa"/>
            <w:vAlign w:val="bottom"/>
            <w:tcBorders>
              <w:bottom w:val="single" w:sz="8" w:color="004876"/>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260" w:type="dxa"/>
            <w:vAlign w:val="bottom"/>
            <w:tcBorders>
              <w:bottom w:val="single" w:sz="8" w:color="336C91"/>
            </w:tcBorders>
            <w:vMerge w:val="continue"/>
          </w:tcPr>
          <w:p>
            <w:pPr>
              <w:spacing w:after="0"/>
              <w:rPr>
                <w:sz w:val="19"/>
                <w:szCs w:val="19"/>
                <w:color w:val="auto"/>
              </w:rPr>
            </w:pPr>
          </w:p>
        </w:tc>
        <w:tc>
          <w:tcPr>
            <w:tcW w:w="1760" w:type="dxa"/>
            <w:vAlign w:val="bottom"/>
            <w:tcBorders>
              <w:bottom w:val="single" w:sz="8" w:color="336C91"/>
              <w:right w:val="single" w:sz="8" w:color="004876"/>
            </w:tcBorders>
          </w:tcPr>
          <w:p>
            <w:pPr>
              <w:spacing w:after="0"/>
              <w:rPr>
                <w:sz w:val="19"/>
                <w:szCs w:val="19"/>
                <w:color w:val="auto"/>
              </w:rPr>
            </w:pPr>
          </w:p>
        </w:tc>
        <w:tc>
          <w:tcPr>
            <w:tcW w:w="400" w:type="dxa"/>
            <w:vAlign w:val="bottom"/>
            <w:tcBorders>
              <w:bottom w:val="single" w:sz="8" w:color="336C91"/>
            </w:tcBorders>
          </w:tcPr>
          <w:p>
            <w:pPr>
              <w:spacing w:after="0"/>
              <w:rPr>
                <w:sz w:val="19"/>
                <w:szCs w:val="19"/>
                <w:color w:val="auto"/>
              </w:rPr>
            </w:pPr>
          </w:p>
        </w:tc>
        <w:tc>
          <w:tcPr>
            <w:tcW w:w="106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$17,447,616</w:t>
            </w:r>
          </w:p>
        </w:tc>
        <w:tc>
          <w:tcPr>
            <w:tcW w:w="340" w:type="dxa"/>
            <w:vAlign w:val="bottom"/>
            <w:tcBorders>
              <w:bottom w:val="single" w:sz="8" w:color="336C91"/>
            </w:tcBorders>
          </w:tcPr>
          <w:p>
            <w:pPr>
              <w:spacing w:after="0"/>
              <w:rPr>
                <w:sz w:val="19"/>
                <w:szCs w:val="19"/>
                <w:color w:val="auto"/>
              </w:rPr>
            </w:pPr>
          </w:p>
        </w:tc>
        <w:tc>
          <w:tcPr>
            <w:tcW w:w="960" w:type="dxa"/>
            <w:vAlign w:val="bottom"/>
            <w:tcBorders>
              <w:bottom w:val="single" w:sz="8" w:color="336C91"/>
            </w:tcBorders>
          </w:tcPr>
          <w:p>
            <w:pPr>
              <w:spacing w:after="0"/>
              <w:rPr>
                <w:sz w:val="19"/>
                <w:szCs w:val="19"/>
                <w:color w:val="auto"/>
              </w:rPr>
            </w:pPr>
          </w:p>
        </w:tc>
        <w:tc>
          <w:tcPr>
            <w:tcW w:w="960" w:type="dxa"/>
            <w:vAlign w:val="bottom"/>
            <w:tcBorders>
              <w:bottom w:val="single" w:sz="8" w:color="336C91"/>
            </w:tcBorders>
          </w:tcPr>
          <w:p>
            <w:pPr>
              <w:spacing w:after="0"/>
              <w:rPr>
                <w:sz w:val="19"/>
                <w:szCs w:val="19"/>
                <w:color w:val="auto"/>
              </w:rPr>
            </w:pPr>
          </w:p>
        </w:tc>
        <w:tc>
          <w:tcPr>
            <w:tcW w:w="60" w:type="dxa"/>
            <w:vAlign w:val="bottom"/>
            <w:tcBorders>
              <w:bottom w:val="single" w:sz="8" w:color="336C91"/>
              <w:right w:val="single" w:sz="8" w:color="004876"/>
            </w:tcBorders>
          </w:tcPr>
          <w:p>
            <w:pPr>
              <w:spacing w:after="0"/>
              <w:rPr>
                <w:sz w:val="19"/>
                <w:szCs w:val="19"/>
                <w:color w:val="auto"/>
              </w:rPr>
            </w:pPr>
          </w:p>
        </w:tc>
        <w:tc>
          <w:tcPr>
            <w:tcW w:w="200" w:type="dxa"/>
            <w:vAlign w:val="bottom"/>
            <w:tcBorders>
              <w:bottom w:val="single" w:sz="8" w:color="336C91"/>
            </w:tcBorders>
          </w:tcPr>
          <w:p>
            <w:pPr>
              <w:spacing w:after="0"/>
              <w:rPr>
                <w:sz w:val="19"/>
                <w:szCs w:val="19"/>
                <w:color w:val="auto"/>
              </w:rPr>
            </w:pPr>
          </w:p>
        </w:tc>
        <w:tc>
          <w:tcPr>
            <w:tcW w:w="104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$18,433,194</w:t>
            </w:r>
          </w:p>
        </w:tc>
        <w:tc>
          <w:tcPr>
            <w:tcW w:w="540" w:type="dxa"/>
            <w:vAlign w:val="bottom"/>
            <w:tcBorders>
              <w:bottom w:val="single" w:sz="8" w:color="336C91"/>
            </w:tcBorders>
          </w:tcPr>
          <w:p>
            <w:pPr>
              <w:spacing w:after="0"/>
              <w:rPr>
                <w:sz w:val="19"/>
                <w:szCs w:val="19"/>
                <w:color w:val="auto"/>
              </w:rPr>
            </w:pPr>
          </w:p>
        </w:tc>
        <w:tc>
          <w:tcPr>
            <w:tcW w:w="122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$11,444,774</w:t>
            </w:r>
          </w:p>
        </w:tc>
        <w:tc>
          <w:tcPr>
            <w:tcW w:w="220" w:type="dxa"/>
            <w:vAlign w:val="bottom"/>
            <w:tcBorders>
              <w:bottom w:val="single" w:sz="8" w:color="336C91"/>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260" w:type="dxa"/>
            <w:vAlign w:val="bottom"/>
            <w:tcBorders>
              <w:bottom w:val="single" w:sz="8" w:color="336C91"/>
            </w:tcBorders>
          </w:tcPr>
          <w:p>
            <w:pPr>
              <w:spacing w:after="0"/>
              <w:rPr>
                <w:sz w:val="4"/>
                <w:szCs w:val="4"/>
                <w:color w:val="auto"/>
              </w:rPr>
            </w:pPr>
          </w:p>
        </w:tc>
        <w:tc>
          <w:tcPr>
            <w:tcW w:w="1760" w:type="dxa"/>
            <w:vAlign w:val="bottom"/>
            <w:tcBorders>
              <w:bottom w:val="single" w:sz="8" w:color="336C91"/>
            </w:tcBorders>
          </w:tcPr>
          <w:p>
            <w:pPr>
              <w:spacing w:after="0"/>
              <w:rPr>
                <w:sz w:val="4"/>
                <w:szCs w:val="4"/>
                <w:color w:val="auto"/>
              </w:rPr>
            </w:pPr>
          </w:p>
        </w:tc>
        <w:tc>
          <w:tcPr>
            <w:tcW w:w="400" w:type="dxa"/>
            <w:vAlign w:val="bottom"/>
            <w:tcBorders>
              <w:bottom w:val="single" w:sz="8" w:color="336C91"/>
            </w:tcBorders>
          </w:tcPr>
          <w:p>
            <w:pPr>
              <w:spacing w:after="0"/>
              <w:rPr>
                <w:sz w:val="4"/>
                <w:szCs w:val="4"/>
                <w:color w:val="auto"/>
              </w:rPr>
            </w:pPr>
          </w:p>
        </w:tc>
        <w:tc>
          <w:tcPr>
            <w:tcW w:w="1060" w:type="dxa"/>
            <w:vAlign w:val="bottom"/>
            <w:tcBorders>
              <w:bottom w:val="single" w:sz="8" w:color="336C91"/>
            </w:tcBorders>
          </w:tcPr>
          <w:p>
            <w:pPr>
              <w:spacing w:after="0"/>
              <w:rPr>
                <w:sz w:val="4"/>
                <w:szCs w:val="4"/>
                <w:color w:val="auto"/>
              </w:rPr>
            </w:pPr>
          </w:p>
        </w:tc>
        <w:tc>
          <w:tcPr>
            <w:tcW w:w="340" w:type="dxa"/>
            <w:vAlign w:val="bottom"/>
            <w:tcBorders>
              <w:bottom w:val="single" w:sz="8" w:color="336C91"/>
            </w:tcBorders>
          </w:tcPr>
          <w:p>
            <w:pPr>
              <w:spacing w:after="0"/>
              <w:rPr>
                <w:sz w:val="4"/>
                <w:szCs w:val="4"/>
                <w:color w:val="auto"/>
              </w:rPr>
            </w:pPr>
          </w:p>
        </w:tc>
        <w:tc>
          <w:tcPr>
            <w:tcW w:w="960" w:type="dxa"/>
            <w:vAlign w:val="bottom"/>
            <w:tcBorders>
              <w:bottom w:val="single" w:sz="8" w:color="336C91"/>
            </w:tcBorders>
          </w:tcPr>
          <w:p>
            <w:pPr>
              <w:spacing w:after="0"/>
              <w:rPr>
                <w:sz w:val="4"/>
                <w:szCs w:val="4"/>
                <w:color w:val="auto"/>
              </w:rPr>
            </w:pPr>
          </w:p>
        </w:tc>
        <w:tc>
          <w:tcPr>
            <w:tcW w:w="960" w:type="dxa"/>
            <w:vAlign w:val="bottom"/>
            <w:tcBorders>
              <w:bottom w:val="single" w:sz="8" w:color="336C91"/>
            </w:tcBorders>
          </w:tcPr>
          <w:p>
            <w:pPr>
              <w:spacing w:after="0"/>
              <w:rPr>
                <w:sz w:val="4"/>
                <w:szCs w:val="4"/>
                <w:color w:val="auto"/>
              </w:rPr>
            </w:pPr>
          </w:p>
        </w:tc>
        <w:tc>
          <w:tcPr>
            <w:tcW w:w="60" w:type="dxa"/>
            <w:vAlign w:val="bottom"/>
            <w:tcBorders>
              <w:bottom w:val="single" w:sz="8" w:color="336C91"/>
            </w:tcBorders>
          </w:tcPr>
          <w:p>
            <w:pPr>
              <w:spacing w:after="0"/>
              <w:rPr>
                <w:sz w:val="4"/>
                <w:szCs w:val="4"/>
                <w:color w:val="auto"/>
              </w:rPr>
            </w:pPr>
          </w:p>
        </w:tc>
        <w:tc>
          <w:tcPr>
            <w:tcW w:w="200" w:type="dxa"/>
            <w:vAlign w:val="bottom"/>
            <w:tcBorders>
              <w:bottom w:val="single" w:sz="8" w:color="336C91"/>
            </w:tcBorders>
          </w:tcPr>
          <w:p>
            <w:pPr>
              <w:spacing w:after="0"/>
              <w:rPr>
                <w:sz w:val="4"/>
                <w:szCs w:val="4"/>
                <w:color w:val="auto"/>
              </w:rPr>
            </w:pPr>
          </w:p>
        </w:tc>
        <w:tc>
          <w:tcPr>
            <w:tcW w:w="1040" w:type="dxa"/>
            <w:vAlign w:val="bottom"/>
            <w:tcBorders>
              <w:bottom w:val="single" w:sz="8" w:color="336C91"/>
            </w:tcBorders>
          </w:tcPr>
          <w:p>
            <w:pPr>
              <w:spacing w:after="0"/>
              <w:rPr>
                <w:sz w:val="4"/>
                <w:szCs w:val="4"/>
                <w:color w:val="auto"/>
              </w:rPr>
            </w:pPr>
          </w:p>
        </w:tc>
        <w:tc>
          <w:tcPr>
            <w:tcW w:w="540" w:type="dxa"/>
            <w:vAlign w:val="bottom"/>
            <w:tcBorders>
              <w:bottom w:val="single" w:sz="8" w:color="336C91"/>
            </w:tcBorders>
          </w:tcPr>
          <w:p>
            <w:pPr>
              <w:spacing w:after="0"/>
              <w:rPr>
                <w:sz w:val="4"/>
                <w:szCs w:val="4"/>
                <w:color w:val="auto"/>
              </w:rPr>
            </w:pPr>
          </w:p>
        </w:tc>
        <w:tc>
          <w:tcPr>
            <w:tcW w:w="1220" w:type="dxa"/>
            <w:vAlign w:val="bottom"/>
            <w:tcBorders>
              <w:bottom w:val="single" w:sz="8" w:color="336C91"/>
            </w:tcBorders>
          </w:tcPr>
          <w:p>
            <w:pPr>
              <w:spacing w:after="0"/>
              <w:rPr>
                <w:sz w:val="4"/>
                <w:szCs w:val="4"/>
                <w:color w:val="auto"/>
              </w:rPr>
            </w:pPr>
          </w:p>
        </w:tc>
        <w:tc>
          <w:tcPr>
            <w:tcW w:w="220" w:type="dxa"/>
            <w:vAlign w:val="bottom"/>
            <w:tcBorders>
              <w:bottom w:val="single" w:sz="8" w:color="336C91"/>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-50800</wp:posOffset>
            </wp:positionV>
            <wp:extent cx="889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-50800</wp:posOffset>
            </wp:positionV>
            <wp:extent cx="889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228" w:lineRule="exact"/>
        <w:rPr>
          <w:sz w:val="20"/>
          <w:szCs w:val="20"/>
          <w:color w:val="auto"/>
        </w:rPr>
      </w:pPr>
    </w:p>
    <w:p>
      <w:pPr>
        <w:ind w:left="360" w:right="5520" w:hanging="116"/>
        <w:spacing w:after="0" w:line="252" w:lineRule="auto"/>
        <w:tabs>
          <w:tab w:leader="none" w:pos="428" w:val="left"/>
        </w:tabs>
        <w:numPr>
          <w:ilvl w:val="0"/>
          <w:numId w:val="141"/>
        </w:numPr>
        <w:rPr>
          <w:rFonts w:ascii="Arial" w:cs="Arial" w:eastAsia="Arial" w:hAnsi="Arial"/>
          <w:sz w:val="24"/>
          <w:szCs w:val="24"/>
          <w:color w:val="auto"/>
          <w:vertAlign w:val="superscript"/>
        </w:rPr>
      </w:pPr>
      <w:r>
        <w:rPr>
          <w:rFonts w:ascii="Arial" w:cs="Arial" w:eastAsia="Arial" w:hAnsi="Arial"/>
          <w:sz w:val="14"/>
          <w:szCs w:val="14"/>
          <w:color w:val="auto"/>
        </w:rPr>
        <w:t xml:space="preserve">The awards set forth in the table were granted with the following vesting schedules: </w:t>
      </w:r>
      <w:r>
        <w:rPr>
          <w:rFonts w:ascii="Arial" w:cs="Arial" w:eastAsia="Arial" w:hAnsi="Arial"/>
          <w:sz w:val="24"/>
          <w:szCs w:val="24"/>
          <w:color w:val="auto"/>
          <w:vertAlign w:val="superscript"/>
        </w:rPr>
        <w:t>a</w:t>
      </w:r>
      <w:r>
        <w:rPr>
          <w:rFonts w:ascii="Arial" w:cs="Arial" w:eastAsia="Arial" w:hAnsi="Arial"/>
          <w:sz w:val="14"/>
          <w:szCs w:val="14"/>
          <w:color w:val="auto"/>
        </w:rPr>
        <w:t xml:space="preserve"> Five equal installments, in years one, two, three, four and five</w:t>
      </w:r>
    </w:p>
    <w:p>
      <w:pPr>
        <w:ind w:left="360"/>
        <w:spacing w:after="0" w:line="193"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b</w:t>
      </w:r>
      <w:r>
        <w:rPr>
          <w:rFonts w:ascii="Arial" w:cs="Arial" w:eastAsia="Arial" w:hAnsi="Arial"/>
          <w:sz w:val="14"/>
          <w:szCs w:val="14"/>
          <w:color w:val="auto"/>
        </w:rPr>
        <w:t xml:space="preserve">  Vests in year three including any dividends that are reinvested over the vesting period</w:t>
      </w:r>
    </w:p>
    <w:p>
      <w:pPr>
        <w:ind w:left="520" w:hanging="161"/>
        <w:spacing w:after="0" w:line="187" w:lineRule="auto"/>
        <w:tabs>
          <w:tab w:leader="none" w:pos="520" w:val="left"/>
        </w:tabs>
        <w:numPr>
          <w:ilvl w:val="0"/>
          <w:numId w:val="142"/>
        </w:numPr>
        <w:rPr>
          <w:rFonts w:ascii="Arial" w:cs="Arial" w:eastAsia="Arial" w:hAnsi="Arial"/>
          <w:sz w:val="20"/>
          <w:szCs w:val="20"/>
          <w:color w:val="auto"/>
          <w:vertAlign w:val="superscript"/>
        </w:rPr>
      </w:pPr>
      <w:r>
        <w:rPr>
          <w:rFonts w:ascii="Arial" w:cs="Arial" w:eastAsia="Arial" w:hAnsi="Arial"/>
          <w:sz w:val="12"/>
          <w:szCs w:val="12"/>
          <w:color w:val="auto"/>
        </w:rPr>
        <w:t>Two equal installments, in years two and three</w:t>
      </w:r>
    </w:p>
    <w:p>
      <w:pPr>
        <w:spacing w:after="0" w:line="58" w:lineRule="exact"/>
        <w:rPr>
          <w:sz w:val="20"/>
          <w:szCs w:val="20"/>
          <w:color w:val="auto"/>
        </w:rPr>
      </w:pPr>
    </w:p>
    <w:p>
      <w:pPr>
        <w:ind w:left="360" w:right="2460" w:hanging="8"/>
        <w:spacing w:after="0" w:line="248" w:lineRule="auto"/>
        <w:tabs>
          <w:tab w:leader="none" w:pos="536" w:val="left"/>
        </w:tabs>
        <w:numPr>
          <w:ilvl w:val="0"/>
          <w:numId w:val="143"/>
        </w:numPr>
        <w:rPr>
          <w:rFonts w:ascii="Arial" w:cs="Arial" w:eastAsia="Arial" w:hAnsi="Arial"/>
          <w:sz w:val="24"/>
          <w:szCs w:val="24"/>
          <w:color w:val="auto"/>
          <w:vertAlign w:val="superscript"/>
        </w:rPr>
      </w:pPr>
      <w:r>
        <w:rPr>
          <w:rFonts w:ascii="Arial" w:cs="Arial" w:eastAsia="Arial" w:hAnsi="Arial"/>
          <w:sz w:val="14"/>
          <w:szCs w:val="14"/>
          <w:color w:val="auto"/>
        </w:rPr>
        <w:t xml:space="preserve">Five equal installments, in years three, four, five, six and seven including any dividends that are reinvested over the vesting period </w:t>
      </w:r>
      <w:r>
        <w:rPr>
          <w:rFonts w:ascii="Arial" w:cs="Arial" w:eastAsia="Arial" w:hAnsi="Arial"/>
          <w:sz w:val="24"/>
          <w:szCs w:val="24"/>
          <w:color w:val="auto"/>
          <w:vertAlign w:val="superscript"/>
        </w:rPr>
        <w:t>e</w:t>
      </w:r>
      <w:r>
        <w:rPr>
          <w:rFonts w:ascii="Arial" w:cs="Arial" w:eastAsia="Arial" w:hAnsi="Arial"/>
          <w:sz w:val="14"/>
          <w:szCs w:val="14"/>
          <w:color w:val="auto"/>
        </w:rPr>
        <w:t xml:space="preserve"> Five equal installments, in years three, four, five, six and seven</w:t>
      </w:r>
    </w:p>
    <w:p>
      <w:pPr>
        <w:ind w:left="420" w:hanging="176"/>
        <w:spacing w:after="0" w:line="187" w:lineRule="auto"/>
        <w:tabs>
          <w:tab w:leader="none" w:pos="420" w:val="left"/>
        </w:tabs>
        <w:numPr>
          <w:ilvl w:val="0"/>
          <w:numId w:val="144"/>
        </w:numPr>
        <w:rPr>
          <w:rFonts w:ascii="Arial" w:cs="Arial" w:eastAsia="Arial" w:hAnsi="Arial"/>
          <w:sz w:val="20"/>
          <w:szCs w:val="20"/>
          <w:color w:val="auto"/>
          <w:vertAlign w:val="superscript"/>
        </w:rPr>
      </w:pPr>
      <w:r>
        <w:rPr>
          <w:rFonts w:ascii="Arial" w:cs="Arial" w:eastAsia="Arial" w:hAnsi="Arial"/>
          <w:sz w:val="12"/>
          <w:szCs w:val="12"/>
          <w:color w:val="auto"/>
        </w:rPr>
        <w:t>All outstanding SARs are exercisable as of December 31, 2018.</w:t>
      </w:r>
    </w:p>
    <w:p>
      <w:pPr>
        <w:ind w:left="440" w:hanging="222"/>
        <w:spacing w:after="0" w:line="200" w:lineRule="auto"/>
        <w:tabs>
          <w:tab w:leader="none" w:pos="440" w:val="left"/>
        </w:tabs>
        <w:numPr>
          <w:ilvl w:val="0"/>
          <w:numId w:val="145"/>
        </w:numPr>
        <w:rPr>
          <w:rFonts w:ascii="Arial" w:cs="Arial" w:eastAsia="Arial" w:hAnsi="Arial"/>
          <w:sz w:val="24"/>
          <w:szCs w:val="24"/>
          <w:color w:val="auto"/>
          <w:vertAlign w:val="superscript"/>
        </w:rPr>
      </w:pPr>
      <w:r>
        <w:rPr>
          <w:rFonts w:ascii="Arial" w:cs="Arial" w:eastAsia="Arial" w:hAnsi="Arial"/>
          <w:sz w:val="14"/>
          <w:szCs w:val="14"/>
          <w:color w:val="auto"/>
        </w:rPr>
        <w:t>Value based on $97.62, which was the closing price per share of our common stock on December 31, 2018.</w:t>
      </w:r>
    </w:p>
    <w:p>
      <w:pPr>
        <w:spacing w:after="0" w:line="58" w:lineRule="exact"/>
        <w:rPr>
          <w:sz w:val="20"/>
          <w:szCs w:val="20"/>
          <w:color w:val="auto"/>
        </w:rPr>
      </w:pPr>
    </w:p>
    <w:p>
      <w:pPr>
        <w:ind w:left="440" w:right="20" w:hanging="222"/>
        <w:spacing w:after="0" w:line="183" w:lineRule="auto"/>
        <w:tabs>
          <w:tab w:leader="none" w:pos="440" w:val="left"/>
        </w:tabs>
        <w:numPr>
          <w:ilvl w:val="0"/>
          <w:numId w:val="146"/>
        </w:numPr>
        <w:rPr>
          <w:rFonts w:ascii="Arial" w:cs="Arial" w:eastAsia="Arial" w:hAnsi="Arial"/>
          <w:sz w:val="24"/>
          <w:szCs w:val="24"/>
          <w:color w:val="auto"/>
          <w:vertAlign w:val="superscript"/>
        </w:rPr>
      </w:pPr>
      <w:r>
        <w:rPr>
          <w:rFonts w:ascii="Arial" w:cs="Arial" w:eastAsia="Arial" w:hAnsi="Arial"/>
          <w:sz w:val="14"/>
          <w:szCs w:val="14"/>
          <w:color w:val="auto"/>
        </w:rPr>
        <w:t>Represents the maximum number of shares that NEOs may receive over the vesting period in connection with PSU awards granted and accumulated reinvested dividend equivalent shares as of December 31, 2018.</w:t>
      </w:r>
    </w:p>
    <w:p>
      <w:pPr>
        <w:spacing w:after="0" w:line="58" w:lineRule="exact"/>
        <w:rPr>
          <w:sz w:val="20"/>
          <w:szCs w:val="20"/>
          <w:color w:val="auto"/>
        </w:rPr>
      </w:pPr>
    </w:p>
    <w:p>
      <w:pPr>
        <w:ind w:left="440" w:right="500" w:hanging="222"/>
        <w:spacing w:after="0" w:line="183" w:lineRule="auto"/>
        <w:tabs>
          <w:tab w:leader="none" w:pos="440" w:val="left"/>
        </w:tabs>
        <w:numPr>
          <w:ilvl w:val="0"/>
          <w:numId w:val="147"/>
        </w:numPr>
        <w:rPr>
          <w:rFonts w:ascii="Arial" w:cs="Arial" w:eastAsia="Arial" w:hAnsi="Arial"/>
          <w:sz w:val="24"/>
          <w:szCs w:val="24"/>
          <w:color w:val="auto"/>
          <w:vertAlign w:val="superscript"/>
        </w:rPr>
      </w:pPr>
      <w:r>
        <w:rPr>
          <w:rFonts w:ascii="Arial" w:cs="Arial" w:eastAsia="Arial" w:hAnsi="Arial"/>
          <w:sz w:val="14"/>
          <w:szCs w:val="14"/>
          <w:color w:val="auto"/>
        </w:rPr>
        <w:t>Represents PSU awards for which the performance period ended on December 31, 2018. The CMDC certified the applicable performance criteria for the PSUs on March 19, 2019; the PSUs subsequently vested on March 25, 2019.</w:t>
      </w:r>
    </w:p>
    <w:p>
      <w:pPr>
        <w:ind w:left="440" w:hanging="222"/>
        <w:spacing w:after="0" w:line="200" w:lineRule="auto"/>
        <w:tabs>
          <w:tab w:leader="none" w:pos="440" w:val="left"/>
        </w:tabs>
        <w:numPr>
          <w:ilvl w:val="0"/>
          <w:numId w:val="148"/>
        </w:numPr>
        <w:rPr>
          <w:rFonts w:ascii="Arial" w:cs="Arial" w:eastAsia="Arial" w:hAnsi="Arial"/>
          <w:sz w:val="24"/>
          <w:szCs w:val="24"/>
          <w:color w:val="auto"/>
          <w:vertAlign w:val="superscript"/>
        </w:rPr>
      </w:pPr>
      <w:r>
        <w:rPr>
          <w:rFonts w:ascii="Arial" w:cs="Arial" w:eastAsia="Arial" w:hAnsi="Arial"/>
          <w:sz w:val="14"/>
          <w:szCs w:val="14"/>
          <w:color w:val="auto"/>
        </w:rPr>
        <w:t>For option awards, this represents the market value of in-the-money SARs; for stock awards it represents the value of unearned PSUs or RSUs that have not vested.</w:t>
      </w:r>
    </w:p>
    <w:p>
      <w:pPr>
        <w:spacing w:after="0" w:line="12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69</w:t>
            </w:r>
          </w:p>
        </w:tc>
      </w:tr>
    </w:tbl>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IV. 2018 OPTION EXERCISES AND STOCK VESTED TABLE</w:t>
      </w:r>
    </w:p>
    <w:p>
      <w:pPr>
        <w:spacing w:after="0" w:line="18"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The following table shows the number of shares acquired and the value realized during 2018 upon the exercise of stock options and the vesting of RSUs previously granted to each of the Named Executive Officers.</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6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004876"/>
            </w:tcBorders>
          </w:tcPr>
          <w:p>
            <w:pPr>
              <w:spacing w:after="0"/>
              <w:rPr>
                <w:sz w:val="15"/>
                <w:szCs w:val="15"/>
                <w:color w:val="auto"/>
              </w:rPr>
            </w:pPr>
          </w:p>
        </w:tc>
        <w:tc>
          <w:tcPr>
            <w:tcW w:w="780" w:type="dxa"/>
            <w:vAlign w:val="bottom"/>
            <w:tcBorders>
              <w:bottom w:val="single" w:sz="8" w:color="004876"/>
            </w:tcBorders>
          </w:tcPr>
          <w:p>
            <w:pPr>
              <w:spacing w:after="0"/>
              <w:rPr>
                <w:sz w:val="15"/>
                <w:szCs w:val="15"/>
                <w:color w:val="auto"/>
              </w:rPr>
            </w:pPr>
          </w:p>
        </w:tc>
        <w:tc>
          <w:tcPr>
            <w:tcW w:w="880" w:type="dxa"/>
            <w:vAlign w:val="bottom"/>
          </w:tcPr>
          <w:p>
            <w:pPr>
              <w:spacing w:after="0"/>
              <w:rPr>
                <w:sz w:val="15"/>
                <w:szCs w:val="15"/>
                <w:color w:val="auto"/>
              </w:rPr>
            </w:pPr>
          </w:p>
        </w:tc>
        <w:tc>
          <w:tcPr>
            <w:tcW w:w="194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Stock awards</w:t>
            </w:r>
          </w:p>
        </w:tc>
        <w:tc>
          <w:tcPr>
            <w:tcW w:w="980" w:type="dxa"/>
            <w:vAlign w:val="bottom"/>
            <w:tcBorders>
              <w:bottom w:val="single" w:sz="8" w:color="004876"/>
            </w:tcBorders>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2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60" w:type="dxa"/>
            <w:vAlign w:val="bottom"/>
          </w:tcPr>
          <w:p>
            <w:pPr>
              <w:jc w:val="right"/>
              <w:ind w:right="7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880" w:type="dxa"/>
            <w:vAlign w:val="bottom"/>
          </w:tcPr>
          <w:p>
            <w:pPr>
              <w:spacing w:after="0"/>
              <w:rPr>
                <w:sz w:val="15"/>
                <w:szCs w:val="15"/>
                <w:color w:val="auto"/>
              </w:rPr>
            </w:pPr>
          </w:p>
        </w:tc>
        <w:tc>
          <w:tcPr>
            <w:tcW w:w="1940" w:type="dxa"/>
            <w:vAlign w:val="bottom"/>
          </w:tcPr>
          <w:p>
            <w:pPr>
              <w:jc w:val="right"/>
              <w:ind w:right="768"/>
              <w:spacing w:after="0"/>
              <w:rPr>
                <w:sz w:val="20"/>
                <w:szCs w:val="20"/>
                <w:color w:val="auto"/>
              </w:rPr>
            </w:pPr>
            <w:r>
              <w:rPr>
                <w:rFonts w:ascii="Arial" w:cs="Arial" w:eastAsia="Arial" w:hAnsi="Arial"/>
                <w:sz w:val="14"/>
                <w:szCs w:val="14"/>
                <w:b w:val="1"/>
                <w:bCs w:val="1"/>
                <w:color w:val="auto"/>
              </w:rPr>
              <w:t>Number of</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Value</w:t>
            </w:r>
          </w:p>
        </w:tc>
      </w:tr>
      <w:tr>
        <w:trPr>
          <w:trHeight w:val="159"/>
        </w:trPr>
        <w:tc>
          <w:tcPr>
            <w:tcW w:w="2940" w:type="dxa"/>
            <w:vAlign w:val="bottom"/>
          </w:tcPr>
          <w:p>
            <w:pPr>
              <w:spacing w:after="0"/>
              <w:rPr>
                <w:sz w:val="13"/>
                <w:szCs w:val="13"/>
                <w:color w:val="auto"/>
              </w:rPr>
            </w:pPr>
          </w:p>
        </w:tc>
        <w:tc>
          <w:tcPr>
            <w:tcW w:w="3340" w:type="dxa"/>
            <w:vAlign w:val="bottom"/>
            <w:gridSpan w:val="2"/>
          </w:tcPr>
          <w:p>
            <w:pPr>
              <w:jc w:val="right"/>
              <w:ind w:right="788"/>
              <w:spacing w:after="0" w:line="159" w:lineRule="exact"/>
              <w:rPr>
                <w:sz w:val="20"/>
                <w:szCs w:val="20"/>
                <w:color w:val="auto"/>
              </w:rPr>
            </w:pPr>
            <w:r>
              <w:rPr>
                <w:rFonts w:ascii="Arial" w:cs="Arial" w:eastAsia="Arial" w:hAnsi="Arial"/>
                <w:sz w:val="14"/>
                <w:szCs w:val="14"/>
                <w:b w:val="1"/>
                <w:bCs w:val="1"/>
                <w:color w:val="auto"/>
              </w:rPr>
              <w:t>shares acquired</w:t>
            </w: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realized on</w:t>
            </w:r>
          </w:p>
        </w:tc>
        <w:tc>
          <w:tcPr>
            <w:tcW w:w="2820" w:type="dxa"/>
            <w:vAlign w:val="bottom"/>
            <w:gridSpan w:val="2"/>
          </w:tcPr>
          <w:p>
            <w:pPr>
              <w:jc w:val="right"/>
              <w:ind w:right="768"/>
              <w:spacing w:after="0" w:line="159" w:lineRule="exact"/>
              <w:rPr>
                <w:sz w:val="20"/>
                <w:szCs w:val="20"/>
                <w:color w:val="auto"/>
              </w:rPr>
            </w:pPr>
            <w:r>
              <w:rPr>
                <w:rFonts w:ascii="Arial" w:cs="Arial" w:eastAsia="Arial" w:hAnsi="Arial"/>
                <w:sz w:val="14"/>
                <w:szCs w:val="14"/>
                <w:b w:val="1"/>
                <w:bCs w:val="1"/>
                <w:color w:val="auto"/>
              </w:rPr>
              <w:t>shares acquired</w:t>
            </w:r>
          </w:p>
        </w:tc>
        <w:tc>
          <w:tcPr>
            <w:tcW w:w="1020" w:type="dxa"/>
            <w:vAlign w:val="bottom"/>
            <w:gridSpan w:val="2"/>
          </w:tcPr>
          <w:p>
            <w:pPr>
              <w:jc w:val="right"/>
              <w:ind w:right="60"/>
              <w:spacing w:after="0" w:line="159" w:lineRule="exact"/>
              <w:rPr>
                <w:sz w:val="20"/>
                <w:szCs w:val="20"/>
                <w:color w:val="auto"/>
              </w:rPr>
            </w:pPr>
            <w:r>
              <w:rPr>
                <w:rFonts w:ascii="Arial" w:cs="Arial" w:eastAsia="Arial" w:hAnsi="Arial"/>
                <w:sz w:val="14"/>
                <w:szCs w:val="14"/>
                <w:b w:val="1"/>
                <w:bCs w:val="1"/>
                <w:color w:val="auto"/>
              </w:rPr>
              <w:t>realized on</w:t>
            </w:r>
          </w:p>
        </w:tc>
      </w:tr>
      <w:tr>
        <w:trPr>
          <w:trHeight w:val="192"/>
        </w:trPr>
        <w:tc>
          <w:tcPr>
            <w:tcW w:w="294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bottom w:val="single" w:sz="8" w:color="004876"/>
            </w:tcBorders>
          </w:tcPr>
          <w:p>
            <w:pPr>
              <w:spacing w:after="0"/>
              <w:rPr>
                <w:sz w:val="16"/>
                <w:szCs w:val="16"/>
                <w:color w:val="auto"/>
              </w:rPr>
            </w:pPr>
          </w:p>
        </w:tc>
        <w:tc>
          <w:tcPr>
            <w:tcW w:w="1960" w:type="dxa"/>
            <w:vAlign w:val="bottom"/>
            <w:tcBorders>
              <w:bottom w:val="single" w:sz="8" w:color="004876"/>
            </w:tcBorders>
          </w:tcPr>
          <w:p>
            <w:pPr>
              <w:jc w:val="right"/>
              <w:ind w:right="788"/>
              <w:spacing w:after="0"/>
              <w:rPr>
                <w:sz w:val="20"/>
                <w:szCs w:val="20"/>
                <w:color w:val="auto"/>
              </w:rPr>
            </w:pPr>
            <w:r>
              <w:rPr>
                <w:rFonts w:ascii="Arial" w:cs="Arial" w:eastAsia="Arial" w:hAnsi="Arial"/>
                <w:sz w:val="14"/>
                <w:szCs w:val="14"/>
                <w:b w:val="1"/>
                <w:bCs w:val="1"/>
                <w:color w:val="auto"/>
              </w:rPr>
              <w:t>on exercise (#)</w:t>
            </w:r>
          </w:p>
        </w:tc>
        <w:tc>
          <w:tcPr>
            <w:tcW w:w="900" w:type="dxa"/>
            <w:vAlign w:val="bottom"/>
            <w:tcBorders>
              <w:bottom w:val="single" w:sz="8" w:color="004876"/>
            </w:tcBorders>
            <w:gridSpan w:val="2"/>
          </w:tcPr>
          <w:p>
            <w:pPr>
              <w:jc w:val="right"/>
              <w:spacing w:after="0" w:line="192" w:lineRule="exact"/>
              <w:rPr>
                <w:sz w:val="20"/>
                <w:szCs w:val="20"/>
                <w:color w:val="auto"/>
              </w:rPr>
            </w:pPr>
            <w:r>
              <w:rPr>
                <w:rFonts w:ascii="Arial" w:cs="Arial" w:eastAsia="Arial" w:hAnsi="Arial"/>
                <w:sz w:val="13"/>
                <w:szCs w:val="13"/>
                <w:b w:val="1"/>
                <w:bCs w:val="1"/>
                <w:color w:val="auto"/>
              </w:rPr>
              <w:t>exercise ($)</w:t>
            </w:r>
            <w:r>
              <w:rPr>
                <w:rFonts w:ascii="Arial" w:cs="Arial" w:eastAsia="Arial" w:hAnsi="Arial"/>
                <w:sz w:val="22"/>
                <w:szCs w:val="22"/>
                <w:b w:val="1"/>
                <w:bCs w:val="1"/>
                <w:color w:val="auto"/>
                <w:vertAlign w:val="superscript"/>
              </w:rPr>
              <w:t>1</w:t>
            </w:r>
          </w:p>
        </w:tc>
        <w:tc>
          <w:tcPr>
            <w:tcW w:w="880" w:type="dxa"/>
            <w:vAlign w:val="bottom"/>
            <w:tcBorders>
              <w:bottom w:val="single" w:sz="8" w:color="004876"/>
            </w:tcBorders>
          </w:tcPr>
          <w:p>
            <w:pPr>
              <w:spacing w:after="0"/>
              <w:rPr>
                <w:sz w:val="16"/>
                <w:szCs w:val="16"/>
                <w:color w:val="auto"/>
              </w:rPr>
            </w:pPr>
          </w:p>
        </w:tc>
        <w:tc>
          <w:tcPr>
            <w:tcW w:w="1940" w:type="dxa"/>
            <w:vAlign w:val="bottom"/>
            <w:tcBorders>
              <w:bottom w:val="single" w:sz="8" w:color="004876"/>
            </w:tcBorders>
          </w:tcPr>
          <w:p>
            <w:pPr>
              <w:jc w:val="right"/>
              <w:ind w:right="768"/>
              <w:spacing w:after="0"/>
              <w:rPr>
                <w:sz w:val="20"/>
                <w:szCs w:val="20"/>
                <w:color w:val="auto"/>
              </w:rPr>
            </w:pPr>
            <w:r>
              <w:rPr>
                <w:rFonts w:ascii="Arial" w:cs="Arial" w:eastAsia="Arial" w:hAnsi="Arial"/>
                <w:sz w:val="14"/>
                <w:szCs w:val="14"/>
                <w:b w:val="1"/>
                <w:bCs w:val="1"/>
                <w:color w:val="auto"/>
              </w:rPr>
              <w:t>on vesting (#)</w:t>
            </w:r>
          </w:p>
        </w:tc>
        <w:tc>
          <w:tcPr>
            <w:tcW w:w="1020" w:type="dxa"/>
            <w:vAlign w:val="bottom"/>
            <w:tcBorders>
              <w:bottom w:val="single" w:sz="8" w:color="004876"/>
            </w:tcBorders>
            <w:gridSpan w:val="2"/>
          </w:tcPr>
          <w:p>
            <w:pPr>
              <w:jc w:val="right"/>
              <w:ind w:right="60"/>
              <w:spacing w:after="0" w:line="192" w:lineRule="exact"/>
              <w:rPr>
                <w:sz w:val="20"/>
                <w:szCs w:val="20"/>
                <w:color w:val="auto"/>
              </w:rPr>
            </w:pPr>
            <w:r>
              <w:rPr>
                <w:rFonts w:ascii="Arial" w:cs="Arial" w:eastAsia="Arial" w:hAnsi="Arial"/>
                <w:sz w:val="13"/>
                <w:szCs w:val="13"/>
                <w:b w:val="1"/>
                <w:bCs w:val="1"/>
                <w:color w:val="auto"/>
              </w:rPr>
              <w:t>vesting ($)</w:t>
            </w:r>
            <w:r>
              <w:rPr>
                <w:rFonts w:ascii="Arial" w:cs="Arial" w:eastAsia="Arial" w:hAnsi="Arial"/>
                <w:sz w:val="22"/>
                <w:szCs w:val="22"/>
                <w:b w:val="1"/>
                <w:bCs w:val="1"/>
                <w:color w:val="auto"/>
                <w:vertAlign w:val="superscript"/>
              </w:rPr>
              <w:t>2</w:t>
            </w:r>
          </w:p>
        </w:tc>
      </w:tr>
      <w:tr>
        <w:trPr>
          <w:trHeight w:val="198"/>
        </w:trPr>
        <w:tc>
          <w:tcPr>
            <w:tcW w:w="2940" w:type="dxa"/>
            <w:vAlign w:val="bottom"/>
          </w:tcPr>
          <w:p>
            <w:pPr>
              <w:ind w:left="60"/>
              <w:spacing w:after="0"/>
              <w:rPr>
                <w:sz w:val="20"/>
                <w:szCs w:val="20"/>
                <w:color w:val="auto"/>
              </w:rPr>
            </w:pPr>
            <w:r>
              <w:rPr>
                <w:rFonts w:ascii="Arial" w:cs="Arial" w:eastAsia="Arial" w:hAnsi="Arial"/>
                <w:sz w:val="14"/>
                <w:szCs w:val="14"/>
                <w:b w:val="1"/>
                <w:bCs w:val="1"/>
                <w:color w:val="auto"/>
              </w:rPr>
              <w:t>James Dimon</w:t>
            </w:r>
          </w:p>
        </w:tc>
        <w:tc>
          <w:tcPr>
            <w:tcW w:w="1380" w:type="dxa"/>
            <w:vAlign w:val="bottom"/>
          </w:tcPr>
          <w:p>
            <w:pPr>
              <w:spacing w:after="0"/>
              <w:rPr>
                <w:sz w:val="17"/>
                <w:szCs w:val="17"/>
                <w:color w:val="auto"/>
              </w:rPr>
            </w:pPr>
          </w:p>
        </w:tc>
        <w:tc>
          <w:tcPr>
            <w:tcW w:w="19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20" w:type="dxa"/>
            <w:vAlign w:val="bottom"/>
            <w:gridSpan w:val="2"/>
          </w:tcPr>
          <w:p>
            <w:pPr>
              <w:jc w:val="right"/>
              <w:ind w:right="1008"/>
              <w:spacing w:after="0"/>
              <w:rPr>
                <w:sz w:val="20"/>
                <w:szCs w:val="20"/>
                <w:color w:val="auto"/>
              </w:rPr>
            </w:pPr>
            <w:r>
              <w:rPr>
                <w:rFonts w:ascii="Arial" w:cs="Arial" w:eastAsia="Arial" w:hAnsi="Arial"/>
                <w:sz w:val="14"/>
                <w:szCs w:val="14"/>
                <w:color w:val="auto"/>
              </w:rPr>
              <w:t>99,273</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$11,103,189</w:t>
            </w:r>
          </w:p>
        </w:tc>
        <w:tc>
          <w:tcPr>
            <w:tcW w:w="40" w:type="dxa"/>
            <w:vAlign w:val="bottom"/>
          </w:tcPr>
          <w:p>
            <w:pPr>
              <w:spacing w:after="0"/>
              <w:rPr>
                <w:sz w:val="17"/>
                <w:szCs w:val="17"/>
                <w:color w:val="auto"/>
              </w:rPr>
            </w:pPr>
          </w:p>
        </w:tc>
      </w:tr>
      <w:tr>
        <w:trPr>
          <w:trHeight w:val="26"/>
        </w:trPr>
        <w:tc>
          <w:tcPr>
            <w:tcW w:w="2940" w:type="dxa"/>
            <w:vAlign w:val="bottom"/>
            <w:tcBorders>
              <w:bottom w:val="single" w:sz="8" w:color="336C91"/>
            </w:tcBorders>
          </w:tcPr>
          <w:p>
            <w:pPr>
              <w:spacing w:after="0"/>
              <w:rPr>
                <w:sz w:val="2"/>
                <w:szCs w:val="2"/>
                <w:color w:val="auto"/>
              </w:rPr>
            </w:pPr>
          </w:p>
        </w:tc>
        <w:tc>
          <w:tcPr>
            <w:tcW w:w="1380" w:type="dxa"/>
            <w:vAlign w:val="bottom"/>
            <w:tcBorders>
              <w:bottom w:val="single" w:sz="8" w:color="336C91"/>
            </w:tcBorders>
          </w:tcPr>
          <w:p>
            <w:pPr>
              <w:spacing w:after="0"/>
              <w:rPr>
                <w:sz w:val="2"/>
                <w:szCs w:val="2"/>
                <w:color w:val="auto"/>
              </w:rPr>
            </w:pPr>
          </w:p>
        </w:tc>
        <w:tc>
          <w:tcPr>
            <w:tcW w:w="1960" w:type="dxa"/>
            <w:vAlign w:val="bottom"/>
            <w:tcBorders>
              <w:bottom w:val="single" w:sz="8" w:color="336C91"/>
            </w:tcBorders>
          </w:tcPr>
          <w:p>
            <w:pPr>
              <w:spacing w:after="0"/>
              <w:rPr>
                <w:sz w:val="2"/>
                <w:szCs w:val="2"/>
                <w:color w:val="auto"/>
              </w:rPr>
            </w:pPr>
          </w:p>
        </w:tc>
        <w:tc>
          <w:tcPr>
            <w:tcW w:w="120" w:type="dxa"/>
            <w:vAlign w:val="bottom"/>
            <w:tcBorders>
              <w:bottom w:val="single" w:sz="8" w:color="336C91"/>
            </w:tcBorders>
          </w:tcPr>
          <w:p>
            <w:pPr>
              <w:spacing w:after="0"/>
              <w:rPr>
                <w:sz w:val="2"/>
                <w:szCs w:val="2"/>
                <w:color w:val="auto"/>
              </w:rPr>
            </w:pPr>
          </w:p>
        </w:tc>
        <w:tc>
          <w:tcPr>
            <w:tcW w:w="780" w:type="dxa"/>
            <w:vAlign w:val="bottom"/>
            <w:tcBorders>
              <w:bottom w:val="single" w:sz="8" w:color="336C91"/>
            </w:tcBorders>
          </w:tcPr>
          <w:p>
            <w:pPr>
              <w:spacing w:after="0"/>
              <w:rPr>
                <w:sz w:val="2"/>
                <w:szCs w:val="2"/>
                <w:color w:val="auto"/>
              </w:rPr>
            </w:pPr>
          </w:p>
        </w:tc>
        <w:tc>
          <w:tcPr>
            <w:tcW w:w="880" w:type="dxa"/>
            <w:vAlign w:val="bottom"/>
            <w:tcBorders>
              <w:bottom w:val="single" w:sz="8" w:color="336C91"/>
            </w:tcBorders>
          </w:tcPr>
          <w:p>
            <w:pPr>
              <w:spacing w:after="0"/>
              <w:rPr>
                <w:sz w:val="2"/>
                <w:szCs w:val="2"/>
                <w:color w:val="auto"/>
              </w:rPr>
            </w:pPr>
          </w:p>
        </w:tc>
        <w:tc>
          <w:tcPr>
            <w:tcW w:w="1940" w:type="dxa"/>
            <w:vAlign w:val="bottom"/>
            <w:tcBorders>
              <w:bottom w:val="single" w:sz="8" w:color="336C91"/>
            </w:tcBorders>
          </w:tcPr>
          <w:p>
            <w:pPr>
              <w:spacing w:after="0"/>
              <w:rPr>
                <w:sz w:val="2"/>
                <w:szCs w:val="2"/>
                <w:color w:val="auto"/>
              </w:rPr>
            </w:pPr>
          </w:p>
        </w:tc>
        <w:tc>
          <w:tcPr>
            <w:tcW w:w="980" w:type="dxa"/>
            <w:vAlign w:val="bottom"/>
            <w:tcBorders>
              <w:bottom w:val="single" w:sz="8" w:color="336C91"/>
            </w:tcBorders>
          </w:tcPr>
          <w:p>
            <w:pPr>
              <w:spacing w:after="0"/>
              <w:rPr>
                <w:sz w:val="2"/>
                <w:szCs w:val="2"/>
                <w:color w:val="auto"/>
              </w:rPr>
            </w:pPr>
          </w:p>
        </w:tc>
        <w:tc>
          <w:tcPr>
            <w:tcW w:w="40" w:type="dxa"/>
            <w:vAlign w:val="bottom"/>
            <w:tcBorders>
              <w:bottom w:val="single" w:sz="8" w:color="336C91"/>
            </w:tcBorders>
          </w:tcPr>
          <w:p>
            <w:pPr>
              <w:spacing w:after="0"/>
              <w:rPr>
                <w:sz w:val="2"/>
                <w:szCs w:val="2"/>
                <w:color w:val="auto"/>
              </w:rPr>
            </w:pPr>
          </w:p>
        </w:tc>
      </w:tr>
      <w:tr>
        <w:trPr>
          <w:trHeight w:val="198"/>
        </w:trPr>
        <w:tc>
          <w:tcPr>
            <w:tcW w:w="2940" w:type="dxa"/>
            <w:vAlign w:val="bottom"/>
          </w:tcPr>
          <w:p>
            <w:pPr>
              <w:ind w:left="60"/>
              <w:spacing w:after="0"/>
              <w:rPr>
                <w:sz w:val="20"/>
                <w:szCs w:val="20"/>
                <w:color w:val="auto"/>
              </w:rPr>
            </w:pPr>
            <w:r>
              <w:rPr>
                <w:rFonts w:ascii="Arial" w:cs="Arial" w:eastAsia="Arial" w:hAnsi="Arial"/>
                <w:sz w:val="14"/>
                <w:szCs w:val="14"/>
                <w:b w:val="1"/>
                <w:bCs w:val="1"/>
                <w:color w:val="auto"/>
              </w:rPr>
              <w:t>Daniel Pinto</w:t>
            </w:r>
          </w:p>
        </w:tc>
        <w:tc>
          <w:tcPr>
            <w:tcW w:w="1380" w:type="dxa"/>
            <w:vAlign w:val="bottom"/>
          </w:tcPr>
          <w:p>
            <w:pPr>
              <w:spacing w:after="0"/>
              <w:rPr>
                <w:sz w:val="17"/>
                <w:szCs w:val="17"/>
                <w:color w:val="auto"/>
              </w:rPr>
            </w:pPr>
          </w:p>
        </w:tc>
        <w:tc>
          <w:tcPr>
            <w:tcW w:w="19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20" w:type="dxa"/>
            <w:vAlign w:val="bottom"/>
            <w:gridSpan w:val="2"/>
          </w:tcPr>
          <w:p>
            <w:pPr>
              <w:jc w:val="right"/>
              <w:ind w:right="1008"/>
              <w:spacing w:after="0"/>
              <w:rPr>
                <w:sz w:val="20"/>
                <w:szCs w:val="20"/>
                <w:color w:val="auto"/>
              </w:rPr>
            </w:pPr>
            <w:r>
              <w:rPr>
                <w:rFonts w:ascii="Arial" w:cs="Arial" w:eastAsia="Arial" w:hAnsi="Arial"/>
                <w:sz w:val="14"/>
                <w:szCs w:val="14"/>
                <w:color w:val="auto"/>
              </w:rPr>
              <w:t>136,450</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15,261,250</w:t>
            </w:r>
          </w:p>
        </w:tc>
        <w:tc>
          <w:tcPr>
            <w:tcW w:w="40" w:type="dxa"/>
            <w:vAlign w:val="bottom"/>
          </w:tcPr>
          <w:p>
            <w:pPr>
              <w:spacing w:after="0"/>
              <w:rPr>
                <w:sz w:val="17"/>
                <w:szCs w:val="17"/>
                <w:color w:val="auto"/>
              </w:rPr>
            </w:pPr>
          </w:p>
        </w:tc>
      </w:tr>
      <w:tr>
        <w:trPr>
          <w:trHeight w:val="26"/>
        </w:trPr>
        <w:tc>
          <w:tcPr>
            <w:tcW w:w="2940" w:type="dxa"/>
            <w:vAlign w:val="bottom"/>
            <w:tcBorders>
              <w:bottom w:val="single" w:sz="8" w:color="336C91"/>
            </w:tcBorders>
          </w:tcPr>
          <w:p>
            <w:pPr>
              <w:spacing w:after="0"/>
              <w:rPr>
                <w:sz w:val="2"/>
                <w:szCs w:val="2"/>
                <w:color w:val="auto"/>
              </w:rPr>
            </w:pPr>
          </w:p>
        </w:tc>
        <w:tc>
          <w:tcPr>
            <w:tcW w:w="1380" w:type="dxa"/>
            <w:vAlign w:val="bottom"/>
            <w:tcBorders>
              <w:bottom w:val="single" w:sz="8" w:color="336C91"/>
            </w:tcBorders>
          </w:tcPr>
          <w:p>
            <w:pPr>
              <w:spacing w:after="0"/>
              <w:rPr>
                <w:sz w:val="2"/>
                <w:szCs w:val="2"/>
                <w:color w:val="auto"/>
              </w:rPr>
            </w:pPr>
          </w:p>
        </w:tc>
        <w:tc>
          <w:tcPr>
            <w:tcW w:w="1960" w:type="dxa"/>
            <w:vAlign w:val="bottom"/>
            <w:tcBorders>
              <w:bottom w:val="single" w:sz="8" w:color="336C91"/>
            </w:tcBorders>
          </w:tcPr>
          <w:p>
            <w:pPr>
              <w:spacing w:after="0"/>
              <w:rPr>
                <w:sz w:val="2"/>
                <w:szCs w:val="2"/>
                <w:color w:val="auto"/>
              </w:rPr>
            </w:pPr>
          </w:p>
        </w:tc>
        <w:tc>
          <w:tcPr>
            <w:tcW w:w="120" w:type="dxa"/>
            <w:vAlign w:val="bottom"/>
            <w:tcBorders>
              <w:bottom w:val="single" w:sz="8" w:color="336C91"/>
            </w:tcBorders>
          </w:tcPr>
          <w:p>
            <w:pPr>
              <w:spacing w:after="0"/>
              <w:rPr>
                <w:sz w:val="2"/>
                <w:szCs w:val="2"/>
                <w:color w:val="auto"/>
              </w:rPr>
            </w:pPr>
          </w:p>
        </w:tc>
        <w:tc>
          <w:tcPr>
            <w:tcW w:w="780" w:type="dxa"/>
            <w:vAlign w:val="bottom"/>
            <w:tcBorders>
              <w:bottom w:val="single" w:sz="8" w:color="336C91"/>
            </w:tcBorders>
          </w:tcPr>
          <w:p>
            <w:pPr>
              <w:spacing w:after="0"/>
              <w:rPr>
                <w:sz w:val="2"/>
                <w:szCs w:val="2"/>
                <w:color w:val="auto"/>
              </w:rPr>
            </w:pPr>
          </w:p>
        </w:tc>
        <w:tc>
          <w:tcPr>
            <w:tcW w:w="880" w:type="dxa"/>
            <w:vAlign w:val="bottom"/>
            <w:tcBorders>
              <w:bottom w:val="single" w:sz="8" w:color="336C91"/>
            </w:tcBorders>
          </w:tcPr>
          <w:p>
            <w:pPr>
              <w:spacing w:after="0"/>
              <w:rPr>
                <w:sz w:val="2"/>
                <w:szCs w:val="2"/>
                <w:color w:val="auto"/>
              </w:rPr>
            </w:pPr>
          </w:p>
        </w:tc>
        <w:tc>
          <w:tcPr>
            <w:tcW w:w="1940" w:type="dxa"/>
            <w:vAlign w:val="bottom"/>
            <w:tcBorders>
              <w:bottom w:val="single" w:sz="8" w:color="336C91"/>
            </w:tcBorders>
          </w:tcPr>
          <w:p>
            <w:pPr>
              <w:spacing w:after="0"/>
              <w:rPr>
                <w:sz w:val="2"/>
                <w:szCs w:val="2"/>
                <w:color w:val="auto"/>
              </w:rPr>
            </w:pPr>
          </w:p>
        </w:tc>
        <w:tc>
          <w:tcPr>
            <w:tcW w:w="980" w:type="dxa"/>
            <w:vAlign w:val="bottom"/>
            <w:tcBorders>
              <w:bottom w:val="single" w:sz="8" w:color="336C91"/>
            </w:tcBorders>
          </w:tcPr>
          <w:p>
            <w:pPr>
              <w:spacing w:after="0"/>
              <w:rPr>
                <w:sz w:val="2"/>
                <w:szCs w:val="2"/>
                <w:color w:val="auto"/>
              </w:rPr>
            </w:pPr>
          </w:p>
        </w:tc>
        <w:tc>
          <w:tcPr>
            <w:tcW w:w="40" w:type="dxa"/>
            <w:vAlign w:val="bottom"/>
            <w:tcBorders>
              <w:bottom w:val="single" w:sz="8" w:color="336C91"/>
            </w:tcBorders>
          </w:tcPr>
          <w:p>
            <w:pPr>
              <w:spacing w:after="0"/>
              <w:rPr>
                <w:sz w:val="2"/>
                <w:szCs w:val="2"/>
                <w:color w:val="auto"/>
              </w:rPr>
            </w:pPr>
          </w:p>
        </w:tc>
      </w:tr>
      <w:tr>
        <w:trPr>
          <w:trHeight w:val="198"/>
        </w:trPr>
        <w:tc>
          <w:tcPr>
            <w:tcW w:w="2940" w:type="dxa"/>
            <w:vAlign w:val="bottom"/>
          </w:tcPr>
          <w:p>
            <w:pPr>
              <w:ind w:left="60"/>
              <w:spacing w:after="0"/>
              <w:rPr>
                <w:sz w:val="20"/>
                <w:szCs w:val="20"/>
                <w:color w:val="auto"/>
              </w:rPr>
            </w:pPr>
            <w:r>
              <w:rPr>
                <w:rFonts w:ascii="Arial" w:cs="Arial" w:eastAsia="Arial" w:hAnsi="Arial"/>
                <w:sz w:val="14"/>
                <w:szCs w:val="14"/>
                <w:b w:val="1"/>
                <w:bCs w:val="1"/>
                <w:color w:val="auto"/>
              </w:rPr>
              <w:t>Gordon Smith</w:t>
            </w:r>
          </w:p>
        </w:tc>
        <w:tc>
          <w:tcPr>
            <w:tcW w:w="1380" w:type="dxa"/>
            <w:vAlign w:val="bottom"/>
          </w:tcPr>
          <w:p>
            <w:pPr>
              <w:spacing w:after="0"/>
              <w:rPr>
                <w:sz w:val="17"/>
                <w:szCs w:val="17"/>
                <w:color w:val="auto"/>
              </w:rPr>
            </w:pPr>
          </w:p>
        </w:tc>
        <w:tc>
          <w:tcPr>
            <w:tcW w:w="19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20" w:type="dxa"/>
            <w:vAlign w:val="bottom"/>
            <w:gridSpan w:val="2"/>
          </w:tcPr>
          <w:p>
            <w:pPr>
              <w:jc w:val="right"/>
              <w:ind w:right="1008"/>
              <w:spacing w:after="0"/>
              <w:rPr>
                <w:sz w:val="20"/>
                <w:szCs w:val="20"/>
                <w:color w:val="auto"/>
              </w:rPr>
            </w:pPr>
            <w:r>
              <w:rPr>
                <w:rFonts w:ascii="Arial" w:cs="Arial" w:eastAsia="Arial" w:hAnsi="Arial"/>
                <w:sz w:val="14"/>
                <w:szCs w:val="14"/>
                <w:color w:val="auto"/>
              </w:rPr>
              <w:t>119,051</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13,315,259</w:t>
            </w:r>
          </w:p>
        </w:tc>
        <w:tc>
          <w:tcPr>
            <w:tcW w:w="40" w:type="dxa"/>
            <w:vAlign w:val="bottom"/>
          </w:tcPr>
          <w:p>
            <w:pPr>
              <w:spacing w:after="0"/>
              <w:rPr>
                <w:sz w:val="17"/>
                <w:szCs w:val="17"/>
                <w:color w:val="auto"/>
              </w:rPr>
            </w:pPr>
          </w:p>
        </w:tc>
      </w:tr>
      <w:tr>
        <w:trPr>
          <w:trHeight w:val="26"/>
        </w:trPr>
        <w:tc>
          <w:tcPr>
            <w:tcW w:w="2940" w:type="dxa"/>
            <w:vAlign w:val="bottom"/>
            <w:tcBorders>
              <w:bottom w:val="single" w:sz="8" w:color="336C91"/>
            </w:tcBorders>
          </w:tcPr>
          <w:p>
            <w:pPr>
              <w:spacing w:after="0"/>
              <w:rPr>
                <w:sz w:val="2"/>
                <w:szCs w:val="2"/>
                <w:color w:val="auto"/>
              </w:rPr>
            </w:pPr>
          </w:p>
        </w:tc>
        <w:tc>
          <w:tcPr>
            <w:tcW w:w="1380" w:type="dxa"/>
            <w:vAlign w:val="bottom"/>
            <w:tcBorders>
              <w:bottom w:val="single" w:sz="8" w:color="336C91"/>
            </w:tcBorders>
          </w:tcPr>
          <w:p>
            <w:pPr>
              <w:spacing w:after="0"/>
              <w:rPr>
                <w:sz w:val="2"/>
                <w:szCs w:val="2"/>
                <w:color w:val="auto"/>
              </w:rPr>
            </w:pPr>
          </w:p>
        </w:tc>
        <w:tc>
          <w:tcPr>
            <w:tcW w:w="1960" w:type="dxa"/>
            <w:vAlign w:val="bottom"/>
            <w:tcBorders>
              <w:bottom w:val="single" w:sz="8" w:color="336C91"/>
            </w:tcBorders>
          </w:tcPr>
          <w:p>
            <w:pPr>
              <w:spacing w:after="0"/>
              <w:rPr>
                <w:sz w:val="2"/>
                <w:szCs w:val="2"/>
                <w:color w:val="auto"/>
              </w:rPr>
            </w:pPr>
          </w:p>
        </w:tc>
        <w:tc>
          <w:tcPr>
            <w:tcW w:w="120" w:type="dxa"/>
            <w:vAlign w:val="bottom"/>
            <w:tcBorders>
              <w:bottom w:val="single" w:sz="8" w:color="336C91"/>
            </w:tcBorders>
          </w:tcPr>
          <w:p>
            <w:pPr>
              <w:spacing w:after="0"/>
              <w:rPr>
                <w:sz w:val="2"/>
                <w:szCs w:val="2"/>
                <w:color w:val="auto"/>
              </w:rPr>
            </w:pPr>
          </w:p>
        </w:tc>
        <w:tc>
          <w:tcPr>
            <w:tcW w:w="780" w:type="dxa"/>
            <w:vAlign w:val="bottom"/>
            <w:tcBorders>
              <w:bottom w:val="single" w:sz="8" w:color="336C91"/>
            </w:tcBorders>
          </w:tcPr>
          <w:p>
            <w:pPr>
              <w:spacing w:after="0"/>
              <w:rPr>
                <w:sz w:val="2"/>
                <w:szCs w:val="2"/>
                <w:color w:val="auto"/>
              </w:rPr>
            </w:pPr>
          </w:p>
        </w:tc>
        <w:tc>
          <w:tcPr>
            <w:tcW w:w="880" w:type="dxa"/>
            <w:vAlign w:val="bottom"/>
            <w:tcBorders>
              <w:bottom w:val="single" w:sz="8" w:color="336C91"/>
            </w:tcBorders>
          </w:tcPr>
          <w:p>
            <w:pPr>
              <w:spacing w:after="0"/>
              <w:rPr>
                <w:sz w:val="2"/>
                <w:szCs w:val="2"/>
                <w:color w:val="auto"/>
              </w:rPr>
            </w:pPr>
          </w:p>
        </w:tc>
        <w:tc>
          <w:tcPr>
            <w:tcW w:w="1940" w:type="dxa"/>
            <w:vAlign w:val="bottom"/>
            <w:tcBorders>
              <w:bottom w:val="single" w:sz="8" w:color="336C91"/>
            </w:tcBorders>
          </w:tcPr>
          <w:p>
            <w:pPr>
              <w:spacing w:after="0"/>
              <w:rPr>
                <w:sz w:val="2"/>
                <w:szCs w:val="2"/>
                <w:color w:val="auto"/>
              </w:rPr>
            </w:pPr>
          </w:p>
        </w:tc>
        <w:tc>
          <w:tcPr>
            <w:tcW w:w="980" w:type="dxa"/>
            <w:vAlign w:val="bottom"/>
            <w:tcBorders>
              <w:bottom w:val="single" w:sz="8" w:color="336C91"/>
            </w:tcBorders>
          </w:tcPr>
          <w:p>
            <w:pPr>
              <w:spacing w:after="0"/>
              <w:rPr>
                <w:sz w:val="2"/>
                <w:szCs w:val="2"/>
                <w:color w:val="auto"/>
              </w:rPr>
            </w:pPr>
          </w:p>
        </w:tc>
        <w:tc>
          <w:tcPr>
            <w:tcW w:w="40" w:type="dxa"/>
            <w:vAlign w:val="bottom"/>
            <w:tcBorders>
              <w:bottom w:val="single" w:sz="8" w:color="336C91"/>
            </w:tcBorders>
          </w:tcPr>
          <w:p>
            <w:pPr>
              <w:spacing w:after="0"/>
              <w:rPr>
                <w:sz w:val="2"/>
                <w:szCs w:val="2"/>
                <w:color w:val="auto"/>
              </w:rPr>
            </w:pPr>
          </w:p>
        </w:tc>
      </w:tr>
      <w:tr>
        <w:trPr>
          <w:trHeight w:val="198"/>
        </w:trPr>
        <w:tc>
          <w:tcPr>
            <w:tcW w:w="294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3340" w:type="dxa"/>
            <w:vAlign w:val="bottom"/>
            <w:gridSpan w:val="2"/>
          </w:tcPr>
          <w:p>
            <w:pPr>
              <w:jc w:val="right"/>
              <w:ind w:right="988"/>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9,210,500</w:t>
            </w:r>
          </w:p>
        </w:tc>
        <w:tc>
          <w:tcPr>
            <w:tcW w:w="2820" w:type="dxa"/>
            <w:vAlign w:val="bottom"/>
            <w:gridSpan w:val="2"/>
          </w:tcPr>
          <w:p>
            <w:pPr>
              <w:jc w:val="right"/>
              <w:ind w:right="1008"/>
              <w:spacing w:after="0"/>
              <w:rPr>
                <w:sz w:val="20"/>
                <w:szCs w:val="20"/>
                <w:color w:val="auto"/>
              </w:rPr>
            </w:pPr>
            <w:r>
              <w:rPr>
                <w:rFonts w:ascii="Arial" w:cs="Arial" w:eastAsia="Arial" w:hAnsi="Arial"/>
                <w:sz w:val="14"/>
                <w:szCs w:val="14"/>
                <w:color w:val="auto"/>
              </w:rPr>
              <w:t>129,720</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14,508,533</w:t>
            </w:r>
          </w:p>
        </w:tc>
        <w:tc>
          <w:tcPr>
            <w:tcW w:w="40" w:type="dxa"/>
            <w:vAlign w:val="bottom"/>
          </w:tcPr>
          <w:p>
            <w:pPr>
              <w:spacing w:after="0"/>
              <w:rPr>
                <w:sz w:val="17"/>
                <w:szCs w:val="17"/>
                <w:color w:val="auto"/>
              </w:rPr>
            </w:pPr>
          </w:p>
        </w:tc>
      </w:tr>
      <w:tr>
        <w:trPr>
          <w:trHeight w:val="26"/>
        </w:trPr>
        <w:tc>
          <w:tcPr>
            <w:tcW w:w="2940" w:type="dxa"/>
            <w:vAlign w:val="bottom"/>
            <w:tcBorders>
              <w:bottom w:val="single" w:sz="8" w:color="336C91"/>
            </w:tcBorders>
          </w:tcPr>
          <w:p>
            <w:pPr>
              <w:spacing w:after="0"/>
              <w:rPr>
                <w:sz w:val="2"/>
                <w:szCs w:val="2"/>
                <w:color w:val="auto"/>
              </w:rPr>
            </w:pPr>
          </w:p>
        </w:tc>
        <w:tc>
          <w:tcPr>
            <w:tcW w:w="1380" w:type="dxa"/>
            <w:vAlign w:val="bottom"/>
            <w:tcBorders>
              <w:bottom w:val="single" w:sz="8" w:color="336C91"/>
            </w:tcBorders>
          </w:tcPr>
          <w:p>
            <w:pPr>
              <w:spacing w:after="0"/>
              <w:rPr>
                <w:sz w:val="2"/>
                <w:szCs w:val="2"/>
                <w:color w:val="auto"/>
              </w:rPr>
            </w:pPr>
          </w:p>
        </w:tc>
        <w:tc>
          <w:tcPr>
            <w:tcW w:w="1960" w:type="dxa"/>
            <w:vAlign w:val="bottom"/>
            <w:tcBorders>
              <w:bottom w:val="single" w:sz="8" w:color="336C91"/>
            </w:tcBorders>
          </w:tcPr>
          <w:p>
            <w:pPr>
              <w:spacing w:after="0"/>
              <w:rPr>
                <w:sz w:val="2"/>
                <w:szCs w:val="2"/>
                <w:color w:val="auto"/>
              </w:rPr>
            </w:pPr>
          </w:p>
        </w:tc>
        <w:tc>
          <w:tcPr>
            <w:tcW w:w="120" w:type="dxa"/>
            <w:vAlign w:val="bottom"/>
            <w:tcBorders>
              <w:bottom w:val="single" w:sz="8" w:color="336C91"/>
            </w:tcBorders>
          </w:tcPr>
          <w:p>
            <w:pPr>
              <w:spacing w:after="0"/>
              <w:rPr>
                <w:sz w:val="2"/>
                <w:szCs w:val="2"/>
                <w:color w:val="auto"/>
              </w:rPr>
            </w:pPr>
          </w:p>
        </w:tc>
        <w:tc>
          <w:tcPr>
            <w:tcW w:w="780" w:type="dxa"/>
            <w:vAlign w:val="bottom"/>
            <w:tcBorders>
              <w:bottom w:val="single" w:sz="8" w:color="336C91"/>
            </w:tcBorders>
          </w:tcPr>
          <w:p>
            <w:pPr>
              <w:spacing w:after="0"/>
              <w:rPr>
                <w:sz w:val="2"/>
                <w:szCs w:val="2"/>
                <w:color w:val="auto"/>
              </w:rPr>
            </w:pPr>
          </w:p>
        </w:tc>
        <w:tc>
          <w:tcPr>
            <w:tcW w:w="880" w:type="dxa"/>
            <w:vAlign w:val="bottom"/>
            <w:tcBorders>
              <w:bottom w:val="single" w:sz="8" w:color="336C91"/>
            </w:tcBorders>
          </w:tcPr>
          <w:p>
            <w:pPr>
              <w:spacing w:after="0"/>
              <w:rPr>
                <w:sz w:val="2"/>
                <w:szCs w:val="2"/>
                <w:color w:val="auto"/>
              </w:rPr>
            </w:pPr>
          </w:p>
        </w:tc>
        <w:tc>
          <w:tcPr>
            <w:tcW w:w="1940" w:type="dxa"/>
            <w:vAlign w:val="bottom"/>
            <w:tcBorders>
              <w:bottom w:val="single" w:sz="8" w:color="336C91"/>
            </w:tcBorders>
          </w:tcPr>
          <w:p>
            <w:pPr>
              <w:spacing w:after="0"/>
              <w:rPr>
                <w:sz w:val="2"/>
                <w:szCs w:val="2"/>
                <w:color w:val="auto"/>
              </w:rPr>
            </w:pPr>
          </w:p>
        </w:tc>
        <w:tc>
          <w:tcPr>
            <w:tcW w:w="980" w:type="dxa"/>
            <w:vAlign w:val="bottom"/>
            <w:tcBorders>
              <w:bottom w:val="single" w:sz="8" w:color="336C91"/>
            </w:tcBorders>
          </w:tcPr>
          <w:p>
            <w:pPr>
              <w:spacing w:after="0"/>
              <w:rPr>
                <w:sz w:val="2"/>
                <w:szCs w:val="2"/>
                <w:color w:val="auto"/>
              </w:rPr>
            </w:pPr>
          </w:p>
        </w:tc>
        <w:tc>
          <w:tcPr>
            <w:tcW w:w="40" w:type="dxa"/>
            <w:vAlign w:val="bottom"/>
            <w:tcBorders>
              <w:bottom w:val="single" w:sz="8" w:color="336C91"/>
            </w:tcBorders>
          </w:tcPr>
          <w:p>
            <w:pPr>
              <w:spacing w:after="0"/>
              <w:rPr>
                <w:sz w:val="2"/>
                <w:szCs w:val="2"/>
                <w:color w:val="auto"/>
              </w:rPr>
            </w:pPr>
          </w:p>
        </w:tc>
      </w:tr>
      <w:tr>
        <w:trPr>
          <w:trHeight w:val="198"/>
        </w:trPr>
        <w:tc>
          <w:tcPr>
            <w:tcW w:w="294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1380" w:type="dxa"/>
            <w:vAlign w:val="bottom"/>
          </w:tcPr>
          <w:p>
            <w:pPr>
              <w:spacing w:after="0"/>
              <w:rPr>
                <w:sz w:val="17"/>
                <w:szCs w:val="17"/>
                <w:color w:val="auto"/>
              </w:rPr>
            </w:pPr>
          </w:p>
        </w:tc>
        <w:tc>
          <w:tcPr>
            <w:tcW w:w="196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20" w:type="dxa"/>
            <w:vAlign w:val="bottom"/>
            <w:gridSpan w:val="2"/>
          </w:tcPr>
          <w:p>
            <w:pPr>
              <w:jc w:val="right"/>
              <w:ind w:right="1008"/>
              <w:spacing w:after="0"/>
              <w:rPr>
                <w:sz w:val="20"/>
                <w:szCs w:val="20"/>
                <w:color w:val="auto"/>
              </w:rPr>
            </w:pPr>
            <w:r>
              <w:rPr>
                <w:rFonts w:ascii="Arial" w:cs="Arial" w:eastAsia="Arial" w:hAnsi="Arial"/>
                <w:sz w:val="14"/>
                <w:szCs w:val="14"/>
                <w:color w:val="auto"/>
              </w:rPr>
              <w:t>76,498</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8,555,919</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16510</wp:posOffset>
            </wp:positionV>
            <wp:extent cx="6997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 w:lineRule="exact"/>
        <w:rPr>
          <w:sz w:val="20"/>
          <w:szCs w:val="20"/>
          <w:color w:val="auto"/>
        </w:rPr>
      </w:pPr>
    </w:p>
    <w:p>
      <w:pPr>
        <w:ind w:left="420" w:hanging="167"/>
        <w:spacing w:after="0"/>
        <w:tabs>
          <w:tab w:leader="none" w:pos="420" w:val="left"/>
        </w:tabs>
        <w:numPr>
          <w:ilvl w:val="0"/>
          <w:numId w:val="149"/>
        </w:numPr>
        <w:rPr>
          <w:rFonts w:ascii="Arial" w:cs="Arial" w:eastAsia="Arial" w:hAnsi="Arial"/>
          <w:sz w:val="10"/>
          <w:szCs w:val="10"/>
          <w:color w:val="auto"/>
        </w:rPr>
      </w:pPr>
      <w:r>
        <w:rPr>
          <w:rFonts w:ascii="Arial" w:cs="Arial" w:eastAsia="Arial" w:hAnsi="Arial"/>
          <w:sz w:val="12"/>
          <w:szCs w:val="12"/>
          <w:color w:val="auto"/>
        </w:rPr>
        <w:t>Values were determined by multiplying the number of shares of our common stock, to which the exercise of the options related, by the difference between the per-share fair market value of our</w:t>
      </w:r>
    </w:p>
    <w:p>
      <w:pPr>
        <w:ind w:left="420"/>
        <w:spacing w:after="0" w:line="216" w:lineRule="auto"/>
        <w:rPr>
          <w:sz w:val="20"/>
          <w:szCs w:val="20"/>
          <w:color w:val="auto"/>
        </w:rPr>
      </w:pPr>
      <w:r>
        <w:rPr>
          <w:rFonts w:ascii="Arial" w:cs="Arial" w:eastAsia="Arial" w:hAnsi="Arial"/>
          <w:sz w:val="13"/>
          <w:szCs w:val="13"/>
          <w:color w:val="auto"/>
        </w:rPr>
        <w:t>common stock on the date of exercise and the exercise price of the options.</w:t>
      </w:r>
    </w:p>
    <w:p>
      <w:pPr>
        <w:spacing w:after="0" w:line="1" w:lineRule="exact"/>
        <w:rPr>
          <w:sz w:val="20"/>
          <w:szCs w:val="20"/>
          <w:color w:val="auto"/>
        </w:rPr>
      </w:pPr>
    </w:p>
    <w:p>
      <w:pPr>
        <w:ind w:left="420" w:hanging="167"/>
        <w:spacing w:after="0"/>
        <w:tabs>
          <w:tab w:leader="none" w:pos="420" w:val="left"/>
        </w:tabs>
        <w:numPr>
          <w:ilvl w:val="0"/>
          <w:numId w:val="150"/>
        </w:numPr>
        <w:rPr>
          <w:rFonts w:ascii="Arial" w:cs="Arial" w:eastAsia="Arial" w:hAnsi="Arial"/>
          <w:sz w:val="11"/>
          <w:szCs w:val="11"/>
          <w:color w:val="auto"/>
        </w:rPr>
      </w:pPr>
      <w:r>
        <w:rPr>
          <w:rFonts w:ascii="Arial" w:cs="Arial" w:eastAsia="Arial" w:hAnsi="Arial"/>
          <w:sz w:val="13"/>
          <w:szCs w:val="13"/>
          <w:color w:val="auto"/>
        </w:rPr>
        <w:t>Values were determined by multiplying the number of shares or units, as applicable, that vested by the per-share fair market value of our common stock on the vesting date.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 2018 PENSION BENEFITS</w:t>
      </w:r>
    </w:p>
    <w:p>
      <w:pPr>
        <w:spacing w:after="0" w:line="18"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The table below sets forth the retirement benefits expected to be paid to our Named Executive Officers under the Firm’s current retirement plans, as well as plans closed to new participants. The terms of the plans are described below the table. No payments were made under these plans during 2018 to our NEOs.</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Present value of</w:t>
            </w:r>
          </w:p>
        </w:tc>
      </w:tr>
      <w:tr>
        <w:trPr>
          <w:trHeight w:val="162"/>
        </w:trPr>
        <w:tc>
          <w:tcPr>
            <w:tcW w:w="2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920" w:type="dxa"/>
            <w:vAlign w:val="bottom"/>
          </w:tcPr>
          <w:p>
            <w:pPr>
              <w:jc w:val="right"/>
              <w:ind w:right="548"/>
              <w:spacing w:after="0"/>
              <w:rPr>
                <w:sz w:val="20"/>
                <w:szCs w:val="20"/>
                <w:color w:val="auto"/>
              </w:rPr>
            </w:pPr>
            <w:r>
              <w:rPr>
                <w:rFonts w:ascii="Arial" w:cs="Arial" w:eastAsia="Arial" w:hAnsi="Arial"/>
                <w:sz w:val="14"/>
                <w:szCs w:val="14"/>
                <w:b w:val="1"/>
                <w:bCs w:val="1"/>
                <w:color w:val="auto"/>
              </w:rPr>
              <w:t>Number of years of</w:t>
            </w:r>
          </w:p>
        </w:tc>
        <w:tc>
          <w:tcPr>
            <w:tcW w:w="1840" w:type="dxa"/>
            <w:vAlign w:val="bottom"/>
          </w:tcPr>
          <w:p>
            <w:pPr>
              <w:jc w:val="right"/>
              <w:ind w:right="48"/>
              <w:spacing w:after="0"/>
              <w:rPr>
                <w:sz w:val="20"/>
                <w:szCs w:val="20"/>
                <w:color w:val="auto"/>
              </w:rPr>
            </w:pPr>
            <w:r>
              <w:rPr>
                <w:rFonts w:ascii="Arial" w:cs="Arial" w:eastAsia="Arial" w:hAnsi="Arial"/>
                <w:sz w:val="14"/>
                <w:szCs w:val="14"/>
                <w:b w:val="1"/>
                <w:bCs w:val="1"/>
                <w:color w:val="auto"/>
              </w:rPr>
              <w:t>accumulated</w:t>
            </w:r>
          </w:p>
        </w:tc>
      </w:tr>
      <w:tr>
        <w:trPr>
          <w:trHeight w:val="189"/>
        </w:trPr>
        <w:tc>
          <w:tcPr>
            <w:tcW w:w="264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Name</w:t>
            </w:r>
          </w:p>
        </w:tc>
        <w:tc>
          <w:tcPr>
            <w:tcW w:w="3620" w:type="dxa"/>
            <w:vAlign w:val="bottom"/>
            <w:tcBorders>
              <w:bottom w:val="single" w:sz="8" w:color="004876"/>
            </w:tcBorders>
          </w:tcPr>
          <w:p>
            <w:pPr>
              <w:ind w:left="1080"/>
              <w:spacing w:after="0"/>
              <w:rPr>
                <w:sz w:val="20"/>
                <w:szCs w:val="20"/>
                <w:color w:val="auto"/>
              </w:rPr>
            </w:pPr>
            <w:r>
              <w:rPr>
                <w:rFonts w:ascii="Arial" w:cs="Arial" w:eastAsia="Arial" w:hAnsi="Arial"/>
                <w:sz w:val="14"/>
                <w:szCs w:val="14"/>
                <w:b w:val="1"/>
                <w:bCs w:val="1"/>
                <w:color w:val="auto"/>
              </w:rPr>
              <w:t>Plan name</w:t>
            </w:r>
          </w:p>
        </w:tc>
        <w:tc>
          <w:tcPr>
            <w:tcW w:w="2920" w:type="dxa"/>
            <w:vAlign w:val="bottom"/>
            <w:tcBorders>
              <w:bottom w:val="single" w:sz="8" w:color="004876"/>
            </w:tcBorders>
          </w:tcPr>
          <w:p>
            <w:pPr>
              <w:jc w:val="right"/>
              <w:ind w:right="548"/>
              <w:spacing w:after="0"/>
              <w:rPr>
                <w:sz w:val="20"/>
                <w:szCs w:val="20"/>
                <w:color w:val="auto"/>
              </w:rPr>
            </w:pPr>
            <w:r>
              <w:rPr>
                <w:rFonts w:ascii="Arial" w:cs="Arial" w:eastAsia="Arial" w:hAnsi="Arial"/>
                <w:sz w:val="14"/>
                <w:szCs w:val="14"/>
                <w:b w:val="1"/>
                <w:bCs w:val="1"/>
                <w:color w:val="auto"/>
              </w:rPr>
              <w:t>credited service (#)</w:t>
            </w:r>
          </w:p>
        </w:tc>
        <w:tc>
          <w:tcPr>
            <w:tcW w:w="1840" w:type="dxa"/>
            <w:vAlign w:val="bottom"/>
            <w:tcBorders>
              <w:bottom w:val="single" w:sz="8" w:color="004876"/>
            </w:tcBorders>
          </w:tcPr>
          <w:p>
            <w:pPr>
              <w:jc w:val="right"/>
              <w:ind w:right="48"/>
              <w:spacing w:after="0"/>
              <w:rPr>
                <w:sz w:val="20"/>
                <w:szCs w:val="20"/>
                <w:color w:val="auto"/>
              </w:rPr>
            </w:pPr>
            <w:r>
              <w:rPr>
                <w:rFonts w:ascii="Arial" w:cs="Arial" w:eastAsia="Arial" w:hAnsi="Arial"/>
                <w:sz w:val="14"/>
                <w:szCs w:val="14"/>
                <w:b w:val="1"/>
                <w:bCs w:val="1"/>
                <w:color w:val="auto"/>
              </w:rPr>
              <w:t>benefit ($)</w:t>
            </w:r>
          </w:p>
        </w:tc>
      </w:tr>
      <w:tr>
        <w:trPr>
          <w:trHeight w:val="214"/>
        </w:trPr>
        <w:tc>
          <w:tcPr>
            <w:tcW w:w="2640" w:type="dxa"/>
            <w:vAlign w:val="bottom"/>
          </w:tcPr>
          <w:p>
            <w:pPr>
              <w:ind w:left="60"/>
              <w:spacing w:after="0"/>
              <w:rPr>
                <w:sz w:val="20"/>
                <w:szCs w:val="20"/>
                <w:color w:val="auto"/>
              </w:rPr>
            </w:pPr>
            <w:r>
              <w:rPr>
                <w:rFonts w:ascii="Arial" w:cs="Arial" w:eastAsia="Arial" w:hAnsi="Arial"/>
                <w:sz w:val="14"/>
                <w:szCs w:val="14"/>
                <w:b w:val="1"/>
                <w:bCs w:val="1"/>
                <w:color w:val="auto"/>
              </w:rPr>
              <w:t>James Dimon</w:t>
            </w:r>
          </w:p>
        </w:tc>
        <w:tc>
          <w:tcPr>
            <w:tcW w:w="3620" w:type="dxa"/>
            <w:vAlign w:val="bottom"/>
          </w:tcPr>
          <w:p>
            <w:pPr>
              <w:ind w:left="1080"/>
              <w:spacing w:after="0"/>
              <w:rPr>
                <w:sz w:val="20"/>
                <w:szCs w:val="20"/>
                <w:color w:val="auto"/>
              </w:rPr>
            </w:pPr>
            <w:r>
              <w:rPr>
                <w:rFonts w:ascii="Arial" w:cs="Arial" w:eastAsia="Arial" w:hAnsi="Arial"/>
                <w:sz w:val="14"/>
                <w:szCs w:val="14"/>
                <w:color w:val="auto"/>
              </w:rPr>
              <w:t>Retirement Plan</w:t>
            </w:r>
          </w:p>
        </w:tc>
        <w:tc>
          <w:tcPr>
            <w:tcW w:w="2920" w:type="dxa"/>
            <w:vAlign w:val="bottom"/>
          </w:tcPr>
          <w:p>
            <w:pPr>
              <w:jc w:val="right"/>
              <w:ind w:right="548"/>
              <w:spacing w:after="0"/>
              <w:rPr>
                <w:sz w:val="20"/>
                <w:szCs w:val="20"/>
                <w:color w:val="auto"/>
              </w:rPr>
            </w:pPr>
            <w:r>
              <w:rPr>
                <w:rFonts w:ascii="Arial" w:cs="Arial" w:eastAsia="Arial" w:hAnsi="Arial"/>
                <w:sz w:val="14"/>
                <w:szCs w:val="14"/>
                <w:color w:val="auto"/>
              </w:rPr>
              <w:t>18</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  173,614</w:t>
            </w:r>
          </w:p>
        </w:tc>
      </w:tr>
      <w:tr>
        <w:trPr>
          <w:trHeight w:val="178"/>
        </w:trPr>
        <w:tc>
          <w:tcPr>
            <w:tcW w:w="2640" w:type="dxa"/>
            <w:vAlign w:val="bottom"/>
            <w:tcBorders>
              <w:bottom w:val="single" w:sz="8" w:color="336C91"/>
            </w:tcBorders>
          </w:tcPr>
          <w:p>
            <w:pPr>
              <w:spacing w:after="0"/>
              <w:rPr>
                <w:sz w:val="15"/>
                <w:szCs w:val="15"/>
                <w:color w:val="auto"/>
              </w:rPr>
            </w:pPr>
          </w:p>
        </w:tc>
        <w:tc>
          <w:tcPr>
            <w:tcW w:w="3620" w:type="dxa"/>
            <w:vAlign w:val="bottom"/>
            <w:tcBorders>
              <w:bottom w:val="single" w:sz="8" w:color="336C91"/>
            </w:tcBorders>
          </w:tcPr>
          <w:p>
            <w:pPr>
              <w:ind w:left="1080"/>
              <w:spacing w:after="0"/>
              <w:rPr>
                <w:sz w:val="20"/>
                <w:szCs w:val="20"/>
                <w:color w:val="auto"/>
              </w:rPr>
            </w:pPr>
            <w:r>
              <w:rPr>
                <w:rFonts w:ascii="Arial" w:cs="Arial" w:eastAsia="Arial" w:hAnsi="Arial"/>
                <w:sz w:val="14"/>
                <w:szCs w:val="14"/>
                <w:color w:val="auto"/>
              </w:rPr>
              <w:t>Excess Retirement Plan</w:t>
            </w:r>
          </w:p>
        </w:tc>
        <w:tc>
          <w:tcPr>
            <w:tcW w:w="2920" w:type="dxa"/>
            <w:vAlign w:val="bottom"/>
            <w:tcBorders>
              <w:bottom w:val="single" w:sz="8" w:color="336C91"/>
            </w:tcBorders>
          </w:tcPr>
          <w:p>
            <w:pPr>
              <w:jc w:val="right"/>
              <w:ind w:right="548"/>
              <w:spacing w:after="0"/>
              <w:rPr>
                <w:sz w:val="20"/>
                <w:szCs w:val="20"/>
                <w:color w:val="auto"/>
              </w:rPr>
            </w:pPr>
            <w:r>
              <w:rPr>
                <w:rFonts w:ascii="Arial" w:cs="Arial" w:eastAsia="Arial" w:hAnsi="Arial"/>
                <w:sz w:val="14"/>
                <w:szCs w:val="14"/>
                <w:color w:val="auto"/>
              </w:rPr>
              <w:t>18</w:t>
            </w:r>
          </w:p>
        </w:tc>
        <w:tc>
          <w:tcPr>
            <w:tcW w:w="184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425,277</w:t>
            </w:r>
          </w:p>
        </w:tc>
      </w:tr>
      <w:tr>
        <w:trPr>
          <w:trHeight w:val="204"/>
        </w:trPr>
        <w:tc>
          <w:tcPr>
            <w:tcW w:w="2640" w:type="dxa"/>
            <w:vAlign w:val="bottom"/>
          </w:tcPr>
          <w:p>
            <w:pPr>
              <w:ind w:left="60"/>
              <w:spacing w:after="0"/>
              <w:rPr>
                <w:sz w:val="20"/>
                <w:szCs w:val="20"/>
                <w:color w:val="auto"/>
              </w:rPr>
            </w:pPr>
            <w:r>
              <w:rPr>
                <w:rFonts w:ascii="Arial" w:cs="Arial" w:eastAsia="Arial" w:hAnsi="Arial"/>
                <w:sz w:val="14"/>
                <w:szCs w:val="14"/>
                <w:b w:val="1"/>
                <w:bCs w:val="1"/>
                <w:color w:val="auto"/>
              </w:rPr>
              <w:t>Daniel Pinto</w:t>
            </w:r>
          </w:p>
        </w:tc>
        <w:tc>
          <w:tcPr>
            <w:tcW w:w="3620" w:type="dxa"/>
            <w:vAlign w:val="bottom"/>
          </w:tcPr>
          <w:p>
            <w:pPr>
              <w:ind w:left="1080"/>
              <w:spacing w:after="0"/>
              <w:rPr>
                <w:sz w:val="20"/>
                <w:szCs w:val="20"/>
                <w:color w:val="auto"/>
              </w:rPr>
            </w:pPr>
            <w:r>
              <w:rPr>
                <w:rFonts w:ascii="Arial" w:cs="Arial" w:eastAsia="Arial" w:hAnsi="Arial"/>
                <w:sz w:val="14"/>
                <w:szCs w:val="14"/>
                <w:color w:val="auto"/>
              </w:rPr>
              <w:t>—</w:t>
            </w:r>
          </w:p>
        </w:tc>
        <w:tc>
          <w:tcPr>
            <w:tcW w:w="29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6"/>
        </w:trPr>
        <w:tc>
          <w:tcPr>
            <w:tcW w:w="2640" w:type="dxa"/>
            <w:vAlign w:val="bottom"/>
            <w:tcBorders>
              <w:bottom w:val="single" w:sz="8" w:color="336C91"/>
            </w:tcBorders>
          </w:tcPr>
          <w:p>
            <w:pPr>
              <w:spacing w:after="0"/>
              <w:rPr>
                <w:sz w:val="2"/>
                <w:szCs w:val="2"/>
                <w:color w:val="auto"/>
              </w:rPr>
            </w:pPr>
          </w:p>
        </w:tc>
        <w:tc>
          <w:tcPr>
            <w:tcW w:w="3620" w:type="dxa"/>
            <w:vAlign w:val="bottom"/>
            <w:tcBorders>
              <w:bottom w:val="single" w:sz="8" w:color="336C91"/>
            </w:tcBorders>
          </w:tcPr>
          <w:p>
            <w:pPr>
              <w:spacing w:after="0"/>
              <w:rPr>
                <w:sz w:val="2"/>
                <w:szCs w:val="2"/>
                <w:color w:val="auto"/>
              </w:rPr>
            </w:pPr>
          </w:p>
        </w:tc>
        <w:tc>
          <w:tcPr>
            <w:tcW w:w="2920" w:type="dxa"/>
            <w:vAlign w:val="bottom"/>
            <w:tcBorders>
              <w:bottom w:val="single" w:sz="8" w:color="336C91"/>
            </w:tcBorders>
          </w:tcPr>
          <w:p>
            <w:pPr>
              <w:spacing w:after="0"/>
              <w:rPr>
                <w:sz w:val="2"/>
                <w:szCs w:val="2"/>
                <w:color w:val="auto"/>
              </w:rPr>
            </w:pPr>
          </w:p>
        </w:tc>
        <w:tc>
          <w:tcPr>
            <w:tcW w:w="1840" w:type="dxa"/>
            <w:vAlign w:val="bottom"/>
            <w:tcBorders>
              <w:bottom w:val="single" w:sz="8" w:color="336C91"/>
            </w:tcBorders>
          </w:tcPr>
          <w:p>
            <w:pPr>
              <w:spacing w:after="0"/>
              <w:rPr>
                <w:sz w:val="2"/>
                <w:szCs w:val="2"/>
                <w:color w:val="auto"/>
              </w:rPr>
            </w:pPr>
          </w:p>
        </w:tc>
      </w:tr>
      <w:tr>
        <w:trPr>
          <w:trHeight w:val="214"/>
        </w:trPr>
        <w:tc>
          <w:tcPr>
            <w:tcW w:w="2640" w:type="dxa"/>
            <w:vAlign w:val="bottom"/>
          </w:tcPr>
          <w:p>
            <w:pPr>
              <w:ind w:left="60"/>
              <w:spacing w:after="0"/>
              <w:rPr>
                <w:sz w:val="20"/>
                <w:szCs w:val="20"/>
                <w:color w:val="auto"/>
              </w:rPr>
            </w:pPr>
            <w:r>
              <w:rPr>
                <w:rFonts w:ascii="Arial" w:cs="Arial" w:eastAsia="Arial" w:hAnsi="Arial"/>
                <w:sz w:val="14"/>
                <w:szCs w:val="14"/>
                <w:b w:val="1"/>
                <w:bCs w:val="1"/>
                <w:color w:val="auto"/>
              </w:rPr>
              <w:t>Gordon Smith</w:t>
            </w:r>
          </w:p>
        </w:tc>
        <w:tc>
          <w:tcPr>
            <w:tcW w:w="3620" w:type="dxa"/>
            <w:vAlign w:val="bottom"/>
          </w:tcPr>
          <w:p>
            <w:pPr>
              <w:ind w:left="1080"/>
              <w:spacing w:after="0"/>
              <w:rPr>
                <w:sz w:val="20"/>
                <w:szCs w:val="20"/>
                <w:color w:val="auto"/>
              </w:rPr>
            </w:pPr>
            <w:r>
              <w:rPr>
                <w:rFonts w:ascii="Arial" w:cs="Arial" w:eastAsia="Arial" w:hAnsi="Arial"/>
                <w:sz w:val="14"/>
                <w:szCs w:val="14"/>
                <w:color w:val="auto"/>
              </w:rPr>
              <w:t>Retirement Plan</w:t>
            </w:r>
          </w:p>
        </w:tc>
        <w:tc>
          <w:tcPr>
            <w:tcW w:w="2920" w:type="dxa"/>
            <w:vAlign w:val="bottom"/>
          </w:tcPr>
          <w:p>
            <w:pPr>
              <w:jc w:val="right"/>
              <w:ind w:right="548"/>
              <w:spacing w:after="0"/>
              <w:rPr>
                <w:sz w:val="20"/>
                <w:szCs w:val="20"/>
                <w:color w:val="auto"/>
              </w:rPr>
            </w:pPr>
            <w:r>
              <w:rPr>
                <w:rFonts w:ascii="Arial" w:cs="Arial" w:eastAsia="Arial" w:hAnsi="Arial"/>
                <w:sz w:val="14"/>
                <w:szCs w:val="14"/>
                <w:color w:val="auto"/>
              </w:rPr>
              <w:t>11</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53,946</w:t>
            </w:r>
          </w:p>
        </w:tc>
      </w:tr>
      <w:tr>
        <w:trPr>
          <w:trHeight w:val="178"/>
        </w:trPr>
        <w:tc>
          <w:tcPr>
            <w:tcW w:w="2640" w:type="dxa"/>
            <w:vAlign w:val="bottom"/>
            <w:tcBorders>
              <w:bottom w:val="single" w:sz="8" w:color="336C91"/>
            </w:tcBorders>
          </w:tcPr>
          <w:p>
            <w:pPr>
              <w:spacing w:after="0"/>
              <w:rPr>
                <w:sz w:val="15"/>
                <w:szCs w:val="15"/>
                <w:color w:val="auto"/>
              </w:rPr>
            </w:pPr>
          </w:p>
        </w:tc>
        <w:tc>
          <w:tcPr>
            <w:tcW w:w="3620" w:type="dxa"/>
            <w:vAlign w:val="bottom"/>
            <w:tcBorders>
              <w:bottom w:val="single" w:sz="8" w:color="336C91"/>
            </w:tcBorders>
          </w:tcPr>
          <w:p>
            <w:pPr>
              <w:ind w:left="1080"/>
              <w:spacing w:after="0"/>
              <w:rPr>
                <w:sz w:val="20"/>
                <w:szCs w:val="20"/>
                <w:color w:val="auto"/>
              </w:rPr>
            </w:pPr>
            <w:r>
              <w:rPr>
                <w:rFonts w:ascii="Arial" w:cs="Arial" w:eastAsia="Arial" w:hAnsi="Arial"/>
                <w:sz w:val="14"/>
                <w:szCs w:val="14"/>
                <w:color w:val="auto"/>
              </w:rPr>
              <w:t>Excess Retirement Plan</w:t>
            </w:r>
          </w:p>
        </w:tc>
        <w:tc>
          <w:tcPr>
            <w:tcW w:w="2920" w:type="dxa"/>
            <w:vAlign w:val="bottom"/>
            <w:tcBorders>
              <w:bottom w:val="single" w:sz="8" w:color="336C91"/>
            </w:tcBorders>
          </w:tcPr>
          <w:p>
            <w:pPr>
              <w:jc w:val="right"/>
              <w:ind w:right="548"/>
              <w:spacing w:after="0"/>
              <w:rPr>
                <w:sz w:val="20"/>
                <w:szCs w:val="20"/>
                <w:color w:val="auto"/>
              </w:rPr>
            </w:pPr>
            <w:r>
              <w:rPr>
                <w:rFonts w:ascii="Arial" w:cs="Arial" w:eastAsia="Arial" w:hAnsi="Arial"/>
                <w:sz w:val="14"/>
                <w:szCs w:val="14"/>
                <w:color w:val="auto"/>
              </w:rPr>
              <w:t>11</w:t>
            </w:r>
          </w:p>
        </w:tc>
        <w:tc>
          <w:tcPr>
            <w:tcW w:w="184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10,702</w:t>
            </w:r>
          </w:p>
        </w:tc>
      </w:tr>
      <w:tr>
        <w:trPr>
          <w:trHeight w:val="220"/>
        </w:trPr>
        <w:tc>
          <w:tcPr>
            <w:tcW w:w="264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3620" w:type="dxa"/>
            <w:vAlign w:val="bottom"/>
          </w:tcPr>
          <w:p>
            <w:pPr>
              <w:ind w:left="1080"/>
              <w:spacing w:after="0"/>
              <w:rPr>
                <w:sz w:val="20"/>
                <w:szCs w:val="20"/>
                <w:color w:val="auto"/>
              </w:rPr>
            </w:pPr>
            <w:r>
              <w:rPr>
                <w:rFonts w:ascii="Arial" w:cs="Arial" w:eastAsia="Arial" w:hAnsi="Arial"/>
                <w:sz w:val="14"/>
                <w:szCs w:val="14"/>
                <w:color w:val="auto"/>
              </w:rPr>
              <w:t>Retirement Plan</w:t>
            </w:r>
          </w:p>
        </w:tc>
        <w:tc>
          <w:tcPr>
            <w:tcW w:w="2920" w:type="dxa"/>
            <w:vAlign w:val="bottom"/>
          </w:tcPr>
          <w:p>
            <w:pPr>
              <w:jc w:val="right"/>
              <w:ind w:right="548"/>
              <w:spacing w:after="0"/>
              <w:rPr>
                <w:sz w:val="20"/>
                <w:szCs w:val="20"/>
                <w:color w:val="auto"/>
              </w:rPr>
            </w:pPr>
            <w:r>
              <w:rPr>
                <w:rFonts w:ascii="Arial" w:cs="Arial" w:eastAsia="Arial" w:hAnsi="Arial"/>
                <w:sz w:val="14"/>
                <w:szCs w:val="14"/>
                <w:color w:val="auto"/>
              </w:rPr>
              <w:t>22</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310,541</w:t>
            </w:r>
          </w:p>
        </w:tc>
      </w:tr>
      <w:tr>
        <w:trPr>
          <w:trHeight w:val="178"/>
        </w:trPr>
        <w:tc>
          <w:tcPr>
            <w:tcW w:w="2640" w:type="dxa"/>
            <w:vAlign w:val="bottom"/>
            <w:tcBorders>
              <w:bottom w:val="single" w:sz="8" w:color="336C91"/>
            </w:tcBorders>
          </w:tcPr>
          <w:p>
            <w:pPr>
              <w:spacing w:after="0"/>
              <w:rPr>
                <w:sz w:val="15"/>
                <w:szCs w:val="15"/>
                <w:color w:val="auto"/>
              </w:rPr>
            </w:pPr>
          </w:p>
        </w:tc>
        <w:tc>
          <w:tcPr>
            <w:tcW w:w="3620" w:type="dxa"/>
            <w:vAlign w:val="bottom"/>
            <w:tcBorders>
              <w:bottom w:val="single" w:sz="8" w:color="336C91"/>
            </w:tcBorders>
          </w:tcPr>
          <w:p>
            <w:pPr>
              <w:ind w:left="1080"/>
              <w:spacing w:after="0"/>
              <w:rPr>
                <w:sz w:val="20"/>
                <w:szCs w:val="20"/>
                <w:color w:val="auto"/>
              </w:rPr>
            </w:pPr>
            <w:r>
              <w:rPr>
                <w:rFonts w:ascii="Arial" w:cs="Arial" w:eastAsia="Arial" w:hAnsi="Arial"/>
                <w:sz w:val="14"/>
                <w:szCs w:val="14"/>
                <w:color w:val="auto"/>
              </w:rPr>
              <w:t>Excess Retirement Plan</w:t>
            </w:r>
          </w:p>
        </w:tc>
        <w:tc>
          <w:tcPr>
            <w:tcW w:w="2920" w:type="dxa"/>
            <w:vAlign w:val="bottom"/>
            <w:tcBorders>
              <w:bottom w:val="single" w:sz="8" w:color="336C91"/>
            </w:tcBorders>
          </w:tcPr>
          <w:p>
            <w:pPr>
              <w:jc w:val="right"/>
              <w:ind w:right="548"/>
              <w:spacing w:after="0"/>
              <w:rPr>
                <w:sz w:val="20"/>
                <w:szCs w:val="20"/>
                <w:color w:val="auto"/>
              </w:rPr>
            </w:pPr>
            <w:r>
              <w:rPr>
                <w:rFonts w:ascii="Arial" w:cs="Arial" w:eastAsia="Arial" w:hAnsi="Arial"/>
                <w:sz w:val="14"/>
                <w:szCs w:val="14"/>
                <w:color w:val="auto"/>
              </w:rPr>
              <w:t>22</w:t>
            </w:r>
          </w:p>
        </w:tc>
        <w:tc>
          <w:tcPr>
            <w:tcW w:w="184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28,058</w:t>
            </w:r>
          </w:p>
        </w:tc>
      </w:tr>
      <w:tr>
        <w:trPr>
          <w:trHeight w:val="204"/>
        </w:trPr>
        <w:tc>
          <w:tcPr>
            <w:tcW w:w="264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3620" w:type="dxa"/>
            <w:vAlign w:val="bottom"/>
          </w:tcPr>
          <w:p>
            <w:pPr>
              <w:ind w:left="1080"/>
              <w:spacing w:after="0"/>
              <w:rPr>
                <w:sz w:val="20"/>
                <w:szCs w:val="20"/>
                <w:color w:val="auto"/>
              </w:rPr>
            </w:pPr>
            <w:r>
              <w:rPr>
                <w:rFonts w:ascii="Arial" w:cs="Arial" w:eastAsia="Arial" w:hAnsi="Arial"/>
                <w:sz w:val="14"/>
                <w:szCs w:val="14"/>
                <w:color w:val="auto"/>
              </w:rPr>
              <w:t>—</w:t>
            </w:r>
          </w:p>
        </w:tc>
        <w:tc>
          <w:tcPr>
            <w:tcW w:w="29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6"/>
        </w:trPr>
        <w:tc>
          <w:tcPr>
            <w:tcW w:w="2640" w:type="dxa"/>
            <w:vAlign w:val="bottom"/>
            <w:tcBorders>
              <w:bottom w:val="single" w:sz="8" w:color="336C91"/>
            </w:tcBorders>
          </w:tcPr>
          <w:p>
            <w:pPr>
              <w:spacing w:after="0"/>
              <w:rPr>
                <w:sz w:val="2"/>
                <w:szCs w:val="2"/>
                <w:color w:val="auto"/>
              </w:rPr>
            </w:pPr>
          </w:p>
        </w:tc>
        <w:tc>
          <w:tcPr>
            <w:tcW w:w="3620" w:type="dxa"/>
            <w:vAlign w:val="bottom"/>
            <w:tcBorders>
              <w:bottom w:val="single" w:sz="8" w:color="336C91"/>
            </w:tcBorders>
          </w:tcPr>
          <w:p>
            <w:pPr>
              <w:spacing w:after="0"/>
              <w:rPr>
                <w:sz w:val="2"/>
                <w:szCs w:val="2"/>
                <w:color w:val="auto"/>
              </w:rPr>
            </w:pPr>
          </w:p>
        </w:tc>
        <w:tc>
          <w:tcPr>
            <w:tcW w:w="2920" w:type="dxa"/>
            <w:vAlign w:val="bottom"/>
            <w:tcBorders>
              <w:bottom w:val="single" w:sz="8" w:color="336C91"/>
            </w:tcBorders>
          </w:tcPr>
          <w:p>
            <w:pPr>
              <w:spacing w:after="0"/>
              <w:rPr>
                <w:sz w:val="2"/>
                <w:szCs w:val="2"/>
                <w:color w:val="auto"/>
              </w:rPr>
            </w:pPr>
          </w:p>
        </w:tc>
        <w:tc>
          <w:tcPr>
            <w:tcW w:w="1840" w:type="dxa"/>
            <w:vAlign w:val="bottom"/>
            <w:tcBorders>
              <w:bottom w:val="single" w:sz="8" w:color="336C91"/>
            </w:tcBorders>
          </w:tcPr>
          <w:p>
            <w:pPr>
              <w:spacing w:after="0"/>
              <w:rPr>
                <w:sz w:val="2"/>
                <w:szCs w:val="2"/>
                <w:color w:val="auto"/>
              </w:rPr>
            </w:pPr>
          </w:p>
        </w:tc>
      </w:tr>
    </w:tbl>
    <w:p>
      <w:pPr>
        <w:spacing w:after="0" w:line="153" w:lineRule="exact"/>
        <w:rPr>
          <w:sz w:val="20"/>
          <w:szCs w:val="20"/>
          <w:color w:val="auto"/>
        </w:rPr>
      </w:pPr>
    </w:p>
    <w:p>
      <w:pPr>
        <w:sectPr>
          <w:pgSz w:w="11900" w:h="16838" w:orient="portrait"/>
          <w:cols w:equalWidth="0" w:num="1">
            <w:col w:w="11240"/>
          </w:cols>
          <w:pgMar w:left="240" w:top="459" w:right="419" w:bottom="1440" w:gutter="0" w:footer="0" w:header="0"/>
        </w:sectPr>
      </w:pPr>
    </w:p>
    <w:p>
      <w:pPr>
        <w:ind w:left="200"/>
        <w:spacing w:after="0" w:line="237" w:lineRule="auto"/>
        <w:rPr>
          <w:sz w:val="20"/>
          <w:szCs w:val="20"/>
          <w:color w:val="auto"/>
        </w:rPr>
      </w:pPr>
      <w:r>
        <w:rPr>
          <w:rFonts w:ascii="Arial" w:cs="Arial" w:eastAsia="Arial" w:hAnsi="Arial"/>
          <w:sz w:val="18"/>
          <w:szCs w:val="18"/>
          <w:b w:val="1"/>
          <w:bCs w:val="1"/>
          <w:color w:val="auto"/>
        </w:rPr>
        <w:t xml:space="preserve">Retirement Plan </w:t>
      </w:r>
      <w:r>
        <w:rPr>
          <w:rFonts w:ascii="Arial" w:cs="Arial" w:eastAsia="Arial" w:hAnsi="Arial"/>
          <w:sz w:val="18"/>
          <w:szCs w:val="18"/>
          <w:color w:val="auto"/>
        </w:rPr>
        <w:t>— The JPMorgan Chase Retirement Plan is a</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noncontributory U.S. defined benefit pension plan that provides benefits to substantially all U.S. employees. Benefits to participants are based on their salary and years of service, with the Plan employing a cash balance formula (in the form of pay and interest credits) to determine amounts at retirement. Pay credits are equal to a percentage (ranging from 3% to 5%) of base salary, bonus and incentive pay up to $100,000, based on years of service. Employees begin to accrue plan benefits after completing one year of service, and benefits generally vest after three years of service. Interest credits generally equal the yield on one-year U.S. Treasury bills plus 1% (subject to a minimum of 4.5%). Account balances include the value of benefits earned under prior heritage company plans, if any. Benefits are payable as an actuarially equivalent lifetime annuity with survivorship rights (if married) or optionally under a variety of other payment forms, including a single-sum distribution. The plan will be frozen commencing January 1, 2020 (and January 1, 2019</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for new hires); pay credits will be directed to the U.S. defined contribution plan, and interest credits will continue to accrue. Employees became fully vested in the value of their plan benefit as a result of this change. As of December 31, 2018, the NEOs were earning the following pay credits: Mr. Dimon, 4%; Mr. Smith, 4%; Ms. Erdoes, 5%. Mr. Pinto and Ms. Lake are not eligible to participate in U.S. benefit plans.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Legacy Plan </w:t>
      </w:r>
      <w:r>
        <w:rPr>
          <w:rFonts w:ascii="Arial" w:cs="Arial" w:eastAsia="Arial" w:hAnsi="Arial"/>
          <w:sz w:val="18"/>
          <w:szCs w:val="18"/>
          <w:color w:val="auto"/>
        </w:rPr>
        <w:t>— The following plan is closed to new participants:</w:t>
      </w:r>
    </w:p>
    <w:p>
      <w:pPr>
        <w:spacing w:after="0" w:line="93" w:lineRule="exact"/>
        <w:rPr>
          <w:sz w:val="20"/>
          <w:szCs w:val="20"/>
          <w:color w:val="auto"/>
        </w:rPr>
      </w:pPr>
    </w:p>
    <w:p>
      <w:pPr>
        <w:ind w:left="200" w:right="60"/>
        <w:spacing w:after="0" w:line="241" w:lineRule="auto"/>
        <w:rPr>
          <w:sz w:val="20"/>
          <w:szCs w:val="20"/>
          <w:color w:val="auto"/>
        </w:rPr>
      </w:pPr>
      <w:r>
        <w:rPr>
          <w:rFonts w:ascii="Arial" w:cs="Arial" w:eastAsia="Arial" w:hAnsi="Arial"/>
          <w:sz w:val="18"/>
          <w:szCs w:val="18"/>
          <w:i w:val="1"/>
          <w:iCs w:val="1"/>
          <w:color w:val="auto"/>
        </w:rPr>
        <w:t xml:space="preserve">Excess Retirement Plan </w:t>
      </w:r>
      <w:r>
        <w:rPr>
          <w:rFonts w:ascii="Arial" w:cs="Arial" w:eastAsia="Arial" w:hAnsi="Arial"/>
          <w:sz w:val="18"/>
          <w:szCs w:val="18"/>
          <w:color w:val="auto"/>
        </w:rPr>
        <w:t>— Benefits were determined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terms and conditions as the Retirement Plan, but reflecting base salary in excess of IRS limits up to $1 million and benefit amounts in excess of IRS limits. Benefits are generally payable in a lump sum in the year following termination. Accruals under the plan were discontinued as of May 1, 2009.</w:t>
      </w:r>
    </w:p>
    <w:p>
      <w:pPr>
        <w:spacing w:after="0" w:line="805"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81"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70</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color w:val="auto"/>
        </w:rPr>
        <w:t xml:space="preserve">Present value of accumulated benefits </w:t>
      </w:r>
      <w:r>
        <w:rPr>
          <w:rFonts w:ascii="Arial" w:cs="Arial" w:eastAsia="Arial" w:hAnsi="Arial"/>
          <w:sz w:val="18"/>
          <w:szCs w:val="18"/>
          <w:color w:val="auto"/>
        </w:rPr>
        <w:t>— The valuation</w:t>
      </w:r>
      <w:r>
        <w:rPr>
          <w:rFonts w:ascii="Arial" w:cs="Arial" w:eastAsia="Arial" w:hAnsi="Arial"/>
          <w:sz w:val="18"/>
          <w:szCs w:val="18"/>
          <w:b w:val="1"/>
          <w:bCs w:val="1"/>
          <w:color w:val="auto"/>
        </w:rPr>
        <w:t xml:space="preserve"> </w:t>
      </w:r>
      <w:r>
        <w:rPr>
          <w:rFonts w:ascii="Arial" w:cs="Arial" w:eastAsia="Arial" w:hAnsi="Arial"/>
          <w:sz w:val="18"/>
          <w:szCs w:val="18"/>
          <w:color w:val="auto"/>
        </w:rPr>
        <w:t>method and all material assumptions used to calculate the amounts above are consistent with those reflected in Note 8 to the Firm’s Consolidated Financial Statements in the 2018 Annual Report on pages 202-208.</w:t>
      </w:r>
    </w:p>
    <w:p>
      <w:pPr>
        <w:spacing w:after="0" w:line="9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Key assumptions include the discount rate (4.30%); interest rates (5.00% crediting to project cash balances; 3.13% to convert annuities to lump sums and lump sums to annuities) and mortality rates (for the present value of annuities, the RP2014 (white-collar))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140"/>
        <w:spacing w:after="0"/>
        <w:rPr>
          <w:sz w:val="20"/>
          <w:szCs w:val="20"/>
          <w:color w:val="auto"/>
        </w:rPr>
      </w:pPr>
      <w:r>
        <w:rPr>
          <w:rFonts w:ascii="Arial" w:cs="Arial" w:eastAsia="Arial" w:hAnsi="Arial"/>
          <w:sz w:val="16"/>
          <w:szCs w:val="16"/>
          <w:color w:val="33333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-657860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projected generational mortality table with projection scale MP2018; for lump sums, the UP94 mortality table projected to 2002, with 50%/50% male/female weighting). It is assumed benefits would commence at normal retirement date or unreduced retirement date, if earlier. Benefits paid from the Retirement Plan were assumed to be paid either as single-sum distributions (with probability of 79%) or life annuities (with probability of 21%). Benefits from the Excess Retirement Plan are paid as single-sum distributions. No death or other separation from service was assumed prior to retirement date.</w:t>
      </w:r>
    </w:p>
    <w:p>
      <w:pPr>
        <w:spacing w:after="0" w:line="311" w:lineRule="exact"/>
        <w:rPr>
          <w:sz w:val="20"/>
          <w:szCs w:val="20"/>
          <w:color w:val="auto"/>
        </w:rPr>
      </w:pPr>
    </w:p>
    <w:p>
      <w:pPr>
        <w:sectPr>
          <w:pgSz w:w="11900" w:h="16838" w:orient="portrait"/>
          <w:cols w:equalWidth="0" w:num="2">
            <w:col w:w="5480" w:space="340"/>
            <w:col w:w="5420"/>
          </w:cols>
          <w:pgMar w:left="240" w:top="459" w:right="419" w:bottom="1440" w:gutter="0" w:footer="0" w:header="0"/>
        </w:sectPr>
      </w:pP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VI. 2018 NON-QUALIFIED DEFERRED COMPENSATION</w:t>
      </w:r>
    </w:p>
    <w:p>
      <w:pPr>
        <w:spacing w:after="0" w:line="18"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Deferred Compensation Plan allows eligible participants to defer their annual cash incentive compensation awards on a before-tax basis up to a maximum of $1 million. A lifetime $10 million cap applies to deferrals of cash made after 2005. No deferral elections have been permitted relative to equity awards since 2006. During 2018, there were no contributions made by the Firm nor contributions made or withdrawals or distributions received by the Named Executive Officers.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4760" w:type="dxa"/>
            <w:vAlign w:val="bottom"/>
          </w:tcPr>
          <w:p>
            <w:pPr>
              <w:jc w:val="right"/>
              <w:ind w:right="189"/>
              <w:spacing w:after="0"/>
              <w:rPr>
                <w:sz w:val="20"/>
                <w:szCs w:val="20"/>
                <w:color w:val="auto"/>
              </w:rPr>
            </w:pPr>
            <w:r>
              <w:rPr>
                <w:rFonts w:ascii="Arial" w:cs="Arial" w:eastAsia="Arial" w:hAnsi="Arial"/>
                <w:sz w:val="14"/>
                <w:szCs w:val="14"/>
                <w:b w:val="1"/>
                <w:bCs w:val="1"/>
                <w:color w:val="auto"/>
              </w:rPr>
              <w:t>Aggregate earnings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r>
      <w:tr>
        <w:trPr>
          <w:trHeight w:val="159"/>
        </w:trPr>
        <w:tc>
          <w:tcPr>
            <w:tcW w:w="4700" w:type="dxa"/>
            <w:vAlign w:val="bottom"/>
          </w:tcPr>
          <w:p>
            <w:pPr>
              <w:spacing w:after="0"/>
              <w:rPr>
                <w:sz w:val="13"/>
                <w:szCs w:val="13"/>
                <w:color w:val="auto"/>
              </w:rPr>
            </w:pPr>
          </w:p>
        </w:tc>
        <w:tc>
          <w:tcPr>
            <w:tcW w:w="4760" w:type="dxa"/>
            <w:vAlign w:val="bottom"/>
          </w:tcPr>
          <w:p>
            <w:pPr>
              <w:jc w:val="right"/>
              <w:ind w:right="189"/>
              <w:spacing w:after="0" w:line="159" w:lineRule="exact"/>
              <w:rPr>
                <w:sz w:val="20"/>
                <w:szCs w:val="20"/>
                <w:color w:val="auto"/>
              </w:rPr>
            </w:pPr>
            <w:r>
              <w:rPr>
                <w:rFonts w:ascii="Arial" w:cs="Arial" w:eastAsia="Arial" w:hAnsi="Arial"/>
                <w:sz w:val="14"/>
                <w:szCs w:val="14"/>
                <w:b w:val="1"/>
                <w:bCs w:val="1"/>
                <w:color w:val="auto"/>
              </w:rPr>
              <w:t>(loss) in last</w:t>
            </w:r>
          </w:p>
        </w:tc>
        <w:tc>
          <w:tcPr>
            <w:tcW w:w="15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balance at last</w:t>
            </w:r>
          </w:p>
        </w:tc>
      </w:tr>
      <w:tr>
        <w:trPr>
          <w:trHeight w:val="192"/>
        </w:trPr>
        <w:tc>
          <w:tcPr>
            <w:tcW w:w="470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Name</w:t>
            </w:r>
          </w:p>
        </w:tc>
        <w:tc>
          <w:tcPr>
            <w:tcW w:w="4760" w:type="dxa"/>
            <w:vAlign w:val="bottom"/>
            <w:tcBorders>
              <w:bottom w:val="single" w:sz="8" w:color="004876"/>
            </w:tcBorders>
          </w:tcPr>
          <w:p>
            <w:pPr>
              <w:jc w:val="right"/>
              <w:ind w:right="189"/>
              <w:spacing w:after="0" w:line="192" w:lineRule="exact"/>
              <w:rPr>
                <w:sz w:val="20"/>
                <w:szCs w:val="20"/>
                <w:color w:val="auto"/>
              </w:rPr>
            </w:pPr>
            <w:r>
              <w:rPr>
                <w:rFonts w:ascii="Arial" w:cs="Arial" w:eastAsia="Arial" w:hAnsi="Arial"/>
                <w:sz w:val="13"/>
                <w:szCs w:val="13"/>
                <w:b w:val="1"/>
                <w:bCs w:val="1"/>
                <w:color w:val="auto"/>
              </w:rPr>
              <w:t>fiscal year ($)</w:t>
            </w:r>
            <w:r>
              <w:rPr>
                <w:rFonts w:ascii="Arial" w:cs="Arial" w:eastAsia="Arial" w:hAnsi="Arial"/>
                <w:sz w:val="22"/>
                <w:szCs w:val="22"/>
                <w:b w:val="1"/>
                <w:bCs w:val="1"/>
                <w:color w:val="auto"/>
                <w:vertAlign w:val="superscript"/>
              </w:rPr>
              <w:t>1</w:t>
            </w:r>
          </w:p>
        </w:tc>
        <w:tc>
          <w:tcPr>
            <w:tcW w:w="156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fiscal year–end ($)</w:t>
            </w:r>
          </w:p>
        </w:tc>
      </w:tr>
      <w:tr>
        <w:trPr>
          <w:trHeight w:val="198"/>
        </w:trPr>
        <w:tc>
          <w:tcPr>
            <w:tcW w:w="4700" w:type="dxa"/>
            <w:vAlign w:val="bottom"/>
          </w:tcPr>
          <w:p>
            <w:pPr>
              <w:ind w:left="60"/>
              <w:spacing w:after="0"/>
              <w:rPr>
                <w:sz w:val="20"/>
                <w:szCs w:val="20"/>
                <w:color w:val="auto"/>
              </w:rPr>
            </w:pPr>
            <w:r>
              <w:rPr>
                <w:rFonts w:ascii="Arial" w:cs="Arial" w:eastAsia="Arial" w:hAnsi="Arial"/>
                <w:sz w:val="14"/>
                <w:szCs w:val="14"/>
                <w:b w:val="1"/>
                <w:bCs w:val="1"/>
                <w:color w:val="auto"/>
              </w:rPr>
              <w:t>James Dimon</w:t>
            </w:r>
          </w:p>
        </w:tc>
        <w:tc>
          <w:tcPr>
            <w:tcW w:w="4760" w:type="dxa"/>
            <w:vAlign w:val="bottom"/>
          </w:tcPr>
          <w:p>
            <w:pPr>
              <w:jc w:val="right"/>
              <w:ind w:right="189"/>
              <w:spacing w:after="0"/>
              <w:rPr>
                <w:sz w:val="20"/>
                <w:szCs w:val="20"/>
                <w:color w:val="auto"/>
              </w:rPr>
            </w:pPr>
            <w:r>
              <w:rPr>
                <w:rFonts w:ascii="Arial" w:cs="Arial" w:eastAsia="Arial" w:hAnsi="Arial"/>
                <w:sz w:val="14"/>
                <w:szCs w:val="14"/>
                <w:color w:val="auto"/>
              </w:rPr>
              <w:t>$ 3,035</w:t>
            </w:r>
          </w:p>
        </w:tc>
        <w:tc>
          <w:tcPr>
            <w:tcW w:w="1560" w:type="dxa"/>
            <w:vAlign w:val="bottom"/>
          </w:tcPr>
          <w:p>
            <w:pPr>
              <w:jc w:val="right"/>
              <w:spacing w:after="0"/>
              <w:rPr>
                <w:sz w:val="20"/>
                <w:szCs w:val="20"/>
                <w:color w:val="auto"/>
              </w:rPr>
            </w:pPr>
            <w:r>
              <w:rPr>
                <w:rFonts w:ascii="Arial" w:cs="Arial" w:eastAsia="Arial" w:hAnsi="Arial"/>
                <w:sz w:val="14"/>
                <w:szCs w:val="14"/>
                <w:color w:val="auto"/>
              </w:rPr>
              <w:t>$ 146,002</w:t>
            </w:r>
          </w:p>
        </w:tc>
      </w:tr>
      <w:tr>
        <w:trPr>
          <w:trHeight w:val="26"/>
        </w:trPr>
        <w:tc>
          <w:tcPr>
            <w:tcW w:w="4700" w:type="dxa"/>
            <w:vAlign w:val="bottom"/>
            <w:tcBorders>
              <w:bottom w:val="single" w:sz="8" w:color="336C91"/>
            </w:tcBorders>
          </w:tcPr>
          <w:p>
            <w:pPr>
              <w:spacing w:after="0"/>
              <w:rPr>
                <w:sz w:val="2"/>
                <w:szCs w:val="2"/>
                <w:color w:val="auto"/>
              </w:rPr>
            </w:pPr>
          </w:p>
        </w:tc>
        <w:tc>
          <w:tcPr>
            <w:tcW w:w="4760" w:type="dxa"/>
            <w:vAlign w:val="bottom"/>
            <w:tcBorders>
              <w:bottom w:val="single" w:sz="8" w:color="336C91"/>
            </w:tcBorders>
          </w:tcPr>
          <w:p>
            <w:pPr>
              <w:spacing w:after="0"/>
              <w:rPr>
                <w:sz w:val="2"/>
                <w:szCs w:val="2"/>
                <w:color w:val="auto"/>
              </w:rPr>
            </w:pPr>
          </w:p>
        </w:tc>
        <w:tc>
          <w:tcPr>
            <w:tcW w:w="1560" w:type="dxa"/>
            <w:vAlign w:val="bottom"/>
            <w:tcBorders>
              <w:bottom w:val="single" w:sz="8" w:color="336C91"/>
            </w:tcBorders>
          </w:tcPr>
          <w:p>
            <w:pPr>
              <w:spacing w:after="0"/>
              <w:rPr>
                <w:sz w:val="2"/>
                <w:szCs w:val="2"/>
                <w:color w:val="auto"/>
              </w:rPr>
            </w:pPr>
          </w:p>
        </w:tc>
      </w:tr>
      <w:tr>
        <w:trPr>
          <w:trHeight w:val="198"/>
        </w:trPr>
        <w:tc>
          <w:tcPr>
            <w:tcW w:w="4700" w:type="dxa"/>
            <w:vAlign w:val="bottom"/>
          </w:tcPr>
          <w:p>
            <w:pPr>
              <w:ind w:left="60"/>
              <w:spacing w:after="0"/>
              <w:rPr>
                <w:sz w:val="20"/>
                <w:szCs w:val="20"/>
                <w:color w:val="auto"/>
              </w:rPr>
            </w:pPr>
            <w:r>
              <w:rPr>
                <w:rFonts w:ascii="Arial" w:cs="Arial" w:eastAsia="Arial" w:hAnsi="Arial"/>
                <w:sz w:val="14"/>
                <w:szCs w:val="14"/>
                <w:b w:val="1"/>
                <w:bCs w:val="1"/>
                <w:color w:val="auto"/>
              </w:rPr>
              <w:t>Daniel Pinto</w:t>
            </w:r>
          </w:p>
        </w:tc>
        <w:tc>
          <w:tcPr>
            <w:tcW w:w="4760" w:type="dxa"/>
            <w:vAlign w:val="bottom"/>
          </w:tcPr>
          <w:p>
            <w:pPr>
              <w:jc w:val="right"/>
              <w:ind w:right="189"/>
              <w:spacing w:after="0"/>
              <w:rPr>
                <w:sz w:val="20"/>
                <w:szCs w:val="20"/>
                <w:color w:val="auto"/>
              </w:rPr>
            </w:pPr>
            <w:r>
              <w:rPr>
                <w:rFonts w:ascii="Arial" w:cs="Arial" w:eastAsia="Arial" w:hAnsi="Arial"/>
                <w:sz w:val="14"/>
                <w:szCs w:val="14"/>
                <w:color w:val="auto"/>
              </w:rPr>
              <w:t>720</w:t>
            </w:r>
          </w:p>
        </w:tc>
        <w:tc>
          <w:tcPr>
            <w:tcW w:w="1560" w:type="dxa"/>
            <w:vAlign w:val="bottom"/>
          </w:tcPr>
          <w:p>
            <w:pPr>
              <w:jc w:val="right"/>
              <w:spacing w:after="0"/>
              <w:rPr>
                <w:sz w:val="20"/>
                <w:szCs w:val="20"/>
                <w:color w:val="auto"/>
              </w:rPr>
            </w:pPr>
            <w:r>
              <w:rPr>
                <w:rFonts w:ascii="Arial" w:cs="Arial" w:eastAsia="Arial" w:hAnsi="Arial"/>
                <w:sz w:val="14"/>
                <w:szCs w:val="14"/>
                <w:color w:val="auto"/>
              </w:rPr>
              <w:t>22,648</w:t>
            </w:r>
          </w:p>
        </w:tc>
      </w:tr>
      <w:tr>
        <w:trPr>
          <w:trHeight w:val="26"/>
        </w:trPr>
        <w:tc>
          <w:tcPr>
            <w:tcW w:w="4700" w:type="dxa"/>
            <w:vAlign w:val="bottom"/>
            <w:tcBorders>
              <w:bottom w:val="single" w:sz="8" w:color="336C91"/>
            </w:tcBorders>
          </w:tcPr>
          <w:p>
            <w:pPr>
              <w:spacing w:after="0"/>
              <w:rPr>
                <w:sz w:val="2"/>
                <w:szCs w:val="2"/>
                <w:color w:val="auto"/>
              </w:rPr>
            </w:pPr>
          </w:p>
        </w:tc>
        <w:tc>
          <w:tcPr>
            <w:tcW w:w="4760" w:type="dxa"/>
            <w:vAlign w:val="bottom"/>
            <w:tcBorders>
              <w:bottom w:val="single" w:sz="8" w:color="336C91"/>
            </w:tcBorders>
          </w:tcPr>
          <w:p>
            <w:pPr>
              <w:spacing w:after="0"/>
              <w:rPr>
                <w:sz w:val="2"/>
                <w:szCs w:val="2"/>
                <w:color w:val="auto"/>
              </w:rPr>
            </w:pPr>
          </w:p>
        </w:tc>
        <w:tc>
          <w:tcPr>
            <w:tcW w:w="1560" w:type="dxa"/>
            <w:vAlign w:val="bottom"/>
            <w:tcBorders>
              <w:bottom w:val="single" w:sz="8" w:color="336C91"/>
            </w:tcBorders>
          </w:tcPr>
          <w:p>
            <w:pPr>
              <w:spacing w:after="0"/>
              <w:rPr>
                <w:sz w:val="2"/>
                <w:szCs w:val="2"/>
                <w:color w:val="auto"/>
              </w:rPr>
            </w:pPr>
          </w:p>
        </w:tc>
      </w:tr>
      <w:tr>
        <w:trPr>
          <w:trHeight w:val="198"/>
        </w:trPr>
        <w:tc>
          <w:tcPr>
            <w:tcW w:w="4700" w:type="dxa"/>
            <w:vAlign w:val="bottom"/>
          </w:tcPr>
          <w:p>
            <w:pPr>
              <w:ind w:left="60"/>
              <w:spacing w:after="0"/>
              <w:rPr>
                <w:sz w:val="20"/>
                <w:szCs w:val="20"/>
                <w:color w:val="auto"/>
              </w:rPr>
            </w:pPr>
            <w:r>
              <w:rPr>
                <w:rFonts w:ascii="Arial" w:cs="Arial" w:eastAsia="Arial" w:hAnsi="Arial"/>
                <w:sz w:val="14"/>
                <w:szCs w:val="14"/>
                <w:b w:val="1"/>
                <w:bCs w:val="1"/>
                <w:color w:val="auto"/>
              </w:rPr>
              <w:t>Gordon Smith</w:t>
            </w:r>
          </w:p>
        </w:tc>
        <w:tc>
          <w:tcPr>
            <w:tcW w:w="47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700" w:type="dxa"/>
            <w:vAlign w:val="bottom"/>
            <w:tcBorders>
              <w:bottom w:val="single" w:sz="8" w:color="336C91"/>
            </w:tcBorders>
          </w:tcPr>
          <w:p>
            <w:pPr>
              <w:spacing w:after="0"/>
              <w:rPr>
                <w:sz w:val="2"/>
                <w:szCs w:val="2"/>
                <w:color w:val="auto"/>
              </w:rPr>
            </w:pPr>
          </w:p>
        </w:tc>
        <w:tc>
          <w:tcPr>
            <w:tcW w:w="4760" w:type="dxa"/>
            <w:vAlign w:val="bottom"/>
            <w:tcBorders>
              <w:bottom w:val="single" w:sz="8" w:color="336C91"/>
            </w:tcBorders>
          </w:tcPr>
          <w:p>
            <w:pPr>
              <w:spacing w:after="0"/>
              <w:rPr>
                <w:sz w:val="2"/>
                <w:szCs w:val="2"/>
                <w:color w:val="auto"/>
              </w:rPr>
            </w:pPr>
          </w:p>
        </w:tc>
        <w:tc>
          <w:tcPr>
            <w:tcW w:w="1560" w:type="dxa"/>
            <w:vAlign w:val="bottom"/>
            <w:tcBorders>
              <w:bottom w:val="single" w:sz="8" w:color="336C91"/>
            </w:tcBorders>
          </w:tcPr>
          <w:p>
            <w:pPr>
              <w:spacing w:after="0"/>
              <w:rPr>
                <w:sz w:val="2"/>
                <w:szCs w:val="2"/>
                <w:color w:val="auto"/>
              </w:rPr>
            </w:pPr>
          </w:p>
        </w:tc>
      </w:tr>
      <w:tr>
        <w:trPr>
          <w:trHeight w:val="198"/>
        </w:trPr>
        <w:tc>
          <w:tcPr>
            <w:tcW w:w="470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47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700" w:type="dxa"/>
            <w:vAlign w:val="bottom"/>
            <w:tcBorders>
              <w:bottom w:val="single" w:sz="8" w:color="336C91"/>
            </w:tcBorders>
          </w:tcPr>
          <w:p>
            <w:pPr>
              <w:spacing w:after="0"/>
              <w:rPr>
                <w:sz w:val="2"/>
                <w:szCs w:val="2"/>
                <w:color w:val="auto"/>
              </w:rPr>
            </w:pPr>
          </w:p>
        </w:tc>
        <w:tc>
          <w:tcPr>
            <w:tcW w:w="4760" w:type="dxa"/>
            <w:vAlign w:val="bottom"/>
            <w:tcBorders>
              <w:bottom w:val="single" w:sz="8" w:color="336C91"/>
            </w:tcBorders>
          </w:tcPr>
          <w:p>
            <w:pPr>
              <w:spacing w:after="0"/>
              <w:rPr>
                <w:sz w:val="2"/>
                <w:szCs w:val="2"/>
                <w:color w:val="auto"/>
              </w:rPr>
            </w:pPr>
          </w:p>
        </w:tc>
        <w:tc>
          <w:tcPr>
            <w:tcW w:w="1560" w:type="dxa"/>
            <w:vAlign w:val="bottom"/>
            <w:tcBorders>
              <w:bottom w:val="single" w:sz="8" w:color="336C91"/>
            </w:tcBorders>
          </w:tcPr>
          <w:p>
            <w:pPr>
              <w:spacing w:after="0"/>
              <w:rPr>
                <w:sz w:val="2"/>
                <w:szCs w:val="2"/>
                <w:color w:val="auto"/>
              </w:rPr>
            </w:pPr>
          </w:p>
        </w:tc>
      </w:tr>
      <w:tr>
        <w:trPr>
          <w:trHeight w:val="198"/>
        </w:trPr>
        <w:tc>
          <w:tcPr>
            <w:tcW w:w="470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47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4700" w:type="dxa"/>
            <w:vAlign w:val="bottom"/>
            <w:tcBorders>
              <w:bottom w:val="single" w:sz="8" w:color="336C91"/>
            </w:tcBorders>
          </w:tcPr>
          <w:p>
            <w:pPr>
              <w:spacing w:after="0"/>
              <w:rPr>
                <w:sz w:val="2"/>
                <w:szCs w:val="2"/>
                <w:color w:val="auto"/>
              </w:rPr>
            </w:pPr>
          </w:p>
        </w:tc>
        <w:tc>
          <w:tcPr>
            <w:tcW w:w="4760" w:type="dxa"/>
            <w:vAlign w:val="bottom"/>
            <w:tcBorders>
              <w:bottom w:val="single" w:sz="8" w:color="336C91"/>
            </w:tcBorders>
          </w:tcPr>
          <w:p>
            <w:pPr>
              <w:spacing w:after="0"/>
              <w:rPr>
                <w:sz w:val="2"/>
                <w:szCs w:val="2"/>
                <w:color w:val="auto"/>
              </w:rPr>
            </w:pPr>
          </w:p>
        </w:tc>
        <w:tc>
          <w:tcPr>
            <w:tcW w:w="1560" w:type="dxa"/>
            <w:vAlign w:val="bottom"/>
            <w:tcBorders>
              <w:bottom w:val="single" w:sz="8" w:color="336C91"/>
            </w:tcBorders>
          </w:tcPr>
          <w:p>
            <w:pPr>
              <w:spacing w:after="0"/>
              <w:rPr>
                <w:sz w:val="2"/>
                <w:szCs w:val="2"/>
                <w:color w:val="auto"/>
              </w:rPr>
            </w:pPr>
          </w:p>
        </w:tc>
      </w:tr>
    </w:tbl>
    <w:p>
      <w:pPr>
        <w:spacing w:after="0" w:line="72" w:lineRule="exact"/>
        <w:rPr>
          <w:sz w:val="20"/>
          <w:szCs w:val="20"/>
          <w:color w:val="auto"/>
        </w:rPr>
      </w:pPr>
    </w:p>
    <w:p>
      <w:pPr>
        <w:ind w:left="420" w:right="20" w:hanging="176"/>
        <w:spacing w:after="0" w:line="214" w:lineRule="auto"/>
        <w:tabs>
          <w:tab w:leader="none" w:pos="420" w:val="left"/>
        </w:tabs>
        <w:numPr>
          <w:ilvl w:val="0"/>
          <w:numId w:val="152"/>
        </w:numPr>
        <w:rPr>
          <w:rFonts w:ascii="Arial" w:cs="Arial" w:eastAsia="Arial" w:hAnsi="Arial"/>
          <w:sz w:val="24"/>
          <w:szCs w:val="24"/>
          <w:color w:val="auto"/>
          <w:vertAlign w:val="superscript"/>
        </w:rPr>
      </w:pPr>
      <w:r>
        <w:rPr>
          <w:rFonts w:ascii="Arial" w:cs="Arial" w:eastAsia="Arial" w:hAnsi="Arial"/>
          <w:sz w:val="14"/>
          <w:szCs w:val="14"/>
          <w:color w:val="auto"/>
        </w:rPr>
        <w:t>The Deferred Compensation Plan allows participants to direct their deferrals among several investment choices, including JPMorgan Chase common stock; an interest income fund based 50% on a weighted average of returns by Hartford Investment Management Company SVA Bond Index Division and 50% by Newport Group designated set of general account life insurance polices owned by JPMorgan Chase; Hartford funds indexed to fixed income, bond, balanced, S&amp;P 500, Russell 2000 and international portfolios; and Hartford investments in Vanguard Variable Insurance Fund high-yield bond, mid-cap and REIT index. In addition, there are balances in deemed investment choices from heritage company plans that are no longer open to new deferrals.</w:t>
      </w:r>
    </w:p>
    <w:p>
      <w:pPr>
        <w:spacing w:after="0" w:line="58" w:lineRule="exact"/>
        <w:rPr>
          <w:sz w:val="20"/>
          <w:szCs w:val="20"/>
          <w:color w:val="auto"/>
        </w:rPr>
      </w:pPr>
    </w:p>
    <w:p>
      <w:pPr>
        <w:jc w:val="both"/>
        <w:ind w:left="480" w:right="140"/>
        <w:spacing w:after="0" w:line="250" w:lineRule="auto"/>
        <w:rPr>
          <w:sz w:val="20"/>
          <w:szCs w:val="20"/>
          <w:color w:val="auto"/>
        </w:rPr>
      </w:pPr>
      <w:r>
        <w:rPr>
          <w:rFonts w:ascii="Arial" w:cs="Arial" w:eastAsia="Arial" w:hAnsi="Arial"/>
          <w:sz w:val="14"/>
          <w:szCs w:val="14"/>
          <w:color w:val="auto"/>
        </w:rPr>
        <w:t>Investment returns in 2018 for the following investment choices were: Short-Term Fixed Income, 1.97%; Interest Income, 3.28%; Barclays Capital U.S. Aggregate Bond Index, 0.00%; High-Yield, (2.73)%; Balanced Portfolio, (1.91)%; S&amp;P 500 Index, (4.42)%; Mid-Cap Index, (9.33)%; Russell 2000 Index, (11.04)%; REIT Index, (5.35)%; International, (12.61)%; and JPMorgan Chase common stock, including dividend equivalents, (6.65)%.</w:t>
      </w:r>
    </w:p>
    <w:p>
      <w:pPr>
        <w:spacing w:after="0" w:line="51" w:lineRule="exact"/>
        <w:rPr>
          <w:sz w:val="20"/>
          <w:szCs w:val="20"/>
          <w:color w:val="auto"/>
        </w:rPr>
      </w:pPr>
    </w:p>
    <w:p>
      <w:pPr>
        <w:ind w:left="480" w:right="100"/>
        <w:spacing w:after="0" w:line="244" w:lineRule="auto"/>
        <w:rPr>
          <w:sz w:val="20"/>
          <w:szCs w:val="20"/>
          <w:color w:val="auto"/>
        </w:rPr>
      </w:pPr>
      <w:r>
        <w:rPr>
          <w:rFonts w:ascii="Arial" w:cs="Arial" w:eastAsia="Arial" w:hAnsi="Arial"/>
          <w:sz w:val="14"/>
          <w:szCs w:val="14"/>
          <w:color w:val="auto"/>
        </w:rPr>
        <w:t>Beginning with deferrals credited January 2005 under the Deferred Compensation Plan, participants were required to elect to receive distribution of the deferral balance beginning either following retirement or termination or in a specific year but no earlier than the second anniversary of the date the deferral would otherwise have been paid. If retirement or termination were elected, payments will commence during the calendar year following retirement or termination. Participants may elect the distribution to be lump sum or annual installments for a maximum of 15 years. With respect to deferrals made after December 31, 2004, under the Deferred Compensation Plan, account balances are automatically paid as a lump sum in the year following termination if employment terminates prior to the participant attaining 15 years of service. With respect to deferrals made after December 31, 2017, account balances are automatically paid as a lump sum in the year following termination if employment terminates prior to the participant attaining 5 years of service.</w:t>
      </w:r>
    </w:p>
    <w:p>
      <w:pPr>
        <w:spacing w:after="0" w:line="56" w:lineRule="exact"/>
        <w:rPr>
          <w:sz w:val="20"/>
          <w:szCs w:val="20"/>
          <w:color w:val="auto"/>
        </w:rPr>
      </w:pPr>
    </w:p>
    <w:p>
      <w:pPr>
        <w:ind w:left="480" w:right="40"/>
        <w:spacing w:after="0" w:line="247" w:lineRule="auto"/>
        <w:rPr>
          <w:sz w:val="20"/>
          <w:szCs w:val="20"/>
          <w:color w:val="auto"/>
        </w:rPr>
      </w:pPr>
      <w:r>
        <w:rPr>
          <w:rFonts w:ascii="Arial" w:cs="Arial" w:eastAsia="Arial" w:hAnsi="Arial"/>
          <w:sz w:val="14"/>
          <w:szCs w:val="14"/>
          <w:color w:val="auto"/>
        </w:rPr>
        <w:t>The Supplemental Savings and Investment Plan (“SSIP”) is a heritage plan applicable to former Bank One employees which is closed to new participants and does not permit new deferrals. It functions similarly to the Deferred Compensation Plan. The investment return in 2018 for the following investment choice was: Short-Term Fixed Income, 2.12%. With respect to the SSIP, account balances are automatically paid as a lump sum in the year following termination unless an installment option is elected prior to termination of employment.</w:t>
      </w:r>
    </w:p>
    <w:p>
      <w:pPr>
        <w:spacing w:after="0" w:line="115"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71</w:t>
            </w:r>
          </w:p>
        </w:tc>
      </w:tr>
    </w:tbl>
    <w:p>
      <w:pPr>
        <w:sectPr>
          <w:pgSz w:w="11900" w:h="16838" w:orient="portrait"/>
          <w:cols w:equalWidth="0" w:num="1">
            <w:col w:w="11240"/>
          </w:cols>
          <w:pgMar w:left="240" w:top="459" w:right="4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VII. 2018 POTENTIAL PAYMENTS UPON TERMINATION OR CHANGE IN CONTROL</w:t>
      </w:r>
    </w:p>
    <w:p>
      <w:pPr>
        <w:spacing w:after="0" w:line="18"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We believe our pay practices relating to termination events, summarized below, illustrate our commitment to sound corporate governance, are consistent with best practices and are aligned with the interests of shareholders.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POLICIES ALIGNED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6997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2" w:lineRule="exact"/>
        <w:rPr>
          <w:sz w:val="20"/>
          <w:szCs w:val="20"/>
          <w:color w:val="auto"/>
        </w:rPr>
      </w:pPr>
    </w:p>
    <w:tbl>
      <w:tblPr>
        <w:tblLayout w:type="fixed"/>
        <w:tblInd w:w="220" w:type="dxa"/>
        <w:tblCellMar>
          <w:top w:w="0" w:type="dxa"/>
          <w:left w:w="0" w:type="dxa"/>
          <w:bottom w:w="0" w:type="dxa"/>
          <w:right w:w="0" w:type="dxa"/>
        </w:tblCellMar>
      </w:tblPr>
      <w:tr>
        <w:trPr>
          <w:trHeight w:val="358"/>
        </w:trPr>
        <w:tc>
          <w:tcPr>
            <w:tcW w:w="3400" w:type="dxa"/>
            <w:vAlign w:val="bottom"/>
            <w:vMerge w:val="restart"/>
            <w:shd w:val="clear" w:color="auto" w:fill="E5E5E5"/>
          </w:tcPr>
          <w:p>
            <w:pPr>
              <w:ind w:left="60"/>
              <w:spacing w:after="0"/>
              <w:rPr>
                <w:sz w:val="20"/>
                <w:szCs w:val="20"/>
                <w:color w:val="auto"/>
              </w:rPr>
            </w:pPr>
            <w:r>
              <w:rPr>
                <w:rFonts w:ascii="Arial" w:cs="Arial" w:eastAsia="Arial" w:hAnsi="Arial"/>
                <w:sz w:val="14"/>
                <w:szCs w:val="14"/>
                <w:b w:val="1"/>
                <w:bCs w:val="1"/>
                <w:color w:val="auto"/>
              </w:rPr>
              <w:t>No golden parachute agreements</w:t>
            </w:r>
          </w:p>
        </w:tc>
        <w:tc>
          <w:tcPr>
            <w:tcW w:w="7620" w:type="dxa"/>
            <w:vAlign w:val="bottom"/>
          </w:tcPr>
          <w:p>
            <w:pPr>
              <w:ind w:left="120"/>
              <w:spacing w:after="0"/>
              <w:rPr>
                <w:sz w:val="20"/>
                <w:szCs w:val="20"/>
                <w:color w:val="auto"/>
              </w:rPr>
            </w:pPr>
            <w:r>
              <w:rPr>
                <w:rFonts w:ascii="Arial" w:cs="Arial" w:eastAsia="Arial" w:hAnsi="Arial"/>
                <w:sz w:val="14"/>
                <w:szCs w:val="14"/>
                <w:color w:val="auto"/>
              </w:rPr>
              <w:t>NEOs are not entitled to any accelerated cash/equity payments or special benefits upon a change in control</w:t>
            </w:r>
          </w:p>
        </w:tc>
        <w:tc>
          <w:tcPr>
            <w:tcW w:w="0" w:type="dxa"/>
            <w:vAlign w:val="bottom"/>
          </w:tcPr>
          <w:p>
            <w:pPr>
              <w:spacing w:after="0"/>
              <w:rPr>
                <w:sz w:val="1"/>
                <w:szCs w:val="1"/>
                <w:color w:val="auto"/>
              </w:rPr>
            </w:pPr>
          </w:p>
        </w:tc>
      </w:tr>
      <w:tr>
        <w:trPr>
          <w:trHeight w:val="127"/>
        </w:trPr>
        <w:tc>
          <w:tcPr>
            <w:tcW w:w="3400" w:type="dxa"/>
            <w:vAlign w:val="bottom"/>
            <w:tcBorders>
              <w:bottom w:val="single" w:sz="8" w:color="E5E5E5"/>
            </w:tcBorders>
            <w:vMerge w:val="continue"/>
            <w:shd w:val="clear" w:color="auto" w:fill="E5E5E5"/>
          </w:tcPr>
          <w:p>
            <w:pPr>
              <w:spacing w:after="0"/>
              <w:rPr>
                <w:sz w:val="10"/>
                <w:szCs w:val="10"/>
                <w:color w:val="auto"/>
              </w:rPr>
            </w:pPr>
          </w:p>
        </w:tc>
        <w:tc>
          <w:tcPr>
            <w:tcW w:w="7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00" w:type="dxa"/>
            <w:vAlign w:val="bottom"/>
            <w:tcBorders>
              <w:bottom w:val="single" w:sz="8" w:color="004876"/>
            </w:tcBorders>
          </w:tcPr>
          <w:p>
            <w:pPr>
              <w:spacing w:after="0"/>
              <w:rPr>
                <w:sz w:val="14"/>
                <w:szCs w:val="14"/>
                <w:color w:val="auto"/>
              </w:rPr>
            </w:pPr>
          </w:p>
        </w:tc>
        <w:tc>
          <w:tcPr>
            <w:tcW w:w="7620" w:type="dxa"/>
            <w:vAlign w:val="bottom"/>
            <w:tcBorders>
              <w:bottom w:val="single" w:sz="8" w:color="004876"/>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620" w:type="dxa"/>
            <w:vAlign w:val="bottom"/>
            <w:vMerge w:val="restart"/>
          </w:tcPr>
          <w:p>
            <w:pPr>
              <w:ind w:left="120"/>
              <w:spacing w:after="0"/>
              <w:rPr>
                <w:sz w:val="20"/>
                <w:szCs w:val="20"/>
                <w:color w:val="auto"/>
              </w:rPr>
            </w:pPr>
            <w:r>
              <w:rPr>
                <w:rFonts w:ascii="Arial" w:cs="Arial" w:eastAsia="Arial" w:hAnsi="Arial"/>
                <w:sz w:val="14"/>
                <w:szCs w:val="14"/>
                <w:color w:val="auto"/>
              </w:rPr>
              <w:t>All of the U.S. based NEOs are “at will” employees and are not covered by employment agreements</w:t>
            </w:r>
          </w:p>
        </w:tc>
        <w:tc>
          <w:tcPr>
            <w:tcW w:w="0" w:type="dxa"/>
            <w:vAlign w:val="bottom"/>
          </w:tcPr>
          <w:p>
            <w:pPr>
              <w:spacing w:after="0"/>
              <w:rPr>
                <w:sz w:val="1"/>
                <w:szCs w:val="1"/>
                <w:color w:val="auto"/>
              </w:rPr>
            </w:pPr>
          </w:p>
        </w:tc>
      </w:tr>
      <w:tr>
        <w:trPr>
          <w:trHeight w:val="344"/>
        </w:trPr>
        <w:tc>
          <w:tcPr>
            <w:tcW w:w="3400" w:type="dxa"/>
            <w:vAlign w:val="bottom"/>
            <w:shd w:val="clear" w:color="auto" w:fill="E5E5E5"/>
          </w:tcPr>
          <w:p>
            <w:pPr>
              <w:spacing w:after="0"/>
              <w:rPr>
                <w:sz w:val="24"/>
                <w:szCs w:val="24"/>
                <w:color w:val="auto"/>
              </w:rPr>
            </w:pPr>
          </w:p>
        </w:tc>
        <w:tc>
          <w:tcPr>
            <w:tcW w:w="7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No employment agreements</w:t>
            </w:r>
          </w:p>
        </w:tc>
        <w:tc>
          <w:tcPr>
            <w:tcW w:w="7620" w:type="dxa"/>
            <w:vAlign w:val="bottom"/>
          </w:tcPr>
          <w:p>
            <w:pPr>
              <w:ind w:left="120"/>
              <w:spacing w:after="0"/>
              <w:rPr>
                <w:sz w:val="20"/>
                <w:szCs w:val="20"/>
                <w:color w:val="auto"/>
              </w:rPr>
            </w:pPr>
            <w:r>
              <w:rPr>
                <w:rFonts w:ascii="Arial" w:cs="Arial" w:eastAsia="Arial" w:hAnsi="Arial"/>
                <w:sz w:val="14"/>
                <w:szCs w:val="14"/>
                <w:color w:val="auto"/>
              </w:rPr>
              <w:t>Mr. Pinto and Ms. Lake have terms of employment that reflect applicable U.K. legal standards</w:t>
            </w:r>
          </w:p>
        </w:tc>
        <w:tc>
          <w:tcPr>
            <w:tcW w:w="0" w:type="dxa"/>
            <w:vAlign w:val="bottom"/>
          </w:tcPr>
          <w:p>
            <w:pPr>
              <w:spacing w:after="0"/>
              <w:rPr>
                <w:sz w:val="1"/>
                <w:szCs w:val="1"/>
                <w:color w:val="auto"/>
              </w:rPr>
            </w:pPr>
          </w:p>
        </w:tc>
      </w:tr>
      <w:tr>
        <w:trPr>
          <w:trHeight w:val="196"/>
        </w:trPr>
        <w:tc>
          <w:tcPr>
            <w:tcW w:w="3400" w:type="dxa"/>
            <w:vAlign w:val="bottom"/>
            <w:shd w:val="clear" w:color="auto" w:fill="E5E5E5"/>
          </w:tcPr>
          <w:p>
            <w:pPr>
              <w:spacing w:after="0"/>
              <w:rPr>
                <w:sz w:val="17"/>
                <w:szCs w:val="17"/>
                <w:color w:val="auto"/>
              </w:rPr>
            </w:pPr>
          </w:p>
        </w:tc>
        <w:tc>
          <w:tcPr>
            <w:tcW w:w="7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00" w:type="dxa"/>
            <w:vAlign w:val="bottom"/>
            <w:tcBorders>
              <w:bottom w:val="single" w:sz="8" w:color="004876"/>
            </w:tcBorders>
          </w:tcPr>
          <w:p>
            <w:pPr>
              <w:spacing w:after="0"/>
              <w:rPr>
                <w:sz w:val="14"/>
                <w:szCs w:val="14"/>
                <w:color w:val="auto"/>
              </w:rPr>
            </w:pPr>
          </w:p>
        </w:tc>
        <w:tc>
          <w:tcPr>
            <w:tcW w:w="7620" w:type="dxa"/>
            <w:vAlign w:val="bottom"/>
            <w:tcBorders>
              <w:bottom w:val="single" w:sz="8" w:color="004876"/>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620" w:type="dxa"/>
            <w:vAlign w:val="bottom"/>
            <w:vMerge w:val="restart"/>
          </w:tcPr>
          <w:p>
            <w:pPr>
              <w:ind w:left="120"/>
              <w:spacing w:after="0"/>
              <w:rPr>
                <w:sz w:val="20"/>
                <w:szCs w:val="20"/>
                <w:color w:val="auto"/>
              </w:rPr>
            </w:pPr>
            <w:r>
              <w:rPr>
                <w:rFonts w:ascii="Arial" w:cs="Arial" w:eastAsia="Arial" w:hAnsi="Arial"/>
                <w:sz w:val="14"/>
                <w:szCs w:val="14"/>
                <w:color w:val="auto"/>
              </w:rPr>
              <w:t>Severance amounts for NEOs are capped at one-year salary, not to exceed $400,000 (or £275,000 in the case of</w:t>
            </w:r>
          </w:p>
        </w:tc>
        <w:tc>
          <w:tcPr>
            <w:tcW w:w="0" w:type="dxa"/>
            <w:vAlign w:val="bottom"/>
          </w:tcPr>
          <w:p>
            <w:pPr>
              <w:spacing w:after="0"/>
              <w:rPr>
                <w:sz w:val="1"/>
                <w:szCs w:val="1"/>
                <w:color w:val="auto"/>
              </w:rPr>
            </w:pPr>
          </w:p>
        </w:tc>
      </w:tr>
      <w:tr>
        <w:trPr>
          <w:trHeight w:val="450"/>
        </w:trPr>
        <w:tc>
          <w:tcPr>
            <w:tcW w:w="3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No special cash severance</w:t>
            </w:r>
          </w:p>
        </w:tc>
        <w:tc>
          <w:tcPr>
            <w:tcW w:w="7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400" w:type="dxa"/>
            <w:vAlign w:val="bottom"/>
            <w:shd w:val="clear" w:color="auto" w:fill="E5E5E5"/>
          </w:tcPr>
          <w:p>
            <w:pPr>
              <w:spacing w:after="0"/>
              <w:rPr>
                <w:sz w:val="14"/>
                <w:szCs w:val="14"/>
                <w:color w:val="auto"/>
              </w:rPr>
            </w:pPr>
          </w:p>
        </w:tc>
        <w:tc>
          <w:tcPr>
            <w:tcW w:w="7620" w:type="dxa"/>
            <w:vAlign w:val="bottom"/>
          </w:tcPr>
          <w:p>
            <w:pPr>
              <w:ind w:left="260"/>
              <w:spacing w:after="0"/>
              <w:rPr>
                <w:sz w:val="20"/>
                <w:szCs w:val="20"/>
                <w:color w:val="auto"/>
              </w:rPr>
            </w:pPr>
            <w:r>
              <w:rPr>
                <w:rFonts w:ascii="Arial" w:cs="Arial" w:eastAsia="Arial" w:hAnsi="Arial"/>
                <w:sz w:val="14"/>
                <w:szCs w:val="14"/>
                <w:color w:val="auto"/>
              </w:rPr>
              <w:t>Mr. Pinto and Ms. Lake)</w:t>
            </w:r>
          </w:p>
        </w:tc>
        <w:tc>
          <w:tcPr>
            <w:tcW w:w="0" w:type="dxa"/>
            <w:vAlign w:val="bottom"/>
          </w:tcPr>
          <w:p>
            <w:pPr>
              <w:spacing w:after="0"/>
              <w:rPr>
                <w:sz w:val="1"/>
                <w:szCs w:val="1"/>
                <w:color w:val="auto"/>
              </w:rPr>
            </w:pPr>
          </w:p>
        </w:tc>
      </w:tr>
      <w:tr>
        <w:trPr>
          <w:trHeight w:val="120"/>
        </w:trPr>
        <w:tc>
          <w:tcPr>
            <w:tcW w:w="3400" w:type="dxa"/>
            <w:vAlign w:val="bottom"/>
            <w:shd w:val="clear" w:color="auto" w:fill="E5E5E5"/>
          </w:tcPr>
          <w:p>
            <w:pPr>
              <w:spacing w:after="0"/>
              <w:rPr>
                <w:sz w:val="10"/>
                <w:szCs w:val="10"/>
                <w:color w:val="auto"/>
              </w:rPr>
            </w:pPr>
          </w:p>
        </w:tc>
        <w:tc>
          <w:tcPr>
            <w:tcW w:w="7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00" w:type="dxa"/>
            <w:vAlign w:val="bottom"/>
            <w:tcBorders>
              <w:bottom w:val="single" w:sz="8" w:color="004876"/>
            </w:tcBorders>
          </w:tcPr>
          <w:p>
            <w:pPr>
              <w:spacing w:after="0"/>
              <w:rPr>
                <w:sz w:val="14"/>
                <w:szCs w:val="14"/>
                <w:color w:val="auto"/>
              </w:rPr>
            </w:pPr>
          </w:p>
        </w:tc>
        <w:tc>
          <w:tcPr>
            <w:tcW w:w="7620" w:type="dxa"/>
            <w:vAlign w:val="bottom"/>
            <w:tcBorders>
              <w:bottom w:val="single" w:sz="8" w:color="004876"/>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620" w:type="dxa"/>
            <w:vAlign w:val="bottom"/>
            <w:vMerge w:val="restart"/>
          </w:tcPr>
          <w:p>
            <w:pPr>
              <w:ind w:left="120"/>
              <w:spacing w:after="0"/>
              <w:rPr>
                <w:sz w:val="20"/>
                <w:szCs w:val="20"/>
                <w:color w:val="auto"/>
              </w:rPr>
            </w:pPr>
            <w:r>
              <w:rPr>
                <w:rFonts w:ascii="Arial" w:cs="Arial" w:eastAsia="Arial" w:hAnsi="Arial"/>
                <w:sz w:val="14"/>
                <w:szCs w:val="14"/>
                <w:color w:val="auto"/>
              </w:rPr>
              <w:t>NEOs are not entitled to any special benefits upon termination</w:t>
            </w:r>
          </w:p>
        </w:tc>
        <w:tc>
          <w:tcPr>
            <w:tcW w:w="0" w:type="dxa"/>
            <w:vAlign w:val="bottom"/>
          </w:tcPr>
          <w:p>
            <w:pPr>
              <w:spacing w:after="0"/>
              <w:rPr>
                <w:sz w:val="1"/>
                <w:szCs w:val="1"/>
                <w:color w:val="auto"/>
              </w:rPr>
            </w:pPr>
          </w:p>
        </w:tc>
      </w:tr>
      <w:tr>
        <w:trPr>
          <w:trHeight w:val="474"/>
        </w:trPr>
        <w:tc>
          <w:tcPr>
            <w:tcW w:w="340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No special executive benefits</w:t>
            </w:r>
          </w:p>
        </w:tc>
        <w:tc>
          <w:tcPr>
            <w:tcW w:w="7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400" w:type="dxa"/>
            <w:vAlign w:val="bottom"/>
            <w:shd w:val="clear" w:color="auto" w:fill="E5E5E5"/>
          </w:tcPr>
          <w:p>
            <w:pPr>
              <w:spacing w:after="0"/>
              <w:rPr>
                <w:sz w:val="16"/>
                <w:szCs w:val="16"/>
                <w:color w:val="auto"/>
              </w:rPr>
            </w:pP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00" w:type="dxa"/>
            <w:vAlign w:val="bottom"/>
            <w:tcBorders>
              <w:bottom w:val="single" w:sz="8" w:color="004876"/>
            </w:tcBorders>
          </w:tcPr>
          <w:p>
            <w:pPr>
              <w:spacing w:after="0"/>
              <w:rPr>
                <w:sz w:val="14"/>
                <w:szCs w:val="14"/>
                <w:color w:val="auto"/>
              </w:rPr>
            </w:pPr>
          </w:p>
        </w:tc>
        <w:tc>
          <w:tcPr>
            <w:tcW w:w="7620" w:type="dxa"/>
            <w:vAlign w:val="bottom"/>
            <w:tcBorders>
              <w:bottom w:val="single" w:sz="8" w:color="00487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Standard, broad-based severance</w:t>
      </w:r>
    </w:p>
    <w:p>
      <w:pPr>
        <w:spacing w:after="0" w:line="18"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Mr. Dimon, Mr. Smith and Ms. Erdoes are covered under the Firm’s broad-based U.S. Severance Pay Plan. Benefits under the U.S. Severance Pay Plan are based on an employee’s base salary and length of service on termination of employment. Employees remain eligible for coverage at active employee rates under certain of the Firm’s employee welfare plans (such as medical and dental) for up to six months after their employment terminates. Mr. Pinto and Ms. Lake are covered under the Firm’s U.K. Discretionary Redundancy Policy, which provides for a lump sum payment on termination based on base salary and length of service and subject to a cap of £275,000. In addition, in the event of termination by the Firm for reasons other than cause, employees may be considered, at the discretion of the Firm, for a cash payment in lieu of an annual incentive compensation award, taking into consideration all circumstances the Firm deems relevant, including the circumstances of the employee’s leaving and the employee’s contributions to the Firm over his or her career. Severance benefits and any such discretionary payment are subject to execution of a release in favor of the Firm and certain post-termination restrictions.</w:t>
      </w:r>
    </w:p>
    <w:p>
      <w:pPr>
        <w:spacing w:after="0" w:line="106"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The table on the following page sets forth the benefits and compensation which the Named Executive Officers would have received if their employment had</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terminated on December 31, 2018. The amounts shown in the table on the following page do not include other payments and benefits available generally to salaried employees upon termination of employment, such as accrued vacation pay, distributions from the 401(k) Savings Plan, pension and deferred compensation plans, or any death, disability or post-retirement welfare benefits available under broad-based employee plans. For information on the pension and deferred compensation plans, see “Table V: 2018 Pension benefits” on page 70 of this proxy statement and “Table VI: 2018 Non-qualified deferred compensation” on page 71 of this proxy statement. Such tables also do not show the value of vested SARs, which are listed In “Table III: Outstanding equity awards at fiscal year-end 2018” on page 68 of this proxy statement. There are no unvested SARs outstanding on December 31, 2018.</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NEOs are not entitled to any additional equity awards in connection with a potential termination. Rather, under certain termination scenarios including disability, death, termination without cause, or resignation (if full-career eligible), NEOs’ outstanding equity awards continue to vest in accordance with their terms (or accelerate in the event of death). The table on the following page shows the value of these unvested RSUs and PSUs based on the closing price of our common stock on December 31, 2018.</w:t>
      </w:r>
    </w:p>
    <w:p>
      <w:pPr>
        <w:spacing w:after="0" w:line="610" w:lineRule="exact"/>
        <w:rPr>
          <w:sz w:val="20"/>
          <w:szCs w:val="20"/>
          <w:color w:val="auto"/>
        </w:rPr>
      </w:pPr>
    </w:p>
    <w:p>
      <w:pPr>
        <w:sectPr>
          <w:pgSz w:w="11900" w:h="16838" w:orient="portrait"/>
          <w:cols w:equalWidth="0" w:num="2">
            <w:col w:w="5400" w:space="420"/>
            <w:col w:w="5420"/>
          </w:cols>
          <w:pgMar w:left="240" w:top="459" w:right="419" w:bottom="1440" w:gutter="0" w:footer="0" w:header="0"/>
          <w:type w:val="continuous"/>
        </w:sectPr>
      </w:pPr>
    </w:p>
    <w:p>
      <w:pPr>
        <w:spacing w:after="0" w:line="7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72</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Office provision</w:t>
      </w:r>
    </w:p>
    <w:p>
      <w:pPr>
        <w:spacing w:after="0" w:line="18"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Employees with applicable awards, including NEOs, are covered under the Firm’s Government Office provision which allows for continued vesting of equity awards if the employee resigns to accept a covered government office. For such employees who are full-career eligible, all outstanding awards continue to vest in accordance with their terms whether they leave the Firm to enter government service or otherwise, so the Government Office provision does not provide any benefit to employees who are full-career eligible. All NEOs meet the full-career eligibility provision for their applicable awards.</w:t>
      </w:r>
    </w:p>
    <w:p>
      <w:pPr>
        <w:spacing w:after="0" w:line="9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For employees who are not full-career eligible, the value of awards that would continue to vest as a result of the Government Office provision of our equity plan would equal a percentage of the unvested stock awards shown in Table III ranging from 0% prior to three years of employment by the Firm to 50% after three years of employment rising to 100% after five years.</w:t>
      </w:r>
    </w:p>
    <w:p>
      <w:pPr>
        <w:spacing w:after="0" w:line="97"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The Firm’s Government Office provision allows for accelerated vesting of the awards otherwise eligible for continued vesting, as described above, only if government ethics or conflicts of interest laws require</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140"/>
        <w:spacing w:after="0"/>
        <w:rPr>
          <w:sz w:val="20"/>
          <w:szCs w:val="20"/>
          <w:color w:val="auto"/>
        </w:rPr>
      </w:pPr>
      <w:r>
        <w:rPr>
          <w:rFonts w:ascii="Arial" w:cs="Arial" w:eastAsia="Arial" w:hAnsi="Arial"/>
          <w:sz w:val="16"/>
          <w:szCs w:val="16"/>
          <w:color w:val="33333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-657860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divestiture of unvested awards and do not allow continued vesting. Notwithstanding acceleration of any awards, the former employee remains subject to the applicable terms of the award agreement as if the award had remained outstanding for the duration of the original vesting period, including the clawback provisions and post-employment obligations.</w:t>
      </w:r>
    </w:p>
    <w:p>
      <w:pPr>
        <w:spacing w:after="0" w:line="9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Any awards not eligible for continued vesting under the terms of the plan are forfeited and they do not accelerate.</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Details regarding the potential value of the Government Office provision are included in the following table. Unlike in prior years, the table indicates that NEOs who have met full-career eligibility will not receive payment under the Government Office provision. We believe this modification is a more accurate illustration of the fact that each of the NEOs is entitled to continued vesting of their equity awards under the full-career eligibility provision, and therefore, would not receive any benefit from the Government Office provision.</w:t>
      </w:r>
    </w:p>
    <w:p>
      <w:pPr>
        <w:spacing w:after="0" w:line="99"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In 2018, no current or former Operating Committee member received any benefits under the Government Office provision.</w:t>
      </w:r>
    </w:p>
    <w:p>
      <w:pPr>
        <w:spacing w:after="0" w:line="200" w:lineRule="exact"/>
        <w:rPr>
          <w:sz w:val="20"/>
          <w:szCs w:val="20"/>
          <w:color w:val="auto"/>
        </w:r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2018 POTENTIAL PAYMENTS UPON TERMINATION OR CHANGE IN CONTROL</w:t>
      </w:r>
    </w:p>
    <w:p>
      <w:pPr>
        <w:spacing w:after="0" w:line="143" w:lineRule="exact"/>
        <w:rPr>
          <w:sz w:val="20"/>
          <w:szCs w:val="20"/>
          <w:color w:val="auto"/>
        </w:rPr>
      </w:pPr>
    </w:p>
    <w:tbl>
      <w:tblPr>
        <w:tblLayout w:type="fixed"/>
        <w:tblInd w:w="220" w:type="dxa"/>
        <w:tblCellMar>
          <w:top w:w="0" w:type="dxa"/>
          <w:left w:w="0" w:type="dxa"/>
          <w:bottom w:w="0" w:type="dxa"/>
          <w:right w:w="0" w:type="dxa"/>
        </w:tblCellMar>
      </w:tblPr>
      <w:tr>
        <w:trPr>
          <w:trHeight w:val="276"/>
        </w:trPr>
        <w:tc>
          <w:tcPr>
            <w:tcW w:w="204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300" w:type="dxa"/>
            <w:vAlign w:val="bottom"/>
            <w:tcBorders>
              <w:bottom w:val="single" w:sz="8" w:color="004876"/>
            </w:tcBorders>
          </w:tcPr>
          <w:p>
            <w:pPr>
              <w:spacing w:after="0"/>
              <w:rPr>
                <w:sz w:val="23"/>
                <w:szCs w:val="23"/>
                <w:color w:val="auto"/>
              </w:rPr>
            </w:pPr>
          </w:p>
        </w:tc>
        <w:tc>
          <w:tcPr>
            <w:tcW w:w="940" w:type="dxa"/>
            <w:vAlign w:val="bottom"/>
            <w:tcBorders>
              <w:bottom w:val="single" w:sz="8" w:color="004876"/>
            </w:tcBorders>
          </w:tcPr>
          <w:p>
            <w:pPr>
              <w:spacing w:after="0"/>
              <w:rPr>
                <w:sz w:val="23"/>
                <w:szCs w:val="23"/>
                <w:color w:val="auto"/>
              </w:rPr>
            </w:pPr>
          </w:p>
        </w:tc>
        <w:tc>
          <w:tcPr>
            <w:tcW w:w="340" w:type="dxa"/>
            <w:vAlign w:val="bottom"/>
            <w:tcBorders>
              <w:bottom w:val="single" w:sz="8" w:color="004876"/>
            </w:tcBorders>
          </w:tcPr>
          <w:p>
            <w:pPr>
              <w:spacing w:after="0"/>
              <w:rPr>
                <w:sz w:val="23"/>
                <w:szCs w:val="23"/>
                <w:color w:val="auto"/>
              </w:rPr>
            </w:pPr>
          </w:p>
        </w:tc>
        <w:tc>
          <w:tcPr>
            <w:tcW w:w="2320" w:type="dxa"/>
            <w:vAlign w:val="bottom"/>
            <w:tcBorders>
              <w:bottom w:val="single" w:sz="8" w:color="004876"/>
            </w:tcBorders>
            <w:gridSpan w:val="3"/>
          </w:tcPr>
          <w:p>
            <w:pPr>
              <w:jc w:val="right"/>
              <w:ind w:right="28"/>
              <w:spacing w:after="0"/>
              <w:rPr>
                <w:sz w:val="20"/>
                <w:szCs w:val="20"/>
                <w:color w:val="auto"/>
              </w:rPr>
            </w:pPr>
            <w:r>
              <w:rPr>
                <w:rFonts w:ascii="Arial" w:cs="Arial" w:eastAsia="Arial" w:hAnsi="Arial"/>
                <w:sz w:val="14"/>
                <w:szCs w:val="14"/>
                <w:b w:val="1"/>
                <w:bCs w:val="1"/>
                <w:color w:val="auto"/>
              </w:rPr>
              <w:t>Termination reason</w:t>
            </w:r>
            <w:r>
              <w:rPr>
                <w:rFonts w:ascii="Arial" w:cs="Arial" w:eastAsia="Arial" w:hAnsi="Arial"/>
                <w:sz w:val="24"/>
                <w:szCs w:val="24"/>
                <w:b w:val="1"/>
                <w:bCs w:val="1"/>
                <w:color w:val="auto"/>
                <w:vertAlign w:val="superscript"/>
              </w:rPr>
              <w:t>1</w:t>
            </w:r>
          </w:p>
        </w:tc>
        <w:tc>
          <w:tcPr>
            <w:tcW w:w="720" w:type="dxa"/>
            <w:vAlign w:val="bottom"/>
            <w:tcBorders>
              <w:bottom w:val="single" w:sz="8" w:color="004876"/>
            </w:tcBorders>
          </w:tcPr>
          <w:p>
            <w:pPr>
              <w:spacing w:after="0"/>
              <w:rPr>
                <w:sz w:val="23"/>
                <w:szCs w:val="23"/>
                <w:color w:val="auto"/>
              </w:rPr>
            </w:pPr>
          </w:p>
        </w:tc>
        <w:tc>
          <w:tcPr>
            <w:tcW w:w="600" w:type="dxa"/>
            <w:vAlign w:val="bottom"/>
            <w:tcBorders>
              <w:bottom w:val="single" w:sz="8" w:color="004876"/>
            </w:tcBorders>
          </w:tcPr>
          <w:p>
            <w:pPr>
              <w:spacing w:after="0"/>
              <w:rPr>
                <w:sz w:val="23"/>
                <w:szCs w:val="23"/>
                <w:color w:val="auto"/>
              </w:rPr>
            </w:pPr>
          </w:p>
        </w:tc>
        <w:tc>
          <w:tcPr>
            <w:tcW w:w="480" w:type="dxa"/>
            <w:vAlign w:val="bottom"/>
            <w:tcBorders>
              <w:bottom w:val="single" w:sz="8" w:color="004876"/>
            </w:tcBorders>
          </w:tcPr>
          <w:p>
            <w:pPr>
              <w:spacing w:after="0"/>
              <w:rPr>
                <w:sz w:val="23"/>
                <w:szCs w:val="23"/>
                <w:color w:val="auto"/>
              </w:rPr>
            </w:pPr>
          </w:p>
        </w:tc>
        <w:tc>
          <w:tcPr>
            <w:tcW w:w="400" w:type="dxa"/>
            <w:vAlign w:val="bottom"/>
            <w:tcBorders>
              <w:bottom w:val="single" w:sz="8" w:color="004876"/>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gridSpan w:val="2"/>
          </w:tcPr>
          <w:p>
            <w:pPr>
              <w:jc w:val="right"/>
              <w:ind w:right="68"/>
              <w:spacing w:after="0" w:line="143" w:lineRule="exact"/>
              <w:rPr>
                <w:sz w:val="20"/>
                <w:szCs w:val="20"/>
                <w:color w:val="auto"/>
              </w:rPr>
            </w:pPr>
            <w:r>
              <w:rPr>
                <w:rFonts w:ascii="Arial" w:cs="Arial" w:eastAsia="Arial" w:hAnsi="Arial"/>
                <w:sz w:val="14"/>
                <w:szCs w:val="14"/>
                <w:b w:val="1"/>
                <w:bCs w:val="1"/>
                <w:color w:val="auto"/>
              </w:rPr>
              <w:t>Resignation per</w:t>
            </w:r>
          </w:p>
        </w:tc>
        <w:tc>
          <w:tcPr>
            <w:tcW w:w="1320" w:type="dxa"/>
            <w:vAlign w:val="bottom"/>
            <w:gridSpan w:val="2"/>
          </w:tcPr>
          <w:p>
            <w:pPr>
              <w:jc w:val="right"/>
              <w:ind w:right="48"/>
              <w:spacing w:after="0" w:line="143" w:lineRule="exact"/>
              <w:rPr>
                <w:sz w:val="20"/>
                <w:szCs w:val="20"/>
                <w:color w:val="auto"/>
              </w:rPr>
            </w:pPr>
            <w:r>
              <w:rPr>
                <w:rFonts w:ascii="Arial" w:cs="Arial" w:eastAsia="Arial" w:hAnsi="Arial"/>
                <w:sz w:val="14"/>
                <w:szCs w:val="14"/>
                <w:b w:val="1"/>
                <w:bCs w:val="1"/>
                <w:color w:val="auto"/>
              </w:rPr>
              <w:t>Resignation per</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Involuntary</w:t>
            </w:r>
          </w:p>
        </w:tc>
        <w:tc>
          <w:tcPr>
            <w:tcW w:w="132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Death/Disability</w:t>
            </w:r>
          </w:p>
        </w:tc>
        <w:tc>
          <w:tcPr>
            <w:tcW w:w="2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Full-Career</w:t>
            </w:r>
          </w:p>
        </w:tc>
        <w:tc>
          <w:tcPr>
            <w:tcW w:w="13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Government</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4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without cause</w:t>
            </w: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Eligibility</w:t>
            </w:r>
          </w:p>
        </w:tc>
        <w:tc>
          <w:tcPr>
            <w:tcW w:w="13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Office provision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4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Name</w:t>
            </w:r>
          </w:p>
        </w:tc>
        <w:tc>
          <w:tcPr>
            <w:tcW w:w="2880" w:type="dxa"/>
            <w:vAlign w:val="bottom"/>
            <w:tcBorders>
              <w:bottom w:val="single" w:sz="8" w:color="004876"/>
            </w:tcBorders>
          </w:tcPr>
          <w:p>
            <w:pPr>
              <w:spacing w:after="0"/>
              <w:rPr>
                <w:sz w:val="16"/>
                <w:szCs w:val="16"/>
                <w:color w:val="auto"/>
              </w:rPr>
            </w:pPr>
          </w:p>
        </w:tc>
        <w:tc>
          <w:tcPr>
            <w:tcW w:w="300" w:type="dxa"/>
            <w:vAlign w:val="bottom"/>
            <w:tcBorders>
              <w:bottom w:val="single" w:sz="8" w:color="004876"/>
            </w:tcBorders>
          </w:tcPr>
          <w:p>
            <w:pPr>
              <w:spacing w:after="0"/>
              <w:rPr>
                <w:sz w:val="16"/>
                <w:szCs w:val="16"/>
                <w:color w:val="auto"/>
              </w:rPr>
            </w:pPr>
          </w:p>
        </w:tc>
        <w:tc>
          <w:tcPr>
            <w:tcW w:w="940" w:type="dxa"/>
            <w:vAlign w:val="bottom"/>
            <w:tcBorders>
              <w:bottom w:val="single" w:sz="8" w:color="004876"/>
            </w:tcBorders>
          </w:tcPr>
          <w:p>
            <w:pPr>
              <w:jc w:val="right"/>
              <w:ind w:right="28"/>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2</w:t>
            </w:r>
          </w:p>
        </w:tc>
        <w:tc>
          <w:tcPr>
            <w:tcW w:w="340" w:type="dxa"/>
            <w:vAlign w:val="bottom"/>
            <w:tcBorders>
              <w:bottom w:val="single" w:sz="8" w:color="004876"/>
            </w:tcBorders>
          </w:tcPr>
          <w:p>
            <w:pPr>
              <w:spacing w:after="0"/>
              <w:rPr>
                <w:sz w:val="16"/>
                <w:szCs w:val="16"/>
                <w:color w:val="auto"/>
              </w:rPr>
            </w:pPr>
          </w:p>
        </w:tc>
        <w:tc>
          <w:tcPr>
            <w:tcW w:w="980" w:type="dxa"/>
            <w:vAlign w:val="bottom"/>
            <w:tcBorders>
              <w:bottom w:val="single" w:sz="8" w:color="004876"/>
            </w:tcBorders>
          </w:tcPr>
          <w:p>
            <w:pPr>
              <w:jc w:val="right"/>
              <w:ind w:right="48"/>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220" w:type="dxa"/>
            <w:vAlign w:val="bottom"/>
            <w:tcBorders>
              <w:bottom w:val="single" w:sz="8" w:color="004876"/>
            </w:tcBorders>
          </w:tcPr>
          <w:p>
            <w:pPr>
              <w:spacing w:after="0"/>
              <w:rPr>
                <w:sz w:val="16"/>
                <w:szCs w:val="16"/>
                <w:color w:val="auto"/>
              </w:rPr>
            </w:pPr>
          </w:p>
        </w:tc>
        <w:tc>
          <w:tcPr>
            <w:tcW w:w="1120" w:type="dxa"/>
            <w:vAlign w:val="bottom"/>
            <w:tcBorders>
              <w:bottom w:val="single" w:sz="8" w:color="004876"/>
            </w:tcBorders>
          </w:tcPr>
          <w:p>
            <w:pPr>
              <w:jc w:val="right"/>
              <w:ind w:right="68"/>
              <w:spacing w:after="0" w:line="189" w:lineRule="exact"/>
              <w:rPr>
                <w:sz w:val="20"/>
                <w:szCs w:val="20"/>
                <w:color w:val="auto"/>
              </w:rPr>
            </w:pPr>
            <w:r>
              <w:rPr>
                <w:rFonts w:ascii="Arial" w:cs="Arial" w:eastAsia="Arial" w:hAnsi="Arial"/>
                <w:sz w:val="13"/>
                <w:szCs w:val="13"/>
                <w:b w:val="1"/>
                <w:bCs w:val="1"/>
                <w:color w:val="auto"/>
              </w:rPr>
              <w:t>provision ($)</w:t>
            </w:r>
            <w:r>
              <w:rPr>
                <w:rFonts w:ascii="Arial" w:cs="Arial" w:eastAsia="Arial" w:hAnsi="Arial"/>
                <w:sz w:val="21"/>
                <w:szCs w:val="21"/>
                <w:b w:val="1"/>
                <w:bCs w:val="1"/>
                <w:color w:val="auto"/>
                <w:vertAlign w:val="superscript"/>
              </w:rPr>
              <w:t>4</w:t>
            </w:r>
          </w:p>
        </w:tc>
        <w:tc>
          <w:tcPr>
            <w:tcW w:w="720" w:type="dxa"/>
            <w:vAlign w:val="bottom"/>
            <w:tcBorders>
              <w:bottom w:val="single" w:sz="8" w:color="004876"/>
            </w:tcBorders>
          </w:tcPr>
          <w:p>
            <w:pPr>
              <w:spacing w:after="0"/>
              <w:rPr>
                <w:sz w:val="16"/>
                <w:szCs w:val="16"/>
                <w:color w:val="auto"/>
              </w:rPr>
            </w:pPr>
          </w:p>
        </w:tc>
        <w:tc>
          <w:tcPr>
            <w:tcW w:w="600" w:type="dxa"/>
            <w:vAlign w:val="bottom"/>
            <w:tcBorders>
              <w:bottom w:val="single" w:sz="8" w:color="004876"/>
            </w:tcBorders>
          </w:tcPr>
          <w:p>
            <w:pPr>
              <w:jc w:val="right"/>
              <w:ind w:right="48"/>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5</w:t>
            </w:r>
          </w:p>
        </w:tc>
        <w:tc>
          <w:tcPr>
            <w:tcW w:w="880" w:type="dxa"/>
            <w:vAlign w:val="bottom"/>
            <w:tcBorders>
              <w:bottom w:val="single" w:sz="8" w:color="004876"/>
            </w:tcBorders>
            <w:gridSpan w:val="2"/>
          </w:tcPr>
          <w:p>
            <w:pPr>
              <w:jc w:val="right"/>
              <w:spacing w:after="0"/>
              <w:rPr>
                <w:sz w:val="20"/>
                <w:szCs w:val="20"/>
                <w:color w:val="auto"/>
              </w:rPr>
            </w:pPr>
            <w:r>
              <w:rPr>
                <w:rFonts w:ascii="Arial" w:cs="Arial" w:eastAsia="Arial" w:hAnsi="Arial"/>
                <w:sz w:val="14"/>
                <w:szCs w:val="14"/>
                <w:b w:val="1"/>
                <w:bCs w:val="1"/>
                <w:color w:val="auto"/>
              </w:rPr>
              <w:t>control ($)</w:t>
            </w:r>
          </w:p>
        </w:tc>
        <w:tc>
          <w:tcPr>
            <w:tcW w:w="0" w:type="dxa"/>
            <w:vAlign w:val="bottom"/>
          </w:tcPr>
          <w:p>
            <w:pPr>
              <w:spacing w:after="0"/>
              <w:rPr>
                <w:sz w:val="1"/>
                <w:szCs w:val="1"/>
                <w:color w:val="auto"/>
              </w:rPr>
            </w:pPr>
          </w:p>
        </w:tc>
      </w:tr>
      <w:tr>
        <w:trPr>
          <w:trHeight w:val="211"/>
        </w:trPr>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James Dimon</w:t>
            </w:r>
          </w:p>
        </w:tc>
        <w:tc>
          <w:tcPr>
            <w:tcW w:w="2880" w:type="dxa"/>
            <w:vAlign w:val="bottom"/>
          </w:tcPr>
          <w:p>
            <w:pPr>
              <w:ind w:left="460"/>
              <w:spacing w:after="0"/>
              <w:rPr>
                <w:sz w:val="20"/>
                <w:szCs w:val="20"/>
                <w:color w:val="auto"/>
              </w:rPr>
            </w:pPr>
            <w:r>
              <w:rPr>
                <w:rFonts w:ascii="Arial" w:cs="Arial" w:eastAsia="Arial" w:hAnsi="Arial"/>
                <w:sz w:val="14"/>
                <w:szCs w:val="14"/>
                <w:color w:val="auto"/>
              </w:rPr>
              <w:t>Severance and other</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392,308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880" w:type="dxa"/>
            <w:vAlign w:val="bottom"/>
          </w:tcPr>
          <w:p>
            <w:pPr>
              <w:ind w:left="460"/>
              <w:spacing w:after="0"/>
              <w:rPr>
                <w:sz w:val="20"/>
                <w:szCs w:val="20"/>
                <w:color w:val="auto"/>
              </w:rPr>
            </w:pPr>
            <w:r>
              <w:rPr>
                <w:rFonts w:ascii="Arial" w:cs="Arial" w:eastAsia="Arial" w:hAnsi="Arial"/>
                <w:sz w:val="14"/>
                <w:szCs w:val="14"/>
                <w:color w:val="auto"/>
              </w:rPr>
              <w:t>Stock awards</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2040" w:type="dxa"/>
            <w:vAlign w:val="bottom"/>
            <w:tcBorders>
              <w:bottom w:val="single" w:sz="8" w:color="336C91"/>
            </w:tcBorders>
          </w:tcPr>
          <w:p>
            <w:pPr>
              <w:spacing w:after="0"/>
              <w:rPr>
                <w:sz w:val="18"/>
                <w:szCs w:val="18"/>
                <w:color w:val="auto"/>
              </w:rPr>
            </w:pPr>
          </w:p>
        </w:tc>
        <w:tc>
          <w:tcPr>
            <w:tcW w:w="2880" w:type="dxa"/>
            <w:vAlign w:val="bottom"/>
            <w:tcBorders>
              <w:bottom w:val="single" w:sz="8" w:color="336C91"/>
            </w:tcBorders>
          </w:tcPr>
          <w:p>
            <w:pPr>
              <w:ind w:left="460"/>
              <w:spacing w:after="0" w:line="214" w:lineRule="exact"/>
              <w:rPr>
                <w:sz w:val="20"/>
                <w:szCs w:val="20"/>
                <w:color w:val="auto"/>
              </w:rPr>
            </w:pPr>
            <w:r>
              <w:rPr>
                <w:rFonts w:ascii="Arial" w:cs="Arial" w:eastAsia="Arial" w:hAnsi="Arial"/>
                <w:sz w:val="14"/>
                <w:szCs w:val="14"/>
                <w:color w:val="auto"/>
              </w:rPr>
              <w:t>Performance share units</w:t>
            </w:r>
            <w:r>
              <w:rPr>
                <w:rFonts w:ascii="Arial" w:cs="Arial" w:eastAsia="Arial" w:hAnsi="Arial"/>
                <w:sz w:val="24"/>
                <w:szCs w:val="24"/>
                <w:color w:val="auto"/>
                <w:vertAlign w:val="superscript"/>
              </w:rPr>
              <w:t>6</w:t>
            </w:r>
          </w:p>
        </w:tc>
        <w:tc>
          <w:tcPr>
            <w:tcW w:w="300" w:type="dxa"/>
            <w:vAlign w:val="bottom"/>
            <w:tcBorders>
              <w:bottom w:val="single" w:sz="8" w:color="336C91"/>
            </w:tcBorders>
          </w:tcPr>
          <w:p>
            <w:pPr>
              <w:spacing w:after="0"/>
              <w:rPr>
                <w:sz w:val="18"/>
                <w:szCs w:val="18"/>
                <w:color w:val="auto"/>
              </w:rPr>
            </w:pPr>
          </w:p>
        </w:tc>
        <w:tc>
          <w:tcPr>
            <w:tcW w:w="940" w:type="dxa"/>
            <w:vAlign w:val="bottom"/>
            <w:tcBorders>
              <w:bottom w:val="single" w:sz="8" w:color="336C91"/>
            </w:tcBorders>
          </w:tcPr>
          <w:p>
            <w:pPr>
              <w:jc w:val="right"/>
              <w:ind w:right="28"/>
              <w:spacing w:after="0"/>
              <w:rPr>
                <w:sz w:val="20"/>
                <w:szCs w:val="20"/>
                <w:color w:val="auto"/>
              </w:rPr>
            </w:pPr>
            <w:r>
              <w:rPr>
                <w:rFonts w:ascii="Arial" w:cs="Arial" w:eastAsia="Arial" w:hAnsi="Arial"/>
                <w:sz w:val="14"/>
                <w:szCs w:val="14"/>
                <w:color w:val="auto"/>
              </w:rPr>
              <w:t>114,267,157</w:t>
            </w:r>
          </w:p>
        </w:tc>
        <w:tc>
          <w:tcPr>
            <w:tcW w:w="340" w:type="dxa"/>
            <w:vAlign w:val="bottom"/>
            <w:tcBorders>
              <w:bottom w:val="single" w:sz="8" w:color="336C91"/>
            </w:tcBorders>
          </w:tcPr>
          <w:p>
            <w:pPr>
              <w:spacing w:after="0"/>
              <w:rPr>
                <w:sz w:val="18"/>
                <w:szCs w:val="18"/>
                <w:color w:val="auto"/>
              </w:rPr>
            </w:pPr>
          </w:p>
        </w:tc>
        <w:tc>
          <w:tcPr>
            <w:tcW w:w="98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114,267,157</w:t>
            </w:r>
          </w:p>
        </w:tc>
        <w:tc>
          <w:tcPr>
            <w:tcW w:w="220" w:type="dxa"/>
            <w:vAlign w:val="bottom"/>
            <w:tcBorders>
              <w:bottom w:val="single" w:sz="8" w:color="336C91"/>
            </w:tcBorders>
          </w:tcPr>
          <w:p>
            <w:pPr>
              <w:spacing w:after="0"/>
              <w:rPr>
                <w:sz w:val="18"/>
                <w:szCs w:val="18"/>
                <w:color w:val="auto"/>
              </w:rPr>
            </w:pPr>
          </w:p>
        </w:tc>
        <w:tc>
          <w:tcPr>
            <w:tcW w:w="1120" w:type="dxa"/>
            <w:vAlign w:val="bottom"/>
            <w:tcBorders>
              <w:bottom w:val="single" w:sz="8" w:color="336C91"/>
            </w:tcBorders>
          </w:tcPr>
          <w:p>
            <w:pPr>
              <w:jc w:val="right"/>
              <w:ind w:right="68"/>
              <w:spacing w:after="0"/>
              <w:rPr>
                <w:sz w:val="20"/>
                <w:szCs w:val="20"/>
                <w:color w:val="auto"/>
              </w:rPr>
            </w:pPr>
            <w:r>
              <w:rPr>
                <w:rFonts w:ascii="Arial" w:cs="Arial" w:eastAsia="Arial" w:hAnsi="Arial"/>
                <w:sz w:val="14"/>
                <w:szCs w:val="14"/>
                <w:color w:val="auto"/>
              </w:rPr>
              <w:t>114,267,157</w:t>
            </w:r>
          </w:p>
        </w:tc>
        <w:tc>
          <w:tcPr>
            <w:tcW w:w="720" w:type="dxa"/>
            <w:vAlign w:val="bottom"/>
            <w:tcBorders>
              <w:bottom w:val="single" w:sz="8" w:color="336C91"/>
            </w:tcBorders>
          </w:tcPr>
          <w:p>
            <w:pPr>
              <w:spacing w:after="0"/>
              <w:rPr>
                <w:sz w:val="18"/>
                <w:szCs w:val="18"/>
                <w:color w:val="auto"/>
              </w:rPr>
            </w:pPr>
          </w:p>
        </w:tc>
        <w:tc>
          <w:tcPr>
            <w:tcW w:w="60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336C91"/>
            </w:tcBorders>
          </w:tcPr>
          <w:p>
            <w:pPr>
              <w:spacing w:after="0"/>
              <w:rPr>
                <w:sz w:val="18"/>
                <w:szCs w:val="18"/>
                <w:color w:val="auto"/>
              </w:rPr>
            </w:pPr>
          </w:p>
        </w:tc>
        <w:tc>
          <w:tcPr>
            <w:tcW w:w="40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Daniel Pinto</w:t>
            </w:r>
          </w:p>
        </w:tc>
        <w:tc>
          <w:tcPr>
            <w:tcW w:w="2880" w:type="dxa"/>
            <w:vAlign w:val="bottom"/>
          </w:tcPr>
          <w:p>
            <w:pPr>
              <w:ind w:left="460"/>
              <w:spacing w:after="0"/>
              <w:rPr>
                <w:sz w:val="20"/>
                <w:szCs w:val="20"/>
                <w:color w:val="auto"/>
              </w:rPr>
            </w:pPr>
            <w:r>
              <w:rPr>
                <w:rFonts w:ascii="Arial" w:cs="Arial" w:eastAsia="Arial" w:hAnsi="Arial"/>
                <w:sz w:val="14"/>
                <w:szCs w:val="14"/>
                <w:color w:val="auto"/>
              </w:rPr>
              <w:t>Severance and other</w:t>
            </w:r>
          </w:p>
        </w:tc>
        <w:tc>
          <w:tcPr>
            <w:tcW w:w="300" w:type="dxa"/>
            <w:vAlign w:val="bottom"/>
          </w:tcPr>
          <w:p>
            <w:pPr>
              <w:spacing w:after="0"/>
              <w:rPr>
                <w:sz w:val="19"/>
                <w:szCs w:val="19"/>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348,304</w:t>
            </w:r>
          </w:p>
        </w:tc>
        <w:tc>
          <w:tcPr>
            <w:tcW w:w="340" w:type="dxa"/>
            <w:vAlign w:val="bottom"/>
          </w:tcPr>
          <w:p>
            <w:pPr>
              <w:spacing w:after="0"/>
              <w:rPr>
                <w:sz w:val="19"/>
                <w:szCs w:val="19"/>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880" w:type="dxa"/>
            <w:vAlign w:val="bottom"/>
          </w:tcPr>
          <w:p>
            <w:pPr>
              <w:ind w:left="460"/>
              <w:spacing w:after="0"/>
              <w:rPr>
                <w:sz w:val="20"/>
                <w:szCs w:val="20"/>
                <w:color w:val="auto"/>
              </w:rPr>
            </w:pPr>
            <w:r>
              <w:rPr>
                <w:rFonts w:ascii="Arial" w:cs="Arial" w:eastAsia="Arial" w:hAnsi="Arial"/>
                <w:sz w:val="14"/>
                <w:szCs w:val="14"/>
                <w:color w:val="auto"/>
              </w:rPr>
              <w:t>Stock awards</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17,366,208</w:t>
            </w:r>
          </w:p>
        </w:tc>
        <w:tc>
          <w:tcPr>
            <w:tcW w:w="34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17,366,208</w:t>
            </w: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17,366,208</w:t>
            </w:r>
          </w:p>
        </w:tc>
        <w:tc>
          <w:tcPr>
            <w:tcW w:w="7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040" w:type="dxa"/>
            <w:vAlign w:val="bottom"/>
            <w:tcBorders>
              <w:bottom w:val="single" w:sz="8" w:color="336C91"/>
            </w:tcBorders>
          </w:tcPr>
          <w:p>
            <w:pPr>
              <w:spacing w:after="0"/>
              <w:rPr>
                <w:sz w:val="17"/>
                <w:szCs w:val="17"/>
                <w:color w:val="auto"/>
              </w:rPr>
            </w:pPr>
          </w:p>
        </w:tc>
        <w:tc>
          <w:tcPr>
            <w:tcW w:w="2880" w:type="dxa"/>
            <w:vAlign w:val="bottom"/>
            <w:tcBorders>
              <w:bottom w:val="single" w:sz="8" w:color="336C91"/>
            </w:tcBorders>
          </w:tcPr>
          <w:p>
            <w:pPr>
              <w:ind w:left="460"/>
              <w:spacing w:after="0" w:line="201" w:lineRule="exact"/>
              <w:rPr>
                <w:sz w:val="20"/>
                <w:szCs w:val="20"/>
                <w:color w:val="auto"/>
              </w:rPr>
            </w:pPr>
            <w:r>
              <w:rPr>
                <w:rFonts w:ascii="Arial" w:cs="Arial" w:eastAsia="Arial" w:hAnsi="Arial"/>
                <w:sz w:val="14"/>
                <w:szCs w:val="14"/>
                <w:color w:val="auto"/>
              </w:rPr>
              <w:t>Performance share units</w:t>
            </w:r>
            <w:r>
              <w:rPr>
                <w:rFonts w:ascii="Arial" w:cs="Arial" w:eastAsia="Arial" w:hAnsi="Arial"/>
                <w:sz w:val="23"/>
                <w:szCs w:val="23"/>
                <w:color w:val="auto"/>
                <w:vertAlign w:val="superscript"/>
              </w:rPr>
              <w:t>6</w:t>
            </w:r>
          </w:p>
        </w:tc>
        <w:tc>
          <w:tcPr>
            <w:tcW w:w="300" w:type="dxa"/>
            <w:vAlign w:val="bottom"/>
            <w:tcBorders>
              <w:bottom w:val="single" w:sz="8" w:color="336C91"/>
            </w:tcBorders>
          </w:tcPr>
          <w:p>
            <w:pPr>
              <w:spacing w:after="0"/>
              <w:rPr>
                <w:sz w:val="17"/>
                <w:szCs w:val="17"/>
                <w:color w:val="auto"/>
              </w:rPr>
            </w:pPr>
          </w:p>
        </w:tc>
        <w:tc>
          <w:tcPr>
            <w:tcW w:w="940" w:type="dxa"/>
            <w:vAlign w:val="bottom"/>
            <w:tcBorders>
              <w:bottom w:val="single" w:sz="8" w:color="336C91"/>
            </w:tcBorders>
          </w:tcPr>
          <w:p>
            <w:pPr>
              <w:jc w:val="right"/>
              <w:ind w:right="28"/>
              <w:spacing w:after="0"/>
              <w:rPr>
                <w:sz w:val="20"/>
                <w:szCs w:val="20"/>
                <w:color w:val="auto"/>
              </w:rPr>
            </w:pPr>
            <w:r>
              <w:rPr>
                <w:rFonts w:ascii="Arial" w:cs="Arial" w:eastAsia="Arial" w:hAnsi="Arial"/>
                <w:sz w:val="14"/>
                <w:szCs w:val="14"/>
                <w:color w:val="auto"/>
              </w:rPr>
              <w:t>31,865,751</w:t>
            </w:r>
          </w:p>
        </w:tc>
        <w:tc>
          <w:tcPr>
            <w:tcW w:w="340" w:type="dxa"/>
            <w:vAlign w:val="bottom"/>
            <w:tcBorders>
              <w:bottom w:val="single" w:sz="8" w:color="336C91"/>
            </w:tcBorders>
          </w:tcPr>
          <w:p>
            <w:pPr>
              <w:spacing w:after="0"/>
              <w:rPr>
                <w:sz w:val="17"/>
                <w:szCs w:val="17"/>
                <w:color w:val="auto"/>
              </w:rPr>
            </w:pPr>
          </w:p>
        </w:tc>
        <w:tc>
          <w:tcPr>
            <w:tcW w:w="98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31,865,751</w:t>
            </w:r>
          </w:p>
        </w:tc>
        <w:tc>
          <w:tcPr>
            <w:tcW w:w="220" w:type="dxa"/>
            <w:vAlign w:val="bottom"/>
            <w:tcBorders>
              <w:bottom w:val="single" w:sz="8" w:color="336C91"/>
            </w:tcBorders>
          </w:tcPr>
          <w:p>
            <w:pPr>
              <w:spacing w:after="0"/>
              <w:rPr>
                <w:sz w:val="17"/>
                <w:szCs w:val="17"/>
                <w:color w:val="auto"/>
              </w:rPr>
            </w:pPr>
          </w:p>
        </w:tc>
        <w:tc>
          <w:tcPr>
            <w:tcW w:w="1120" w:type="dxa"/>
            <w:vAlign w:val="bottom"/>
            <w:tcBorders>
              <w:bottom w:val="single" w:sz="8" w:color="336C91"/>
            </w:tcBorders>
          </w:tcPr>
          <w:p>
            <w:pPr>
              <w:jc w:val="right"/>
              <w:ind w:right="68"/>
              <w:spacing w:after="0"/>
              <w:rPr>
                <w:sz w:val="20"/>
                <w:szCs w:val="20"/>
                <w:color w:val="auto"/>
              </w:rPr>
            </w:pPr>
            <w:r>
              <w:rPr>
                <w:rFonts w:ascii="Arial" w:cs="Arial" w:eastAsia="Arial" w:hAnsi="Arial"/>
                <w:sz w:val="14"/>
                <w:szCs w:val="14"/>
                <w:color w:val="auto"/>
              </w:rPr>
              <w:t>31,865,751</w:t>
            </w:r>
          </w:p>
        </w:tc>
        <w:tc>
          <w:tcPr>
            <w:tcW w:w="720" w:type="dxa"/>
            <w:vAlign w:val="bottom"/>
            <w:tcBorders>
              <w:bottom w:val="single" w:sz="8" w:color="336C91"/>
            </w:tcBorders>
          </w:tcPr>
          <w:p>
            <w:pPr>
              <w:spacing w:after="0"/>
              <w:rPr>
                <w:sz w:val="17"/>
                <w:szCs w:val="17"/>
                <w:color w:val="auto"/>
              </w:rPr>
            </w:pPr>
          </w:p>
        </w:tc>
        <w:tc>
          <w:tcPr>
            <w:tcW w:w="60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336C91"/>
            </w:tcBorders>
          </w:tcPr>
          <w:p>
            <w:pPr>
              <w:spacing w:after="0"/>
              <w:rPr>
                <w:sz w:val="17"/>
                <w:szCs w:val="17"/>
                <w:color w:val="auto"/>
              </w:rPr>
            </w:pPr>
          </w:p>
        </w:tc>
        <w:tc>
          <w:tcPr>
            <w:tcW w:w="40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Gordon Smith</w:t>
            </w:r>
          </w:p>
        </w:tc>
        <w:tc>
          <w:tcPr>
            <w:tcW w:w="2880" w:type="dxa"/>
            <w:vAlign w:val="bottom"/>
          </w:tcPr>
          <w:p>
            <w:pPr>
              <w:ind w:left="460"/>
              <w:spacing w:after="0"/>
              <w:rPr>
                <w:sz w:val="20"/>
                <w:szCs w:val="20"/>
                <w:color w:val="auto"/>
              </w:rPr>
            </w:pPr>
            <w:r>
              <w:rPr>
                <w:rFonts w:ascii="Arial" w:cs="Arial" w:eastAsia="Arial" w:hAnsi="Arial"/>
                <w:sz w:val="14"/>
                <w:szCs w:val="14"/>
                <w:color w:val="auto"/>
              </w:rPr>
              <w:t>Severance and other</w:t>
            </w:r>
          </w:p>
        </w:tc>
        <w:tc>
          <w:tcPr>
            <w:tcW w:w="300" w:type="dxa"/>
            <w:vAlign w:val="bottom"/>
          </w:tcPr>
          <w:p>
            <w:pPr>
              <w:spacing w:after="0"/>
              <w:rPr>
                <w:sz w:val="19"/>
                <w:szCs w:val="19"/>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276,923</w:t>
            </w:r>
          </w:p>
        </w:tc>
        <w:tc>
          <w:tcPr>
            <w:tcW w:w="340" w:type="dxa"/>
            <w:vAlign w:val="bottom"/>
          </w:tcPr>
          <w:p>
            <w:pPr>
              <w:spacing w:after="0"/>
              <w:rPr>
                <w:sz w:val="19"/>
                <w:szCs w:val="19"/>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880" w:type="dxa"/>
            <w:vAlign w:val="bottom"/>
          </w:tcPr>
          <w:p>
            <w:pPr>
              <w:ind w:left="460"/>
              <w:spacing w:after="0"/>
              <w:rPr>
                <w:sz w:val="20"/>
                <w:szCs w:val="20"/>
                <w:color w:val="auto"/>
              </w:rPr>
            </w:pPr>
            <w:r>
              <w:rPr>
                <w:rFonts w:ascii="Arial" w:cs="Arial" w:eastAsia="Arial" w:hAnsi="Arial"/>
                <w:sz w:val="14"/>
                <w:szCs w:val="14"/>
                <w:color w:val="auto"/>
              </w:rPr>
              <w:t>Stock awards</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15,523,337</w:t>
            </w:r>
          </w:p>
        </w:tc>
        <w:tc>
          <w:tcPr>
            <w:tcW w:w="34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15,523,337</w:t>
            </w: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15,523,337</w:t>
            </w:r>
          </w:p>
        </w:tc>
        <w:tc>
          <w:tcPr>
            <w:tcW w:w="7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040" w:type="dxa"/>
            <w:vAlign w:val="bottom"/>
            <w:tcBorders>
              <w:bottom w:val="single" w:sz="8" w:color="336C91"/>
            </w:tcBorders>
          </w:tcPr>
          <w:p>
            <w:pPr>
              <w:spacing w:after="0"/>
              <w:rPr>
                <w:sz w:val="17"/>
                <w:szCs w:val="17"/>
                <w:color w:val="auto"/>
              </w:rPr>
            </w:pPr>
          </w:p>
        </w:tc>
        <w:tc>
          <w:tcPr>
            <w:tcW w:w="2880" w:type="dxa"/>
            <w:vAlign w:val="bottom"/>
            <w:tcBorders>
              <w:bottom w:val="single" w:sz="8" w:color="336C91"/>
            </w:tcBorders>
          </w:tcPr>
          <w:p>
            <w:pPr>
              <w:ind w:left="460"/>
              <w:spacing w:after="0" w:line="201" w:lineRule="exact"/>
              <w:rPr>
                <w:sz w:val="20"/>
                <w:szCs w:val="20"/>
                <w:color w:val="auto"/>
              </w:rPr>
            </w:pPr>
            <w:r>
              <w:rPr>
                <w:rFonts w:ascii="Arial" w:cs="Arial" w:eastAsia="Arial" w:hAnsi="Arial"/>
                <w:sz w:val="14"/>
                <w:szCs w:val="14"/>
                <w:color w:val="auto"/>
              </w:rPr>
              <w:t>Performance share units</w:t>
            </w:r>
            <w:r>
              <w:rPr>
                <w:rFonts w:ascii="Arial" w:cs="Arial" w:eastAsia="Arial" w:hAnsi="Arial"/>
                <w:sz w:val="23"/>
                <w:szCs w:val="23"/>
                <w:color w:val="auto"/>
                <w:vertAlign w:val="superscript"/>
              </w:rPr>
              <w:t>6</w:t>
            </w:r>
          </w:p>
        </w:tc>
        <w:tc>
          <w:tcPr>
            <w:tcW w:w="300" w:type="dxa"/>
            <w:vAlign w:val="bottom"/>
            <w:tcBorders>
              <w:bottom w:val="single" w:sz="8" w:color="336C91"/>
            </w:tcBorders>
          </w:tcPr>
          <w:p>
            <w:pPr>
              <w:spacing w:after="0"/>
              <w:rPr>
                <w:sz w:val="17"/>
                <w:szCs w:val="17"/>
                <w:color w:val="auto"/>
              </w:rPr>
            </w:pPr>
          </w:p>
        </w:tc>
        <w:tc>
          <w:tcPr>
            <w:tcW w:w="940" w:type="dxa"/>
            <w:vAlign w:val="bottom"/>
            <w:tcBorders>
              <w:bottom w:val="single" w:sz="8" w:color="336C91"/>
            </w:tcBorders>
          </w:tcPr>
          <w:p>
            <w:pPr>
              <w:jc w:val="right"/>
              <w:ind w:right="28"/>
              <w:spacing w:after="0"/>
              <w:rPr>
                <w:sz w:val="20"/>
                <w:szCs w:val="20"/>
                <w:color w:val="auto"/>
              </w:rPr>
            </w:pPr>
            <w:r>
              <w:rPr>
                <w:rFonts w:ascii="Arial" w:cs="Arial" w:eastAsia="Arial" w:hAnsi="Arial"/>
                <w:sz w:val="14"/>
                <w:szCs w:val="14"/>
                <w:color w:val="auto"/>
              </w:rPr>
              <w:t>28,070,418</w:t>
            </w:r>
          </w:p>
        </w:tc>
        <w:tc>
          <w:tcPr>
            <w:tcW w:w="340" w:type="dxa"/>
            <w:vAlign w:val="bottom"/>
            <w:tcBorders>
              <w:bottom w:val="single" w:sz="8" w:color="336C91"/>
            </w:tcBorders>
          </w:tcPr>
          <w:p>
            <w:pPr>
              <w:spacing w:after="0"/>
              <w:rPr>
                <w:sz w:val="17"/>
                <w:szCs w:val="17"/>
                <w:color w:val="auto"/>
              </w:rPr>
            </w:pPr>
          </w:p>
        </w:tc>
        <w:tc>
          <w:tcPr>
            <w:tcW w:w="98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28,070,418</w:t>
            </w:r>
          </w:p>
        </w:tc>
        <w:tc>
          <w:tcPr>
            <w:tcW w:w="220" w:type="dxa"/>
            <w:vAlign w:val="bottom"/>
            <w:tcBorders>
              <w:bottom w:val="single" w:sz="8" w:color="336C91"/>
            </w:tcBorders>
          </w:tcPr>
          <w:p>
            <w:pPr>
              <w:spacing w:after="0"/>
              <w:rPr>
                <w:sz w:val="17"/>
                <w:szCs w:val="17"/>
                <w:color w:val="auto"/>
              </w:rPr>
            </w:pPr>
          </w:p>
        </w:tc>
        <w:tc>
          <w:tcPr>
            <w:tcW w:w="1120" w:type="dxa"/>
            <w:vAlign w:val="bottom"/>
            <w:tcBorders>
              <w:bottom w:val="single" w:sz="8" w:color="336C91"/>
            </w:tcBorders>
          </w:tcPr>
          <w:p>
            <w:pPr>
              <w:jc w:val="right"/>
              <w:ind w:right="68"/>
              <w:spacing w:after="0"/>
              <w:rPr>
                <w:sz w:val="20"/>
                <w:szCs w:val="20"/>
                <w:color w:val="auto"/>
              </w:rPr>
            </w:pPr>
            <w:r>
              <w:rPr>
                <w:rFonts w:ascii="Arial" w:cs="Arial" w:eastAsia="Arial" w:hAnsi="Arial"/>
                <w:sz w:val="14"/>
                <w:szCs w:val="14"/>
                <w:color w:val="auto"/>
              </w:rPr>
              <w:t>28,070,418</w:t>
            </w:r>
          </w:p>
        </w:tc>
        <w:tc>
          <w:tcPr>
            <w:tcW w:w="720" w:type="dxa"/>
            <w:vAlign w:val="bottom"/>
            <w:tcBorders>
              <w:bottom w:val="single" w:sz="8" w:color="336C91"/>
            </w:tcBorders>
          </w:tcPr>
          <w:p>
            <w:pPr>
              <w:spacing w:after="0"/>
              <w:rPr>
                <w:sz w:val="17"/>
                <w:szCs w:val="17"/>
                <w:color w:val="auto"/>
              </w:rPr>
            </w:pPr>
          </w:p>
        </w:tc>
        <w:tc>
          <w:tcPr>
            <w:tcW w:w="60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336C91"/>
            </w:tcBorders>
          </w:tcPr>
          <w:p>
            <w:pPr>
              <w:spacing w:after="0"/>
              <w:rPr>
                <w:sz w:val="17"/>
                <w:szCs w:val="17"/>
                <w:color w:val="auto"/>
              </w:rPr>
            </w:pPr>
          </w:p>
        </w:tc>
        <w:tc>
          <w:tcPr>
            <w:tcW w:w="40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2880" w:type="dxa"/>
            <w:vAlign w:val="bottom"/>
          </w:tcPr>
          <w:p>
            <w:pPr>
              <w:ind w:left="460"/>
              <w:spacing w:after="0"/>
              <w:rPr>
                <w:sz w:val="20"/>
                <w:szCs w:val="20"/>
                <w:color w:val="auto"/>
              </w:rPr>
            </w:pPr>
            <w:r>
              <w:rPr>
                <w:rFonts w:ascii="Arial" w:cs="Arial" w:eastAsia="Arial" w:hAnsi="Arial"/>
                <w:sz w:val="14"/>
                <w:szCs w:val="14"/>
                <w:color w:val="auto"/>
              </w:rPr>
              <w:t>Severance and other</w:t>
            </w:r>
          </w:p>
        </w:tc>
        <w:tc>
          <w:tcPr>
            <w:tcW w:w="300" w:type="dxa"/>
            <w:vAlign w:val="bottom"/>
          </w:tcPr>
          <w:p>
            <w:pPr>
              <w:spacing w:after="0"/>
              <w:rPr>
                <w:sz w:val="19"/>
                <w:szCs w:val="19"/>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400,000</w:t>
            </w:r>
          </w:p>
        </w:tc>
        <w:tc>
          <w:tcPr>
            <w:tcW w:w="340" w:type="dxa"/>
            <w:vAlign w:val="bottom"/>
          </w:tcPr>
          <w:p>
            <w:pPr>
              <w:spacing w:after="0"/>
              <w:rPr>
                <w:sz w:val="19"/>
                <w:szCs w:val="19"/>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880" w:type="dxa"/>
            <w:vAlign w:val="bottom"/>
          </w:tcPr>
          <w:p>
            <w:pPr>
              <w:ind w:left="460"/>
              <w:spacing w:after="0"/>
              <w:rPr>
                <w:sz w:val="20"/>
                <w:szCs w:val="20"/>
                <w:color w:val="auto"/>
              </w:rPr>
            </w:pPr>
            <w:r>
              <w:rPr>
                <w:rFonts w:ascii="Arial" w:cs="Arial" w:eastAsia="Arial" w:hAnsi="Arial"/>
                <w:sz w:val="14"/>
                <w:szCs w:val="14"/>
                <w:color w:val="auto"/>
              </w:rPr>
              <w:t>Stock awards</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15,648,779</w:t>
            </w:r>
          </w:p>
        </w:tc>
        <w:tc>
          <w:tcPr>
            <w:tcW w:w="34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15,648,779</w:t>
            </w: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15,648,779</w:t>
            </w:r>
          </w:p>
        </w:tc>
        <w:tc>
          <w:tcPr>
            <w:tcW w:w="7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040" w:type="dxa"/>
            <w:vAlign w:val="bottom"/>
            <w:tcBorders>
              <w:bottom w:val="single" w:sz="8" w:color="336C91"/>
            </w:tcBorders>
          </w:tcPr>
          <w:p>
            <w:pPr>
              <w:spacing w:after="0"/>
              <w:rPr>
                <w:sz w:val="17"/>
                <w:szCs w:val="17"/>
                <w:color w:val="auto"/>
              </w:rPr>
            </w:pPr>
          </w:p>
        </w:tc>
        <w:tc>
          <w:tcPr>
            <w:tcW w:w="2880" w:type="dxa"/>
            <w:vAlign w:val="bottom"/>
            <w:tcBorders>
              <w:bottom w:val="single" w:sz="8" w:color="336C91"/>
            </w:tcBorders>
          </w:tcPr>
          <w:p>
            <w:pPr>
              <w:ind w:left="460"/>
              <w:spacing w:after="0" w:line="201" w:lineRule="exact"/>
              <w:rPr>
                <w:sz w:val="20"/>
                <w:szCs w:val="20"/>
                <w:color w:val="auto"/>
              </w:rPr>
            </w:pPr>
            <w:r>
              <w:rPr>
                <w:rFonts w:ascii="Arial" w:cs="Arial" w:eastAsia="Arial" w:hAnsi="Arial"/>
                <w:sz w:val="14"/>
                <w:szCs w:val="14"/>
                <w:color w:val="auto"/>
              </w:rPr>
              <w:t>Performance share units</w:t>
            </w:r>
            <w:r>
              <w:rPr>
                <w:rFonts w:ascii="Arial" w:cs="Arial" w:eastAsia="Arial" w:hAnsi="Arial"/>
                <w:sz w:val="23"/>
                <w:szCs w:val="23"/>
                <w:color w:val="auto"/>
                <w:vertAlign w:val="superscript"/>
              </w:rPr>
              <w:t>6</w:t>
            </w:r>
          </w:p>
        </w:tc>
        <w:tc>
          <w:tcPr>
            <w:tcW w:w="300" w:type="dxa"/>
            <w:vAlign w:val="bottom"/>
            <w:tcBorders>
              <w:bottom w:val="single" w:sz="8" w:color="336C91"/>
            </w:tcBorders>
          </w:tcPr>
          <w:p>
            <w:pPr>
              <w:spacing w:after="0"/>
              <w:rPr>
                <w:sz w:val="17"/>
                <w:szCs w:val="17"/>
                <w:color w:val="auto"/>
              </w:rPr>
            </w:pPr>
          </w:p>
        </w:tc>
        <w:tc>
          <w:tcPr>
            <w:tcW w:w="940" w:type="dxa"/>
            <w:vAlign w:val="bottom"/>
            <w:tcBorders>
              <w:bottom w:val="single" w:sz="8" w:color="336C91"/>
            </w:tcBorders>
          </w:tcPr>
          <w:p>
            <w:pPr>
              <w:jc w:val="right"/>
              <w:ind w:right="28"/>
              <w:spacing w:after="0"/>
              <w:rPr>
                <w:sz w:val="20"/>
                <w:szCs w:val="20"/>
                <w:color w:val="auto"/>
              </w:rPr>
            </w:pPr>
            <w:r>
              <w:rPr>
                <w:rFonts w:ascii="Arial" w:cs="Arial" w:eastAsia="Arial" w:hAnsi="Arial"/>
                <w:sz w:val="14"/>
                <w:szCs w:val="14"/>
                <w:color w:val="auto"/>
              </w:rPr>
              <w:t>28,735,106</w:t>
            </w:r>
          </w:p>
        </w:tc>
        <w:tc>
          <w:tcPr>
            <w:tcW w:w="340" w:type="dxa"/>
            <w:vAlign w:val="bottom"/>
            <w:tcBorders>
              <w:bottom w:val="single" w:sz="8" w:color="336C91"/>
            </w:tcBorders>
          </w:tcPr>
          <w:p>
            <w:pPr>
              <w:spacing w:after="0"/>
              <w:rPr>
                <w:sz w:val="17"/>
                <w:szCs w:val="17"/>
                <w:color w:val="auto"/>
              </w:rPr>
            </w:pPr>
          </w:p>
        </w:tc>
        <w:tc>
          <w:tcPr>
            <w:tcW w:w="98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28,735,106</w:t>
            </w:r>
          </w:p>
        </w:tc>
        <w:tc>
          <w:tcPr>
            <w:tcW w:w="220" w:type="dxa"/>
            <w:vAlign w:val="bottom"/>
            <w:tcBorders>
              <w:bottom w:val="single" w:sz="8" w:color="336C91"/>
            </w:tcBorders>
          </w:tcPr>
          <w:p>
            <w:pPr>
              <w:spacing w:after="0"/>
              <w:rPr>
                <w:sz w:val="17"/>
                <w:szCs w:val="17"/>
                <w:color w:val="auto"/>
              </w:rPr>
            </w:pPr>
          </w:p>
        </w:tc>
        <w:tc>
          <w:tcPr>
            <w:tcW w:w="1120" w:type="dxa"/>
            <w:vAlign w:val="bottom"/>
            <w:tcBorders>
              <w:bottom w:val="single" w:sz="8" w:color="336C91"/>
            </w:tcBorders>
          </w:tcPr>
          <w:p>
            <w:pPr>
              <w:jc w:val="right"/>
              <w:ind w:right="68"/>
              <w:spacing w:after="0"/>
              <w:rPr>
                <w:sz w:val="20"/>
                <w:szCs w:val="20"/>
                <w:color w:val="auto"/>
              </w:rPr>
            </w:pPr>
            <w:r>
              <w:rPr>
                <w:rFonts w:ascii="Arial" w:cs="Arial" w:eastAsia="Arial" w:hAnsi="Arial"/>
                <w:sz w:val="14"/>
                <w:szCs w:val="14"/>
                <w:color w:val="auto"/>
              </w:rPr>
              <w:t>28,735,106</w:t>
            </w:r>
          </w:p>
        </w:tc>
        <w:tc>
          <w:tcPr>
            <w:tcW w:w="720" w:type="dxa"/>
            <w:vAlign w:val="bottom"/>
            <w:tcBorders>
              <w:bottom w:val="single" w:sz="8" w:color="336C91"/>
            </w:tcBorders>
          </w:tcPr>
          <w:p>
            <w:pPr>
              <w:spacing w:after="0"/>
              <w:rPr>
                <w:sz w:val="17"/>
                <w:szCs w:val="17"/>
                <w:color w:val="auto"/>
              </w:rPr>
            </w:pPr>
          </w:p>
        </w:tc>
        <w:tc>
          <w:tcPr>
            <w:tcW w:w="60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336C91"/>
            </w:tcBorders>
          </w:tcPr>
          <w:p>
            <w:pPr>
              <w:spacing w:after="0"/>
              <w:rPr>
                <w:sz w:val="17"/>
                <w:szCs w:val="17"/>
                <w:color w:val="auto"/>
              </w:rPr>
            </w:pPr>
          </w:p>
        </w:tc>
        <w:tc>
          <w:tcPr>
            <w:tcW w:w="40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2880" w:type="dxa"/>
            <w:vAlign w:val="bottom"/>
          </w:tcPr>
          <w:p>
            <w:pPr>
              <w:ind w:left="460"/>
              <w:spacing w:after="0"/>
              <w:rPr>
                <w:sz w:val="20"/>
                <w:szCs w:val="20"/>
                <w:color w:val="auto"/>
              </w:rPr>
            </w:pPr>
            <w:r>
              <w:rPr>
                <w:rFonts w:ascii="Arial" w:cs="Arial" w:eastAsia="Arial" w:hAnsi="Arial"/>
                <w:sz w:val="14"/>
                <w:szCs w:val="14"/>
                <w:color w:val="auto"/>
              </w:rPr>
              <w:t>Severance and other</w:t>
            </w:r>
          </w:p>
        </w:tc>
        <w:tc>
          <w:tcPr>
            <w:tcW w:w="300" w:type="dxa"/>
            <w:vAlign w:val="bottom"/>
          </w:tcPr>
          <w:p>
            <w:pPr>
              <w:spacing w:after="0"/>
              <w:rPr>
                <w:sz w:val="19"/>
                <w:szCs w:val="19"/>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348,304</w:t>
            </w:r>
          </w:p>
        </w:tc>
        <w:tc>
          <w:tcPr>
            <w:tcW w:w="340" w:type="dxa"/>
            <w:vAlign w:val="bottom"/>
          </w:tcPr>
          <w:p>
            <w:pPr>
              <w:spacing w:after="0"/>
              <w:rPr>
                <w:sz w:val="19"/>
                <w:szCs w:val="19"/>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9"/>
                <w:szCs w:val="19"/>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880" w:type="dxa"/>
            <w:vAlign w:val="bottom"/>
          </w:tcPr>
          <w:p>
            <w:pPr>
              <w:ind w:left="460"/>
              <w:spacing w:after="0"/>
              <w:rPr>
                <w:sz w:val="20"/>
                <w:szCs w:val="20"/>
                <w:color w:val="auto"/>
              </w:rPr>
            </w:pPr>
            <w:r>
              <w:rPr>
                <w:rFonts w:ascii="Arial" w:cs="Arial" w:eastAsia="Arial" w:hAnsi="Arial"/>
                <w:sz w:val="14"/>
                <w:szCs w:val="14"/>
                <w:color w:val="auto"/>
              </w:rPr>
              <w:t>Stock awards</w:t>
            </w:r>
          </w:p>
        </w:tc>
        <w:tc>
          <w:tcPr>
            <w:tcW w:w="3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10,033,091</w:t>
            </w:r>
          </w:p>
        </w:tc>
        <w:tc>
          <w:tcPr>
            <w:tcW w:w="340" w:type="dxa"/>
            <w:vAlign w:val="bottom"/>
          </w:tcPr>
          <w:p>
            <w:pPr>
              <w:spacing w:after="0"/>
              <w:rPr>
                <w:sz w:val="18"/>
                <w:szCs w:val="18"/>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10,033,091</w:t>
            </w: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10,033,091</w:t>
            </w:r>
          </w:p>
        </w:tc>
        <w:tc>
          <w:tcPr>
            <w:tcW w:w="72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040" w:type="dxa"/>
            <w:vAlign w:val="bottom"/>
            <w:tcBorders>
              <w:bottom w:val="single" w:sz="8" w:color="336C91"/>
            </w:tcBorders>
          </w:tcPr>
          <w:p>
            <w:pPr>
              <w:spacing w:after="0"/>
              <w:rPr>
                <w:sz w:val="17"/>
                <w:szCs w:val="17"/>
                <w:color w:val="auto"/>
              </w:rPr>
            </w:pPr>
          </w:p>
        </w:tc>
        <w:tc>
          <w:tcPr>
            <w:tcW w:w="2880" w:type="dxa"/>
            <w:vAlign w:val="bottom"/>
            <w:tcBorders>
              <w:bottom w:val="single" w:sz="8" w:color="336C91"/>
            </w:tcBorders>
          </w:tcPr>
          <w:p>
            <w:pPr>
              <w:ind w:left="460"/>
              <w:spacing w:after="0" w:line="201" w:lineRule="exact"/>
              <w:rPr>
                <w:sz w:val="20"/>
                <w:szCs w:val="20"/>
                <w:color w:val="auto"/>
              </w:rPr>
            </w:pPr>
            <w:r>
              <w:rPr>
                <w:rFonts w:ascii="Arial" w:cs="Arial" w:eastAsia="Arial" w:hAnsi="Arial"/>
                <w:sz w:val="14"/>
                <w:szCs w:val="14"/>
                <w:color w:val="auto"/>
              </w:rPr>
              <w:t>Performance share units</w:t>
            </w:r>
            <w:r>
              <w:rPr>
                <w:rFonts w:ascii="Arial" w:cs="Arial" w:eastAsia="Arial" w:hAnsi="Arial"/>
                <w:sz w:val="23"/>
                <w:szCs w:val="23"/>
                <w:color w:val="auto"/>
                <w:vertAlign w:val="superscript"/>
              </w:rPr>
              <w:t>6</w:t>
            </w:r>
          </w:p>
        </w:tc>
        <w:tc>
          <w:tcPr>
            <w:tcW w:w="300" w:type="dxa"/>
            <w:vAlign w:val="bottom"/>
            <w:tcBorders>
              <w:bottom w:val="single" w:sz="8" w:color="336C91"/>
            </w:tcBorders>
          </w:tcPr>
          <w:p>
            <w:pPr>
              <w:spacing w:after="0"/>
              <w:rPr>
                <w:sz w:val="17"/>
                <w:szCs w:val="17"/>
                <w:color w:val="auto"/>
              </w:rPr>
            </w:pPr>
          </w:p>
        </w:tc>
        <w:tc>
          <w:tcPr>
            <w:tcW w:w="940" w:type="dxa"/>
            <w:vAlign w:val="bottom"/>
            <w:tcBorders>
              <w:bottom w:val="single" w:sz="8" w:color="336C91"/>
            </w:tcBorders>
          </w:tcPr>
          <w:p>
            <w:pPr>
              <w:jc w:val="right"/>
              <w:ind w:right="28"/>
              <w:spacing w:after="0"/>
              <w:rPr>
                <w:sz w:val="20"/>
                <w:szCs w:val="20"/>
                <w:color w:val="auto"/>
              </w:rPr>
            </w:pPr>
            <w:r>
              <w:rPr>
                <w:rFonts w:ascii="Arial" w:cs="Arial" w:eastAsia="Arial" w:hAnsi="Arial"/>
                <w:sz w:val="14"/>
                <w:szCs w:val="14"/>
                <w:color w:val="auto"/>
              </w:rPr>
              <w:t>18,009,091</w:t>
            </w:r>
          </w:p>
        </w:tc>
        <w:tc>
          <w:tcPr>
            <w:tcW w:w="340" w:type="dxa"/>
            <w:vAlign w:val="bottom"/>
            <w:tcBorders>
              <w:bottom w:val="single" w:sz="8" w:color="336C91"/>
            </w:tcBorders>
          </w:tcPr>
          <w:p>
            <w:pPr>
              <w:spacing w:after="0"/>
              <w:rPr>
                <w:sz w:val="17"/>
                <w:szCs w:val="17"/>
                <w:color w:val="auto"/>
              </w:rPr>
            </w:pPr>
          </w:p>
        </w:tc>
        <w:tc>
          <w:tcPr>
            <w:tcW w:w="98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18,009,091</w:t>
            </w:r>
          </w:p>
        </w:tc>
        <w:tc>
          <w:tcPr>
            <w:tcW w:w="220" w:type="dxa"/>
            <w:vAlign w:val="bottom"/>
            <w:tcBorders>
              <w:bottom w:val="single" w:sz="8" w:color="336C91"/>
            </w:tcBorders>
          </w:tcPr>
          <w:p>
            <w:pPr>
              <w:spacing w:after="0"/>
              <w:rPr>
                <w:sz w:val="17"/>
                <w:szCs w:val="17"/>
                <w:color w:val="auto"/>
              </w:rPr>
            </w:pPr>
          </w:p>
        </w:tc>
        <w:tc>
          <w:tcPr>
            <w:tcW w:w="1120" w:type="dxa"/>
            <w:vAlign w:val="bottom"/>
            <w:tcBorders>
              <w:bottom w:val="single" w:sz="8" w:color="336C91"/>
            </w:tcBorders>
          </w:tcPr>
          <w:p>
            <w:pPr>
              <w:jc w:val="right"/>
              <w:ind w:right="68"/>
              <w:spacing w:after="0"/>
              <w:rPr>
                <w:sz w:val="20"/>
                <w:szCs w:val="20"/>
                <w:color w:val="auto"/>
              </w:rPr>
            </w:pPr>
            <w:r>
              <w:rPr>
                <w:rFonts w:ascii="Arial" w:cs="Arial" w:eastAsia="Arial" w:hAnsi="Arial"/>
                <w:sz w:val="14"/>
                <w:szCs w:val="14"/>
                <w:color w:val="auto"/>
              </w:rPr>
              <w:t>18,009,091</w:t>
            </w:r>
          </w:p>
        </w:tc>
        <w:tc>
          <w:tcPr>
            <w:tcW w:w="720" w:type="dxa"/>
            <w:vAlign w:val="bottom"/>
            <w:tcBorders>
              <w:bottom w:val="single" w:sz="8" w:color="336C91"/>
            </w:tcBorders>
          </w:tcPr>
          <w:p>
            <w:pPr>
              <w:spacing w:after="0"/>
              <w:rPr>
                <w:sz w:val="17"/>
                <w:szCs w:val="17"/>
                <w:color w:val="auto"/>
              </w:rPr>
            </w:pPr>
          </w:p>
        </w:tc>
        <w:tc>
          <w:tcPr>
            <w:tcW w:w="600" w:type="dxa"/>
            <w:vAlign w:val="bottom"/>
            <w:tcBorders>
              <w:bottom w:val="single" w:sz="8" w:color="336C91"/>
            </w:tcBorders>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336C91"/>
            </w:tcBorders>
          </w:tcPr>
          <w:p>
            <w:pPr>
              <w:spacing w:after="0"/>
              <w:rPr>
                <w:sz w:val="17"/>
                <w:szCs w:val="17"/>
                <w:color w:val="auto"/>
              </w:rPr>
            </w:pPr>
          </w:p>
        </w:tc>
        <w:tc>
          <w:tcPr>
            <w:tcW w:w="400" w:type="dxa"/>
            <w:vAlign w:val="bottom"/>
            <w:tcBorders>
              <w:bottom w:val="single" w:sz="8" w:color="336C91"/>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20" w:right="60" w:hanging="176"/>
        <w:spacing w:after="0" w:line="183" w:lineRule="auto"/>
        <w:tabs>
          <w:tab w:leader="none" w:pos="420" w:val="left"/>
        </w:tabs>
        <w:numPr>
          <w:ilvl w:val="0"/>
          <w:numId w:val="153"/>
        </w:numPr>
        <w:rPr>
          <w:rFonts w:ascii="Arial" w:cs="Arial" w:eastAsia="Arial" w:hAnsi="Arial"/>
          <w:sz w:val="24"/>
          <w:szCs w:val="24"/>
          <w:color w:val="auto"/>
          <w:vertAlign w:val="superscript"/>
        </w:rPr>
      </w:pPr>
      <w:r>
        <w:rPr>
          <w:rFonts w:ascii="Arial" w:cs="Arial" w:eastAsia="Arial" w:hAnsi="Arial"/>
          <w:sz w:val="14"/>
          <w:szCs w:val="14"/>
          <w:color w:val="auto"/>
        </w:rPr>
        <w:t>“Stock awards” and “Performance share units” refer to previously granted, outstanding equity awards. NEOs are not entitled to any additional equity awards in connection with a potential termination.</w:t>
      </w:r>
    </w:p>
    <w:p>
      <w:pPr>
        <w:spacing w:after="0" w:line="58" w:lineRule="exact"/>
        <w:rPr>
          <w:sz w:val="20"/>
          <w:szCs w:val="20"/>
          <w:color w:val="auto"/>
        </w:rPr>
      </w:pPr>
    </w:p>
    <w:p>
      <w:pPr>
        <w:ind w:left="420" w:right="40" w:hanging="176"/>
        <w:spacing w:after="0" w:line="214" w:lineRule="auto"/>
        <w:tabs>
          <w:tab w:leader="none" w:pos="420" w:val="left"/>
        </w:tabs>
        <w:numPr>
          <w:ilvl w:val="0"/>
          <w:numId w:val="154"/>
        </w:numPr>
        <w:rPr>
          <w:rFonts w:ascii="Arial" w:cs="Arial" w:eastAsia="Arial" w:hAnsi="Arial"/>
          <w:sz w:val="24"/>
          <w:szCs w:val="24"/>
          <w:color w:val="auto"/>
          <w:vertAlign w:val="superscript"/>
        </w:rPr>
      </w:pPr>
      <w:r>
        <w:rPr>
          <w:rFonts w:ascii="Arial" w:cs="Arial" w:eastAsia="Arial" w:hAnsi="Arial"/>
          <w:sz w:val="14"/>
          <w:szCs w:val="14"/>
          <w:color w:val="auto"/>
        </w:rPr>
        <w:t>Involuntary terminations without cause include involuntary terminations due to redundancies and involuntary terminations without alternative employment. For “Severance and other”, amounts shown represent severance under the Firm’s broad-based U.S. Severance Pay Plan, or the U.K. Discretionary Redundancy Policy in the case of Mr. Pinto and Ms. Lake. Base salary greater than $400,000 per year, or £275,000 in the case of Mr. Pinto and Ms. Lake, is disregarded for purposes of determining severance amounts. The rate used to convert Mr. Pinto’s and Ms. Lake’s eligible severance to U.S. dollars was the blended spot rate for the month of December 2018, which was $1.26656 U.S. dollars per pound sterling.</w:t>
      </w:r>
    </w:p>
    <w:p>
      <w:pPr>
        <w:spacing w:after="0" w:line="58" w:lineRule="exact"/>
        <w:rPr>
          <w:sz w:val="20"/>
          <w:szCs w:val="20"/>
          <w:color w:val="auto"/>
        </w:rPr>
      </w:pPr>
    </w:p>
    <w:p>
      <w:pPr>
        <w:ind w:left="420" w:right="380" w:hanging="176"/>
        <w:spacing w:after="0" w:line="183" w:lineRule="auto"/>
        <w:tabs>
          <w:tab w:leader="none" w:pos="420" w:val="left"/>
        </w:tabs>
        <w:numPr>
          <w:ilvl w:val="0"/>
          <w:numId w:val="155"/>
        </w:numPr>
        <w:rPr>
          <w:rFonts w:ascii="Arial" w:cs="Arial" w:eastAsia="Arial" w:hAnsi="Arial"/>
          <w:sz w:val="24"/>
          <w:szCs w:val="24"/>
          <w:color w:val="auto"/>
          <w:vertAlign w:val="superscript"/>
        </w:rPr>
      </w:pPr>
      <w:r>
        <w:rPr>
          <w:rFonts w:ascii="Arial" w:cs="Arial" w:eastAsia="Arial" w:hAnsi="Arial"/>
          <w:sz w:val="14"/>
          <w:szCs w:val="14"/>
          <w:color w:val="auto"/>
        </w:rPr>
        <w:t>Vesting restrictions on stock awards and PSU awards lapse immediately upon death. In the case of disability, stock awards continue to vest pursuant to their original vesting schedule.</w:t>
      </w:r>
    </w:p>
    <w:p>
      <w:pPr>
        <w:spacing w:after="0" w:line="58" w:lineRule="exact"/>
        <w:rPr>
          <w:sz w:val="20"/>
          <w:szCs w:val="20"/>
          <w:color w:val="auto"/>
        </w:rPr>
      </w:pPr>
    </w:p>
    <w:p>
      <w:pPr>
        <w:ind w:left="420" w:right="360" w:hanging="176"/>
        <w:spacing w:after="0" w:line="214" w:lineRule="auto"/>
        <w:tabs>
          <w:tab w:leader="none" w:pos="420" w:val="left"/>
        </w:tabs>
        <w:numPr>
          <w:ilvl w:val="0"/>
          <w:numId w:val="156"/>
        </w:numPr>
        <w:rPr>
          <w:rFonts w:ascii="Arial" w:cs="Arial" w:eastAsia="Arial" w:hAnsi="Arial"/>
          <w:sz w:val="24"/>
          <w:szCs w:val="24"/>
          <w:color w:val="auto"/>
          <w:vertAlign w:val="superscript"/>
        </w:rPr>
      </w:pPr>
      <w:r>
        <w:rPr>
          <w:rFonts w:ascii="Arial" w:cs="Arial" w:eastAsia="Arial" w:hAnsi="Arial"/>
          <w:sz w:val="14"/>
          <w:szCs w:val="14"/>
          <w:color w:val="auto"/>
        </w:rPr>
        <w:t>For employees in good standing who have resigned and have met full-career eligibility or other acceptable criteria, awards continue to vest over time on their original schedule, provided that the employees, for the remainder of the vesting period, do not perform services for a financial services company or work in their profession (whether or not for a financial services company); provided that employees may work for a government, education or not-for-profit organization. The awards shown represent RSUs and PSUs that would continue to vest because the Named Executive Officers have met the full-career eligibility criteria. The awards are subject to continuing post-employment obligations to the Firm during this period.</w:t>
      </w:r>
    </w:p>
    <w:p>
      <w:pPr>
        <w:spacing w:after="0" w:line="58" w:lineRule="exact"/>
        <w:rPr>
          <w:sz w:val="20"/>
          <w:szCs w:val="20"/>
          <w:color w:val="auto"/>
        </w:rPr>
      </w:pPr>
    </w:p>
    <w:p>
      <w:pPr>
        <w:ind w:left="420" w:right="20" w:hanging="176"/>
        <w:spacing w:after="0" w:line="199" w:lineRule="auto"/>
        <w:tabs>
          <w:tab w:leader="none" w:pos="420" w:val="left"/>
        </w:tabs>
        <w:numPr>
          <w:ilvl w:val="0"/>
          <w:numId w:val="157"/>
        </w:numPr>
        <w:rPr>
          <w:rFonts w:ascii="Arial" w:cs="Arial" w:eastAsia="Arial" w:hAnsi="Arial"/>
          <w:sz w:val="24"/>
          <w:szCs w:val="24"/>
          <w:color w:val="auto"/>
          <w:vertAlign w:val="superscript"/>
        </w:rPr>
      </w:pPr>
      <w:r>
        <w:rPr>
          <w:rFonts w:ascii="Arial" w:cs="Arial" w:eastAsia="Arial" w:hAnsi="Arial"/>
          <w:sz w:val="14"/>
          <w:szCs w:val="14"/>
          <w:color w:val="auto"/>
        </w:rPr>
        <w:t>The Government Office provision does not provide any benefit to employees who have met the full-career eligibility provision. Therefore, under the terms of the Government Office provision, Named Executive Officers would not receive any benefit upon termination since they meet the full-career eligibility provision entitling them to continued vesting of their equity awards (see preceding Note 4).</w:t>
      </w:r>
    </w:p>
    <w:p>
      <w:pPr>
        <w:spacing w:after="0" w:line="58" w:lineRule="exact"/>
        <w:rPr>
          <w:sz w:val="20"/>
          <w:szCs w:val="20"/>
          <w:color w:val="auto"/>
        </w:rPr>
      </w:pPr>
    </w:p>
    <w:p>
      <w:pPr>
        <w:ind w:left="420" w:right="80" w:hanging="176"/>
        <w:spacing w:after="0" w:line="183" w:lineRule="auto"/>
        <w:tabs>
          <w:tab w:leader="none" w:pos="420" w:val="left"/>
        </w:tabs>
        <w:numPr>
          <w:ilvl w:val="0"/>
          <w:numId w:val="158"/>
        </w:numPr>
        <w:rPr>
          <w:rFonts w:ascii="Arial" w:cs="Arial" w:eastAsia="Arial" w:hAnsi="Arial"/>
          <w:sz w:val="24"/>
          <w:szCs w:val="24"/>
          <w:color w:val="auto"/>
          <w:vertAlign w:val="superscript"/>
        </w:rPr>
      </w:pPr>
      <w:r>
        <w:rPr>
          <w:rFonts w:ascii="Arial" w:cs="Arial" w:eastAsia="Arial" w:hAnsi="Arial"/>
          <w:sz w:val="14"/>
          <w:szCs w:val="14"/>
          <w:color w:val="auto"/>
        </w:rPr>
        <w:t>Represents the value of PSUs granted on January 19, 2016, January 17, 2017 and January 16, 2018, assuming: (a) maximum payout related to 2016, 2017 and 2018 performance years; (b) target payout related to 2019 and 2020 performance years; and (c) accumulated reinvested dividend equivalent shares as of December 31, 2018.</w:t>
      </w:r>
    </w:p>
    <w:p>
      <w:pPr>
        <w:spacing w:after="0" w:line="12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74</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EXECUTIVE COMPENSATION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6997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2"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estimated median employee and the annual total compensation of Mr. Dimon, our Chairman and CEO.</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CEO pay ratio</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year ended December 31, 2018:</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annual total compensation of Mr. Dimon was $30,040,153</w:t>
      </w:r>
      <w:r>
        <w:rPr>
          <w:rFonts w:ascii="Arial" w:cs="Arial" w:eastAsia="Arial" w:hAnsi="Arial"/>
          <w:sz w:val="15"/>
          <w:szCs w:val="15"/>
          <w:color w:val="auto"/>
        </w:rPr>
        <w:t>1</w:t>
      </w:r>
      <w:r>
        <w:rPr>
          <w:rFonts w:ascii="Arial" w:cs="Arial" w:eastAsia="Arial" w:hAnsi="Arial"/>
          <w:sz w:val="18"/>
          <w:szCs w:val="18"/>
          <w:color w:val="auto"/>
        </w:rPr>
        <w:t>, including Firm-paid employee benefits</w:t>
      </w:r>
    </w:p>
    <w:p>
      <w:pPr>
        <w:spacing w:after="0" w:line="130" w:lineRule="exact"/>
        <w:rPr>
          <w:sz w:val="20"/>
          <w:szCs w:val="20"/>
          <w:color w:val="auto"/>
        </w:rPr>
      </w:pPr>
    </w:p>
    <w:p>
      <w:pPr>
        <w:ind w:left="440" w:right="60"/>
        <w:spacing w:after="0" w:line="249" w:lineRule="auto"/>
        <w:rPr>
          <w:sz w:val="20"/>
          <w:szCs w:val="20"/>
          <w:color w:val="auto"/>
        </w:rPr>
      </w:pPr>
      <w:r>
        <w:rPr>
          <w:rFonts w:ascii="Arial" w:cs="Arial" w:eastAsia="Arial" w:hAnsi="Arial"/>
          <w:sz w:val="18"/>
          <w:szCs w:val="18"/>
          <w:color w:val="auto"/>
        </w:rPr>
        <w:t>The annual total compensation of our estimated median employee was $78,923, including Firm-paid employee benefits</w:t>
      </w:r>
      <w:r>
        <w:rPr>
          <w:rFonts w:ascii="Arial" w:cs="Arial" w:eastAsia="Arial" w:hAnsi="Arial"/>
          <w:sz w:val="15"/>
          <w:szCs w:val="15"/>
          <w:color w:val="auto"/>
        </w:rPr>
        <w:t>2</w:t>
      </w:r>
      <w:r>
        <w:rPr>
          <w:rFonts w:ascii="Arial" w:cs="Arial" w:eastAsia="Arial" w:hAnsi="Arial"/>
          <w:sz w:val="18"/>
          <w:szCs w:val="18"/>
          <w:color w:val="auto"/>
        </w:rPr>
        <w:t xml:space="preserve"> and change in pension value</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represents a ratio of 381 to 1</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Identifying our median employee</w:t>
      </w:r>
    </w:p>
    <w:p>
      <w:pPr>
        <w:spacing w:after="0" w:line="18"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For our disclosure in the 2018 proxy statement, we identified our estimated median employee using gross taxable payroll compensation as reported to our employees’ respective national governments for the year ended December 31, 2017, i.e. Form W-2 gross taxable wages Box 1 for U.S. employees. We annualized the salary portion of the compensation for employees who were hired during 2017; however we did not make any full-time equivalent adjustments to part-time, temporary and seasonal employees. We did not apply any cost-of-living adjustments as part of the calculation. In determining the scope of our employees (other than our CEO), we included our Top 10 most populous countries, representing 246,485 employees or 97% of our 253,500 global</w:t>
      </w:r>
      <w:r>
        <w:rPr>
          <w:rFonts w:ascii="Arial" w:cs="Arial" w:eastAsia="Arial" w:hAnsi="Arial"/>
          <w:sz w:val="15"/>
          <w:szCs w:val="15"/>
          <w:color w:val="auto"/>
        </w:rPr>
        <w:t>3</w:t>
      </w:r>
      <w:r>
        <w:rPr>
          <w:rFonts w:ascii="Arial" w:cs="Arial" w:eastAsia="Arial" w:hAnsi="Arial"/>
          <w:sz w:val="18"/>
          <w:szCs w:val="18"/>
          <w:color w:val="auto"/>
        </w:rPr>
        <w:t xml:space="preserve"> full-time, part-time, temporary and seasonal employees who were employed as of December 31, 2017.</w:t>
      </w:r>
    </w:p>
    <w:p>
      <w:pPr>
        <w:spacing w:after="0" w:line="95"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The estimated median employee we used for last year’s disclosure left the Firm in 2018. Apart from that, we believe there were no other changes in our employee population or employee compensation arrangements that would have resulted in a material change to our CEO pay ratio disclosure. Therefore, for this year’s disclosure, we have substituted that employee with another employee who was determined using the same methodology and the same employee population as last year’s estimated median employee. This year’s estimated median employee’s 2017 annual total compensation of $77,600 was substantially similar to the $77,799 annual total compensation paid to last year’s estimated median employee.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Comparability</w:t>
      </w:r>
    </w:p>
    <w:p>
      <w:pPr>
        <w:spacing w:after="0" w:line="18"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We believe the ratio above is a reasonable estimate, based on the methodology we have described. Given the different methodologies, exclusions, estimates and assumptions other companies may use to calculate their respective CEO pay ratios, as well as differences in employment and compensation practices between companies, the estimated ratio reported above may not be comparable to that reported by other companies.</w:t>
      </w:r>
    </w:p>
    <w:p>
      <w:pPr>
        <w:spacing w:after="0" w:line="113" w:lineRule="exact"/>
        <w:rPr>
          <w:sz w:val="20"/>
          <w:szCs w:val="20"/>
          <w:color w:val="auto"/>
        </w:rPr>
      </w:pPr>
    </w:p>
    <w:p>
      <w:pPr>
        <w:ind w:left="320" w:right="820" w:hanging="116"/>
        <w:spacing w:after="0" w:line="188" w:lineRule="auto"/>
        <w:tabs>
          <w:tab w:leader="none" w:pos="320" w:val="left"/>
        </w:tabs>
        <w:numPr>
          <w:ilvl w:val="0"/>
          <w:numId w:val="160"/>
        </w:numPr>
        <w:rPr>
          <w:rFonts w:ascii="Arial" w:cs="Arial" w:eastAsia="Arial" w:hAnsi="Arial"/>
          <w:sz w:val="22"/>
          <w:szCs w:val="22"/>
          <w:color w:val="auto"/>
          <w:vertAlign w:val="superscript"/>
        </w:rPr>
      </w:pPr>
      <w:r>
        <w:rPr>
          <w:rFonts w:ascii="Arial" w:cs="Arial" w:eastAsia="Arial" w:hAnsi="Arial"/>
          <w:sz w:val="13"/>
          <w:szCs w:val="13"/>
          <w:color w:val="auto"/>
        </w:rPr>
        <w:t>For purposes of the CEO pay ratio disclosure, Mr. Dimon’s annual total compensation includes the amount reported in the “Total” column of the 2018 Summary Compensation Table on page 65, plus the value of Firm-paid healthcare benefits applicable to Mr. Dimon.</w:t>
      </w:r>
    </w:p>
    <w:p>
      <w:pPr>
        <w:ind w:left="320" w:hanging="116"/>
        <w:spacing w:after="0" w:line="189" w:lineRule="auto"/>
        <w:tabs>
          <w:tab w:leader="none" w:pos="320" w:val="left"/>
        </w:tabs>
        <w:numPr>
          <w:ilvl w:val="0"/>
          <w:numId w:val="161"/>
        </w:numPr>
        <w:rPr>
          <w:rFonts w:ascii="Arial" w:cs="Arial" w:eastAsia="Arial" w:hAnsi="Arial"/>
          <w:sz w:val="18"/>
          <w:szCs w:val="18"/>
          <w:color w:val="auto"/>
          <w:vertAlign w:val="superscript"/>
        </w:rPr>
      </w:pPr>
      <w:r>
        <w:rPr>
          <w:rFonts w:ascii="Arial" w:cs="Arial" w:eastAsia="Arial" w:hAnsi="Arial"/>
          <w:sz w:val="11"/>
          <w:szCs w:val="11"/>
          <w:color w:val="auto"/>
        </w:rPr>
        <w:t>The estimated median employee’s Firm-paid employee benefits include healthcare benefits and 401(k) retirement plan contributions.</w:t>
      </w:r>
    </w:p>
    <w:p>
      <w:pPr>
        <w:spacing w:after="0" w:line="8" w:lineRule="exact"/>
        <w:rPr>
          <w:sz w:val="20"/>
          <w:szCs w:val="20"/>
          <w:color w:val="auto"/>
        </w:rPr>
      </w:pPr>
    </w:p>
    <w:p>
      <w:pPr>
        <w:ind w:left="320" w:right="40" w:hanging="116"/>
        <w:spacing w:after="0" w:line="221" w:lineRule="auto"/>
        <w:tabs>
          <w:tab w:leader="none" w:pos="320" w:val="left"/>
        </w:tabs>
        <w:numPr>
          <w:ilvl w:val="0"/>
          <w:numId w:val="162"/>
        </w:numPr>
        <w:rPr>
          <w:rFonts w:ascii="Arial" w:cs="Arial" w:eastAsia="Arial" w:hAnsi="Arial"/>
          <w:sz w:val="24"/>
          <w:szCs w:val="24"/>
          <w:color w:val="auto"/>
          <w:vertAlign w:val="superscript"/>
        </w:rPr>
      </w:pPr>
      <w:r>
        <w:rPr>
          <w:rFonts w:ascii="Arial" w:cs="Arial" w:eastAsia="Arial" w:hAnsi="Arial"/>
          <w:sz w:val="14"/>
          <w:szCs w:val="14"/>
          <w:color w:val="auto"/>
        </w:rPr>
        <w:t>In 2017, the Firm employed people in 62 countries globally. Each of our Top 10 most populous countries employed 981 or more employees: United States; India; United Kingdom; Philippines; Hong Kong; Singapore; Argentina; Switzerland; Japan; and Australia. The 7,015 employees in the remaining 52 countries comprised less than 5% of our global employee population and were excluded. Five of the excluded countries employed between 500 and 1,000 employees: Brazil; China; Canada; Luxembourg; and Taiwan. Four of the excluded countries employed between 250 and 499 employees: Ireland; Germany; Mexico; and Republic of Korea. The remaining 43 countries employed up to 249 employees: France; Spain; Malaysia; Italy; South Africa; Russia; Chile; Bahamas; Indonesia; Thailand; Colombia; United Arab Emirates; Saudi Arabia; Israel; Turkey; Sweden; Netherlands; Vietnam; Peru; Belgium; Bahrain; Denmark; Norway; Poland; Jersey; New Zealand; Egypt; Austria; Nigeria; Pakistan; Finland; Guernsey; Mauritius; Lebanon; Portugal; Kazakhstan; Bangladesh; Panama; Sri Lanka; Uzbekistan; Venezuela; Greece; and Qatar.</w:t>
      </w:r>
    </w:p>
    <w:p>
      <w:pPr>
        <w:spacing w:after="0" w:line="12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75</w:t>
            </w:r>
          </w:p>
        </w:tc>
      </w:tr>
    </w:tbl>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EXECUTIVE COMPENSATION</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Security ownership of directors and executive officers</w:t>
      </w:r>
    </w:p>
    <w:p>
      <w:pPr>
        <w:sectPr>
          <w:pgSz w:w="11900" w:h="16838" w:orient="portrait"/>
          <w:cols w:equalWidth="0" w:num="1">
            <w:col w:w="11240"/>
          </w:cols>
          <w:pgMar w:left="240" w:top="459" w:right="419" w:bottom="1440" w:gutter="0" w:footer="0" w:header="0"/>
        </w:sectPr>
      </w:pPr>
    </w:p>
    <w:p>
      <w:pPr>
        <w:spacing w:after="0" w:line="18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Our share retention policies require share ownership for directors and executive officers, as described on pages 37 and 56, respectively, of this proxy statement.</w:t>
      </w:r>
    </w:p>
    <w:p>
      <w:pPr>
        <w:spacing w:after="0" w:line="9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following table shows the number of shares of common stock and common stock equivalents beneficially owned by each director, the current executive officers named in the Summary Compensation Table, and all directors and executive officers as a group as of February 28, 2019. Shares beneficially owned include shares that could have been acquired within 60 days after that date through the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exercise of stock options or SARs, and additional underlying stock units as described in Note 2 to the table. Unless otherwise indicated, each individual and member of the group has sole voting power and sole investment power with respect to shares owned. The number of shares beneficially owned, as defined by Rule 13d-3 under the Securities Exchange Act of 1934 — as of February 28, 2019, by all directors and executive officers as a group and by each director and NEO individually — is less than 1% of our outstanding common stock.</w:t>
      </w:r>
    </w:p>
    <w:p>
      <w:pPr>
        <w:spacing w:after="0" w:line="514" w:lineRule="exact"/>
        <w:rPr>
          <w:sz w:val="20"/>
          <w:szCs w:val="20"/>
          <w:color w:val="auto"/>
        </w:rPr>
      </w:pPr>
    </w:p>
    <w:p>
      <w:pPr>
        <w:sectPr>
          <w:pgSz w:w="11900" w:h="16838" w:orient="portrait"/>
          <w:cols w:equalWidth="0" w:num="2">
            <w:col w:w="5440" w:space="380"/>
            <w:col w:w="5420"/>
          </w:cols>
          <w:pgMar w:left="240" w:top="459" w:right="419" w:bottom="1440" w:gutter="0" w:footer="0" w:header="0"/>
          <w:type w:val="continuous"/>
        </w:sectPr>
      </w:pP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SECURITY OWNERSHIP</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1320" w:type="dxa"/>
            <w:vAlign w:val="bottom"/>
            <w:tcBorders>
              <w:bottom w:val="single" w:sz="8" w:color="004876"/>
            </w:tcBorders>
          </w:tcPr>
          <w:p>
            <w:pPr>
              <w:spacing w:after="0"/>
              <w:rPr>
                <w:sz w:val="17"/>
                <w:szCs w:val="17"/>
                <w:color w:val="auto"/>
              </w:rPr>
            </w:pPr>
          </w:p>
        </w:tc>
        <w:tc>
          <w:tcPr>
            <w:tcW w:w="1760" w:type="dxa"/>
            <w:vAlign w:val="bottom"/>
            <w:tcBorders>
              <w:bottom w:val="single" w:sz="8" w:color="004876"/>
            </w:tcBorders>
          </w:tcPr>
          <w:p>
            <w:pPr>
              <w:jc w:val="right"/>
              <w:ind w:right="8"/>
              <w:spacing w:after="0"/>
              <w:rPr>
                <w:sz w:val="20"/>
                <w:szCs w:val="20"/>
                <w:color w:val="auto"/>
              </w:rPr>
            </w:pPr>
            <w:r>
              <w:rPr>
                <w:rFonts w:ascii="Arial" w:cs="Arial" w:eastAsia="Arial" w:hAnsi="Arial"/>
                <w:sz w:val="14"/>
                <w:szCs w:val="14"/>
                <w:b w:val="1"/>
                <w:bCs w:val="1"/>
                <w:color w:val="auto"/>
              </w:rPr>
              <w:t>Beneficial ownership</w:t>
            </w:r>
          </w:p>
        </w:tc>
        <w:tc>
          <w:tcPr>
            <w:tcW w:w="1160" w:type="dxa"/>
            <w:vAlign w:val="bottom"/>
            <w:tcBorders>
              <w:bottom w:val="single" w:sz="8" w:color="004876"/>
            </w:tcBorders>
          </w:tcPr>
          <w:p>
            <w:pPr>
              <w:spacing w:after="0"/>
              <w:rPr>
                <w:sz w:val="17"/>
                <w:szCs w:val="17"/>
                <w:color w:val="auto"/>
              </w:rPr>
            </w:pPr>
          </w:p>
        </w:tc>
        <w:tc>
          <w:tcPr>
            <w:tcW w:w="17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49"/>
        </w:trPr>
        <w:tc>
          <w:tcPr>
            <w:tcW w:w="4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Options/SARs</w:t>
            </w:r>
          </w:p>
        </w:tc>
        <w:tc>
          <w:tcPr>
            <w:tcW w:w="1160" w:type="dxa"/>
            <w:vAlign w:val="bottom"/>
          </w:tcPr>
          <w:p>
            <w:pPr>
              <w:spacing w:after="0"/>
              <w:rPr>
                <w:sz w:val="12"/>
                <w:szCs w:val="12"/>
                <w:color w:val="auto"/>
              </w:rPr>
            </w:pPr>
          </w:p>
        </w:tc>
        <w:tc>
          <w:tcPr>
            <w:tcW w:w="17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Additional</w:t>
            </w:r>
          </w:p>
        </w:tc>
        <w:tc>
          <w:tcPr>
            <w:tcW w:w="1000" w:type="dxa"/>
            <w:vAlign w:val="bottom"/>
          </w:tcPr>
          <w:p>
            <w:pPr>
              <w:spacing w:after="0"/>
              <w:rPr>
                <w:sz w:val="12"/>
                <w:szCs w:val="12"/>
                <w:color w:val="auto"/>
              </w:rPr>
            </w:pPr>
          </w:p>
        </w:tc>
      </w:tr>
      <w:tr>
        <w:trPr>
          <w:trHeight w:val="159"/>
        </w:trPr>
        <w:tc>
          <w:tcPr>
            <w:tcW w:w="4060" w:type="dxa"/>
            <w:vAlign w:val="bottom"/>
          </w:tcPr>
          <w:p>
            <w:pPr>
              <w:spacing w:after="0"/>
              <w:rPr>
                <w:sz w:val="13"/>
                <w:szCs w:val="13"/>
                <w:color w:val="auto"/>
              </w:rPr>
            </w:pPr>
          </w:p>
        </w:tc>
        <w:tc>
          <w:tcPr>
            <w:tcW w:w="1320" w:type="dxa"/>
            <w:vAlign w:val="bottom"/>
          </w:tcPr>
          <w:p>
            <w:pPr>
              <w:jc w:val="right"/>
              <w:ind w:right="128"/>
              <w:spacing w:after="0" w:line="159" w:lineRule="exact"/>
              <w:rPr>
                <w:sz w:val="20"/>
                <w:szCs w:val="20"/>
                <w:color w:val="auto"/>
              </w:rPr>
            </w:pPr>
            <w:r>
              <w:rPr>
                <w:rFonts w:ascii="Arial" w:cs="Arial" w:eastAsia="Arial" w:hAnsi="Arial"/>
                <w:sz w:val="14"/>
                <w:szCs w:val="14"/>
                <w:b w:val="1"/>
                <w:bCs w:val="1"/>
                <w:color w:val="auto"/>
              </w:rPr>
              <w:t>Common</w:t>
            </w:r>
          </w:p>
        </w:tc>
        <w:tc>
          <w:tcPr>
            <w:tcW w:w="1760" w:type="dxa"/>
            <w:vAlign w:val="bottom"/>
          </w:tcPr>
          <w:p>
            <w:pPr>
              <w:jc w:val="right"/>
              <w:ind w:right="248"/>
              <w:spacing w:after="0" w:line="159" w:lineRule="exact"/>
              <w:rPr>
                <w:sz w:val="20"/>
                <w:szCs w:val="20"/>
                <w:color w:val="auto"/>
              </w:rPr>
            </w:pPr>
            <w:r>
              <w:rPr>
                <w:rFonts w:ascii="Arial" w:cs="Arial" w:eastAsia="Arial" w:hAnsi="Arial"/>
                <w:sz w:val="14"/>
                <w:szCs w:val="14"/>
                <w:b w:val="1"/>
                <w:bCs w:val="1"/>
                <w:color w:val="auto"/>
              </w:rPr>
              <w:t>exercisable within</w:t>
            </w:r>
          </w:p>
        </w:tc>
        <w:tc>
          <w:tcPr>
            <w:tcW w:w="11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Total beneficial</w:t>
            </w:r>
          </w:p>
        </w:tc>
        <w:tc>
          <w:tcPr>
            <w:tcW w:w="1720" w:type="dxa"/>
            <w:vAlign w:val="bottom"/>
          </w:tcPr>
          <w:p>
            <w:pPr>
              <w:jc w:val="right"/>
              <w:ind w:right="148"/>
              <w:spacing w:after="0" w:line="159" w:lineRule="exact"/>
              <w:rPr>
                <w:sz w:val="20"/>
                <w:szCs w:val="20"/>
                <w:color w:val="auto"/>
              </w:rPr>
            </w:pPr>
            <w:r>
              <w:rPr>
                <w:rFonts w:ascii="Arial" w:cs="Arial" w:eastAsia="Arial" w:hAnsi="Arial"/>
                <w:sz w:val="14"/>
                <w:szCs w:val="14"/>
                <w:b w:val="1"/>
                <w:bCs w:val="1"/>
                <w:color w:val="auto"/>
              </w:rPr>
              <w:t>underlying stock</w:t>
            </w:r>
          </w:p>
        </w:tc>
        <w:tc>
          <w:tcPr>
            <w:tcW w:w="1000" w:type="dxa"/>
            <w:vAlign w:val="bottom"/>
          </w:tcPr>
          <w:p>
            <w:pPr>
              <w:spacing w:after="0"/>
              <w:rPr>
                <w:sz w:val="13"/>
                <w:szCs w:val="13"/>
                <w:color w:val="auto"/>
              </w:rPr>
            </w:pPr>
          </w:p>
        </w:tc>
      </w:tr>
      <w:tr>
        <w:trPr>
          <w:trHeight w:val="192"/>
        </w:trPr>
        <w:tc>
          <w:tcPr>
            <w:tcW w:w="406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Name</w:t>
            </w:r>
          </w:p>
        </w:tc>
        <w:tc>
          <w:tcPr>
            <w:tcW w:w="1320" w:type="dxa"/>
            <w:vAlign w:val="bottom"/>
            <w:tcBorders>
              <w:bottom w:val="single" w:sz="8" w:color="004876"/>
            </w:tcBorders>
          </w:tcPr>
          <w:p>
            <w:pPr>
              <w:jc w:val="right"/>
              <w:ind w:right="128"/>
              <w:spacing w:after="0" w:line="192" w:lineRule="exact"/>
              <w:rPr>
                <w:sz w:val="20"/>
                <w:szCs w:val="20"/>
                <w:color w:val="auto"/>
              </w:rPr>
            </w:pPr>
            <w:r>
              <w:rPr>
                <w:rFonts w:ascii="Arial" w:cs="Arial" w:eastAsia="Arial" w:hAnsi="Arial"/>
                <w:sz w:val="13"/>
                <w:szCs w:val="13"/>
                <w:b w:val="1"/>
                <w:bCs w:val="1"/>
                <w:color w:val="auto"/>
              </w:rPr>
              <w:t>Stock (#)</w:t>
            </w:r>
            <w:r>
              <w:rPr>
                <w:rFonts w:ascii="Arial" w:cs="Arial" w:eastAsia="Arial" w:hAnsi="Arial"/>
                <w:sz w:val="22"/>
                <w:szCs w:val="22"/>
                <w:b w:val="1"/>
                <w:bCs w:val="1"/>
                <w:color w:val="auto"/>
                <w:vertAlign w:val="superscript"/>
              </w:rPr>
              <w:t>1</w:t>
            </w:r>
          </w:p>
        </w:tc>
        <w:tc>
          <w:tcPr>
            <w:tcW w:w="1760" w:type="dxa"/>
            <w:vAlign w:val="bottom"/>
            <w:tcBorders>
              <w:bottom w:val="single" w:sz="8" w:color="004876"/>
            </w:tcBorders>
          </w:tcPr>
          <w:p>
            <w:pPr>
              <w:jc w:val="right"/>
              <w:ind w:right="248"/>
              <w:spacing w:after="0"/>
              <w:rPr>
                <w:sz w:val="20"/>
                <w:szCs w:val="20"/>
                <w:color w:val="auto"/>
              </w:rPr>
            </w:pPr>
            <w:r>
              <w:rPr>
                <w:rFonts w:ascii="Arial" w:cs="Arial" w:eastAsia="Arial" w:hAnsi="Arial"/>
                <w:sz w:val="14"/>
                <w:szCs w:val="14"/>
                <w:b w:val="1"/>
                <w:bCs w:val="1"/>
                <w:color w:val="auto"/>
              </w:rPr>
              <w:t>60 days (#)</w:t>
            </w:r>
          </w:p>
        </w:tc>
        <w:tc>
          <w:tcPr>
            <w:tcW w:w="116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ownership (#)</w:t>
            </w:r>
          </w:p>
        </w:tc>
        <w:tc>
          <w:tcPr>
            <w:tcW w:w="1720" w:type="dxa"/>
            <w:vAlign w:val="bottom"/>
            <w:tcBorders>
              <w:bottom w:val="single" w:sz="8" w:color="004876"/>
            </w:tcBorders>
          </w:tcPr>
          <w:p>
            <w:pPr>
              <w:jc w:val="right"/>
              <w:ind w:right="148"/>
              <w:spacing w:after="0" w:line="192" w:lineRule="exact"/>
              <w:rPr>
                <w:sz w:val="20"/>
                <w:szCs w:val="20"/>
                <w:color w:val="auto"/>
              </w:rPr>
            </w:pPr>
            <w:r>
              <w:rPr>
                <w:rFonts w:ascii="Arial" w:cs="Arial" w:eastAsia="Arial" w:hAnsi="Arial"/>
                <w:sz w:val="13"/>
                <w:szCs w:val="13"/>
                <w:b w:val="1"/>
                <w:bCs w:val="1"/>
                <w:color w:val="auto"/>
              </w:rPr>
              <w:t>units (#)</w:t>
            </w:r>
            <w:r>
              <w:rPr>
                <w:rFonts w:ascii="Arial" w:cs="Arial" w:eastAsia="Arial" w:hAnsi="Arial"/>
                <w:sz w:val="22"/>
                <w:szCs w:val="22"/>
                <w:b w:val="1"/>
                <w:bCs w:val="1"/>
                <w:color w:val="auto"/>
                <w:vertAlign w:val="superscript"/>
              </w:rPr>
              <w:t>2</w:t>
            </w:r>
          </w:p>
        </w:tc>
        <w:tc>
          <w:tcPr>
            <w:tcW w:w="100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Total (#)</w:t>
            </w:r>
          </w:p>
        </w:tc>
      </w:tr>
      <w:tr>
        <w:trPr>
          <w:trHeight w:val="244"/>
        </w:trPr>
        <w:tc>
          <w:tcPr>
            <w:tcW w:w="4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Linda B. Bammann</w:t>
            </w:r>
          </w:p>
        </w:tc>
        <w:tc>
          <w:tcPr>
            <w:tcW w:w="132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65,986</w:t>
            </w:r>
          </w:p>
        </w:tc>
        <w:tc>
          <w:tcPr>
            <w:tcW w:w="1760" w:type="dxa"/>
            <w:vAlign w:val="bottom"/>
            <w:tcBorders>
              <w:bottom w:val="single" w:sz="8" w:color="E5E5E5"/>
            </w:tcBorders>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E5E5E5"/>
            </w:tcBorders>
            <w:shd w:val="clear" w:color="auto" w:fill="E5E5E5"/>
          </w:tcPr>
          <w:p>
            <w:pPr>
              <w:jc w:val="right"/>
              <w:ind w:right="228"/>
              <w:spacing w:after="0"/>
              <w:rPr>
                <w:sz w:val="20"/>
                <w:szCs w:val="20"/>
                <w:color w:val="auto"/>
              </w:rPr>
            </w:pPr>
            <w:r>
              <w:rPr>
                <w:rFonts w:ascii="Arial" w:cs="Arial" w:eastAsia="Arial" w:hAnsi="Arial"/>
                <w:sz w:val="14"/>
                <w:szCs w:val="14"/>
                <w:color w:val="auto"/>
              </w:rPr>
              <w:t>65,986</w:t>
            </w:r>
          </w:p>
        </w:tc>
        <w:tc>
          <w:tcPr>
            <w:tcW w:w="1720" w:type="dxa"/>
            <w:vAlign w:val="bottom"/>
            <w:tcBorders>
              <w:bottom w:val="single" w:sz="8" w:color="E5E5E5"/>
            </w:tcBorders>
            <w:shd w:val="clear" w:color="auto" w:fill="E5E5E5"/>
          </w:tcPr>
          <w:p>
            <w:pPr>
              <w:jc w:val="right"/>
              <w:ind w:right="388"/>
              <w:spacing w:after="0"/>
              <w:rPr>
                <w:sz w:val="20"/>
                <w:szCs w:val="20"/>
                <w:color w:val="auto"/>
              </w:rPr>
            </w:pPr>
            <w:r>
              <w:rPr>
                <w:rFonts w:ascii="Arial" w:cs="Arial" w:eastAsia="Arial" w:hAnsi="Arial"/>
                <w:sz w:val="14"/>
                <w:szCs w:val="14"/>
                <w:color w:val="auto"/>
              </w:rPr>
              <w:t>21,004</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86,990</w:t>
            </w:r>
          </w:p>
        </w:tc>
      </w:tr>
      <w:tr>
        <w:trPr>
          <w:trHeight w:val="231"/>
        </w:trPr>
        <w:tc>
          <w:tcPr>
            <w:tcW w:w="4060" w:type="dxa"/>
            <w:vAlign w:val="bottom"/>
          </w:tcPr>
          <w:p>
            <w:pPr>
              <w:ind w:left="60"/>
              <w:spacing w:after="0"/>
              <w:rPr>
                <w:sz w:val="20"/>
                <w:szCs w:val="20"/>
                <w:color w:val="auto"/>
              </w:rPr>
            </w:pPr>
            <w:r>
              <w:rPr>
                <w:rFonts w:ascii="Arial" w:cs="Arial" w:eastAsia="Arial" w:hAnsi="Arial"/>
                <w:sz w:val="14"/>
                <w:szCs w:val="14"/>
                <w:color w:val="auto"/>
              </w:rPr>
              <w:t>James A. Bell</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135</w:t>
            </w:r>
          </w:p>
        </w:tc>
        <w:tc>
          <w:tcPr>
            <w:tcW w:w="176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135</w:t>
            </w:r>
          </w:p>
        </w:tc>
        <w:tc>
          <w:tcPr>
            <w:tcW w:w="1720" w:type="dxa"/>
            <w:vAlign w:val="bottom"/>
          </w:tcPr>
          <w:p>
            <w:pPr>
              <w:jc w:val="right"/>
              <w:ind w:right="388"/>
              <w:spacing w:after="0"/>
              <w:rPr>
                <w:sz w:val="20"/>
                <w:szCs w:val="20"/>
                <w:color w:val="auto"/>
              </w:rPr>
            </w:pPr>
            <w:r>
              <w:rPr>
                <w:rFonts w:ascii="Arial" w:cs="Arial" w:eastAsia="Arial" w:hAnsi="Arial"/>
                <w:sz w:val="14"/>
                <w:szCs w:val="14"/>
                <w:color w:val="auto"/>
              </w:rPr>
              <w:t>31,018</w:t>
            </w:r>
          </w:p>
        </w:tc>
        <w:tc>
          <w:tcPr>
            <w:tcW w:w="1000" w:type="dxa"/>
            <w:vAlign w:val="bottom"/>
          </w:tcPr>
          <w:p>
            <w:pPr>
              <w:jc w:val="right"/>
              <w:spacing w:after="0"/>
              <w:rPr>
                <w:sz w:val="20"/>
                <w:szCs w:val="20"/>
                <w:color w:val="auto"/>
              </w:rPr>
            </w:pPr>
            <w:r>
              <w:rPr>
                <w:rFonts w:ascii="Arial" w:cs="Arial" w:eastAsia="Arial" w:hAnsi="Arial"/>
                <w:sz w:val="14"/>
                <w:szCs w:val="14"/>
                <w:color w:val="auto"/>
              </w:rPr>
              <w:t>31,153</w:t>
            </w:r>
          </w:p>
        </w:tc>
      </w:tr>
      <w:tr>
        <w:trPr>
          <w:trHeight w:val="39"/>
        </w:trPr>
        <w:tc>
          <w:tcPr>
            <w:tcW w:w="4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4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Stephen B. Burke</w:t>
            </w:r>
          </w:p>
        </w:tc>
        <w:tc>
          <w:tcPr>
            <w:tcW w:w="132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32,107</w:t>
            </w:r>
          </w:p>
        </w:tc>
        <w:tc>
          <w:tcPr>
            <w:tcW w:w="1760" w:type="dxa"/>
            <w:vAlign w:val="bottom"/>
            <w:tcBorders>
              <w:bottom w:val="single" w:sz="8" w:color="E5E5E5"/>
            </w:tcBorders>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E5E5E5"/>
            </w:tcBorders>
            <w:shd w:val="clear" w:color="auto" w:fill="E5E5E5"/>
          </w:tcPr>
          <w:p>
            <w:pPr>
              <w:jc w:val="right"/>
              <w:ind w:right="228"/>
              <w:spacing w:after="0"/>
              <w:rPr>
                <w:sz w:val="20"/>
                <w:szCs w:val="20"/>
                <w:color w:val="auto"/>
              </w:rPr>
            </w:pPr>
            <w:r>
              <w:rPr>
                <w:rFonts w:ascii="Arial" w:cs="Arial" w:eastAsia="Arial" w:hAnsi="Arial"/>
                <w:sz w:val="14"/>
                <w:szCs w:val="14"/>
                <w:color w:val="auto"/>
              </w:rPr>
              <w:t>32,107</w:t>
            </w:r>
          </w:p>
        </w:tc>
        <w:tc>
          <w:tcPr>
            <w:tcW w:w="1720" w:type="dxa"/>
            <w:vAlign w:val="bottom"/>
            <w:tcBorders>
              <w:bottom w:val="single" w:sz="8" w:color="E5E5E5"/>
            </w:tcBorders>
            <w:shd w:val="clear" w:color="auto" w:fill="E5E5E5"/>
          </w:tcPr>
          <w:p>
            <w:pPr>
              <w:jc w:val="right"/>
              <w:ind w:right="388"/>
              <w:spacing w:after="0"/>
              <w:rPr>
                <w:sz w:val="20"/>
                <w:szCs w:val="20"/>
                <w:color w:val="auto"/>
              </w:rPr>
            </w:pPr>
            <w:r>
              <w:rPr>
                <w:rFonts w:ascii="Arial" w:cs="Arial" w:eastAsia="Arial" w:hAnsi="Arial"/>
                <w:sz w:val="14"/>
                <w:szCs w:val="14"/>
                <w:color w:val="auto"/>
              </w:rPr>
              <w:t>109,833</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141,940</w:t>
            </w:r>
          </w:p>
        </w:tc>
      </w:tr>
      <w:tr>
        <w:trPr>
          <w:trHeight w:val="231"/>
        </w:trPr>
        <w:tc>
          <w:tcPr>
            <w:tcW w:w="4060" w:type="dxa"/>
            <w:vAlign w:val="bottom"/>
          </w:tcPr>
          <w:p>
            <w:pPr>
              <w:ind w:left="60"/>
              <w:spacing w:after="0"/>
              <w:rPr>
                <w:sz w:val="20"/>
                <w:szCs w:val="20"/>
                <w:color w:val="auto"/>
              </w:rPr>
            </w:pPr>
            <w:r>
              <w:rPr>
                <w:rFonts w:ascii="Arial" w:cs="Arial" w:eastAsia="Arial" w:hAnsi="Arial"/>
                <w:sz w:val="14"/>
                <w:szCs w:val="14"/>
                <w:color w:val="auto"/>
              </w:rPr>
              <w:t>Todd A. Combs</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13,016</w:t>
            </w:r>
          </w:p>
        </w:tc>
        <w:tc>
          <w:tcPr>
            <w:tcW w:w="176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13,016</w:t>
            </w:r>
          </w:p>
        </w:tc>
        <w:tc>
          <w:tcPr>
            <w:tcW w:w="1720" w:type="dxa"/>
            <w:vAlign w:val="bottom"/>
          </w:tcPr>
          <w:p>
            <w:pPr>
              <w:jc w:val="right"/>
              <w:ind w:right="388"/>
              <w:spacing w:after="0"/>
              <w:rPr>
                <w:sz w:val="20"/>
                <w:szCs w:val="20"/>
                <w:color w:val="auto"/>
              </w:rPr>
            </w:pPr>
            <w:r>
              <w:rPr>
                <w:rFonts w:ascii="Arial" w:cs="Arial" w:eastAsia="Arial" w:hAnsi="Arial"/>
                <w:sz w:val="14"/>
                <w:szCs w:val="14"/>
                <w:color w:val="auto"/>
              </w:rPr>
              <w:t>7,882</w:t>
            </w:r>
          </w:p>
        </w:tc>
        <w:tc>
          <w:tcPr>
            <w:tcW w:w="1000" w:type="dxa"/>
            <w:vAlign w:val="bottom"/>
          </w:tcPr>
          <w:p>
            <w:pPr>
              <w:jc w:val="right"/>
              <w:spacing w:after="0"/>
              <w:rPr>
                <w:sz w:val="20"/>
                <w:szCs w:val="20"/>
                <w:color w:val="auto"/>
              </w:rPr>
            </w:pPr>
            <w:r>
              <w:rPr>
                <w:rFonts w:ascii="Arial" w:cs="Arial" w:eastAsia="Arial" w:hAnsi="Arial"/>
                <w:sz w:val="14"/>
                <w:szCs w:val="14"/>
                <w:color w:val="auto"/>
              </w:rPr>
              <w:t>20,898</w:t>
            </w:r>
          </w:p>
        </w:tc>
      </w:tr>
      <w:tr>
        <w:trPr>
          <w:trHeight w:val="39"/>
        </w:trPr>
        <w:tc>
          <w:tcPr>
            <w:tcW w:w="4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0"/>
        </w:trPr>
        <w:tc>
          <w:tcPr>
            <w:tcW w:w="4060" w:type="dxa"/>
            <w:vAlign w:val="bottom"/>
            <w:shd w:val="clear" w:color="auto" w:fill="E5E5E5"/>
          </w:tcPr>
          <w:p>
            <w:pPr>
              <w:ind w:left="60"/>
              <w:spacing w:after="0" w:line="270" w:lineRule="exact"/>
              <w:rPr>
                <w:sz w:val="20"/>
                <w:szCs w:val="20"/>
                <w:color w:val="auto"/>
              </w:rPr>
            </w:pPr>
            <w:r>
              <w:rPr>
                <w:rFonts w:ascii="Arial" w:cs="Arial" w:eastAsia="Arial" w:hAnsi="Arial"/>
                <w:sz w:val="14"/>
                <w:szCs w:val="14"/>
                <w:color w:val="auto"/>
              </w:rPr>
              <w:t>James S. Crown</w:t>
            </w:r>
            <w:r>
              <w:rPr>
                <w:rFonts w:ascii="Arial" w:cs="Arial" w:eastAsia="Arial" w:hAnsi="Arial"/>
                <w:sz w:val="24"/>
                <w:szCs w:val="24"/>
                <w:color w:val="auto"/>
                <w:vertAlign w:val="superscript"/>
              </w:rPr>
              <w:t>3</w:t>
            </w:r>
          </w:p>
        </w:tc>
        <w:tc>
          <w:tcPr>
            <w:tcW w:w="1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12,278,756</w:t>
            </w:r>
          </w:p>
        </w:tc>
        <w:tc>
          <w:tcPr>
            <w:tcW w:w="176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12,278,756</w:t>
            </w:r>
          </w:p>
        </w:tc>
        <w:tc>
          <w:tcPr>
            <w:tcW w:w="1720" w:type="dxa"/>
            <w:vAlign w:val="bottom"/>
            <w:shd w:val="clear" w:color="auto" w:fill="E5E5E5"/>
          </w:tcPr>
          <w:p>
            <w:pPr>
              <w:jc w:val="right"/>
              <w:ind w:right="388"/>
              <w:spacing w:after="0"/>
              <w:rPr>
                <w:sz w:val="20"/>
                <w:szCs w:val="20"/>
                <w:color w:val="auto"/>
              </w:rPr>
            </w:pPr>
            <w:r>
              <w:rPr>
                <w:rFonts w:ascii="Arial" w:cs="Arial" w:eastAsia="Arial" w:hAnsi="Arial"/>
                <w:sz w:val="14"/>
                <w:szCs w:val="14"/>
                <w:color w:val="auto"/>
              </w:rPr>
              <w:t>182,330</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12,461,086</w:t>
            </w:r>
          </w:p>
        </w:tc>
      </w:tr>
      <w:tr>
        <w:trPr>
          <w:trHeight w:val="270"/>
        </w:trPr>
        <w:tc>
          <w:tcPr>
            <w:tcW w:w="4060" w:type="dxa"/>
            <w:vAlign w:val="bottom"/>
          </w:tcPr>
          <w:p>
            <w:pPr>
              <w:ind w:left="60"/>
              <w:spacing w:after="0" w:line="270" w:lineRule="exact"/>
              <w:rPr>
                <w:sz w:val="20"/>
                <w:szCs w:val="20"/>
                <w:color w:val="auto"/>
              </w:rPr>
            </w:pPr>
            <w:r>
              <w:rPr>
                <w:rFonts w:ascii="Arial" w:cs="Arial" w:eastAsia="Arial" w:hAnsi="Arial"/>
                <w:sz w:val="14"/>
                <w:szCs w:val="14"/>
                <w:color w:val="auto"/>
              </w:rPr>
              <w:t>James Dimon</w:t>
            </w:r>
            <w:r>
              <w:rPr>
                <w:rFonts w:ascii="Arial" w:cs="Arial" w:eastAsia="Arial" w:hAnsi="Arial"/>
                <w:sz w:val="24"/>
                <w:szCs w:val="24"/>
                <w:color w:val="auto"/>
                <w:vertAlign w:val="superscript"/>
              </w:rPr>
              <w:t>4</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7,420,582</w:t>
            </w:r>
          </w:p>
        </w:tc>
        <w:tc>
          <w:tcPr>
            <w:tcW w:w="1760" w:type="dxa"/>
            <w:vAlign w:val="bottom"/>
          </w:tcPr>
          <w:p>
            <w:pPr>
              <w:jc w:val="right"/>
              <w:ind w:right="488"/>
              <w:spacing w:after="0"/>
              <w:rPr>
                <w:sz w:val="20"/>
                <w:szCs w:val="20"/>
                <w:color w:val="auto"/>
              </w:rPr>
            </w:pPr>
            <w:r>
              <w:rPr>
                <w:rFonts w:ascii="Arial" w:cs="Arial" w:eastAsia="Arial" w:hAnsi="Arial"/>
                <w:sz w:val="14"/>
                <w:szCs w:val="14"/>
                <w:color w:val="auto"/>
              </w:rPr>
              <w:t>1,493,369</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8,913,951</w:t>
            </w:r>
          </w:p>
        </w:tc>
        <w:tc>
          <w:tcPr>
            <w:tcW w:w="1720" w:type="dxa"/>
            <w:vAlign w:val="bottom"/>
          </w:tcPr>
          <w:p>
            <w:pPr>
              <w:jc w:val="right"/>
              <w:ind w:right="388"/>
              <w:spacing w:after="0"/>
              <w:rPr>
                <w:sz w:val="20"/>
                <w:szCs w:val="20"/>
                <w:color w:val="auto"/>
              </w:rPr>
            </w:pPr>
            <w:r>
              <w:rPr>
                <w:rFonts w:ascii="Arial" w:cs="Arial" w:eastAsia="Arial" w:hAnsi="Arial"/>
                <w:sz w:val="14"/>
                <w:szCs w:val="14"/>
                <w:color w:val="auto"/>
              </w:rPr>
              <w:t>1,114,068</w:t>
            </w:r>
          </w:p>
        </w:tc>
        <w:tc>
          <w:tcPr>
            <w:tcW w:w="1000" w:type="dxa"/>
            <w:vAlign w:val="bottom"/>
          </w:tcPr>
          <w:p>
            <w:pPr>
              <w:jc w:val="right"/>
              <w:spacing w:after="0"/>
              <w:rPr>
                <w:sz w:val="20"/>
                <w:szCs w:val="20"/>
                <w:color w:val="auto"/>
              </w:rPr>
            </w:pPr>
            <w:r>
              <w:rPr>
                <w:rFonts w:ascii="Arial" w:cs="Arial" w:eastAsia="Arial" w:hAnsi="Arial"/>
                <w:sz w:val="14"/>
                <w:szCs w:val="14"/>
                <w:color w:val="auto"/>
              </w:rPr>
              <w:t>10,028,019</w:t>
            </w:r>
          </w:p>
        </w:tc>
      </w:tr>
      <w:tr>
        <w:trPr>
          <w:trHeight w:val="250"/>
        </w:trPr>
        <w:tc>
          <w:tcPr>
            <w:tcW w:w="4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Mary Callahan Erdoes</w:t>
            </w:r>
          </w:p>
        </w:tc>
        <w:tc>
          <w:tcPr>
            <w:tcW w:w="132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468,393</w:t>
            </w:r>
          </w:p>
        </w:tc>
        <w:tc>
          <w:tcPr>
            <w:tcW w:w="1760" w:type="dxa"/>
            <w:vAlign w:val="bottom"/>
            <w:tcBorders>
              <w:bottom w:val="single" w:sz="8" w:color="E5E5E5"/>
            </w:tcBorders>
            <w:shd w:val="clear" w:color="auto" w:fill="E5E5E5"/>
          </w:tcPr>
          <w:p>
            <w:pPr>
              <w:jc w:val="right"/>
              <w:ind w:right="488"/>
              <w:spacing w:after="0"/>
              <w:rPr>
                <w:sz w:val="20"/>
                <w:szCs w:val="20"/>
                <w:color w:val="auto"/>
              </w:rPr>
            </w:pPr>
            <w:r>
              <w:rPr>
                <w:rFonts w:ascii="Arial" w:cs="Arial" w:eastAsia="Arial" w:hAnsi="Arial"/>
                <w:sz w:val="14"/>
                <w:szCs w:val="14"/>
                <w:color w:val="auto"/>
              </w:rPr>
              <w:t>209,206</w:t>
            </w:r>
          </w:p>
        </w:tc>
        <w:tc>
          <w:tcPr>
            <w:tcW w:w="1160" w:type="dxa"/>
            <w:vAlign w:val="bottom"/>
            <w:tcBorders>
              <w:bottom w:val="single" w:sz="8" w:color="E5E5E5"/>
            </w:tcBorders>
            <w:shd w:val="clear" w:color="auto" w:fill="E5E5E5"/>
          </w:tcPr>
          <w:p>
            <w:pPr>
              <w:jc w:val="right"/>
              <w:ind w:right="228"/>
              <w:spacing w:after="0"/>
              <w:rPr>
                <w:sz w:val="20"/>
                <w:szCs w:val="20"/>
                <w:color w:val="auto"/>
              </w:rPr>
            </w:pPr>
            <w:r>
              <w:rPr>
                <w:rFonts w:ascii="Arial" w:cs="Arial" w:eastAsia="Arial" w:hAnsi="Arial"/>
                <w:sz w:val="14"/>
                <w:szCs w:val="14"/>
                <w:color w:val="auto"/>
              </w:rPr>
              <w:t>677,599</w:t>
            </w:r>
          </w:p>
        </w:tc>
        <w:tc>
          <w:tcPr>
            <w:tcW w:w="1720" w:type="dxa"/>
            <w:vAlign w:val="bottom"/>
            <w:tcBorders>
              <w:bottom w:val="single" w:sz="8" w:color="E5E5E5"/>
            </w:tcBorders>
            <w:shd w:val="clear" w:color="auto" w:fill="E5E5E5"/>
          </w:tcPr>
          <w:p>
            <w:pPr>
              <w:jc w:val="right"/>
              <w:ind w:right="388"/>
              <w:spacing w:after="0"/>
              <w:rPr>
                <w:sz w:val="20"/>
                <w:szCs w:val="20"/>
                <w:color w:val="auto"/>
              </w:rPr>
            </w:pPr>
            <w:r>
              <w:rPr>
                <w:rFonts w:ascii="Arial" w:cs="Arial" w:eastAsia="Arial" w:hAnsi="Arial"/>
                <w:sz w:val="14"/>
                <w:szCs w:val="14"/>
                <w:color w:val="auto"/>
              </w:rPr>
              <w:t>417,214</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1,094,813</w:t>
            </w:r>
          </w:p>
        </w:tc>
      </w:tr>
      <w:tr>
        <w:trPr>
          <w:trHeight w:val="231"/>
        </w:trPr>
        <w:tc>
          <w:tcPr>
            <w:tcW w:w="4060" w:type="dxa"/>
            <w:vAlign w:val="bottom"/>
          </w:tcPr>
          <w:p>
            <w:pPr>
              <w:ind w:left="60"/>
              <w:spacing w:after="0"/>
              <w:rPr>
                <w:sz w:val="20"/>
                <w:szCs w:val="20"/>
                <w:color w:val="auto"/>
              </w:rPr>
            </w:pPr>
            <w:r>
              <w:rPr>
                <w:rFonts w:ascii="Arial" w:cs="Arial" w:eastAsia="Arial" w:hAnsi="Arial"/>
                <w:sz w:val="14"/>
                <w:szCs w:val="14"/>
                <w:color w:val="auto"/>
              </w:rPr>
              <w:t>Timothy P. Flynn</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10,000</w:t>
            </w:r>
          </w:p>
        </w:tc>
        <w:tc>
          <w:tcPr>
            <w:tcW w:w="176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10,000</w:t>
            </w:r>
          </w:p>
        </w:tc>
        <w:tc>
          <w:tcPr>
            <w:tcW w:w="1720" w:type="dxa"/>
            <w:vAlign w:val="bottom"/>
          </w:tcPr>
          <w:p>
            <w:pPr>
              <w:jc w:val="right"/>
              <w:ind w:right="388"/>
              <w:spacing w:after="0"/>
              <w:rPr>
                <w:sz w:val="20"/>
                <w:szCs w:val="20"/>
                <w:color w:val="auto"/>
              </w:rPr>
            </w:pPr>
            <w:r>
              <w:rPr>
                <w:rFonts w:ascii="Arial" w:cs="Arial" w:eastAsia="Arial" w:hAnsi="Arial"/>
                <w:sz w:val="14"/>
                <w:szCs w:val="14"/>
                <w:color w:val="auto"/>
              </w:rPr>
              <w:t>38,152</w:t>
            </w:r>
          </w:p>
        </w:tc>
        <w:tc>
          <w:tcPr>
            <w:tcW w:w="1000" w:type="dxa"/>
            <w:vAlign w:val="bottom"/>
          </w:tcPr>
          <w:p>
            <w:pPr>
              <w:jc w:val="right"/>
              <w:spacing w:after="0"/>
              <w:rPr>
                <w:sz w:val="20"/>
                <w:szCs w:val="20"/>
                <w:color w:val="auto"/>
              </w:rPr>
            </w:pPr>
            <w:r>
              <w:rPr>
                <w:rFonts w:ascii="Arial" w:cs="Arial" w:eastAsia="Arial" w:hAnsi="Arial"/>
                <w:sz w:val="14"/>
                <w:szCs w:val="14"/>
                <w:color w:val="auto"/>
              </w:rPr>
              <w:t>48,152</w:t>
            </w:r>
          </w:p>
        </w:tc>
      </w:tr>
      <w:tr>
        <w:trPr>
          <w:trHeight w:val="39"/>
        </w:trPr>
        <w:tc>
          <w:tcPr>
            <w:tcW w:w="4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4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Mellody Hobson</w:t>
            </w:r>
          </w:p>
        </w:tc>
        <w:tc>
          <w:tcPr>
            <w:tcW w:w="132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59,369</w:t>
            </w:r>
          </w:p>
        </w:tc>
        <w:tc>
          <w:tcPr>
            <w:tcW w:w="1760" w:type="dxa"/>
            <w:vAlign w:val="bottom"/>
            <w:tcBorders>
              <w:bottom w:val="single" w:sz="8" w:color="E5E5E5"/>
            </w:tcBorders>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E5E5E5"/>
            </w:tcBorders>
            <w:shd w:val="clear" w:color="auto" w:fill="E5E5E5"/>
          </w:tcPr>
          <w:p>
            <w:pPr>
              <w:jc w:val="right"/>
              <w:ind w:right="228"/>
              <w:spacing w:after="0"/>
              <w:rPr>
                <w:sz w:val="20"/>
                <w:szCs w:val="20"/>
                <w:color w:val="auto"/>
              </w:rPr>
            </w:pPr>
            <w:r>
              <w:rPr>
                <w:rFonts w:ascii="Arial" w:cs="Arial" w:eastAsia="Arial" w:hAnsi="Arial"/>
                <w:sz w:val="14"/>
                <w:szCs w:val="14"/>
                <w:color w:val="auto"/>
              </w:rPr>
              <w:t>59,369</w:t>
            </w:r>
          </w:p>
        </w:tc>
        <w:tc>
          <w:tcPr>
            <w:tcW w:w="1720" w:type="dxa"/>
            <w:vAlign w:val="bottom"/>
            <w:tcBorders>
              <w:bottom w:val="single" w:sz="8" w:color="E5E5E5"/>
            </w:tcBorders>
            <w:shd w:val="clear" w:color="auto" w:fill="E5E5E5"/>
          </w:tcPr>
          <w:p>
            <w:pPr>
              <w:jc w:val="right"/>
              <w:ind w:right="388"/>
              <w:spacing w:after="0"/>
              <w:rPr>
                <w:sz w:val="20"/>
                <w:szCs w:val="20"/>
                <w:color w:val="auto"/>
              </w:rPr>
            </w:pPr>
            <w:r>
              <w:rPr>
                <w:rFonts w:ascii="Arial" w:cs="Arial" w:eastAsia="Arial" w:hAnsi="Arial"/>
                <w:sz w:val="14"/>
                <w:szCs w:val="14"/>
                <w:color w:val="auto"/>
              </w:rPr>
              <w:t>3,450</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62,819</w:t>
            </w:r>
          </w:p>
        </w:tc>
      </w:tr>
      <w:tr>
        <w:trPr>
          <w:trHeight w:val="231"/>
        </w:trPr>
        <w:tc>
          <w:tcPr>
            <w:tcW w:w="4060" w:type="dxa"/>
            <w:vAlign w:val="bottom"/>
          </w:tcPr>
          <w:p>
            <w:pPr>
              <w:ind w:left="60"/>
              <w:spacing w:after="0"/>
              <w:rPr>
                <w:sz w:val="20"/>
                <w:szCs w:val="20"/>
                <w:color w:val="auto"/>
              </w:rPr>
            </w:pPr>
            <w:r>
              <w:rPr>
                <w:rFonts w:ascii="Arial" w:cs="Arial" w:eastAsia="Arial" w:hAnsi="Arial"/>
                <w:sz w:val="14"/>
                <w:szCs w:val="14"/>
                <w:color w:val="auto"/>
              </w:rPr>
              <w:t>Laban P. Jackson, Jr.</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32,157</w:t>
            </w:r>
          </w:p>
        </w:tc>
        <w:tc>
          <w:tcPr>
            <w:tcW w:w="176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32,157</w:t>
            </w:r>
          </w:p>
        </w:tc>
        <w:tc>
          <w:tcPr>
            <w:tcW w:w="1720" w:type="dxa"/>
            <w:vAlign w:val="bottom"/>
          </w:tcPr>
          <w:p>
            <w:pPr>
              <w:jc w:val="right"/>
              <w:ind w:right="388"/>
              <w:spacing w:after="0"/>
              <w:rPr>
                <w:sz w:val="20"/>
                <w:szCs w:val="20"/>
                <w:color w:val="auto"/>
              </w:rPr>
            </w:pPr>
            <w:r>
              <w:rPr>
                <w:rFonts w:ascii="Arial" w:cs="Arial" w:eastAsia="Arial" w:hAnsi="Arial"/>
                <w:sz w:val="14"/>
                <w:szCs w:val="14"/>
                <w:color w:val="auto"/>
              </w:rPr>
              <w:t>158,630</w:t>
            </w:r>
          </w:p>
        </w:tc>
        <w:tc>
          <w:tcPr>
            <w:tcW w:w="1000" w:type="dxa"/>
            <w:vAlign w:val="bottom"/>
          </w:tcPr>
          <w:p>
            <w:pPr>
              <w:jc w:val="right"/>
              <w:spacing w:after="0"/>
              <w:rPr>
                <w:sz w:val="20"/>
                <w:szCs w:val="20"/>
                <w:color w:val="auto"/>
              </w:rPr>
            </w:pPr>
            <w:r>
              <w:rPr>
                <w:rFonts w:ascii="Arial" w:cs="Arial" w:eastAsia="Arial" w:hAnsi="Arial"/>
                <w:sz w:val="14"/>
                <w:szCs w:val="14"/>
                <w:color w:val="auto"/>
              </w:rPr>
              <w:t>190,787</w:t>
            </w:r>
          </w:p>
        </w:tc>
      </w:tr>
      <w:tr>
        <w:trPr>
          <w:trHeight w:val="39"/>
        </w:trPr>
        <w:tc>
          <w:tcPr>
            <w:tcW w:w="4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4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Marianne Lake</w:t>
            </w:r>
          </w:p>
        </w:tc>
        <w:tc>
          <w:tcPr>
            <w:tcW w:w="132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185,228</w:t>
            </w:r>
          </w:p>
        </w:tc>
        <w:tc>
          <w:tcPr>
            <w:tcW w:w="1760" w:type="dxa"/>
            <w:vAlign w:val="bottom"/>
            <w:tcBorders>
              <w:bottom w:val="single" w:sz="8" w:color="E5E5E5"/>
            </w:tcBorders>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E5E5E5"/>
            </w:tcBorders>
            <w:shd w:val="clear" w:color="auto" w:fill="E5E5E5"/>
          </w:tcPr>
          <w:p>
            <w:pPr>
              <w:jc w:val="right"/>
              <w:ind w:right="228"/>
              <w:spacing w:after="0"/>
              <w:rPr>
                <w:sz w:val="20"/>
                <w:szCs w:val="20"/>
                <w:color w:val="auto"/>
              </w:rPr>
            </w:pPr>
            <w:r>
              <w:rPr>
                <w:rFonts w:ascii="Arial" w:cs="Arial" w:eastAsia="Arial" w:hAnsi="Arial"/>
                <w:sz w:val="14"/>
                <w:szCs w:val="14"/>
                <w:color w:val="auto"/>
              </w:rPr>
              <w:t>185,228</w:t>
            </w:r>
          </w:p>
        </w:tc>
        <w:tc>
          <w:tcPr>
            <w:tcW w:w="1720" w:type="dxa"/>
            <w:vAlign w:val="bottom"/>
            <w:tcBorders>
              <w:bottom w:val="single" w:sz="8" w:color="E5E5E5"/>
            </w:tcBorders>
            <w:shd w:val="clear" w:color="auto" w:fill="E5E5E5"/>
          </w:tcPr>
          <w:p>
            <w:pPr>
              <w:jc w:val="right"/>
              <w:ind w:right="388"/>
              <w:spacing w:after="0"/>
              <w:rPr>
                <w:sz w:val="20"/>
                <w:szCs w:val="20"/>
                <w:color w:val="auto"/>
              </w:rPr>
            </w:pPr>
            <w:r>
              <w:rPr>
                <w:rFonts w:ascii="Arial" w:cs="Arial" w:eastAsia="Arial" w:hAnsi="Arial"/>
                <w:sz w:val="14"/>
                <w:szCs w:val="14"/>
                <w:color w:val="auto"/>
              </w:rPr>
              <w:t>276,616</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461,844</w:t>
            </w:r>
          </w:p>
        </w:tc>
      </w:tr>
      <w:tr>
        <w:trPr>
          <w:trHeight w:val="231"/>
        </w:trPr>
        <w:tc>
          <w:tcPr>
            <w:tcW w:w="4060" w:type="dxa"/>
            <w:vAlign w:val="bottom"/>
          </w:tcPr>
          <w:p>
            <w:pPr>
              <w:ind w:left="60"/>
              <w:spacing w:after="0"/>
              <w:rPr>
                <w:sz w:val="20"/>
                <w:szCs w:val="20"/>
                <w:color w:val="auto"/>
              </w:rPr>
            </w:pPr>
            <w:r>
              <w:rPr>
                <w:rFonts w:ascii="Arial" w:cs="Arial" w:eastAsia="Arial" w:hAnsi="Arial"/>
                <w:sz w:val="14"/>
                <w:szCs w:val="14"/>
                <w:color w:val="auto"/>
              </w:rPr>
              <w:t>Michael A. Neal</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9,050</w:t>
            </w:r>
          </w:p>
        </w:tc>
        <w:tc>
          <w:tcPr>
            <w:tcW w:w="176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9,050</w:t>
            </w:r>
          </w:p>
        </w:tc>
        <w:tc>
          <w:tcPr>
            <w:tcW w:w="1720" w:type="dxa"/>
            <w:vAlign w:val="bottom"/>
          </w:tcPr>
          <w:p>
            <w:pPr>
              <w:jc w:val="right"/>
              <w:ind w:right="388"/>
              <w:spacing w:after="0"/>
              <w:rPr>
                <w:sz w:val="20"/>
                <w:szCs w:val="20"/>
                <w:color w:val="auto"/>
              </w:rPr>
            </w:pPr>
            <w:r>
              <w:rPr>
                <w:rFonts w:ascii="Arial" w:cs="Arial" w:eastAsia="Arial" w:hAnsi="Arial"/>
                <w:sz w:val="14"/>
                <w:szCs w:val="14"/>
                <w:color w:val="auto"/>
              </w:rPr>
              <w:t>28,481</w:t>
            </w:r>
          </w:p>
        </w:tc>
        <w:tc>
          <w:tcPr>
            <w:tcW w:w="1000" w:type="dxa"/>
            <w:vAlign w:val="bottom"/>
          </w:tcPr>
          <w:p>
            <w:pPr>
              <w:jc w:val="right"/>
              <w:spacing w:after="0"/>
              <w:rPr>
                <w:sz w:val="20"/>
                <w:szCs w:val="20"/>
                <w:color w:val="auto"/>
              </w:rPr>
            </w:pPr>
            <w:r>
              <w:rPr>
                <w:rFonts w:ascii="Arial" w:cs="Arial" w:eastAsia="Arial" w:hAnsi="Arial"/>
                <w:sz w:val="14"/>
                <w:szCs w:val="14"/>
                <w:color w:val="auto"/>
              </w:rPr>
              <w:t>37,531</w:t>
            </w:r>
          </w:p>
        </w:tc>
      </w:tr>
      <w:tr>
        <w:trPr>
          <w:trHeight w:val="39"/>
        </w:trPr>
        <w:tc>
          <w:tcPr>
            <w:tcW w:w="4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4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Daniel Pinto</w:t>
            </w:r>
          </w:p>
        </w:tc>
        <w:tc>
          <w:tcPr>
            <w:tcW w:w="132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468,197</w:t>
            </w:r>
          </w:p>
        </w:tc>
        <w:tc>
          <w:tcPr>
            <w:tcW w:w="1760" w:type="dxa"/>
            <w:vAlign w:val="bottom"/>
            <w:tcBorders>
              <w:bottom w:val="single" w:sz="8" w:color="E5E5E5"/>
            </w:tcBorders>
            <w:shd w:val="clear" w:color="auto" w:fill="E5E5E5"/>
          </w:tcPr>
          <w:p>
            <w:pPr>
              <w:jc w:val="right"/>
              <w:ind w:right="488"/>
              <w:spacing w:after="0"/>
              <w:rPr>
                <w:sz w:val="20"/>
                <w:szCs w:val="20"/>
                <w:color w:val="auto"/>
              </w:rPr>
            </w:pPr>
            <w:r>
              <w:rPr>
                <w:rFonts w:ascii="Arial" w:cs="Arial" w:eastAsia="Arial" w:hAnsi="Arial"/>
                <w:sz w:val="14"/>
                <w:szCs w:val="14"/>
                <w:color w:val="auto"/>
              </w:rPr>
              <w:t>346,718</w:t>
            </w:r>
          </w:p>
        </w:tc>
        <w:tc>
          <w:tcPr>
            <w:tcW w:w="1160" w:type="dxa"/>
            <w:vAlign w:val="bottom"/>
            <w:tcBorders>
              <w:bottom w:val="single" w:sz="8" w:color="E5E5E5"/>
            </w:tcBorders>
            <w:shd w:val="clear" w:color="auto" w:fill="E5E5E5"/>
          </w:tcPr>
          <w:p>
            <w:pPr>
              <w:jc w:val="right"/>
              <w:ind w:right="228"/>
              <w:spacing w:after="0"/>
              <w:rPr>
                <w:sz w:val="20"/>
                <w:szCs w:val="20"/>
                <w:color w:val="auto"/>
              </w:rPr>
            </w:pPr>
            <w:r>
              <w:rPr>
                <w:rFonts w:ascii="Arial" w:cs="Arial" w:eastAsia="Arial" w:hAnsi="Arial"/>
                <w:sz w:val="14"/>
                <w:szCs w:val="14"/>
                <w:color w:val="auto"/>
              </w:rPr>
              <w:t>814,915</w:t>
            </w:r>
          </w:p>
        </w:tc>
        <w:tc>
          <w:tcPr>
            <w:tcW w:w="1720" w:type="dxa"/>
            <w:vAlign w:val="bottom"/>
            <w:tcBorders>
              <w:bottom w:val="single" w:sz="8" w:color="E5E5E5"/>
            </w:tcBorders>
            <w:shd w:val="clear" w:color="auto" w:fill="E5E5E5"/>
          </w:tcPr>
          <w:p>
            <w:pPr>
              <w:jc w:val="right"/>
              <w:ind w:right="388"/>
              <w:spacing w:after="0"/>
              <w:rPr>
                <w:sz w:val="20"/>
                <w:szCs w:val="20"/>
                <w:color w:val="auto"/>
              </w:rPr>
            </w:pPr>
            <w:r>
              <w:rPr>
                <w:rFonts w:ascii="Arial" w:cs="Arial" w:eastAsia="Arial" w:hAnsi="Arial"/>
                <w:sz w:val="14"/>
                <w:szCs w:val="14"/>
                <w:color w:val="auto"/>
              </w:rPr>
              <w:t>529,650</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1,344,565</w:t>
            </w:r>
          </w:p>
        </w:tc>
      </w:tr>
      <w:tr>
        <w:trPr>
          <w:trHeight w:val="270"/>
        </w:trPr>
        <w:tc>
          <w:tcPr>
            <w:tcW w:w="4060" w:type="dxa"/>
            <w:vAlign w:val="bottom"/>
          </w:tcPr>
          <w:p>
            <w:pPr>
              <w:ind w:left="60"/>
              <w:spacing w:after="0" w:line="270" w:lineRule="exact"/>
              <w:rPr>
                <w:sz w:val="20"/>
                <w:szCs w:val="20"/>
                <w:color w:val="auto"/>
              </w:rPr>
            </w:pPr>
            <w:r>
              <w:rPr>
                <w:rFonts w:ascii="Arial" w:cs="Arial" w:eastAsia="Arial" w:hAnsi="Arial"/>
                <w:sz w:val="14"/>
                <w:szCs w:val="14"/>
                <w:color w:val="auto"/>
              </w:rPr>
              <w:t>Lee R. Raymond</w:t>
            </w:r>
            <w:r>
              <w:rPr>
                <w:rFonts w:ascii="Arial" w:cs="Arial" w:eastAsia="Arial" w:hAnsi="Arial"/>
                <w:sz w:val="24"/>
                <w:szCs w:val="24"/>
                <w:color w:val="auto"/>
                <w:vertAlign w:val="superscript"/>
              </w:rPr>
              <w:t>5</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1,850</w:t>
            </w:r>
          </w:p>
        </w:tc>
        <w:tc>
          <w:tcPr>
            <w:tcW w:w="176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1,850</w:t>
            </w:r>
          </w:p>
        </w:tc>
        <w:tc>
          <w:tcPr>
            <w:tcW w:w="1720" w:type="dxa"/>
            <w:vAlign w:val="bottom"/>
          </w:tcPr>
          <w:p>
            <w:pPr>
              <w:jc w:val="right"/>
              <w:ind w:right="388"/>
              <w:spacing w:after="0"/>
              <w:rPr>
                <w:sz w:val="20"/>
                <w:szCs w:val="20"/>
                <w:color w:val="auto"/>
              </w:rPr>
            </w:pPr>
            <w:r>
              <w:rPr>
                <w:rFonts w:ascii="Arial" w:cs="Arial" w:eastAsia="Arial" w:hAnsi="Arial"/>
                <w:sz w:val="14"/>
                <w:szCs w:val="14"/>
                <w:color w:val="auto"/>
              </w:rPr>
              <w:t>243,396</w:t>
            </w:r>
          </w:p>
        </w:tc>
        <w:tc>
          <w:tcPr>
            <w:tcW w:w="1000" w:type="dxa"/>
            <w:vAlign w:val="bottom"/>
          </w:tcPr>
          <w:p>
            <w:pPr>
              <w:jc w:val="right"/>
              <w:spacing w:after="0"/>
              <w:rPr>
                <w:sz w:val="20"/>
                <w:szCs w:val="20"/>
                <w:color w:val="auto"/>
              </w:rPr>
            </w:pPr>
            <w:r>
              <w:rPr>
                <w:rFonts w:ascii="Arial" w:cs="Arial" w:eastAsia="Arial" w:hAnsi="Arial"/>
                <w:sz w:val="14"/>
                <w:szCs w:val="14"/>
                <w:color w:val="auto"/>
              </w:rPr>
              <w:t>245,246</w:t>
            </w:r>
          </w:p>
        </w:tc>
      </w:tr>
      <w:tr>
        <w:trPr>
          <w:trHeight w:val="250"/>
        </w:trPr>
        <w:tc>
          <w:tcPr>
            <w:tcW w:w="40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Gordon Smith</w:t>
            </w:r>
          </w:p>
        </w:tc>
        <w:tc>
          <w:tcPr>
            <w:tcW w:w="1320" w:type="dxa"/>
            <w:vAlign w:val="bottom"/>
            <w:tcBorders>
              <w:bottom w:val="single" w:sz="8" w:color="E5E5E5"/>
            </w:tcBorders>
            <w:shd w:val="clear" w:color="auto" w:fill="E5E5E5"/>
          </w:tcPr>
          <w:p>
            <w:pPr>
              <w:jc w:val="right"/>
              <w:ind w:right="128"/>
              <w:spacing w:after="0"/>
              <w:rPr>
                <w:sz w:val="20"/>
                <w:szCs w:val="20"/>
                <w:color w:val="auto"/>
              </w:rPr>
            </w:pPr>
            <w:r>
              <w:rPr>
                <w:rFonts w:ascii="Arial" w:cs="Arial" w:eastAsia="Arial" w:hAnsi="Arial"/>
                <w:sz w:val="14"/>
                <w:szCs w:val="14"/>
                <w:color w:val="auto"/>
              </w:rPr>
              <w:t>408,352</w:t>
            </w:r>
          </w:p>
        </w:tc>
        <w:tc>
          <w:tcPr>
            <w:tcW w:w="1760" w:type="dxa"/>
            <w:vAlign w:val="bottom"/>
            <w:tcBorders>
              <w:bottom w:val="single" w:sz="8" w:color="E5E5E5"/>
            </w:tcBorders>
            <w:shd w:val="clear" w:color="auto" w:fill="E5E5E5"/>
          </w:tcPr>
          <w:p>
            <w:pPr>
              <w:jc w:val="right"/>
              <w:ind w:right="488"/>
              <w:spacing w:after="0"/>
              <w:rPr>
                <w:sz w:val="20"/>
                <w:szCs w:val="20"/>
                <w:color w:val="auto"/>
              </w:rPr>
            </w:pPr>
            <w:r>
              <w:rPr>
                <w:rFonts w:ascii="Arial" w:cs="Arial" w:eastAsia="Arial" w:hAnsi="Arial"/>
                <w:sz w:val="14"/>
                <w:szCs w:val="14"/>
                <w:color w:val="auto"/>
              </w:rPr>
              <w:t>331,125</w:t>
            </w:r>
          </w:p>
        </w:tc>
        <w:tc>
          <w:tcPr>
            <w:tcW w:w="1160" w:type="dxa"/>
            <w:vAlign w:val="bottom"/>
            <w:tcBorders>
              <w:bottom w:val="single" w:sz="8" w:color="E5E5E5"/>
            </w:tcBorders>
            <w:shd w:val="clear" w:color="auto" w:fill="E5E5E5"/>
          </w:tcPr>
          <w:p>
            <w:pPr>
              <w:jc w:val="right"/>
              <w:ind w:right="228"/>
              <w:spacing w:after="0"/>
              <w:rPr>
                <w:sz w:val="20"/>
                <w:szCs w:val="20"/>
                <w:color w:val="auto"/>
              </w:rPr>
            </w:pPr>
            <w:r>
              <w:rPr>
                <w:rFonts w:ascii="Arial" w:cs="Arial" w:eastAsia="Arial" w:hAnsi="Arial"/>
                <w:sz w:val="14"/>
                <w:szCs w:val="14"/>
                <w:color w:val="auto"/>
              </w:rPr>
              <w:t>739,477</w:t>
            </w:r>
          </w:p>
        </w:tc>
        <w:tc>
          <w:tcPr>
            <w:tcW w:w="1720" w:type="dxa"/>
            <w:vAlign w:val="bottom"/>
            <w:tcBorders>
              <w:bottom w:val="single" w:sz="8" w:color="E5E5E5"/>
            </w:tcBorders>
            <w:shd w:val="clear" w:color="auto" w:fill="E5E5E5"/>
          </w:tcPr>
          <w:p>
            <w:pPr>
              <w:jc w:val="right"/>
              <w:ind w:right="388"/>
              <w:spacing w:after="0"/>
              <w:rPr>
                <w:sz w:val="20"/>
                <w:szCs w:val="20"/>
                <w:color w:val="auto"/>
              </w:rPr>
            </w:pPr>
            <w:r>
              <w:rPr>
                <w:rFonts w:ascii="Arial" w:cs="Arial" w:eastAsia="Arial" w:hAnsi="Arial"/>
                <w:sz w:val="14"/>
                <w:szCs w:val="14"/>
                <w:color w:val="auto"/>
              </w:rPr>
              <w:t>423,232</w:t>
            </w:r>
          </w:p>
        </w:tc>
        <w:tc>
          <w:tcPr>
            <w:tcW w:w="10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1,162,709</w:t>
            </w:r>
          </w:p>
        </w:tc>
      </w:tr>
      <w:tr>
        <w:trPr>
          <w:trHeight w:val="231"/>
        </w:trPr>
        <w:tc>
          <w:tcPr>
            <w:tcW w:w="4060" w:type="dxa"/>
            <w:vAlign w:val="bottom"/>
          </w:tcPr>
          <w:p>
            <w:pPr>
              <w:ind w:left="60"/>
              <w:spacing w:after="0"/>
              <w:rPr>
                <w:sz w:val="20"/>
                <w:szCs w:val="20"/>
                <w:color w:val="auto"/>
              </w:rPr>
            </w:pPr>
            <w:r>
              <w:rPr>
                <w:rFonts w:ascii="Arial" w:cs="Arial" w:eastAsia="Arial" w:hAnsi="Arial"/>
                <w:sz w:val="14"/>
                <w:szCs w:val="14"/>
                <w:color w:val="auto"/>
              </w:rPr>
              <w:t>William C. Weldon</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1,200</w:t>
            </w:r>
          </w:p>
        </w:tc>
        <w:tc>
          <w:tcPr>
            <w:tcW w:w="176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1,200</w:t>
            </w:r>
          </w:p>
        </w:tc>
        <w:tc>
          <w:tcPr>
            <w:tcW w:w="1720" w:type="dxa"/>
            <w:vAlign w:val="bottom"/>
          </w:tcPr>
          <w:p>
            <w:pPr>
              <w:jc w:val="right"/>
              <w:ind w:right="388"/>
              <w:spacing w:after="0"/>
              <w:rPr>
                <w:sz w:val="20"/>
                <w:szCs w:val="20"/>
                <w:color w:val="auto"/>
              </w:rPr>
            </w:pPr>
            <w:r>
              <w:rPr>
                <w:rFonts w:ascii="Arial" w:cs="Arial" w:eastAsia="Arial" w:hAnsi="Arial"/>
                <w:sz w:val="14"/>
                <w:szCs w:val="14"/>
                <w:color w:val="auto"/>
              </w:rPr>
              <w:t>101,143</w:t>
            </w:r>
          </w:p>
        </w:tc>
        <w:tc>
          <w:tcPr>
            <w:tcW w:w="1000" w:type="dxa"/>
            <w:vAlign w:val="bottom"/>
          </w:tcPr>
          <w:p>
            <w:pPr>
              <w:jc w:val="right"/>
              <w:spacing w:after="0"/>
              <w:rPr>
                <w:sz w:val="20"/>
                <w:szCs w:val="20"/>
                <w:color w:val="auto"/>
              </w:rPr>
            </w:pPr>
            <w:r>
              <w:rPr>
                <w:rFonts w:ascii="Arial" w:cs="Arial" w:eastAsia="Arial" w:hAnsi="Arial"/>
                <w:sz w:val="14"/>
                <w:szCs w:val="14"/>
                <w:color w:val="auto"/>
              </w:rPr>
              <w:t>102,343</w:t>
            </w:r>
          </w:p>
        </w:tc>
      </w:tr>
      <w:tr>
        <w:trPr>
          <w:trHeight w:val="39"/>
        </w:trPr>
        <w:tc>
          <w:tcPr>
            <w:tcW w:w="40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00"/>
        </w:trPr>
        <w:tc>
          <w:tcPr>
            <w:tcW w:w="4060" w:type="dxa"/>
            <w:vAlign w:val="bottom"/>
            <w:shd w:val="clear" w:color="auto" w:fill="E5E5E5"/>
          </w:tcPr>
          <w:p>
            <w:pPr>
              <w:ind w:left="60"/>
              <w:spacing w:after="0"/>
              <w:rPr>
                <w:sz w:val="20"/>
                <w:szCs w:val="20"/>
                <w:color w:val="auto"/>
              </w:rPr>
            </w:pPr>
            <w:r>
              <w:rPr>
                <w:rFonts w:ascii="Arial" w:cs="Arial" w:eastAsia="Arial" w:hAnsi="Arial"/>
                <w:sz w:val="14"/>
                <w:szCs w:val="14"/>
                <w:color w:val="auto"/>
              </w:rPr>
              <w:t>All directors and current executive officers as a group (22</w:t>
            </w:r>
          </w:p>
        </w:tc>
        <w:tc>
          <w:tcPr>
            <w:tcW w:w="1320" w:type="dxa"/>
            <w:vAlign w:val="bottom"/>
            <w:shd w:val="clear" w:color="auto" w:fill="E5E5E5"/>
          </w:tcPr>
          <w:p>
            <w:pPr>
              <w:spacing w:after="0"/>
              <w:rPr>
                <w:sz w:val="17"/>
                <w:szCs w:val="17"/>
                <w:color w:val="auto"/>
              </w:rPr>
            </w:pPr>
          </w:p>
        </w:tc>
        <w:tc>
          <w:tcPr>
            <w:tcW w:w="176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72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r>
      <w:tr>
        <w:trPr>
          <w:trHeight w:val="219"/>
        </w:trPr>
        <w:tc>
          <w:tcPr>
            <w:tcW w:w="4060" w:type="dxa"/>
            <w:vAlign w:val="bottom"/>
            <w:shd w:val="clear" w:color="auto" w:fill="E5E5E5"/>
          </w:tcPr>
          <w:p>
            <w:pPr>
              <w:ind w:left="60"/>
              <w:spacing w:after="0" w:line="219" w:lineRule="exact"/>
              <w:rPr>
                <w:sz w:val="20"/>
                <w:szCs w:val="20"/>
                <w:color w:val="auto"/>
              </w:rPr>
            </w:pPr>
            <w:r>
              <w:rPr>
                <w:rFonts w:ascii="Arial" w:cs="Arial" w:eastAsia="Arial" w:hAnsi="Arial"/>
                <w:sz w:val="14"/>
                <w:szCs w:val="14"/>
                <w:color w:val="auto"/>
              </w:rPr>
              <w:t>persons)</w:t>
            </w:r>
            <w:r>
              <w:rPr>
                <w:rFonts w:ascii="Arial" w:cs="Arial" w:eastAsia="Arial" w:hAnsi="Arial"/>
                <w:sz w:val="24"/>
                <w:szCs w:val="24"/>
                <w:color w:val="auto"/>
                <w:vertAlign w:val="superscript"/>
              </w:rPr>
              <w:t>3, 5</w:t>
            </w:r>
          </w:p>
        </w:tc>
        <w:tc>
          <w:tcPr>
            <w:tcW w:w="1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21,861,842</w:t>
            </w:r>
          </w:p>
        </w:tc>
        <w:tc>
          <w:tcPr>
            <w:tcW w:w="176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2,906,816</w:t>
            </w:r>
          </w:p>
        </w:tc>
        <w:tc>
          <w:tcPr>
            <w:tcW w:w="116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24,768,658</w:t>
            </w:r>
          </w:p>
        </w:tc>
        <w:tc>
          <w:tcPr>
            <w:tcW w:w="1720" w:type="dxa"/>
            <w:vAlign w:val="bottom"/>
            <w:shd w:val="clear" w:color="auto" w:fill="E5E5E5"/>
          </w:tcPr>
          <w:p>
            <w:pPr>
              <w:jc w:val="right"/>
              <w:ind w:right="388"/>
              <w:spacing w:after="0"/>
              <w:rPr>
                <w:sz w:val="20"/>
                <w:szCs w:val="20"/>
                <w:color w:val="auto"/>
              </w:rPr>
            </w:pPr>
            <w:r>
              <w:rPr>
                <w:rFonts w:ascii="Arial" w:cs="Arial" w:eastAsia="Arial" w:hAnsi="Arial"/>
                <w:sz w:val="14"/>
                <w:szCs w:val="14"/>
                <w:color w:val="auto"/>
              </w:rPr>
              <w:t>4,532,403</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29,301,061</w:t>
            </w:r>
          </w:p>
        </w:tc>
      </w:tr>
    </w:tbl>
    <w:p>
      <w:pPr>
        <w:spacing w:after="0" w:line="126" w:lineRule="exact"/>
        <w:rPr>
          <w:sz w:val="20"/>
          <w:szCs w:val="20"/>
          <w:color w:val="auto"/>
        </w:rPr>
      </w:pPr>
    </w:p>
    <w:p>
      <w:pPr>
        <w:ind w:left="420" w:right="160" w:hanging="176"/>
        <w:spacing w:after="0" w:line="183" w:lineRule="auto"/>
        <w:tabs>
          <w:tab w:leader="none" w:pos="420" w:val="left"/>
        </w:tabs>
        <w:numPr>
          <w:ilvl w:val="0"/>
          <w:numId w:val="163"/>
        </w:numPr>
        <w:rPr>
          <w:rFonts w:ascii="Arial" w:cs="Arial" w:eastAsia="Arial" w:hAnsi="Arial"/>
          <w:sz w:val="24"/>
          <w:szCs w:val="24"/>
          <w:color w:val="auto"/>
          <w:vertAlign w:val="superscript"/>
        </w:rPr>
      </w:pPr>
      <w:r>
        <w:rPr>
          <w:rFonts w:ascii="Arial" w:cs="Arial" w:eastAsia="Arial" w:hAnsi="Arial"/>
          <w:sz w:val="14"/>
          <w:szCs w:val="14"/>
          <w:color w:val="auto"/>
        </w:rPr>
        <w:t>Shares owned outright, except as otherwise noted. Directors agree to retain all shares of common stock of JPMorgan Chase purchased on the open market or received pursuant to their service as a Board member for as long as they serve on the Board.</w:t>
      </w:r>
    </w:p>
    <w:p>
      <w:pPr>
        <w:spacing w:after="0" w:line="58" w:lineRule="exact"/>
        <w:rPr>
          <w:sz w:val="20"/>
          <w:szCs w:val="20"/>
          <w:color w:val="auto"/>
        </w:rPr>
      </w:pPr>
    </w:p>
    <w:p>
      <w:pPr>
        <w:ind w:left="420" w:right="60" w:hanging="176"/>
        <w:spacing w:after="0" w:line="208" w:lineRule="auto"/>
        <w:tabs>
          <w:tab w:leader="none" w:pos="420" w:val="left"/>
        </w:tabs>
        <w:numPr>
          <w:ilvl w:val="0"/>
          <w:numId w:val="164"/>
        </w:numPr>
        <w:rPr>
          <w:rFonts w:ascii="Arial" w:cs="Arial" w:eastAsia="Arial" w:hAnsi="Arial"/>
          <w:sz w:val="24"/>
          <w:szCs w:val="24"/>
          <w:color w:val="auto"/>
          <w:vertAlign w:val="superscript"/>
        </w:rPr>
      </w:pPr>
      <w:r>
        <w:rPr>
          <w:rFonts w:ascii="Arial" w:cs="Arial" w:eastAsia="Arial" w:hAnsi="Arial"/>
          <w:sz w:val="14"/>
          <w:szCs w:val="14"/>
          <w:color w:val="auto"/>
        </w:rPr>
        <w:t>Amounts include for directors and executive officers, shares or deferred stock units, receipt of which has been deferred under deferred compensation plan arrangements. For executive officers, amounts also include unvested RSUs and unvested PSUs (including accumulated reinvested dividend equivalent shares), as well as share equivalents attributable under the JPMorgan Chase 401(k) Savings Plan. The ultimate number of PSUs earned at vesting is formulaically determined, with potential payout value ranging from 0% to 150%. Additional details on the PSU program are provided on page 53 in this proxy statement.</w:t>
      </w:r>
    </w:p>
    <w:p>
      <w:pPr>
        <w:spacing w:after="0" w:line="58" w:lineRule="exact"/>
        <w:rPr>
          <w:sz w:val="20"/>
          <w:szCs w:val="20"/>
          <w:color w:val="auto"/>
        </w:rPr>
      </w:pPr>
    </w:p>
    <w:p>
      <w:pPr>
        <w:ind w:left="440" w:right="80" w:hanging="222"/>
        <w:spacing w:after="0" w:line="183" w:lineRule="auto"/>
        <w:tabs>
          <w:tab w:leader="none" w:pos="440" w:val="left"/>
        </w:tabs>
        <w:numPr>
          <w:ilvl w:val="0"/>
          <w:numId w:val="165"/>
        </w:numPr>
        <w:rPr>
          <w:rFonts w:ascii="Arial" w:cs="Arial" w:eastAsia="Arial" w:hAnsi="Arial"/>
          <w:sz w:val="24"/>
          <w:szCs w:val="24"/>
          <w:color w:val="auto"/>
          <w:vertAlign w:val="superscript"/>
        </w:rPr>
      </w:pPr>
      <w:r>
        <w:rPr>
          <w:rFonts w:ascii="Arial" w:cs="Arial" w:eastAsia="Arial" w:hAnsi="Arial"/>
          <w:sz w:val="14"/>
          <w:szCs w:val="14"/>
          <w:color w:val="auto"/>
        </w:rPr>
        <w:t>Includes 164,761 shares Mr. Crown owns individually; 36,262 shares owned by Mr. Crown’s spouse; and 38,140 shares held in trusts for the benefit of his children. None of such shares are pledged or held in margin accounts.</w:t>
      </w:r>
    </w:p>
    <w:p>
      <w:pPr>
        <w:spacing w:after="0" w:line="58" w:lineRule="exact"/>
        <w:rPr>
          <w:sz w:val="20"/>
          <w:szCs w:val="20"/>
          <w:color w:val="auto"/>
        </w:rPr>
      </w:pPr>
    </w:p>
    <w:p>
      <w:pPr>
        <w:ind w:left="420" w:right="200"/>
        <w:spacing w:after="0" w:line="250" w:lineRule="auto"/>
        <w:rPr>
          <w:sz w:val="20"/>
          <w:szCs w:val="20"/>
          <w:color w:val="auto"/>
        </w:rPr>
      </w:pPr>
      <w:r>
        <w:rPr>
          <w:rFonts w:ascii="Arial" w:cs="Arial" w:eastAsia="Arial" w:hAnsi="Arial"/>
          <w:sz w:val="14"/>
          <w:szCs w:val="14"/>
          <w:color w:val="auto"/>
        </w:rPr>
        <w:t>Also includes 12,039,593 shares owned by entities as to which Mr. Crown disclaims beneficial ownership, except to the extent of his pecuniary interest therein. Of such shares (and for all directors and current executive officers as a group) 11,106,493 shares may be pledged or held by brokers in margin loan accounts, whether or not there are loans outstanding.</w:t>
      </w:r>
    </w:p>
    <w:p>
      <w:pPr>
        <w:ind w:left="440" w:hanging="222"/>
        <w:spacing w:after="0" w:line="193" w:lineRule="auto"/>
        <w:tabs>
          <w:tab w:leader="none" w:pos="440" w:val="left"/>
        </w:tabs>
        <w:numPr>
          <w:ilvl w:val="0"/>
          <w:numId w:val="166"/>
        </w:numPr>
        <w:rPr>
          <w:rFonts w:ascii="Arial" w:cs="Arial" w:eastAsia="Arial" w:hAnsi="Arial"/>
          <w:sz w:val="24"/>
          <w:szCs w:val="24"/>
          <w:color w:val="auto"/>
          <w:vertAlign w:val="superscript"/>
        </w:rPr>
      </w:pPr>
      <w:r>
        <w:rPr>
          <w:rFonts w:ascii="Arial" w:cs="Arial" w:eastAsia="Arial" w:hAnsi="Arial"/>
          <w:sz w:val="14"/>
          <w:szCs w:val="14"/>
          <w:color w:val="auto"/>
        </w:rPr>
        <w:t>Includes 115,800 shares owned by entities as to which Mr. Dimon disclaims beneficial ownership, except to the extent of his pecuniary interest therein.</w:t>
      </w:r>
    </w:p>
    <w:p>
      <w:pPr>
        <w:spacing w:after="0" w:line="58" w:lineRule="exact"/>
        <w:rPr>
          <w:sz w:val="20"/>
          <w:szCs w:val="20"/>
          <w:color w:val="auto"/>
        </w:rPr>
      </w:pPr>
    </w:p>
    <w:p>
      <w:pPr>
        <w:ind w:left="440" w:right="380" w:hanging="222"/>
        <w:spacing w:after="0" w:line="199" w:lineRule="auto"/>
        <w:tabs>
          <w:tab w:leader="none" w:pos="440" w:val="left"/>
        </w:tabs>
        <w:numPr>
          <w:ilvl w:val="0"/>
          <w:numId w:val="167"/>
        </w:numPr>
        <w:rPr>
          <w:rFonts w:ascii="Arial" w:cs="Arial" w:eastAsia="Arial" w:hAnsi="Arial"/>
          <w:sz w:val="24"/>
          <w:szCs w:val="24"/>
          <w:color w:val="auto"/>
          <w:vertAlign w:val="superscript"/>
        </w:rPr>
      </w:pPr>
      <w:r>
        <w:rPr>
          <w:rFonts w:ascii="Arial" w:cs="Arial" w:eastAsia="Arial" w:hAnsi="Arial"/>
          <w:sz w:val="14"/>
          <w:szCs w:val="14"/>
          <w:color w:val="auto"/>
        </w:rPr>
        <w:t>As of February 28, 2019, Mr. Raymond held 1,435 depositary shares, each representing a one-tenth interest in a share of JPMorgan Chase’s Fixed-to-Floating Rate Non-Cumulative Perpetual Preferred Stock, Series I (“Series I Preferred”). Mr. Raymond is the only director or executive officer who owns shares of the Series I Preferred.</w:t>
      </w:r>
    </w:p>
    <w:p>
      <w:pPr>
        <w:spacing w:after="0" w:line="128"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76</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960"/>
        <w:spacing w:after="0"/>
        <w:rPr>
          <w:sz w:val="20"/>
          <w:szCs w:val="20"/>
          <w:color w:val="auto"/>
        </w:rPr>
      </w:pPr>
      <w:r>
        <w:rPr>
          <w:rFonts w:ascii="Arial" w:cs="Arial" w:eastAsia="Arial" w:hAnsi="Arial"/>
          <w:sz w:val="16"/>
          <w:szCs w:val="16"/>
          <w:color w:val="333333"/>
        </w:rPr>
        <w:t>EXECUTIVE COMPENSATION</w:t>
      </w:r>
    </w:p>
    <w:p>
      <w:pPr>
        <w:spacing w:after="0" w:line="151" w:lineRule="exact"/>
        <w:rPr>
          <w:sz w:val="20"/>
          <w:szCs w:val="20"/>
          <w:color w:val="auto"/>
        </w:rPr>
      </w:pPr>
    </w:p>
    <w:p>
      <w:pPr>
        <w:ind w:left="200" w:right="700"/>
        <w:spacing w:after="0" w:line="246" w:lineRule="auto"/>
        <w:rPr>
          <w:sz w:val="20"/>
          <w:szCs w:val="20"/>
          <w:color w:val="auto"/>
        </w:rPr>
      </w:pPr>
      <w:r>
        <w:rPr>
          <w:rFonts w:ascii="Arial" w:cs="Arial" w:eastAsia="Arial" w:hAnsi="Arial"/>
          <w:sz w:val="18"/>
          <w:szCs w:val="18"/>
          <w:color w:val="auto"/>
        </w:rPr>
        <w:t>Pursuant to SEC filings, the companies included in the table below were the beneficial owners of more than 5% of our outstanding common stock as of December 31, 2018.</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jc w:val="right"/>
              <w:ind w:right="108"/>
              <w:spacing w:after="0"/>
              <w:rPr>
                <w:sz w:val="20"/>
                <w:szCs w:val="20"/>
                <w:color w:val="auto"/>
              </w:rPr>
            </w:pPr>
            <w:r>
              <w:rPr>
                <w:rFonts w:ascii="Arial" w:cs="Arial" w:eastAsia="Arial" w:hAnsi="Arial"/>
                <w:sz w:val="14"/>
                <w:szCs w:val="14"/>
                <w:b w:val="1"/>
                <w:bCs w:val="1"/>
                <w:color w:val="auto"/>
              </w:rPr>
              <w:t>Common stock</w:t>
            </w:r>
          </w:p>
        </w:tc>
        <w:tc>
          <w:tcPr>
            <w:tcW w:w="1640" w:type="dxa"/>
            <w:vAlign w:val="bottom"/>
          </w:tcPr>
          <w:p>
            <w:pPr>
              <w:spacing w:after="0"/>
              <w:rPr>
                <w:sz w:val="14"/>
                <w:szCs w:val="14"/>
                <w:color w:val="auto"/>
              </w:rPr>
            </w:pPr>
          </w:p>
        </w:tc>
      </w:tr>
      <w:tr>
        <w:trPr>
          <w:trHeight w:val="189"/>
        </w:trPr>
        <w:tc>
          <w:tcPr>
            <w:tcW w:w="358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Name of beneficial owner</w:t>
            </w:r>
          </w:p>
        </w:tc>
        <w:tc>
          <w:tcPr>
            <w:tcW w:w="4140" w:type="dxa"/>
            <w:vAlign w:val="bottom"/>
            <w:tcBorders>
              <w:bottom w:val="single" w:sz="8" w:color="004876"/>
            </w:tcBorders>
          </w:tcPr>
          <w:p>
            <w:pPr>
              <w:jc w:val="right"/>
              <w:ind w:right="368"/>
              <w:spacing w:after="0"/>
              <w:rPr>
                <w:sz w:val="20"/>
                <w:szCs w:val="20"/>
                <w:color w:val="auto"/>
              </w:rPr>
            </w:pPr>
            <w:r>
              <w:rPr>
                <w:rFonts w:ascii="Arial" w:cs="Arial" w:eastAsia="Arial" w:hAnsi="Arial"/>
                <w:sz w:val="14"/>
                <w:szCs w:val="14"/>
                <w:b w:val="1"/>
                <w:bCs w:val="1"/>
                <w:color w:val="auto"/>
              </w:rPr>
              <w:t>Address of beneficial owner</w:t>
            </w:r>
          </w:p>
        </w:tc>
        <w:tc>
          <w:tcPr>
            <w:tcW w:w="166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owned (#)</w:t>
            </w:r>
          </w:p>
        </w:tc>
        <w:tc>
          <w:tcPr>
            <w:tcW w:w="164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b w:val="1"/>
                <w:bCs w:val="1"/>
                <w:color w:val="auto"/>
              </w:rPr>
              <w:t>Percent owned (%)</w:t>
            </w:r>
          </w:p>
        </w:tc>
      </w:tr>
      <w:tr>
        <w:trPr>
          <w:trHeight w:val="201"/>
        </w:trPr>
        <w:tc>
          <w:tcPr>
            <w:tcW w:w="3580" w:type="dxa"/>
            <w:vAlign w:val="bottom"/>
            <w:shd w:val="clear" w:color="auto" w:fill="E5E5E5"/>
          </w:tcPr>
          <w:p>
            <w:pPr>
              <w:ind w:left="60"/>
              <w:spacing w:after="0" w:line="201" w:lineRule="exact"/>
              <w:rPr>
                <w:sz w:val="20"/>
                <w:szCs w:val="20"/>
                <w:color w:val="auto"/>
              </w:rPr>
            </w:pPr>
            <w:r>
              <w:rPr>
                <w:rFonts w:ascii="Arial" w:cs="Arial" w:eastAsia="Arial" w:hAnsi="Arial"/>
                <w:sz w:val="14"/>
                <w:szCs w:val="14"/>
                <w:color w:val="auto"/>
              </w:rPr>
              <w:t>The Vanguard Group</w:t>
            </w:r>
            <w:r>
              <w:rPr>
                <w:rFonts w:ascii="Arial" w:cs="Arial" w:eastAsia="Arial" w:hAnsi="Arial"/>
                <w:sz w:val="23"/>
                <w:szCs w:val="23"/>
                <w:color w:val="auto"/>
                <w:vertAlign w:val="superscript"/>
              </w:rPr>
              <w:t>1</w:t>
            </w:r>
          </w:p>
        </w:tc>
        <w:tc>
          <w:tcPr>
            <w:tcW w:w="41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100 Vanguard Blvd.</w:t>
            </w:r>
          </w:p>
        </w:tc>
        <w:tc>
          <w:tcPr>
            <w:tcW w:w="1660" w:type="dxa"/>
            <w:vAlign w:val="bottom"/>
            <w:shd w:val="clear" w:color="auto" w:fill="E5E5E5"/>
          </w:tcPr>
          <w:p>
            <w:pPr>
              <w:spacing w:after="0"/>
              <w:rPr>
                <w:sz w:val="17"/>
                <w:szCs w:val="17"/>
                <w:color w:val="auto"/>
              </w:rPr>
            </w:pPr>
          </w:p>
        </w:tc>
        <w:tc>
          <w:tcPr>
            <w:tcW w:w="1640" w:type="dxa"/>
            <w:vAlign w:val="bottom"/>
            <w:shd w:val="clear" w:color="auto" w:fill="E5E5E5"/>
          </w:tcPr>
          <w:p>
            <w:pPr>
              <w:spacing w:after="0"/>
              <w:rPr>
                <w:sz w:val="17"/>
                <w:szCs w:val="17"/>
                <w:color w:val="auto"/>
              </w:rPr>
            </w:pPr>
          </w:p>
        </w:tc>
      </w:tr>
      <w:tr>
        <w:trPr>
          <w:trHeight w:val="171"/>
        </w:trPr>
        <w:tc>
          <w:tcPr>
            <w:tcW w:w="3580" w:type="dxa"/>
            <w:vAlign w:val="bottom"/>
            <w:shd w:val="clear" w:color="auto" w:fill="E5E5E5"/>
          </w:tcPr>
          <w:p>
            <w:pPr>
              <w:spacing w:after="0"/>
              <w:rPr>
                <w:sz w:val="14"/>
                <w:szCs w:val="14"/>
                <w:color w:val="auto"/>
              </w:rPr>
            </w:pPr>
          </w:p>
        </w:tc>
        <w:tc>
          <w:tcPr>
            <w:tcW w:w="41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Malvern, PA 19355</w:t>
            </w:r>
          </w:p>
        </w:tc>
        <w:tc>
          <w:tcPr>
            <w:tcW w:w="166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259,207,050</w:t>
            </w:r>
          </w:p>
        </w:tc>
        <w:tc>
          <w:tcPr>
            <w:tcW w:w="16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7.79</w:t>
            </w:r>
          </w:p>
        </w:tc>
      </w:tr>
      <w:tr>
        <w:trPr>
          <w:trHeight w:val="207"/>
        </w:trPr>
        <w:tc>
          <w:tcPr>
            <w:tcW w:w="3580" w:type="dxa"/>
            <w:vAlign w:val="bottom"/>
          </w:tcPr>
          <w:p>
            <w:pPr>
              <w:ind w:left="60"/>
              <w:spacing w:after="0" w:line="207" w:lineRule="exact"/>
              <w:rPr>
                <w:sz w:val="20"/>
                <w:szCs w:val="20"/>
                <w:color w:val="auto"/>
              </w:rPr>
            </w:pPr>
            <w:r>
              <w:rPr>
                <w:rFonts w:ascii="Arial" w:cs="Arial" w:eastAsia="Arial" w:hAnsi="Arial"/>
                <w:sz w:val="14"/>
                <w:szCs w:val="14"/>
                <w:color w:val="auto"/>
              </w:rPr>
              <w:t>BlackRock, Inc.</w:t>
            </w:r>
            <w:r>
              <w:rPr>
                <w:rFonts w:ascii="Arial" w:cs="Arial" w:eastAsia="Arial" w:hAnsi="Arial"/>
                <w:sz w:val="24"/>
                <w:szCs w:val="24"/>
                <w:color w:val="auto"/>
                <w:vertAlign w:val="superscript"/>
              </w:rPr>
              <w:t>2</w:t>
            </w:r>
          </w:p>
        </w:tc>
        <w:tc>
          <w:tcPr>
            <w:tcW w:w="4140" w:type="dxa"/>
            <w:vAlign w:val="bottom"/>
          </w:tcPr>
          <w:p>
            <w:pPr>
              <w:jc w:val="right"/>
              <w:ind w:right="368"/>
              <w:spacing w:after="0"/>
              <w:rPr>
                <w:sz w:val="20"/>
                <w:szCs w:val="20"/>
                <w:color w:val="auto"/>
              </w:rPr>
            </w:pPr>
            <w:r>
              <w:rPr>
                <w:rFonts w:ascii="Arial" w:cs="Arial" w:eastAsia="Arial" w:hAnsi="Arial"/>
                <w:sz w:val="14"/>
                <w:szCs w:val="14"/>
                <w:color w:val="auto"/>
              </w:rPr>
              <w:t>55 East 52nd Street</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72"/>
        </w:trPr>
        <w:tc>
          <w:tcPr>
            <w:tcW w:w="3580" w:type="dxa"/>
            <w:vAlign w:val="bottom"/>
          </w:tcPr>
          <w:p>
            <w:pPr>
              <w:spacing w:after="0"/>
              <w:rPr>
                <w:sz w:val="14"/>
                <w:szCs w:val="14"/>
                <w:color w:val="auto"/>
              </w:rPr>
            </w:pPr>
          </w:p>
        </w:tc>
        <w:tc>
          <w:tcPr>
            <w:tcW w:w="4140" w:type="dxa"/>
            <w:vAlign w:val="bottom"/>
          </w:tcPr>
          <w:p>
            <w:pPr>
              <w:jc w:val="right"/>
              <w:ind w:right="368"/>
              <w:spacing w:after="0"/>
              <w:rPr>
                <w:sz w:val="20"/>
                <w:szCs w:val="20"/>
                <w:color w:val="auto"/>
              </w:rPr>
            </w:pPr>
            <w:r>
              <w:rPr>
                <w:rFonts w:ascii="Arial" w:cs="Arial" w:eastAsia="Arial" w:hAnsi="Arial"/>
                <w:sz w:val="14"/>
                <w:szCs w:val="14"/>
                <w:color w:val="auto"/>
              </w:rPr>
              <w:t>New York, NY 10055</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215,948,619</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6.50</w:t>
            </w:r>
          </w:p>
        </w:tc>
      </w:tr>
    </w:tbl>
    <w:p>
      <w:pPr>
        <w:spacing w:after="0" w:line="125" w:lineRule="exact"/>
        <w:rPr>
          <w:sz w:val="20"/>
          <w:szCs w:val="20"/>
          <w:color w:val="auto"/>
        </w:rPr>
      </w:pPr>
    </w:p>
    <w:p>
      <w:pPr>
        <w:ind w:left="420" w:right="60" w:hanging="176"/>
        <w:spacing w:after="0" w:line="208" w:lineRule="auto"/>
        <w:tabs>
          <w:tab w:leader="none" w:pos="420" w:val="left"/>
        </w:tabs>
        <w:numPr>
          <w:ilvl w:val="0"/>
          <w:numId w:val="168"/>
        </w:numPr>
        <w:rPr>
          <w:rFonts w:ascii="Arial" w:cs="Arial" w:eastAsia="Arial" w:hAnsi="Arial"/>
          <w:sz w:val="24"/>
          <w:szCs w:val="24"/>
          <w:color w:val="auto"/>
          <w:vertAlign w:val="superscript"/>
        </w:rPr>
      </w:pPr>
      <w:r>
        <w:rPr>
          <w:rFonts w:ascii="Arial" w:cs="Arial" w:eastAsia="Arial" w:hAnsi="Arial"/>
          <w:sz w:val="14"/>
          <w:szCs w:val="14"/>
          <w:color w:val="auto"/>
        </w:rPr>
        <w:t>The Vanguard Group owns the above holdings in its capacity as an investment advisor in accordance with SEC Rule 13d-1(b)(1)(ii)(E). According to the Schedule 13G dated February 11, 2019, filed with the SEC, in the aggregate, Vanguard and the affiliated entities included in the Schedule 13G (“Vanguard”) have sole dispositive power over 254,639,880 shares, shared dispositive power over 4,567,170 shares, sole voting power over 3,874,941 shares, and shared voting power over 772,915 shares of our common stock.</w:t>
      </w:r>
    </w:p>
    <w:p>
      <w:pPr>
        <w:spacing w:after="0" w:line="58" w:lineRule="exact"/>
        <w:rPr>
          <w:sz w:val="20"/>
          <w:szCs w:val="20"/>
          <w:color w:val="auto"/>
        </w:rPr>
      </w:pPr>
    </w:p>
    <w:p>
      <w:pPr>
        <w:ind w:left="420" w:right="140" w:hanging="176"/>
        <w:spacing w:after="0" w:line="199" w:lineRule="auto"/>
        <w:tabs>
          <w:tab w:leader="none" w:pos="420" w:val="left"/>
        </w:tabs>
        <w:numPr>
          <w:ilvl w:val="0"/>
          <w:numId w:val="169"/>
        </w:numPr>
        <w:rPr>
          <w:rFonts w:ascii="Arial" w:cs="Arial" w:eastAsia="Arial" w:hAnsi="Arial"/>
          <w:sz w:val="24"/>
          <w:szCs w:val="24"/>
          <w:color w:val="auto"/>
          <w:vertAlign w:val="superscript"/>
        </w:rPr>
      </w:pPr>
      <w:r>
        <w:rPr>
          <w:rFonts w:ascii="Arial" w:cs="Arial" w:eastAsia="Arial" w:hAnsi="Arial"/>
          <w:sz w:val="14"/>
          <w:szCs w:val="14"/>
          <w:color w:val="auto"/>
        </w:rPr>
        <w:t>BlackRock, Inc. owns the above holdings in its capacity as a parent holding company or control person in accordance with SEC Rule 13d-1(b)(1)(ii)(G). According to the Schedule 13G dated January 8, 2019, filed with the SEC, in the aggregate, BlackRock and the affiliated entities included in the Schedule 13G (“BlackRock”) have sole dispositive power over 215,948,619 shares, and sole voting power over 215,948,619 shares of our common stock.</w:t>
      </w:r>
    </w:p>
    <w:p>
      <w:pPr>
        <w:spacing w:after="0" w:line="12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3"/>
                <w:szCs w:val="13"/>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77</w:t>
            </w:r>
          </w:p>
        </w:tc>
      </w:tr>
    </w:tbl>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941070</wp:posOffset>
            </wp:positionV>
            <wp:extent cx="7002145" cy="4159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002145" cy="41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45"/>
          <w:szCs w:val="45"/>
          <w:color w:val="004876"/>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45"/>
          <w:szCs w:val="45"/>
          <w:color w:val="004876"/>
        </w:rPr>
        <w:t>Proposal 3:</w:t>
      </w:r>
    </w:p>
    <w:p>
      <w:pPr>
        <w:spacing w:after="0" w:line="104" w:lineRule="exact"/>
        <w:rPr>
          <w:sz w:val="20"/>
          <w:szCs w:val="20"/>
          <w:color w:val="auto"/>
        </w:rPr>
      </w:pPr>
    </w:p>
    <w:p>
      <w:pPr>
        <w:ind w:left="200" w:right="2260"/>
        <w:spacing w:after="0" w:line="250" w:lineRule="auto"/>
        <w:rPr>
          <w:sz w:val="20"/>
          <w:szCs w:val="20"/>
          <w:color w:val="auto"/>
        </w:rPr>
      </w:pPr>
      <w:r>
        <w:rPr>
          <w:rFonts w:ascii="Arial" w:cs="Arial" w:eastAsia="Arial" w:hAnsi="Arial"/>
          <w:sz w:val="45"/>
          <w:szCs w:val="45"/>
          <w:color w:val="004876"/>
        </w:rPr>
        <w:t>Ratification of independent registered public accounting firm</w:t>
      </w:r>
    </w:p>
    <w:p>
      <w:pPr>
        <w:spacing w:after="0" w:line="35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The Audit Committee has appointed PwC as the Firm’s</w:t>
            </w:r>
          </w:p>
        </w:tc>
        <w:tc>
          <w:tcPr>
            <w:tcW w:w="640" w:type="dxa"/>
            <w:vAlign w:val="bottom"/>
            <w:vMerge w:val="restart"/>
          </w:tcPr>
          <w:p>
            <w:pPr>
              <w:ind w:left="220"/>
              <w:spacing w:after="0" w:line="291" w:lineRule="exact"/>
              <w:rPr>
                <w:sz w:val="20"/>
                <w:szCs w:val="20"/>
                <w:color w:val="auto"/>
              </w:rPr>
            </w:pPr>
            <w:r>
              <w:rPr>
                <w:rFonts w:ascii="MS PGothic" w:cs="MS PGothic" w:eastAsia="MS PGothic" w:hAnsi="MS PGothic"/>
                <w:sz w:val="29"/>
                <w:szCs w:val="29"/>
                <w:color w:val="auto"/>
                <w:shd w:val="clear" w:color="auto" w:fill="73A950"/>
              </w:rPr>
              <w:t>✓</w:t>
            </w:r>
          </w:p>
        </w:tc>
        <w:tc>
          <w:tcPr>
            <w:tcW w:w="4980" w:type="dxa"/>
            <w:vAlign w:val="bottom"/>
            <w:gridSpan w:val="3"/>
            <w:shd w:val="clear" w:color="auto" w:fill="E5E5E5"/>
          </w:tcPr>
          <w:p>
            <w:pPr>
              <w:ind w:left="140"/>
              <w:spacing w:after="0"/>
              <w:rPr>
                <w:sz w:val="20"/>
                <w:szCs w:val="20"/>
                <w:color w:val="auto"/>
              </w:rPr>
            </w:pPr>
            <w:r>
              <w:rPr>
                <w:rFonts w:ascii="Arial" w:cs="Arial" w:eastAsia="Arial" w:hAnsi="Arial"/>
                <w:sz w:val="20"/>
                <w:szCs w:val="20"/>
                <w:color w:val="auto"/>
              </w:rPr>
              <w:t>RECOMMENDATION:</w:t>
            </w:r>
          </w:p>
        </w:tc>
        <w:tc>
          <w:tcPr>
            <w:tcW w:w="0" w:type="dxa"/>
            <w:vAlign w:val="bottom"/>
          </w:tcPr>
          <w:p>
            <w:pPr>
              <w:spacing w:after="0"/>
              <w:rPr>
                <w:sz w:val="1"/>
                <w:szCs w:val="1"/>
                <w:color w:val="auto"/>
              </w:rPr>
            </w:pPr>
          </w:p>
        </w:tc>
      </w:tr>
      <w:tr>
        <w:trPr>
          <w:trHeight w:val="188"/>
        </w:trPr>
        <w:tc>
          <w:tcPr>
            <w:tcW w:w="5400" w:type="dxa"/>
            <w:vAlign w:val="bottom"/>
          </w:tcPr>
          <w:p>
            <w:pPr>
              <w:spacing w:after="0" w:line="189" w:lineRule="exact"/>
              <w:rPr>
                <w:sz w:val="20"/>
                <w:szCs w:val="20"/>
                <w:color w:val="auto"/>
              </w:rPr>
            </w:pPr>
            <w:r>
              <w:rPr>
                <w:rFonts w:ascii="Arial" w:cs="Arial" w:eastAsia="Arial" w:hAnsi="Arial"/>
                <w:sz w:val="18"/>
                <w:szCs w:val="18"/>
                <w:color w:val="auto"/>
              </w:rPr>
              <w:t>independent registered public accounting firm for the year ending</w:t>
            </w:r>
          </w:p>
        </w:tc>
        <w:tc>
          <w:tcPr>
            <w:tcW w:w="640" w:type="dxa"/>
            <w:vAlign w:val="bottom"/>
            <w:vMerge w:val="continue"/>
          </w:tcPr>
          <w:p>
            <w:pPr>
              <w:spacing w:after="0"/>
              <w:rPr>
                <w:sz w:val="16"/>
                <w:szCs w:val="16"/>
                <w:color w:val="auto"/>
              </w:rPr>
            </w:pPr>
          </w:p>
        </w:tc>
        <w:tc>
          <w:tcPr>
            <w:tcW w:w="4980" w:type="dxa"/>
            <w:vAlign w:val="bottom"/>
            <w:gridSpan w:val="3"/>
            <w:vMerge w:val="restart"/>
            <w:shd w:val="clear" w:color="auto" w:fill="E5E5E5"/>
          </w:tcPr>
          <w:p>
            <w:pPr>
              <w:ind w:left="140"/>
              <w:spacing w:after="0"/>
              <w:rPr>
                <w:sz w:val="20"/>
                <w:szCs w:val="20"/>
                <w:color w:val="auto"/>
              </w:rPr>
            </w:pPr>
            <w:r>
              <w:rPr>
                <w:rFonts w:ascii="Arial" w:cs="Arial" w:eastAsia="Arial" w:hAnsi="Arial"/>
                <w:sz w:val="20"/>
                <w:szCs w:val="20"/>
                <w:color w:val="auto"/>
              </w:rPr>
              <w:t xml:space="preserve">Vote </w:t>
            </w:r>
            <w:r>
              <w:rPr>
                <w:rFonts w:ascii="Arial" w:cs="Arial" w:eastAsia="Arial" w:hAnsi="Arial"/>
                <w:sz w:val="20"/>
                <w:szCs w:val="20"/>
                <w:b w:val="1"/>
                <w:bCs w:val="1"/>
                <w:color w:val="auto"/>
              </w:rPr>
              <w:t>FOR</w:t>
            </w:r>
            <w:r>
              <w:rPr>
                <w:rFonts w:ascii="Arial" w:cs="Arial" w:eastAsia="Arial" w:hAnsi="Arial"/>
                <w:sz w:val="20"/>
                <w:szCs w:val="20"/>
                <w:color w:val="auto"/>
              </w:rPr>
              <w:t xml:space="preserve"> ratification of PwC</w:t>
            </w:r>
          </w:p>
        </w:tc>
        <w:tc>
          <w:tcPr>
            <w:tcW w:w="0" w:type="dxa"/>
            <w:vAlign w:val="bottom"/>
          </w:tcPr>
          <w:p>
            <w:pPr>
              <w:spacing w:after="0"/>
              <w:rPr>
                <w:sz w:val="1"/>
                <w:szCs w:val="1"/>
                <w:color w:val="auto"/>
              </w:rPr>
            </w:pPr>
          </w:p>
        </w:tc>
      </w:tr>
      <w:tr>
        <w:trPr>
          <w:trHeight w:val="82"/>
        </w:trPr>
        <w:tc>
          <w:tcPr>
            <w:tcW w:w="5400" w:type="dxa"/>
            <w:vAlign w:val="bottom"/>
            <w:vMerge w:val="restart"/>
          </w:tcPr>
          <w:p>
            <w:pPr>
              <w:spacing w:after="0" w:line="143" w:lineRule="exact"/>
              <w:rPr>
                <w:sz w:val="20"/>
                <w:szCs w:val="20"/>
                <w:color w:val="auto"/>
              </w:rPr>
            </w:pPr>
            <w:r>
              <w:rPr>
                <w:rFonts w:ascii="Arial" w:cs="Arial" w:eastAsia="Arial" w:hAnsi="Arial"/>
                <w:sz w:val="16"/>
                <w:szCs w:val="16"/>
                <w:color w:val="auto"/>
              </w:rPr>
              <w:t>December 31, 2019.</w:t>
            </w:r>
          </w:p>
        </w:tc>
        <w:tc>
          <w:tcPr>
            <w:tcW w:w="640" w:type="dxa"/>
            <w:vAlign w:val="bottom"/>
            <w:vMerge w:val="continue"/>
          </w:tcPr>
          <w:p>
            <w:pPr>
              <w:spacing w:after="0"/>
              <w:rPr>
                <w:sz w:val="7"/>
                <w:szCs w:val="7"/>
                <w:color w:val="auto"/>
              </w:rPr>
            </w:pPr>
          </w:p>
        </w:tc>
        <w:tc>
          <w:tcPr>
            <w:tcW w:w="4980" w:type="dxa"/>
            <w:vAlign w:val="bottom"/>
            <w:gridSpan w:val="3"/>
            <w:vMerge w:val="continue"/>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54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Borders>
              <w:top w:val="single" w:sz="8" w:color="E5E5E5"/>
            </w:tcBorders>
            <w:shd w:val="clear" w:color="auto" w:fill="E5E5E5"/>
          </w:tcPr>
          <w:p>
            <w:pPr>
              <w:spacing w:after="0"/>
              <w:rPr>
                <w:sz w:val="5"/>
                <w:szCs w:val="5"/>
                <w:color w:val="auto"/>
              </w:rPr>
            </w:pPr>
          </w:p>
        </w:tc>
        <w:tc>
          <w:tcPr>
            <w:tcW w:w="420" w:type="dxa"/>
            <w:vAlign w:val="bottom"/>
            <w:tcBorders>
              <w:top w:val="single" w:sz="8" w:color="auto"/>
            </w:tcBorders>
            <w:shd w:val="clear" w:color="auto" w:fill="E5E5E5"/>
          </w:tcPr>
          <w:p>
            <w:pPr>
              <w:spacing w:after="0"/>
              <w:rPr>
                <w:sz w:val="5"/>
                <w:szCs w:val="5"/>
                <w:color w:val="auto"/>
              </w:rPr>
            </w:pPr>
          </w:p>
        </w:tc>
        <w:tc>
          <w:tcPr>
            <w:tcW w:w="3980" w:type="dxa"/>
            <w:vAlign w:val="bottom"/>
            <w:tcBorders>
              <w:top w:val="single" w:sz="8" w:color="E5E5E5"/>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875030</wp:posOffset>
            </wp:positionV>
            <wp:extent cx="6997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78</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45"/>
          <w:szCs w:val="45"/>
          <w:b w:val="1"/>
          <w:bCs w:val="1"/>
          <w:color w:val="004876"/>
        </w:rPr>
        <w:t>Executive Summary</w:t>
      </w:r>
    </w:p>
    <w:p>
      <w:pPr>
        <w:spacing w:after="0" w:line="377" w:lineRule="exact"/>
        <w:rPr>
          <w:sz w:val="20"/>
          <w:szCs w:val="20"/>
          <w:color w:val="auto"/>
        </w:rPr>
      </w:pPr>
    </w:p>
    <w:p>
      <w:pPr>
        <w:ind w:left="220" w:right="3760"/>
        <w:spacing w:after="0" w:line="236" w:lineRule="auto"/>
        <w:rPr>
          <w:sz w:val="20"/>
          <w:szCs w:val="20"/>
          <w:color w:val="auto"/>
        </w:rPr>
      </w:pPr>
      <w:r>
        <w:rPr>
          <w:rFonts w:ascii="Arial" w:cs="Arial" w:eastAsia="Arial" w:hAnsi="Arial"/>
          <w:sz w:val="18"/>
          <w:szCs w:val="18"/>
          <w:color w:val="auto"/>
        </w:rPr>
        <w:t>The Audit Committee is responsible for the appointment, retention, compensation, evaluation and oversight of the Firm’s independent registered public accounting firm. It is also responsible for assisting the Board in its oversight of the Firm’s Internal Audit function and of management’s responsibilities to assure that there is an effective system of controls in place reasonably designed to safeguard the assets and income of the Firm, assure the integrity of the Firm’s financial statements and maintain compliance with the Firm’s ethical standards and with laws and regulations. The Report of the Audit Committee on these matters can be found on pages 82-83.</w:t>
      </w:r>
    </w:p>
    <w:p>
      <w:pPr>
        <w:spacing w:after="0" w:line="98" w:lineRule="exact"/>
        <w:rPr>
          <w:sz w:val="20"/>
          <w:szCs w:val="20"/>
          <w:color w:val="auto"/>
        </w:rPr>
      </w:pPr>
    </w:p>
    <w:p>
      <w:pPr>
        <w:ind w:left="220" w:right="3780"/>
        <w:spacing w:after="0" w:line="236" w:lineRule="auto"/>
        <w:rPr>
          <w:sz w:val="20"/>
          <w:szCs w:val="20"/>
          <w:color w:val="auto"/>
        </w:rPr>
      </w:pPr>
      <w:r>
        <w:rPr>
          <w:rFonts w:ascii="Arial" w:cs="Arial" w:eastAsia="Arial" w:hAnsi="Arial"/>
          <w:sz w:val="18"/>
          <w:szCs w:val="18"/>
          <w:color w:val="auto"/>
        </w:rPr>
        <w:t>The Audit Committee has appointed PwC as the Firm’s independent registered public accounting firm to audit the Consolidated Financial Statements of JPMorgan Chase and its subsidiaries for the year ending December 31, 2019. A resolution will be presented to our shareholders at the annual meeting requesting them to ratify PwC’s appointment. For more information on this resolution, see page 80. If the shareholders do not ratify the appointment of PwC, the Audit Committee will consider the appointment of another independent registered public accounting firm.</w:t>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333333"/>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-4445</wp:posOffset>
            </wp:positionV>
            <wp:extent cx="3429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9220" w:space="720"/>
            <w:col w:w="128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AUDIT MATTERS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Proposal 3 — Ratification of independent registered public accounting firm</w:t>
      </w:r>
    </w:p>
    <w:p>
      <w:pPr>
        <w:sectPr>
          <w:pgSz w:w="11900" w:h="16838" w:orient="portrait"/>
          <w:cols w:equalWidth="0" w:num="1">
            <w:col w:w="11180"/>
          </w:cols>
          <w:pgMar w:left="240" w:top="459" w:right="479" w:bottom="1440" w:gutter="0" w:footer="0" w:header="0"/>
        </w:sectPr>
      </w:pPr>
    </w:p>
    <w:p>
      <w:pPr>
        <w:spacing w:after="0" w:line="278" w:lineRule="exact"/>
        <w:rPr>
          <w:sz w:val="20"/>
          <w:szCs w:val="20"/>
          <w:color w:val="auto"/>
        </w:rPr>
      </w:pPr>
    </w:p>
    <w:p>
      <w:pPr>
        <w:ind w:left="200" w:right="960"/>
        <w:spacing w:after="0" w:line="258" w:lineRule="auto"/>
        <w:rPr>
          <w:sz w:val="20"/>
          <w:szCs w:val="20"/>
          <w:color w:val="auto"/>
        </w:rPr>
      </w:pPr>
      <w:r>
        <w:rPr>
          <w:rFonts w:ascii="Arial" w:cs="Arial" w:eastAsia="Arial" w:hAnsi="Arial"/>
          <w:sz w:val="20"/>
          <w:szCs w:val="20"/>
          <w:b w:val="1"/>
          <w:bCs w:val="1"/>
          <w:color w:val="004876"/>
        </w:rPr>
        <w:t>Engagement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3353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47"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The Audit Committee is responsible for the appointment, retention, compensation, evaluation and oversight of the Firm’s independent registered public accounting firm.</w:t>
      </w:r>
    </w:p>
    <w:p>
      <w:pPr>
        <w:spacing w:after="0" w:line="95"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The Audit Committee has appointed PwC as the Firm’s independent registered public accounting firm to audit the Consolidated Financial Statements of JPMorgan Chase and its subsidiaries for the year ending December 31, 2019.</w:t>
      </w:r>
    </w:p>
    <w:p>
      <w:pPr>
        <w:spacing w:after="0" w:line="94" w:lineRule="exact"/>
        <w:rPr>
          <w:sz w:val="20"/>
          <w:szCs w:val="20"/>
          <w:color w:val="auto"/>
        </w:rPr>
      </w:pPr>
    </w:p>
    <w:p>
      <w:pPr>
        <w:ind w:left="200" w:right="460"/>
        <w:spacing w:after="0" w:line="257" w:lineRule="auto"/>
        <w:rPr>
          <w:sz w:val="20"/>
          <w:szCs w:val="20"/>
          <w:color w:val="auto"/>
        </w:rPr>
      </w:pPr>
      <w:r>
        <w:rPr>
          <w:rFonts w:ascii="Arial" w:cs="Arial" w:eastAsia="Arial" w:hAnsi="Arial"/>
          <w:sz w:val="17"/>
          <w:szCs w:val="17"/>
          <w:color w:val="auto"/>
        </w:rPr>
        <w:t>The Audit Committee annually reviews PwC’s qualifications, performance and independence in connection with its determination as to whether to retain PwC. In conducting its review, the Audit Committee considers, among other factors:</w:t>
      </w:r>
    </w:p>
    <w:p>
      <w:pPr>
        <w:spacing w:after="0" w:line="48" w:lineRule="exact"/>
        <w:rPr>
          <w:sz w:val="20"/>
          <w:szCs w:val="20"/>
          <w:color w:val="auto"/>
        </w:rPr>
      </w:pPr>
    </w:p>
    <w:p>
      <w:pPr>
        <w:ind w:left="400" w:right="560"/>
        <w:spacing w:after="0" w:line="246" w:lineRule="auto"/>
        <w:rPr>
          <w:sz w:val="20"/>
          <w:szCs w:val="20"/>
          <w:color w:val="auto"/>
        </w:rPr>
      </w:pPr>
      <w:r>
        <w:rPr>
          <w:rFonts w:ascii="Arial" w:cs="Arial" w:eastAsia="Arial" w:hAnsi="Arial"/>
          <w:sz w:val="18"/>
          <w:szCs w:val="18"/>
          <w:color w:val="auto"/>
        </w:rPr>
        <w:t>the professional qualifications of PwC and that of the key members of the audit team</w:t>
      </w:r>
    </w:p>
    <w:p>
      <w:pPr>
        <w:spacing w:after="0" w:line="102" w:lineRule="exact"/>
        <w:rPr>
          <w:sz w:val="20"/>
          <w:szCs w:val="20"/>
          <w:color w:val="auto"/>
        </w:rPr>
      </w:pPr>
    </w:p>
    <w:p>
      <w:pPr>
        <w:ind w:left="400" w:right="960"/>
        <w:spacing w:after="0" w:line="246" w:lineRule="auto"/>
        <w:rPr>
          <w:sz w:val="20"/>
          <w:szCs w:val="20"/>
          <w:color w:val="auto"/>
        </w:rPr>
      </w:pPr>
      <w:r>
        <w:rPr>
          <w:rFonts w:ascii="Arial" w:cs="Arial" w:eastAsia="Arial" w:hAnsi="Arial"/>
          <w:sz w:val="18"/>
          <w:szCs w:val="18"/>
          <w:color w:val="auto"/>
        </w:rPr>
        <w:t>PwC’s performance on the Firm’s audit, including its professional skepticism and objectivity</w:t>
      </w:r>
    </w:p>
    <w:p>
      <w:pPr>
        <w:spacing w:after="0" w:line="102" w:lineRule="exact"/>
        <w:rPr>
          <w:sz w:val="20"/>
          <w:szCs w:val="20"/>
          <w:color w:val="auto"/>
        </w:rPr>
      </w:pPr>
    </w:p>
    <w:p>
      <w:pPr>
        <w:ind w:left="400" w:right="260"/>
        <w:spacing w:after="0" w:line="239" w:lineRule="auto"/>
        <w:rPr>
          <w:sz w:val="20"/>
          <w:szCs w:val="20"/>
          <w:color w:val="auto"/>
        </w:rPr>
      </w:pPr>
      <w:r>
        <w:rPr>
          <w:rFonts w:ascii="Arial" w:cs="Arial" w:eastAsia="Arial" w:hAnsi="Arial"/>
          <w:sz w:val="18"/>
          <w:szCs w:val="18"/>
          <w:color w:val="auto"/>
        </w:rPr>
        <w:t>the audit quality of PwC, including recent Public Company Accounting Oversight Board (“PCAOB”) reports, peer self-reviews, and legal risks and significant proceedings affecting PwC</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independence of PwC</w:t>
      </w:r>
    </w:p>
    <w:p>
      <w:pPr>
        <w:spacing w:after="0" w:line="163" w:lineRule="exact"/>
        <w:rPr>
          <w:sz w:val="20"/>
          <w:szCs w:val="20"/>
          <w:color w:val="auto"/>
        </w:rPr>
      </w:pPr>
    </w:p>
    <w:p>
      <w:pPr>
        <w:ind w:left="200" w:right="400"/>
        <w:spacing w:after="0" w:line="275" w:lineRule="auto"/>
        <w:rPr>
          <w:sz w:val="20"/>
          <w:szCs w:val="20"/>
          <w:color w:val="auto"/>
        </w:rPr>
      </w:pPr>
      <w:r>
        <w:rPr>
          <w:rFonts w:ascii="Arial" w:cs="Arial" w:eastAsia="Arial" w:hAnsi="Arial"/>
          <w:sz w:val="17"/>
          <w:szCs w:val="17"/>
          <w:color w:val="auto"/>
        </w:rPr>
        <w:t>For more information on the factors reviewed by the Audit Committee, see the Audit Committee Report on pages 82-83.</w:t>
      </w:r>
    </w:p>
    <w:p>
      <w:pPr>
        <w:spacing w:after="0" w:line="65"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Audit Committee also considers PwC’s tenure as the Firm’s independent auditor. In that regard, the members of the Audit Committee and the Board believe that continued retention of PwC as the Firm’s independent external auditor is in the best interests of JPMorgan Chase and its shareholders. PwC and its predecessors have acted as our independent registered public accounting firm since 1965. The Board believes there are significant benefits to having an auditor with extensive history with the Firm. These benefits include:</w:t>
      </w:r>
    </w:p>
    <w:p>
      <w:pPr>
        <w:spacing w:after="0" w:line="67" w:lineRule="exact"/>
        <w:rPr>
          <w:sz w:val="20"/>
          <w:szCs w:val="20"/>
          <w:color w:val="auto"/>
        </w:rPr>
      </w:pPr>
    </w:p>
    <w:p>
      <w:pPr>
        <w:ind w:left="400"/>
        <w:spacing w:after="0" w:line="239" w:lineRule="auto"/>
        <w:rPr>
          <w:sz w:val="20"/>
          <w:szCs w:val="20"/>
          <w:color w:val="auto"/>
        </w:rPr>
      </w:pPr>
      <w:r>
        <w:rPr>
          <w:rFonts w:ascii="Arial" w:cs="Arial" w:eastAsia="Arial" w:hAnsi="Arial"/>
          <w:sz w:val="18"/>
          <w:szCs w:val="18"/>
          <w:color w:val="auto"/>
        </w:rPr>
        <w:t>the high quality of their audit work and accounting advice, as a result of their institutional knowledge of our businesses, global operations, key risks, accounting policies, financial systems and internal control framework</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their audit efficiency and effectiveness, resulting in a lower fee structure due to their history and familiarity with our businesses, and</w:t>
      </w:r>
    </w:p>
    <w:p>
      <w:pPr>
        <w:spacing w:after="0" w:line="108"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the time and expense that would be avoided by management and staff in order to onboard a new auditor</w:t>
      </w:r>
    </w:p>
    <w:p>
      <w:pPr>
        <w:spacing w:after="0" w:line="13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 member of PwC will be present at the annual meeting and will have the opportunity to make a statement and respond to appropriate questions from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4876"/>
        </w:rPr>
        <w:t>Board oversight of PwC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342201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95" w:lineRule="exact"/>
        <w:rPr>
          <w:sz w:val="20"/>
          <w:szCs w:val="20"/>
          <w:color w:val="auto"/>
        </w:rPr>
      </w:pPr>
    </w:p>
    <w:p>
      <w:pPr>
        <w:ind w:right="980"/>
        <w:spacing w:after="0" w:line="246" w:lineRule="auto"/>
        <w:rPr>
          <w:sz w:val="20"/>
          <w:szCs w:val="20"/>
          <w:color w:val="auto"/>
        </w:rPr>
      </w:pPr>
      <w:r>
        <w:rPr>
          <w:rFonts w:ascii="Arial" w:cs="Arial" w:eastAsia="Arial" w:hAnsi="Arial"/>
          <w:sz w:val="18"/>
          <w:szCs w:val="18"/>
          <w:color w:val="auto"/>
        </w:rPr>
        <w:t>The Audit Committee is responsible for oversight of the independent public accounting firm.</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Audit Committee held seven private sessions with PwC during 2018.</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Audit Committee assesses PwC’s independence throughout the year. This includes reviewing with PwC its practices for maintaining its independence. The Audit Committee has also established policies and procedures for approving services provided by PwC. It is JPMorgan Chase’s policy not to use PwC for any services other than audit, audit-related services and tax services in certain circumstances. For more information see Audit Committee Approval Policies and Procedures on page 81.</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no member of PwC’s audit team may be hired by the Firm for a period of one year after such person transferred from the Firm’s audit engagement to another role at PwC, or has terminated employment with PwC. Further, no former PwC employee who was a manager or partner may be hired by the Firm as the CFO, Principal Accounting Officer, General Auditor, Treasurer, Head of Tax or CFO of a LOB for a period of two years following his or her termination of employment with PwC.</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accordance with SEC rules and PwC policies, audit partners are subject to rotation requirements to limit the number of consecutive years of service an individual partner may provide audit services to our Firm. The lead audit partner and quality review partner may provide services to our Firm for a maximum of five consecutive years. The current lead audit partner is expected to serve in this capacity through the end of the 2020 audit. The Audit Committee was directly involved in the selection of the lead audit partner.</w:t>
      </w:r>
    </w:p>
    <w:p>
      <w:pPr>
        <w:spacing w:after="0" w:line="349" w:lineRule="exact"/>
        <w:rPr>
          <w:sz w:val="20"/>
          <w:szCs w:val="20"/>
          <w:color w:val="auto"/>
        </w:rPr>
      </w:pPr>
    </w:p>
    <w:p>
      <w:pPr>
        <w:sectPr>
          <w:pgSz w:w="11900" w:h="16838" w:orient="portrait"/>
          <w:cols w:equalWidth="0" w:num="2">
            <w:col w:w="5480" w:space="340"/>
            <w:col w:w="5360"/>
          </w:cols>
          <w:pgMar w:left="240" w:top="459" w:right="479" w:bottom="1440" w:gutter="0" w:footer="0" w:header="0"/>
          <w:type w:val="continuous"/>
        </w:sectPr>
      </w:pPr>
    </w:p>
    <w:p>
      <w:pPr>
        <w:spacing w:after="0" w:line="110"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80</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4876"/>
        </w:rPr>
        <w:t>Fees paid to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33534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95" w:lineRule="exact"/>
        <w:rPr>
          <w:sz w:val="20"/>
          <w:szCs w:val="20"/>
          <w:color w:val="auto"/>
        </w:rPr>
      </w:pPr>
    </w:p>
    <w:p>
      <w:pPr>
        <w:ind w:left="200" w:right="140"/>
        <w:spacing w:after="0" w:line="261" w:lineRule="auto"/>
        <w:rPr>
          <w:sz w:val="20"/>
          <w:szCs w:val="20"/>
          <w:color w:val="auto"/>
        </w:rPr>
      </w:pPr>
      <w:r>
        <w:rPr>
          <w:rFonts w:ascii="Arial" w:cs="Arial" w:eastAsia="Arial" w:hAnsi="Arial"/>
          <w:sz w:val="17"/>
          <w:szCs w:val="17"/>
          <w:color w:val="auto"/>
        </w:rPr>
        <w:t>The Audit Committee is responsible for all fee negotiations associated with the Firm’s retention of PwC, including the annual integrated audit of the Firm’s Consolidated Financial Statements.</w:t>
      </w:r>
    </w:p>
    <w:p>
      <w:pPr>
        <w:spacing w:after="0" w:line="78" w:lineRule="exact"/>
        <w:rPr>
          <w:sz w:val="20"/>
          <w:szCs w:val="20"/>
          <w:color w:val="auto"/>
        </w:rPr>
      </w:pPr>
    </w:p>
    <w:p>
      <w:pPr>
        <w:ind w:left="200" w:right="380"/>
        <w:spacing w:after="0"/>
        <w:rPr>
          <w:sz w:val="20"/>
          <w:szCs w:val="20"/>
          <w:color w:val="auto"/>
        </w:rPr>
      </w:pPr>
      <w:r>
        <w:rPr>
          <w:rFonts w:ascii="Arial" w:cs="Arial" w:eastAsia="Arial" w:hAnsi="Arial"/>
          <w:sz w:val="18"/>
          <w:szCs w:val="18"/>
          <w:color w:val="auto"/>
        </w:rPr>
        <w:t>Aggregate fees for professional services rendered by PwC for JPMorgan Chase and its subsidiaries for the years ended December 31, 2018 and 2017, were:</w:t>
      </w:r>
    </w:p>
    <w:p>
      <w:pPr>
        <w:spacing w:after="0" w:line="9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89"/>
        </w:trPr>
        <w:tc>
          <w:tcPr>
            <w:tcW w:w="288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 in millions)</w:t>
            </w:r>
          </w:p>
        </w:tc>
        <w:tc>
          <w:tcPr>
            <w:tcW w:w="1160" w:type="dxa"/>
            <w:vAlign w:val="bottom"/>
            <w:tcBorders>
              <w:bottom w:val="single" w:sz="8" w:color="004876"/>
            </w:tcBorders>
          </w:tcPr>
          <w:p>
            <w:pPr>
              <w:spacing w:after="0"/>
              <w:rPr>
                <w:sz w:val="16"/>
                <w:szCs w:val="16"/>
                <w:color w:val="auto"/>
              </w:rPr>
            </w:pPr>
          </w:p>
        </w:tc>
        <w:tc>
          <w:tcPr>
            <w:tcW w:w="5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004876"/>
            </w:tcBorders>
            <w:gridSpan w:val="2"/>
          </w:tcPr>
          <w:p>
            <w:pPr>
              <w:jc w:val="right"/>
              <w:spacing w:after="0" w:line="189" w:lineRule="exact"/>
              <w:rPr>
                <w:sz w:val="20"/>
                <w:szCs w:val="20"/>
                <w:color w:val="auto"/>
              </w:rPr>
            </w:pPr>
            <w:r>
              <w:rPr>
                <w:rFonts w:ascii="Arial" w:cs="Arial" w:eastAsia="Arial" w:hAnsi="Arial"/>
                <w:sz w:val="13"/>
                <w:szCs w:val="13"/>
                <w:color w:val="auto"/>
              </w:rPr>
              <w:t xml:space="preserve">2017 </w:t>
            </w:r>
            <w:r>
              <w:rPr>
                <w:rFonts w:ascii="Arial" w:cs="Arial" w:eastAsia="Arial" w:hAnsi="Arial"/>
                <w:sz w:val="21"/>
                <w:szCs w:val="21"/>
                <w:color w:val="auto"/>
                <w:vertAlign w:val="superscript"/>
              </w:rPr>
              <w:t>1</w:t>
            </w:r>
          </w:p>
        </w:tc>
      </w:tr>
      <w:tr>
        <w:trPr>
          <w:trHeight w:val="225"/>
        </w:trPr>
        <w:tc>
          <w:tcPr>
            <w:tcW w:w="2880" w:type="dxa"/>
            <w:vAlign w:val="bottom"/>
          </w:tcPr>
          <w:p>
            <w:pPr>
              <w:ind w:left="60"/>
              <w:spacing w:after="0"/>
              <w:rPr>
                <w:sz w:val="20"/>
                <w:szCs w:val="20"/>
                <w:color w:val="auto"/>
              </w:rPr>
            </w:pPr>
            <w:r>
              <w:rPr>
                <w:rFonts w:ascii="Arial" w:cs="Arial" w:eastAsia="Arial" w:hAnsi="Arial"/>
                <w:sz w:val="14"/>
                <w:szCs w:val="14"/>
                <w:color w:val="auto"/>
              </w:rPr>
              <w:t>Audit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64.8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68.9</w:t>
            </w:r>
          </w:p>
        </w:tc>
      </w:tr>
      <w:tr>
        <w:trPr>
          <w:trHeight w:val="216"/>
        </w:trPr>
        <w:tc>
          <w:tcPr>
            <w:tcW w:w="2880" w:type="dxa"/>
            <w:vAlign w:val="bottom"/>
          </w:tcPr>
          <w:p>
            <w:pPr>
              <w:ind w:left="60"/>
              <w:spacing w:after="0"/>
              <w:rPr>
                <w:sz w:val="20"/>
                <w:szCs w:val="20"/>
                <w:color w:val="auto"/>
              </w:rPr>
            </w:pPr>
            <w:r>
              <w:rPr>
                <w:rFonts w:ascii="Arial" w:cs="Arial" w:eastAsia="Arial" w:hAnsi="Arial"/>
                <w:sz w:val="14"/>
                <w:szCs w:val="14"/>
                <w:color w:val="auto"/>
              </w:rPr>
              <w:t>Audit-related</w:t>
            </w:r>
          </w:p>
        </w:tc>
        <w:tc>
          <w:tcPr>
            <w:tcW w:w="1160" w:type="dxa"/>
            <w:vAlign w:val="bottom"/>
          </w:tcPr>
          <w:p>
            <w:pPr>
              <w:spacing w:after="0"/>
              <w:rPr>
                <w:sz w:val="18"/>
                <w:szCs w:val="18"/>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b w:val="1"/>
                <w:bCs w:val="1"/>
                <w:color w:val="auto"/>
              </w:rPr>
              <w:t>30.2</w:t>
            </w:r>
          </w:p>
        </w:tc>
        <w:tc>
          <w:tcPr>
            <w:tcW w:w="2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01"/>
        </w:trPr>
        <w:tc>
          <w:tcPr>
            <w:tcW w:w="2880" w:type="dxa"/>
            <w:vAlign w:val="bottom"/>
            <w:tcBorders>
              <w:bottom w:val="single" w:sz="8" w:color="004876"/>
            </w:tcBorders>
          </w:tcPr>
          <w:p>
            <w:pPr>
              <w:ind w:left="60"/>
              <w:spacing w:after="0"/>
              <w:rPr>
                <w:sz w:val="20"/>
                <w:szCs w:val="20"/>
                <w:color w:val="auto"/>
              </w:rPr>
            </w:pPr>
            <w:r>
              <w:rPr>
                <w:rFonts w:ascii="Arial" w:cs="Arial" w:eastAsia="Arial" w:hAnsi="Arial"/>
                <w:sz w:val="14"/>
                <w:szCs w:val="14"/>
                <w:color w:val="auto"/>
              </w:rPr>
              <w:t>Tax</w:t>
            </w:r>
          </w:p>
        </w:tc>
        <w:tc>
          <w:tcPr>
            <w:tcW w:w="1160" w:type="dxa"/>
            <w:vAlign w:val="bottom"/>
            <w:tcBorders>
              <w:bottom w:val="single" w:sz="8" w:color="004876"/>
            </w:tcBorders>
          </w:tcPr>
          <w:p>
            <w:pPr>
              <w:spacing w:after="0"/>
              <w:rPr>
                <w:sz w:val="17"/>
                <w:szCs w:val="17"/>
                <w:color w:val="auto"/>
              </w:rPr>
            </w:pPr>
          </w:p>
        </w:tc>
        <w:tc>
          <w:tcPr>
            <w:tcW w:w="5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2.0</w:t>
            </w:r>
          </w:p>
        </w:tc>
        <w:tc>
          <w:tcPr>
            <w:tcW w:w="280" w:type="dxa"/>
            <w:vAlign w:val="bottom"/>
            <w:tcBorders>
              <w:bottom w:val="single" w:sz="8" w:color="004876"/>
            </w:tcBorders>
          </w:tcPr>
          <w:p>
            <w:pPr>
              <w:spacing w:after="0"/>
              <w:rPr>
                <w:sz w:val="17"/>
                <w:szCs w:val="17"/>
                <w:color w:val="auto"/>
              </w:rPr>
            </w:pPr>
          </w:p>
        </w:tc>
        <w:tc>
          <w:tcPr>
            <w:tcW w:w="42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2.9</w:t>
            </w:r>
          </w:p>
        </w:tc>
      </w:tr>
      <w:tr>
        <w:trPr>
          <w:trHeight w:val="210"/>
        </w:trPr>
        <w:tc>
          <w:tcPr>
            <w:tcW w:w="2880" w:type="dxa"/>
            <w:vAlign w:val="bottom"/>
            <w:tcBorders>
              <w:bottom w:val="single" w:sz="8" w:color="004876"/>
            </w:tcBorders>
          </w:tcPr>
          <w:p>
            <w:pPr>
              <w:ind w:left="60"/>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97.0</w:t>
            </w:r>
          </w:p>
        </w:tc>
        <w:tc>
          <w:tcPr>
            <w:tcW w:w="28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w w:val="96"/>
              </w:rPr>
              <w:t>101.7</w:t>
            </w:r>
          </w:p>
        </w:tc>
      </w:tr>
    </w:tbl>
    <w:p>
      <w:pPr>
        <w:ind w:left="360" w:hanging="142"/>
        <w:spacing w:after="0" w:line="212" w:lineRule="auto"/>
        <w:tabs>
          <w:tab w:leader="none" w:pos="360" w:val="left"/>
        </w:tabs>
        <w:numPr>
          <w:ilvl w:val="0"/>
          <w:numId w:val="173"/>
        </w:numPr>
        <w:rPr>
          <w:rFonts w:ascii="Arial" w:cs="Arial" w:eastAsia="Arial" w:hAnsi="Arial"/>
          <w:sz w:val="24"/>
          <w:szCs w:val="24"/>
          <w:color w:val="auto"/>
          <w:vertAlign w:val="superscript"/>
        </w:rPr>
      </w:pPr>
      <w:r>
        <w:rPr>
          <w:rFonts w:ascii="Arial" w:cs="Arial" w:eastAsia="Arial" w:hAnsi="Arial"/>
          <w:sz w:val="14"/>
          <w:szCs w:val="14"/>
          <w:color w:val="auto"/>
        </w:rPr>
        <w:t>2017 fees have been revised to conform with the 2018 presentation.</w:t>
      </w:r>
    </w:p>
    <w:p>
      <w:pPr>
        <w:spacing w:after="0" w:line="93"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Excluded from the amounts reported in the table above are all fees paid to PwC by investment companies and asset management funds (e.g., private equity, mutual and exchange-traded funds, and commingled trust funds), and special purpose vehicles that are managed or advised by subsidiaries of JPMorgan Chase but are not consolidated with the Firm.</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Audit fees</w:t>
      </w:r>
    </w:p>
    <w:p>
      <w:pPr>
        <w:spacing w:after="0" w:line="13"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For the years ended December 31, 2018 and 2017, fees for the annual integrated audit of the Firm’s Consolidated Financial Statements and of the Firm’s internal control over financial reporting, and quarterly reviews of the Firm’s Consolidated Financial Statements, were $41.7 million and $46.5 million, respectively. Fees for services related to statutory/subsidiary audits, attestation reports required by statute or regulation, and comfort letters and consents related to SEC filings and other similar filings with non-U.S. authorities were $23.1 million and $22.4 million,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4120"/>
        <w:spacing w:after="0"/>
        <w:rPr>
          <w:sz w:val="20"/>
          <w:szCs w:val="20"/>
          <w:color w:val="auto"/>
        </w:rPr>
      </w:pPr>
      <w:r>
        <w:rPr>
          <w:rFonts w:ascii="Arial" w:cs="Arial" w:eastAsia="Arial" w:hAnsi="Arial"/>
          <w:sz w:val="15"/>
          <w:szCs w:val="15"/>
          <w:color w:val="333333"/>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-650240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6"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control matters; reviews related to investment and lending processes, and technology systems; and due diligence reviews related to acquisitions and divestitures. These services are normally provided in connection with the recurring audit engagement.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fees</w:t>
      </w:r>
    </w:p>
    <w:p>
      <w:pPr>
        <w:spacing w:after="0" w:line="1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Fees for the years ended December 31, 2018 and 2017, for tax compliance and tax return preparation services were $1.5 million and $2.0 million, respectively. Fees for other tax services, including tax advisory and consultation on tax matters, were $0.5 million and $0.9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4876"/>
        </w:rPr>
        <w:t>Audit Committee 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342201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9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Audit Committee’s policies and procedures require that the Audit Committee annually pre-approve a list of specified audit, audit-related and tax services, and review and approve the terms and fees for the annual integrated audit of the Consolidated Financial Statements. All requests for audit, audit-related and tax services that are not on the pre-approved list of specified services must be approved by the Audit Committee. JPMorgan Chase’s pre-approval policy does not provide for a de minimis exception under which the requirement for pre-approval may be waived.</w:t>
      </w:r>
    </w:p>
    <w:p>
      <w:pPr>
        <w:spacing w:after="0" w:line="9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Pre-approved services with estimated costs in excess of $250,000 to be performed by PwC are directly approved by the Chair of the Audit Committee; and pre-approved services with estimated costs less than or equal to $250,000 are delegated to the Firmwide Controller’s office for approval.</w:t>
      </w:r>
    </w:p>
    <w:p>
      <w:pPr>
        <w:spacing w:after="0" w:line="1256" w:lineRule="exact"/>
        <w:rPr>
          <w:sz w:val="20"/>
          <w:szCs w:val="20"/>
          <w:color w:val="auto"/>
        </w:rPr>
      </w:pPr>
    </w:p>
    <w:p>
      <w:pPr>
        <w:sectPr>
          <w:pgSz w:w="11900" w:h="16838" w:orient="portrait"/>
          <w:cols w:equalWidth="0" w:num="2">
            <w:col w:w="5500" w:space="320"/>
            <w:col w:w="5420"/>
          </w:cols>
          <w:pgMar w:left="240" w:top="459" w:right="419" w:bottom="1440" w:gutter="0" w:footer="0" w:header="0"/>
        </w:sectPr>
      </w:pPr>
    </w:p>
    <w:p>
      <w:pPr>
        <w:ind w:left="200"/>
        <w:spacing w:after="0"/>
        <w:rPr>
          <w:sz w:val="20"/>
          <w:szCs w:val="20"/>
          <w:color w:val="auto"/>
        </w:rPr>
      </w:pPr>
      <w:r>
        <w:rPr>
          <w:rFonts w:ascii="Arial" w:cs="Arial" w:eastAsia="Arial" w:hAnsi="Arial"/>
          <w:sz w:val="20"/>
          <w:szCs w:val="20"/>
          <w:b w:val="1"/>
          <w:bCs w:val="1"/>
          <w:color w:val="auto"/>
        </w:rPr>
        <w:t>Audit-related fees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Audit-related fees comprise assurance and related services that</w:t>
      </w:r>
    </w:p>
    <w:p>
      <w:pPr>
        <w:ind w:left="200"/>
        <w:spacing w:after="0" w:line="234" w:lineRule="auto"/>
        <w:rPr>
          <w:sz w:val="20"/>
          <w:szCs w:val="20"/>
          <w:color w:val="auto"/>
        </w:rPr>
      </w:pPr>
      <w:r>
        <w:rPr>
          <w:rFonts w:ascii="Arial" w:cs="Arial" w:eastAsia="Arial" w:hAnsi="Arial"/>
          <w:sz w:val="18"/>
          <w:szCs w:val="18"/>
          <w:color w:val="auto"/>
        </w:rPr>
        <w:t>are traditionally performed by the independent registered public</w:t>
      </w:r>
    </w:p>
    <w:p>
      <w:pPr>
        <w:ind w:left="200"/>
        <w:spacing w:after="0" w:line="235" w:lineRule="auto"/>
        <w:rPr>
          <w:sz w:val="20"/>
          <w:szCs w:val="20"/>
          <w:color w:val="auto"/>
        </w:rPr>
      </w:pPr>
      <w:r>
        <w:rPr>
          <w:rFonts w:ascii="Arial" w:cs="Arial" w:eastAsia="Arial" w:hAnsi="Arial"/>
          <w:sz w:val="18"/>
          <w:szCs w:val="18"/>
          <w:color w:val="auto"/>
        </w:rPr>
        <w:t>accounting firm. These services include attestation and agreed-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upon procedures which address accounting, reporting and</w:t>
      </w:r>
    </w:p>
    <w:p>
      <w:pPr>
        <w:spacing w:after="0" w:line="266"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81</w:t>
            </w:r>
          </w:p>
        </w:tc>
      </w:tr>
    </w:tbl>
    <w:p>
      <w:pPr>
        <w:sectPr>
          <w:pgSz w:w="11900" w:h="16838" w:orient="portrait"/>
          <w:cols w:equalWidth="0" w:num="1">
            <w:col w:w="11240"/>
          </w:cols>
          <w:pgMar w:left="240" w:top="459" w:right="41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AUDIT MATTERS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25"/>
          <w:szCs w:val="25"/>
          <w:color w:val="004876"/>
        </w:rPr>
        <w:t>Audit Committee report</w:t>
      </w:r>
    </w:p>
    <w:p>
      <w:pPr>
        <w:spacing w:after="0" w:line="115"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Four non-management directors comprise the Audit Committee of the Board of Directors of JPMorgan Chase. The Board has determined that each member of our committee has no material relationship with the Firm under the Board’s director independence standards and that each member is independent under the listing standards of the NYSE, where the Firm’s securities are listed, and under the SEC’s standards relating to the independence of audit committees. The Board has also determined that each member is financially literate and is an audit committee financial expert as defined by the SEC.</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Charter</w:t>
      </w:r>
    </w:p>
    <w:p>
      <w:pPr>
        <w:spacing w:after="0" w:line="13"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The Audit Committee operates under a written charter adopted by the Board, which is available on our website at jpmorganchase.com/audit-charter, under the heading “Audit Committee” located under Board Committees, which is in the Governance section of the About Us tab. We annually review our charter and our practices. We have determined that our charter and practices are consistent with the listing standards of the NYSE and the provisions of the Sarbanes-Oxley Act of 2002. The purpose of the Audit Committee is to assist the Board in its oversight of:</w:t>
      </w:r>
    </w:p>
    <w:p>
      <w:pPr>
        <w:spacing w:after="0" w:line="66" w:lineRule="exact"/>
        <w:rPr>
          <w:sz w:val="20"/>
          <w:szCs w:val="20"/>
          <w:color w:val="auto"/>
        </w:rPr>
      </w:pPr>
    </w:p>
    <w:p>
      <w:pPr>
        <w:ind w:left="400" w:right="1020"/>
        <w:spacing w:after="0" w:line="246" w:lineRule="auto"/>
        <w:rPr>
          <w:sz w:val="20"/>
          <w:szCs w:val="20"/>
          <w:color w:val="auto"/>
        </w:rPr>
      </w:pPr>
      <w:r>
        <w:rPr>
          <w:rFonts w:ascii="Arial" w:cs="Arial" w:eastAsia="Arial" w:hAnsi="Arial"/>
          <w:sz w:val="18"/>
          <w:szCs w:val="18"/>
          <w:color w:val="auto"/>
        </w:rPr>
        <w:t>the independent registered public accounting firm’s qualifications and independence,</w:t>
      </w:r>
    </w:p>
    <w:p>
      <w:pPr>
        <w:spacing w:after="0" w:line="102" w:lineRule="exact"/>
        <w:rPr>
          <w:sz w:val="20"/>
          <w:szCs w:val="20"/>
          <w:color w:val="auto"/>
        </w:rPr>
      </w:pPr>
    </w:p>
    <w:p>
      <w:pPr>
        <w:jc w:val="center"/>
        <w:ind w:left="400" w:right="860"/>
        <w:spacing w:after="0" w:line="275" w:lineRule="auto"/>
        <w:rPr>
          <w:sz w:val="20"/>
          <w:szCs w:val="20"/>
          <w:color w:val="auto"/>
        </w:rPr>
      </w:pPr>
      <w:r>
        <w:rPr>
          <w:rFonts w:ascii="Arial" w:cs="Arial" w:eastAsia="Arial" w:hAnsi="Arial"/>
          <w:sz w:val="17"/>
          <w:szCs w:val="17"/>
          <w:color w:val="auto"/>
        </w:rPr>
        <w:t>the performance of the internal audit function and the independent registered public accounting firm, and</w:t>
      </w:r>
    </w:p>
    <w:p>
      <w:pPr>
        <w:spacing w:after="0" w:line="78" w:lineRule="exact"/>
        <w:rPr>
          <w:sz w:val="20"/>
          <w:szCs w:val="20"/>
          <w:color w:val="auto"/>
        </w:rPr>
      </w:pPr>
    </w:p>
    <w:p>
      <w:pPr>
        <w:ind w:left="400" w:right="220"/>
        <w:spacing w:after="0" w:line="237" w:lineRule="auto"/>
        <w:rPr>
          <w:sz w:val="20"/>
          <w:szCs w:val="20"/>
          <w:color w:val="auto"/>
        </w:rPr>
      </w:pPr>
      <w:r>
        <w:rPr>
          <w:rFonts w:ascii="Arial" w:cs="Arial" w:eastAsia="Arial" w:hAnsi="Arial"/>
          <w:sz w:val="18"/>
          <w:szCs w:val="18"/>
          <w:color w:val="auto"/>
        </w:rPr>
        <w:t>management’s responsibilities to assure that there is in place an effective system of controls reasonably designed to safeguard the assets and income of the Firm; assure the integrity of the Firm’s financial statements; and maintain compliance with the Firm’s ethical standards, policies, plans and procedures, and with laws and regulations.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Audit communications and fees</w:t>
      </w:r>
    </w:p>
    <w:p>
      <w:pPr>
        <w:spacing w:after="0" w:line="13" w:lineRule="exact"/>
        <w:rPr>
          <w:sz w:val="20"/>
          <w:szCs w:val="20"/>
          <w:color w:val="auto"/>
        </w:rPr>
      </w:pPr>
    </w:p>
    <w:p>
      <w:pPr>
        <w:ind w:left="220" w:right="80"/>
        <w:spacing w:after="0" w:line="255" w:lineRule="auto"/>
        <w:rPr>
          <w:sz w:val="20"/>
          <w:szCs w:val="20"/>
          <w:color w:val="auto"/>
        </w:rPr>
      </w:pPr>
      <w:r>
        <w:rPr>
          <w:rFonts w:ascii="Arial" w:cs="Arial" w:eastAsia="Arial" w:hAnsi="Arial"/>
          <w:sz w:val="17"/>
          <w:szCs w:val="17"/>
          <w:color w:val="auto"/>
        </w:rPr>
        <w:t xml:space="preserve">We discussed with PwC the matters required to be discussed by PCAOB Auditing Standard No. 1301, </w:t>
      </w:r>
      <w:r>
        <w:rPr>
          <w:rFonts w:ascii="Arial" w:cs="Arial" w:eastAsia="Arial" w:hAnsi="Arial"/>
          <w:sz w:val="17"/>
          <w:szCs w:val="17"/>
          <w:i w:val="1"/>
          <w:iCs w:val="1"/>
          <w:color w:val="auto"/>
        </w:rPr>
        <w:t>Communications with Audit</w:t>
      </w:r>
      <w:r>
        <w:rPr>
          <w:rFonts w:ascii="Arial" w:cs="Arial" w:eastAsia="Arial" w:hAnsi="Arial"/>
          <w:sz w:val="17"/>
          <w:szCs w:val="17"/>
          <w:color w:val="auto"/>
        </w:rPr>
        <w:t xml:space="preserve"> </w:t>
      </w:r>
      <w:r>
        <w:rPr>
          <w:rFonts w:ascii="Arial" w:cs="Arial" w:eastAsia="Arial" w:hAnsi="Arial"/>
          <w:sz w:val="17"/>
          <w:szCs w:val="17"/>
          <w:i w:val="1"/>
          <w:iCs w:val="1"/>
          <w:color w:val="auto"/>
        </w:rPr>
        <w:t>Committees</w:t>
      </w:r>
      <w:r>
        <w:rPr>
          <w:rFonts w:ascii="Arial" w:cs="Arial" w:eastAsia="Arial" w:hAnsi="Arial"/>
          <w:sz w:val="17"/>
          <w:szCs w:val="17"/>
          <w:color w:val="auto"/>
        </w:rPr>
        <w:t>, including PwC’s overall audit scope and audit</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as set forth in the terms of their engagement letter; PwC’s overall audit strategy for significant audit risks identified by</w:t>
      </w:r>
    </w:p>
    <w:p>
      <w:pPr>
        <w:spacing w:after="0" w:line="26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them; and the nature and extent of the specialized skills necessary to perform the planned audit. We have established procedures to receive and track the handling of issues regarding accounting and reporting, internal control and auditing matters. In addition, we monitor the audit, audit-related and tax services provided by PwC.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-1447165</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2"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Details of the fees paid to PwC for its services, as well as the Audit Committee’s “pre-approval policy” for such services, can be found on page 81 of this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Assessment of PwC</w:t>
      </w:r>
    </w:p>
    <w:p>
      <w:pPr>
        <w:spacing w:after="0" w:line="1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In conducting our review we considered, among other things:</w:t>
      </w:r>
    </w:p>
    <w:p>
      <w:pPr>
        <w:spacing w:after="0" w:line="61"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the professional qualifications of PwC, and that of the lead audit partner, quality review partner and other key engagement partners;</w:t>
      </w:r>
    </w:p>
    <w:p>
      <w:pPr>
        <w:spacing w:after="0" w:line="108"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PwC’s current and historical performance on the Firm’s audit, including the extent and quality of its communications with the Audit Committee and the Firm’s management;</w:t>
      </w:r>
    </w:p>
    <w:p>
      <w:pPr>
        <w:spacing w:after="0" w:line="108"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PwC’s demonstrated professional skepticism and objectivity, including fresh perspectives brought through the required periodic rotation of the lead audit partner, the quality review partner and other partners who play a significant role in the audit engagement;</w:t>
      </w:r>
    </w:p>
    <w:p>
      <w:pPr>
        <w:spacing w:after="0" w:line="108"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PwC’s demonstrated capability, expertise and efficiency in which it handles the breadth and complexity of the Firm’s global operations, including the expertise and capability of PwC’s lead audit partner for the Firm;</w:t>
      </w:r>
    </w:p>
    <w:p>
      <w:pPr>
        <w:spacing w:after="0" w:line="107"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PwC’s depth of institutional knowledge and understanding of the Firm’s global businesses, operations and systems, the financial services industry, including the global regulatory environment, U.S. and international accounting standards, the potential effect on the financial statements of the major risks and exposures facing the Firm, and the Firm’s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-4445</wp:posOffset>
            </wp:positionV>
            <wp:extent cx="66205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right="40"/>
        <w:spacing w:after="0" w:line="239" w:lineRule="auto"/>
        <w:rPr>
          <w:sz w:val="20"/>
          <w:szCs w:val="20"/>
          <w:color w:val="auto"/>
        </w:rPr>
      </w:pPr>
      <w:r>
        <w:rPr>
          <w:rFonts w:ascii="Arial" w:cs="Arial" w:eastAsia="Arial" w:hAnsi="Arial"/>
          <w:sz w:val="18"/>
          <w:szCs w:val="18"/>
          <w:color w:val="auto"/>
        </w:rPr>
        <w:t>external data relating to PwC’s audit quality and performance, including recent PCAOB reports on PwC (including its global network of firms), and the results of peer review and self-review examinations;</w:t>
      </w:r>
    </w:p>
    <w:p>
      <w:pPr>
        <w:spacing w:after="0" w:line="107" w:lineRule="exact"/>
        <w:rPr>
          <w:sz w:val="20"/>
          <w:szCs w:val="20"/>
          <w:color w:val="auto"/>
        </w:rPr>
      </w:pPr>
    </w:p>
    <w:p>
      <w:pPr>
        <w:ind w:left="400" w:right="500"/>
        <w:spacing w:after="0"/>
        <w:rPr>
          <w:sz w:val="20"/>
          <w:szCs w:val="20"/>
          <w:color w:val="auto"/>
        </w:rPr>
      </w:pPr>
      <w:r>
        <w:rPr>
          <w:rFonts w:ascii="Arial" w:cs="Arial" w:eastAsia="Arial" w:hAnsi="Arial"/>
          <w:sz w:val="18"/>
          <w:szCs w:val="18"/>
          <w:color w:val="auto"/>
        </w:rPr>
        <w:t>an analysis of PwC’s known legal risks and significant proceedings that could impair PwC’s ability to perform the Firm’s annual audit;</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PwC’s tenure as the Firm’s independent auditor;</w:t>
      </w:r>
    </w:p>
    <w:p>
      <w:pPr>
        <w:spacing w:after="0" w:line="130" w:lineRule="exact"/>
        <w:rPr>
          <w:sz w:val="20"/>
          <w:szCs w:val="20"/>
          <w:color w:val="auto"/>
        </w:rPr>
      </w:pPr>
    </w:p>
    <w:p>
      <w:pPr>
        <w:ind w:left="400" w:right="140"/>
        <w:spacing w:after="0"/>
        <w:rPr>
          <w:sz w:val="20"/>
          <w:szCs w:val="20"/>
          <w:color w:val="auto"/>
        </w:rPr>
      </w:pPr>
      <w:r>
        <w:rPr>
          <w:rFonts w:ascii="Arial" w:cs="Arial" w:eastAsia="Arial" w:hAnsi="Arial"/>
          <w:sz w:val="18"/>
          <w:szCs w:val="18"/>
          <w:color w:val="auto"/>
        </w:rPr>
        <w:t>the appropriateness of PwC’s fees, both on an absolute basis and as compared with fees paid by certain peer banking firms; and</w:t>
      </w:r>
    </w:p>
    <w:p>
      <w:pPr>
        <w:spacing w:after="0" w:line="108" w:lineRule="exact"/>
        <w:rPr>
          <w:sz w:val="20"/>
          <w:szCs w:val="20"/>
          <w:color w:val="auto"/>
        </w:rPr>
      </w:pPr>
    </w:p>
    <w:p>
      <w:pPr>
        <w:ind w:left="400" w:right="120"/>
        <w:spacing w:after="0" w:line="239" w:lineRule="auto"/>
        <w:rPr>
          <w:sz w:val="20"/>
          <w:szCs w:val="20"/>
          <w:color w:val="auto"/>
        </w:rPr>
      </w:pPr>
      <w:r>
        <w:rPr>
          <w:rFonts w:ascii="Arial" w:cs="Arial" w:eastAsia="Arial" w:hAnsi="Arial"/>
          <w:sz w:val="18"/>
          <w:szCs w:val="18"/>
          <w:color w:val="auto"/>
        </w:rPr>
        <w:t>the advisability and potential impact of selecting a different independent registered public accounting firm, including the additional costs and inefficiencies associated with hiring a new independent registered public accounting firm.</w:t>
      </w:r>
    </w:p>
    <w:p>
      <w:pPr>
        <w:spacing w:after="0" w:line="140" w:lineRule="exact"/>
        <w:rPr>
          <w:sz w:val="20"/>
          <w:szCs w:val="20"/>
          <w:color w:val="auto"/>
        </w:rPr>
      </w:pPr>
    </w:p>
    <w:p>
      <w:pPr>
        <w:ind w:left="200" w:right="40"/>
        <w:spacing w:after="0" w:line="257" w:lineRule="auto"/>
        <w:rPr>
          <w:sz w:val="20"/>
          <w:szCs w:val="20"/>
          <w:color w:val="auto"/>
        </w:rPr>
      </w:pPr>
      <w:r>
        <w:rPr>
          <w:rFonts w:ascii="Arial" w:cs="Arial" w:eastAsia="Arial" w:hAnsi="Arial"/>
          <w:sz w:val="17"/>
          <w:szCs w:val="17"/>
          <w:color w:val="auto"/>
        </w:rPr>
        <w:t xml:space="preserve">PwC provided us the written disclosures and the letter required by PCAOB’s Ethics and Independence Rule 3526,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w:t>
      </w:r>
      <w:r>
        <w:rPr>
          <w:rFonts w:ascii="Arial" w:cs="Arial" w:eastAsia="Arial" w:hAnsi="Arial"/>
          <w:sz w:val="17"/>
          <w:szCs w:val="17"/>
          <w:i w:val="1"/>
          <w:iCs w:val="1"/>
          <w:color w:val="auto"/>
        </w:rPr>
        <w:t>with Audit Committees Concerning Independence</w:t>
      </w:r>
      <w:r>
        <w:rPr>
          <w:rFonts w:ascii="Arial" w:cs="Arial" w:eastAsia="Arial" w:hAnsi="Arial"/>
          <w:sz w:val="17"/>
          <w:szCs w:val="17"/>
          <w:color w:val="auto"/>
        </w:rPr>
        <w:t>, and we</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and confirmed with PwC their independence.</w:t>
      </w:r>
    </w:p>
    <w:p>
      <w:pPr>
        <w:spacing w:after="0" w:line="8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As a result of this evaluation, we believe PwC has the capability to provide the necessary expertise, independence and professional skepticism to continue to audit the Firm’s businesses on a global basis, and we approved the appointment of PwC as JPMorgan Chase’s independent registered public accounting firm for 2019, subject to shareholder ratification.</w:t>
      </w:r>
    </w:p>
    <w:p>
      <w:pPr>
        <w:spacing w:after="0" w:line="9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Management is responsible for the Firm’s internal control over financial reporting, the financial reporting process and JPMorgan Chase’s Consolidated Financial Statements. PwC is responsible for performing an independent audit of JPMorgan Chase’s Consolidated Financial Statements and of the effectiveness of internal control over financial reporting in accordance with auditing standards promulgated by the PCAOB. The Firm’s Internal Audit function, under the direction of the General Auditor, is independent of the Firm’s businesses and the IRM function. Internal Audit reports directly to the Audit Committee (and administratively to the Firm’s CEO) and is responsible for preparing an annual audit plan and conducting internal audits intended to independently test and evaluate the Firm’s governance, risk management and internal controls. The members of the Audit Committee are not professionally engaged in the practice of accounting or auditing; as noted above, the Audit Committee’s</w:t>
      </w:r>
    </w:p>
    <w:p>
      <w:pPr>
        <w:spacing w:after="0" w:line="29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4120"/>
        <w:spacing w:after="0"/>
        <w:rPr>
          <w:sz w:val="20"/>
          <w:szCs w:val="20"/>
          <w:color w:val="auto"/>
        </w:rPr>
      </w:pPr>
      <w:r>
        <w:rPr>
          <w:rFonts w:ascii="Arial" w:cs="Arial" w:eastAsia="Arial" w:hAnsi="Arial"/>
          <w:sz w:val="15"/>
          <w:szCs w:val="15"/>
          <w:color w:val="333333"/>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-650240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monitor and oversee these processes.</w:t>
      </w:r>
    </w:p>
    <w:p>
      <w:pPr>
        <w:spacing w:after="0" w:line="10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Audit Committee regularly meets and holds discussions with the Firm’s management, internal auditors and with PwC, as well as holding private sessions with the General Auditor and with PwC without members of management present. These discussions include issues encountered during the audit, as well as actions the Audit Committee has taken during the prior year.</w:t>
      </w:r>
    </w:p>
    <w:p>
      <w:pPr>
        <w:spacing w:after="0" w:line="9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Management represented to us that JPMorgan Chase’s Consolidated Financial Statements were prepared in accordance with accounting principles generally accepted in the United States of America (“U.S. GAAP”). We reviewed and discussed JPMorgan Chase’s Consolidated Financial Statements with management, the General Auditor and PwC. We also discussed with PwC the quality of the Firm’s significant accounting principles, the reasonableness of critical accounting estimates and judgments, and the disclosures in JPMorgan Chase’s Consolidated Financial Statements, including disclosures relating to significant accounting policies. We relied, without independent verification, on the information provided to us and on the representations made by management, internal auditors and the independent auditor. Based on our review of the reports given to us by PwC and our discussions with the Firm’s management, internal auditors and PwC, as well as their respective representations to us, we recommended to the Board, and the Board approved, inclusion of the audited Consolidated Financial Statements in the 2018 Form 10-K, as filed with the SEC.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18,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James A. Bell (Chair)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Timothy P. Flynn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Mellody Hobson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Laban P. Jackson,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941070</wp:posOffset>
            </wp:positionV>
            <wp:extent cx="7002145" cy="4159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002145" cy="41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45"/>
          <w:szCs w:val="45"/>
          <w:color w:val="004876"/>
        </w:rPr>
        <w:t>Shareholder proposals</w:t>
      </w:r>
      <w:r>
        <w:rPr>
          <w:rFonts w:ascii="Arial" w:cs="Arial" w:eastAsia="Arial" w:hAnsi="Arial"/>
          <w:sz w:val="38"/>
          <w:szCs w:val="38"/>
          <w:color w:val="004876"/>
        </w:rPr>
        <w:t>1</w:t>
      </w:r>
      <w:r>
        <w:rPr>
          <w:rFonts w:ascii="Arial" w:cs="Arial" w:eastAsia="Arial" w:hAnsi="Arial"/>
          <w:sz w:val="45"/>
          <w:szCs w:val="45"/>
          <w:color w:val="004876"/>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582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6"/>
                <w:szCs w:val="16"/>
                <w:b w:val="1"/>
                <w:bCs w:val="1"/>
                <w:color w:val="004876"/>
              </w:rPr>
              <w:t>PROPOSAL 4:</w:t>
            </w:r>
          </w:p>
        </w:tc>
        <w:tc>
          <w:tcPr>
            <w:tcW w:w="1940" w:type="dxa"/>
            <w:vAlign w:val="bottom"/>
          </w:tcPr>
          <w:p>
            <w:pPr>
              <w:spacing w:after="0"/>
              <w:rPr>
                <w:sz w:val="18"/>
                <w:szCs w:val="18"/>
                <w:color w:val="auto"/>
              </w:rPr>
            </w:pPr>
          </w:p>
        </w:tc>
      </w:tr>
      <w:tr>
        <w:trPr>
          <w:trHeight w:val="303"/>
        </w:trPr>
        <w:tc>
          <w:tcPr>
            <w:tcW w:w="80" w:type="dxa"/>
            <w:vAlign w:val="bottom"/>
          </w:tcPr>
          <w:p>
            <w:pPr>
              <w:spacing w:after="0"/>
              <w:rPr>
                <w:sz w:val="24"/>
                <w:szCs w:val="24"/>
                <w:color w:val="auto"/>
              </w:rPr>
            </w:pPr>
          </w:p>
        </w:tc>
        <w:tc>
          <w:tcPr>
            <w:tcW w:w="3380" w:type="dxa"/>
            <w:vAlign w:val="bottom"/>
            <w:gridSpan w:val="3"/>
          </w:tcPr>
          <w:p>
            <w:pPr>
              <w:spacing w:after="0"/>
              <w:rPr>
                <w:rFonts w:ascii="Arial" w:cs="Arial" w:eastAsia="Arial" w:hAnsi="Arial"/>
                <w:sz w:val="22"/>
                <w:szCs w:val="22"/>
                <w:color w:val="0000EE"/>
              </w:rPr>
            </w:pPr>
            <w:hyperlink w:anchor="page93">
              <w:r>
                <w:rPr>
                  <w:rFonts w:ascii="Arial" w:cs="Arial" w:eastAsia="Arial" w:hAnsi="Arial"/>
                  <w:sz w:val="22"/>
                  <w:szCs w:val="22"/>
                  <w:color w:val="0000EE"/>
                </w:rPr>
                <w:t>Gender pay equity report</w:t>
              </w:r>
            </w:hyperlink>
          </w:p>
        </w:tc>
        <w:tc>
          <w:tcPr>
            <w:tcW w:w="1940" w:type="dxa"/>
            <w:vAlign w:val="bottom"/>
          </w:tcPr>
          <w:p>
            <w:pPr>
              <w:jc w:val="right"/>
              <w:spacing w:after="0"/>
              <w:rPr>
                <w:sz w:val="20"/>
                <w:szCs w:val="20"/>
                <w:color w:val="auto"/>
              </w:rPr>
            </w:pPr>
            <w:r>
              <w:rPr>
                <w:rFonts w:ascii="Arial" w:cs="Arial" w:eastAsia="Arial" w:hAnsi="Arial"/>
                <w:sz w:val="22"/>
                <w:szCs w:val="22"/>
                <w:color w:val="004876"/>
              </w:rPr>
              <w:t>85</w:t>
            </w:r>
          </w:p>
        </w:tc>
      </w:tr>
      <w:tr>
        <w:trPr>
          <w:trHeight w:val="21"/>
        </w:trPr>
        <w:tc>
          <w:tcPr>
            <w:tcW w:w="80" w:type="dxa"/>
            <w:vAlign w:val="bottom"/>
            <w:tcBorders>
              <w:bottom w:val="single" w:sz="8" w:color="004876"/>
            </w:tcBorders>
          </w:tcPr>
          <w:p>
            <w:pPr>
              <w:spacing w:after="0" w:line="20" w:lineRule="exact"/>
              <w:rPr>
                <w:sz w:val="1"/>
                <w:szCs w:val="1"/>
                <w:color w:val="auto"/>
              </w:rPr>
            </w:pPr>
          </w:p>
        </w:tc>
        <w:tc>
          <w:tcPr>
            <w:tcW w:w="1720" w:type="dxa"/>
            <w:vAlign w:val="bottom"/>
            <w:tcBorders>
              <w:top w:val="single" w:sz="8" w:color="0000EE"/>
              <w:bottom w:val="single" w:sz="8" w:color="004876"/>
            </w:tcBorders>
          </w:tcPr>
          <w:p>
            <w:pPr>
              <w:spacing w:after="0" w:line="20" w:lineRule="exact"/>
              <w:rPr>
                <w:sz w:val="1"/>
                <w:szCs w:val="1"/>
                <w:color w:val="auto"/>
              </w:rPr>
            </w:pPr>
          </w:p>
        </w:tc>
        <w:tc>
          <w:tcPr>
            <w:tcW w:w="680" w:type="dxa"/>
            <w:vAlign w:val="bottom"/>
            <w:tcBorders>
              <w:top w:val="single" w:sz="8" w:color="0000EE"/>
              <w:bottom w:val="single" w:sz="8" w:color="004876"/>
            </w:tcBorders>
          </w:tcPr>
          <w:p>
            <w:pPr>
              <w:spacing w:after="0" w:line="20" w:lineRule="exact"/>
              <w:rPr>
                <w:sz w:val="1"/>
                <w:szCs w:val="1"/>
                <w:color w:val="auto"/>
              </w:rPr>
            </w:pPr>
          </w:p>
        </w:tc>
        <w:tc>
          <w:tcPr>
            <w:tcW w:w="980" w:type="dxa"/>
            <w:vAlign w:val="bottom"/>
            <w:tcBorders>
              <w:bottom w:val="single" w:sz="8" w:color="004876"/>
            </w:tcBorders>
          </w:tcPr>
          <w:p>
            <w:pPr>
              <w:spacing w:after="0" w:line="20" w:lineRule="exact"/>
              <w:rPr>
                <w:sz w:val="1"/>
                <w:szCs w:val="1"/>
                <w:color w:val="auto"/>
              </w:rPr>
            </w:pPr>
          </w:p>
        </w:tc>
        <w:tc>
          <w:tcPr>
            <w:tcW w:w="1940" w:type="dxa"/>
            <w:vAlign w:val="bottom"/>
            <w:tcBorders>
              <w:bottom w:val="single" w:sz="8" w:color="004876"/>
            </w:tcBorders>
          </w:tcPr>
          <w:p>
            <w:pPr>
              <w:spacing w:after="0" w:line="20" w:lineRule="exact"/>
              <w:rPr>
                <w:sz w:val="1"/>
                <w:szCs w:val="1"/>
                <w:color w:val="auto"/>
              </w:rPr>
            </w:pPr>
          </w:p>
        </w:tc>
      </w:tr>
      <w:tr>
        <w:trPr>
          <w:trHeight w:val="339"/>
        </w:trPr>
        <w:tc>
          <w:tcPr>
            <w:tcW w:w="8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Arial" w:cs="Arial" w:eastAsia="Arial" w:hAnsi="Arial"/>
                <w:sz w:val="16"/>
                <w:szCs w:val="16"/>
                <w:b w:val="1"/>
                <w:bCs w:val="1"/>
                <w:color w:val="004876"/>
              </w:rPr>
              <w:t>PROPOSAL 5:</w:t>
            </w:r>
          </w:p>
        </w:tc>
        <w:tc>
          <w:tcPr>
            <w:tcW w:w="1940" w:type="dxa"/>
            <w:vAlign w:val="bottom"/>
          </w:tcPr>
          <w:p>
            <w:pPr>
              <w:spacing w:after="0"/>
              <w:rPr>
                <w:sz w:val="24"/>
                <w:szCs w:val="24"/>
                <w:color w:val="auto"/>
              </w:rPr>
            </w:pPr>
          </w:p>
        </w:tc>
      </w:tr>
      <w:tr>
        <w:trPr>
          <w:trHeight w:val="303"/>
        </w:trPr>
        <w:tc>
          <w:tcPr>
            <w:tcW w:w="80" w:type="dxa"/>
            <w:vAlign w:val="bottom"/>
          </w:tcPr>
          <w:p>
            <w:pPr>
              <w:spacing w:after="0"/>
              <w:rPr>
                <w:sz w:val="24"/>
                <w:szCs w:val="24"/>
                <w:color w:val="auto"/>
              </w:rPr>
            </w:pPr>
          </w:p>
        </w:tc>
        <w:tc>
          <w:tcPr>
            <w:tcW w:w="3380" w:type="dxa"/>
            <w:vAlign w:val="bottom"/>
            <w:tcBorders>
              <w:bottom w:val="single" w:sz="8" w:color="0000EE"/>
            </w:tcBorders>
            <w:gridSpan w:val="3"/>
          </w:tcPr>
          <w:p>
            <w:pPr>
              <w:spacing w:after="0"/>
              <w:rPr>
                <w:rFonts w:ascii="Arial" w:cs="Arial" w:eastAsia="Arial" w:hAnsi="Arial"/>
                <w:sz w:val="22"/>
                <w:szCs w:val="22"/>
                <w:color w:val="0000EE"/>
                <w:w w:val="97"/>
              </w:rPr>
            </w:pPr>
            <w:hyperlink w:anchor="page96">
              <w:r>
                <w:rPr>
                  <w:rFonts w:ascii="Arial" w:cs="Arial" w:eastAsia="Arial" w:hAnsi="Arial"/>
                  <w:sz w:val="22"/>
                  <w:szCs w:val="22"/>
                  <w:color w:val="0000EE"/>
                  <w:w w:val="97"/>
                </w:rPr>
                <w:t>Enhance shareholder proxy access</w:t>
              </w:r>
            </w:hyperlink>
          </w:p>
        </w:tc>
        <w:tc>
          <w:tcPr>
            <w:tcW w:w="1940" w:type="dxa"/>
            <w:vAlign w:val="bottom"/>
          </w:tcPr>
          <w:p>
            <w:pPr>
              <w:jc w:val="right"/>
              <w:spacing w:after="0"/>
              <w:rPr>
                <w:sz w:val="20"/>
                <w:szCs w:val="20"/>
                <w:color w:val="auto"/>
              </w:rPr>
            </w:pPr>
            <w:r>
              <w:rPr>
                <w:rFonts w:ascii="Arial" w:cs="Arial" w:eastAsia="Arial" w:hAnsi="Arial"/>
                <w:sz w:val="22"/>
                <w:szCs w:val="22"/>
                <w:color w:val="004876"/>
              </w:rPr>
              <w:t>88</w:t>
            </w:r>
          </w:p>
        </w:tc>
      </w:tr>
      <w:tr>
        <w:trPr>
          <w:trHeight w:val="21"/>
        </w:trPr>
        <w:tc>
          <w:tcPr>
            <w:tcW w:w="80" w:type="dxa"/>
            <w:vAlign w:val="bottom"/>
            <w:tcBorders>
              <w:bottom w:val="single" w:sz="8" w:color="004876"/>
            </w:tcBorders>
          </w:tcPr>
          <w:p>
            <w:pPr>
              <w:spacing w:after="0" w:line="20" w:lineRule="exact"/>
              <w:rPr>
                <w:sz w:val="1"/>
                <w:szCs w:val="1"/>
                <w:color w:val="auto"/>
              </w:rPr>
            </w:pPr>
          </w:p>
        </w:tc>
        <w:tc>
          <w:tcPr>
            <w:tcW w:w="1720" w:type="dxa"/>
            <w:vAlign w:val="bottom"/>
            <w:tcBorders>
              <w:bottom w:val="single" w:sz="8" w:color="004876"/>
            </w:tcBorders>
          </w:tcPr>
          <w:p>
            <w:pPr>
              <w:spacing w:after="0" w:line="20" w:lineRule="exact"/>
              <w:rPr>
                <w:sz w:val="1"/>
                <w:szCs w:val="1"/>
                <w:color w:val="auto"/>
              </w:rPr>
            </w:pPr>
          </w:p>
        </w:tc>
        <w:tc>
          <w:tcPr>
            <w:tcW w:w="680" w:type="dxa"/>
            <w:vAlign w:val="bottom"/>
            <w:tcBorders>
              <w:bottom w:val="single" w:sz="8" w:color="004876"/>
            </w:tcBorders>
          </w:tcPr>
          <w:p>
            <w:pPr>
              <w:spacing w:after="0" w:line="20" w:lineRule="exact"/>
              <w:rPr>
                <w:sz w:val="1"/>
                <w:szCs w:val="1"/>
                <w:color w:val="auto"/>
              </w:rPr>
            </w:pPr>
          </w:p>
        </w:tc>
        <w:tc>
          <w:tcPr>
            <w:tcW w:w="980" w:type="dxa"/>
            <w:vAlign w:val="bottom"/>
            <w:tcBorders>
              <w:bottom w:val="single" w:sz="8" w:color="004876"/>
            </w:tcBorders>
          </w:tcPr>
          <w:p>
            <w:pPr>
              <w:spacing w:after="0" w:line="20" w:lineRule="exact"/>
              <w:rPr>
                <w:sz w:val="1"/>
                <w:szCs w:val="1"/>
                <w:color w:val="auto"/>
              </w:rPr>
            </w:pPr>
          </w:p>
        </w:tc>
        <w:tc>
          <w:tcPr>
            <w:tcW w:w="1940" w:type="dxa"/>
            <w:vAlign w:val="bottom"/>
            <w:tcBorders>
              <w:bottom w:val="single" w:sz="8" w:color="004876"/>
            </w:tcBorders>
          </w:tcPr>
          <w:p>
            <w:pPr>
              <w:spacing w:after="0" w:line="20" w:lineRule="exact"/>
              <w:rPr>
                <w:sz w:val="1"/>
                <w:szCs w:val="1"/>
                <w:color w:val="auto"/>
              </w:rPr>
            </w:pPr>
          </w:p>
        </w:tc>
      </w:tr>
      <w:tr>
        <w:trPr>
          <w:trHeight w:val="339"/>
        </w:trPr>
        <w:tc>
          <w:tcPr>
            <w:tcW w:w="80" w:type="dxa"/>
            <w:vAlign w:val="bottom"/>
          </w:tcPr>
          <w:p>
            <w:pPr>
              <w:spacing w:after="0"/>
              <w:rPr>
                <w:sz w:val="24"/>
                <w:szCs w:val="24"/>
                <w:color w:val="auto"/>
              </w:rPr>
            </w:pPr>
          </w:p>
        </w:tc>
        <w:tc>
          <w:tcPr>
            <w:tcW w:w="3380" w:type="dxa"/>
            <w:vAlign w:val="bottom"/>
            <w:gridSpan w:val="3"/>
          </w:tcPr>
          <w:p>
            <w:pPr>
              <w:spacing w:after="0"/>
              <w:rPr>
                <w:sz w:val="20"/>
                <w:szCs w:val="20"/>
                <w:color w:val="auto"/>
              </w:rPr>
            </w:pPr>
            <w:r>
              <w:rPr>
                <w:rFonts w:ascii="Arial" w:cs="Arial" w:eastAsia="Arial" w:hAnsi="Arial"/>
                <w:sz w:val="16"/>
                <w:szCs w:val="16"/>
                <w:b w:val="1"/>
                <w:bCs w:val="1"/>
                <w:color w:val="004876"/>
              </w:rPr>
              <w:t>PROPOSAL 6:</w:t>
            </w:r>
          </w:p>
        </w:tc>
        <w:tc>
          <w:tcPr>
            <w:tcW w:w="1940" w:type="dxa"/>
            <w:vAlign w:val="bottom"/>
          </w:tcPr>
          <w:p>
            <w:pPr>
              <w:spacing w:after="0"/>
              <w:rPr>
                <w:sz w:val="24"/>
                <w:szCs w:val="24"/>
                <w:color w:val="auto"/>
              </w:rPr>
            </w:pPr>
          </w:p>
        </w:tc>
      </w:tr>
      <w:tr>
        <w:trPr>
          <w:trHeight w:val="303"/>
        </w:trPr>
        <w:tc>
          <w:tcPr>
            <w:tcW w:w="80" w:type="dxa"/>
            <w:vAlign w:val="bottom"/>
          </w:tcPr>
          <w:p>
            <w:pPr>
              <w:spacing w:after="0"/>
              <w:rPr>
                <w:sz w:val="24"/>
                <w:szCs w:val="24"/>
                <w:color w:val="auto"/>
              </w:rPr>
            </w:pPr>
          </w:p>
        </w:tc>
        <w:tc>
          <w:tcPr>
            <w:tcW w:w="3380" w:type="dxa"/>
            <w:vAlign w:val="bottom"/>
            <w:gridSpan w:val="3"/>
          </w:tcPr>
          <w:p>
            <w:pPr>
              <w:spacing w:after="0"/>
              <w:rPr>
                <w:rFonts w:ascii="Arial" w:cs="Arial" w:eastAsia="Arial" w:hAnsi="Arial"/>
                <w:sz w:val="22"/>
                <w:szCs w:val="22"/>
                <w:color w:val="0000EE"/>
              </w:rPr>
            </w:pPr>
            <w:hyperlink w:anchor="page98">
              <w:r>
                <w:rPr>
                  <w:rFonts w:ascii="Arial" w:cs="Arial" w:eastAsia="Arial" w:hAnsi="Arial"/>
                  <w:sz w:val="22"/>
                  <w:szCs w:val="22"/>
                  <w:color w:val="0000EE"/>
                </w:rPr>
                <w:t>Cumulative voting</w:t>
              </w:r>
            </w:hyperlink>
          </w:p>
        </w:tc>
        <w:tc>
          <w:tcPr>
            <w:tcW w:w="1940" w:type="dxa"/>
            <w:vAlign w:val="bottom"/>
          </w:tcPr>
          <w:p>
            <w:pPr>
              <w:jc w:val="right"/>
              <w:spacing w:after="0"/>
              <w:rPr>
                <w:sz w:val="20"/>
                <w:szCs w:val="20"/>
                <w:color w:val="auto"/>
              </w:rPr>
            </w:pPr>
            <w:r>
              <w:rPr>
                <w:rFonts w:ascii="Arial" w:cs="Arial" w:eastAsia="Arial" w:hAnsi="Arial"/>
                <w:sz w:val="22"/>
                <w:szCs w:val="22"/>
                <w:color w:val="004876"/>
              </w:rPr>
              <w:t>90</w:t>
            </w:r>
          </w:p>
        </w:tc>
      </w:tr>
      <w:tr>
        <w:trPr>
          <w:trHeight w:val="21"/>
        </w:trPr>
        <w:tc>
          <w:tcPr>
            <w:tcW w:w="80" w:type="dxa"/>
            <w:vAlign w:val="bottom"/>
            <w:tcBorders>
              <w:bottom w:val="single" w:sz="8" w:color="004876"/>
            </w:tcBorders>
          </w:tcPr>
          <w:p>
            <w:pPr>
              <w:spacing w:after="0" w:line="20" w:lineRule="exact"/>
              <w:rPr>
                <w:sz w:val="1"/>
                <w:szCs w:val="1"/>
                <w:color w:val="auto"/>
              </w:rPr>
            </w:pPr>
          </w:p>
        </w:tc>
        <w:tc>
          <w:tcPr>
            <w:tcW w:w="1720" w:type="dxa"/>
            <w:vAlign w:val="bottom"/>
            <w:tcBorders>
              <w:top w:val="single" w:sz="8" w:color="0000EE"/>
              <w:bottom w:val="single" w:sz="8" w:color="004876"/>
            </w:tcBorders>
          </w:tcPr>
          <w:p>
            <w:pPr>
              <w:spacing w:after="0" w:line="20" w:lineRule="exact"/>
              <w:rPr>
                <w:sz w:val="1"/>
                <w:szCs w:val="1"/>
                <w:color w:val="auto"/>
              </w:rPr>
            </w:pPr>
          </w:p>
        </w:tc>
        <w:tc>
          <w:tcPr>
            <w:tcW w:w="680" w:type="dxa"/>
            <w:vAlign w:val="bottom"/>
            <w:tcBorders>
              <w:bottom w:val="single" w:sz="8" w:color="004876"/>
            </w:tcBorders>
          </w:tcPr>
          <w:p>
            <w:pPr>
              <w:spacing w:after="0" w:line="20" w:lineRule="exact"/>
              <w:rPr>
                <w:sz w:val="1"/>
                <w:szCs w:val="1"/>
                <w:color w:val="auto"/>
              </w:rPr>
            </w:pPr>
          </w:p>
        </w:tc>
        <w:tc>
          <w:tcPr>
            <w:tcW w:w="980" w:type="dxa"/>
            <w:vAlign w:val="bottom"/>
            <w:tcBorders>
              <w:bottom w:val="single" w:sz="8" w:color="004876"/>
            </w:tcBorders>
          </w:tcPr>
          <w:p>
            <w:pPr>
              <w:spacing w:after="0" w:line="20" w:lineRule="exact"/>
              <w:rPr>
                <w:sz w:val="1"/>
                <w:szCs w:val="1"/>
                <w:color w:val="auto"/>
              </w:rPr>
            </w:pPr>
          </w:p>
        </w:tc>
        <w:tc>
          <w:tcPr>
            <w:tcW w:w="1940" w:type="dxa"/>
            <w:vAlign w:val="bottom"/>
            <w:tcBorders>
              <w:bottom w:val="single" w:sz="8" w:color="00487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257175</wp:posOffset>
            </wp:positionV>
            <wp:extent cx="3302000" cy="4972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02000" cy="4972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-40005</wp:posOffset>
            </wp:positionV>
            <wp:extent cx="120015" cy="1028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ind w:left="6160" w:right="1660"/>
        <w:spacing w:after="0" w:line="253" w:lineRule="auto"/>
        <w:rPr>
          <w:sz w:val="20"/>
          <w:szCs w:val="20"/>
          <w:color w:val="auto"/>
        </w:rPr>
      </w:pPr>
      <w:r>
        <w:rPr>
          <w:rFonts w:ascii="Arial" w:cs="Arial" w:eastAsia="Arial" w:hAnsi="Arial"/>
          <w:sz w:val="20"/>
          <w:szCs w:val="20"/>
          <w:color w:val="auto"/>
        </w:rPr>
        <w:t xml:space="preserve">Vote </w:t>
      </w:r>
      <w:r>
        <w:rPr>
          <w:rFonts w:ascii="Arial" w:cs="Arial" w:eastAsia="Arial" w:hAnsi="Arial"/>
          <w:sz w:val="20"/>
          <w:szCs w:val="20"/>
          <w:b w:val="1"/>
          <w:bCs w:val="1"/>
          <w:u w:val="single" w:color="auto"/>
          <w:color w:val="auto"/>
        </w:rPr>
        <w:t>AGAINST</w:t>
      </w:r>
      <w:r>
        <w:rPr>
          <w:rFonts w:ascii="Arial" w:cs="Arial" w:eastAsia="Arial" w:hAnsi="Arial"/>
          <w:sz w:val="20"/>
          <w:szCs w:val="20"/>
          <w:color w:val="auto"/>
        </w:rPr>
        <w:t xml:space="preserve"> shareholder proposals, if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right="5820" w:hanging="136"/>
        <w:spacing w:after="0" w:line="225" w:lineRule="auto"/>
        <w:tabs>
          <w:tab w:leader="none" w:pos="340" w:val="left"/>
        </w:tabs>
        <w:numPr>
          <w:ilvl w:val="0"/>
          <w:numId w:val="177"/>
        </w:numPr>
        <w:rPr>
          <w:rFonts w:ascii="Arial" w:cs="Arial" w:eastAsia="Arial" w:hAnsi="Arial"/>
          <w:sz w:val="11"/>
          <w:szCs w:val="11"/>
          <w:color w:val="auto"/>
        </w:rPr>
      </w:pPr>
      <w:r>
        <w:rPr>
          <w:rFonts w:ascii="Arial" w:cs="Arial" w:eastAsia="Arial" w:hAnsi="Arial"/>
          <w:sz w:val="13"/>
          <w:szCs w:val="13"/>
          <w:color w:val="auto"/>
        </w:rPr>
        <w:t>The names, addresses and beneficial holdings of the proponents and any co-sponsors to a proposal are available to shareholders upon request by writing to the Secretary at the address listed on page 98 of this proxy statement.</w:t>
      </w:r>
    </w:p>
    <w:p>
      <w:pPr>
        <w:sectPr>
          <w:pgSz w:w="11900" w:h="16838" w:orient="portrait"/>
          <w:cols w:equalWidth="0" w:num="1">
            <w:col w:w="11220"/>
          </w:cols>
          <w:pgMar w:left="240" w:top="459" w:right="439" w:bottom="1440" w:gutter="0" w:footer="0" w:header="0"/>
        </w:sectPr>
      </w:pPr>
    </w:p>
    <w:p>
      <w:pPr>
        <w:spacing w:after="0" w:line="282"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84</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Proposal 4 — Gender pay equity report</w:t>
      </w:r>
    </w:p>
    <w:p>
      <w:pPr>
        <w:spacing w:after="0" w:line="115"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Arjuna Capital, on behalf of Rainer Yingling Judd, has advised us that it intends to introduce the following resolution:</w:t>
      </w:r>
    </w:p>
    <w:p>
      <w:pPr>
        <w:spacing w:after="0" w:line="67" w:lineRule="exact"/>
        <w:rPr>
          <w:sz w:val="20"/>
          <w:szCs w:val="20"/>
          <w:color w:val="auto"/>
        </w:rPr>
      </w:pPr>
    </w:p>
    <w:p>
      <w:pPr>
        <w:ind w:left="200" w:right="100"/>
        <w:spacing w:after="0" w:line="243"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World Economic Forum estimates the gender pay</w:t>
      </w:r>
      <w:r>
        <w:rPr>
          <w:rFonts w:ascii="Arial" w:cs="Arial" w:eastAsia="Arial" w:hAnsi="Arial"/>
          <w:sz w:val="18"/>
          <w:szCs w:val="18"/>
          <w:b w:val="1"/>
          <w:bCs w:val="1"/>
          <w:color w:val="auto"/>
        </w:rPr>
        <w:t xml:space="preserve"> </w:t>
      </w:r>
      <w:r>
        <w:rPr>
          <w:rFonts w:ascii="Arial" w:cs="Arial" w:eastAsia="Arial" w:hAnsi="Arial"/>
          <w:sz w:val="18"/>
          <w:szCs w:val="18"/>
          <w:color w:val="auto"/>
        </w:rPr>
        <w:t>gap costs the economy 1.2 trillion dollars annually. The median income for women working full time in the United States is</w:t>
      </w:r>
    </w:p>
    <w:p>
      <w:pPr>
        <w:spacing w:after="0" w:line="1"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80 percent of that of their male counterparts. This disparity can equal nearly half a million dollars over a career. The gap for African American and Latina women is 60 percent and 55 percent. At the current rate, women will not reach pay parity until 2059.</w:t>
      </w:r>
    </w:p>
    <w:p>
      <w:pPr>
        <w:spacing w:after="0" w:line="94" w:lineRule="exact"/>
        <w:rPr>
          <w:sz w:val="20"/>
          <w:szCs w:val="20"/>
          <w:color w:val="auto"/>
        </w:rPr>
      </w:pPr>
    </w:p>
    <w:p>
      <w:pPr>
        <w:ind w:left="200" w:right="80"/>
        <w:spacing w:after="0" w:line="234" w:lineRule="auto"/>
        <w:rPr>
          <w:sz w:val="20"/>
          <w:szCs w:val="20"/>
          <w:color w:val="auto"/>
        </w:rPr>
      </w:pPr>
      <w:r>
        <w:rPr>
          <w:rFonts w:ascii="Arial" w:cs="Arial" w:eastAsia="Arial" w:hAnsi="Arial"/>
          <w:sz w:val="18"/>
          <w:szCs w:val="18"/>
          <w:color w:val="auto"/>
        </w:rPr>
        <w:t xml:space="preserve">United States companies have begun reporting statistically adjusted equal pay for equal work numbers, assessing the pay of men and women performing similar jobs, but mostly ignore </w:t>
      </w:r>
      <w:r>
        <w:rPr>
          <w:rFonts w:ascii="Arial" w:cs="Arial" w:eastAsia="Arial" w:hAnsi="Arial"/>
          <w:sz w:val="18"/>
          <w:szCs w:val="18"/>
          <w:i w:val="1"/>
          <w:iCs w:val="1"/>
          <w:color w:val="auto"/>
        </w:rPr>
        <w:t xml:space="preserve">median </w:t>
      </w:r>
      <w:r>
        <w:rPr>
          <w:rFonts w:ascii="Arial" w:cs="Arial" w:eastAsia="Arial" w:hAnsi="Arial"/>
          <w:sz w:val="18"/>
          <w:szCs w:val="18"/>
          <w:color w:val="auto"/>
        </w:rPr>
        <w:t>pay gaps. The United Kingdom now mandates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of median gender pay gaps. And while JP Morgan reported a</w:t>
      </w:r>
    </w:p>
    <w:p>
      <w:pPr>
        <w:spacing w:after="0" w:line="4"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26 percent median pay gap for its United Kingdom operations, it has not published median information for its global operations. The median pay gap for United Kingdom financial services companies is 22 percent.</w:t>
      </w:r>
    </w:p>
    <w:p>
      <w:pPr>
        <w:spacing w:after="0" w:line="94"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JP Morgan reports women earn 99 percent of the compensation received by men on a statistically adjusted equal pay basis. Yet, that statistically adjusted number alone fails to consider how discrimination affects differences in opportunity. In contrast, median pay gap disclosures address the structural bias that affects the jobs women hold, particularly when men hold most higher paying jobs.</w:t>
      </w:r>
    </w:p>
    <w:p>
      <w:pPr>
        <w:spacing w:after="0" w:line="95"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 xml:space="preserve">Women account for approximately 50 percent of our company’s United States workforce, but 30 percent of senior leadership. </w:t>
      </w:r>
      <w:r>
        <w:rPr>
          <w:rFonts w:ascii="Arial" w:cs="Arial" w:eastAsia="Arial" w:hAnsi="Arial"/>
          <w:sz w:val="18"/>
          <w:szCs w:val="18"/>
          <w:i w:val="1"/>
          <w:iCs w:val="1"/>
          <w:color w:val="auto"/>
        </w:rPr>
        <w:t xml:space="preserve">Mercer </w:t>
      </w:r>
      <w:r>
        <w:rPr>
          <w:rFonts w:ascii="Arial" w:cs="Arial" w:eastAsia="Arial" w:hAnsi="Arial"/>
          <w:sz w:val="18"/>
          <w:szCs w:val="18"/>
          <w:color w:val="auto"/>
        </w:rPr>
        <w:t>finds female executives are 20 to 30 percent more likely to</w:t>
      </w:r>
      <w:r>
        <w:rPr>
          <w:rFonts w:ascii="Arial" w:cs="Arial" w:eastAsia="Arial" w:hAnsi="Arial"/>
          <w:sz w:val="18"/>
          <w:szCs w:val="18"/>
          <w:i w:val="1"/>
          <w:iCs w:val="1"/>
          <w:color w:val="auto"/>
        </w:rPr>
        <w:t xml:space="preserve"> </w:t>
      </w:r>
      <w:r>
        <w:rPr>
          <w:rFonts w:ascii="Arial" w:cs="Arial" w:eastAsia="Arial" w:hAnsi="Arial"/>
          <w:sz w:val="18"/>
          <w:szCs w:val="18"/>
          <w:color w:val="auto"/>
        </w:rPr>
        <w:t>leave financial services careers than other careers. Actively managing pay equity “is associated with higher current female representation at the professional through executive levels and a faster trajectory to improved representation.”</w:t>
      </w:r>
    </w:p>
    <w:p>
      <w:pPr>
        <w:spacing w:after="0" w:line="77"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color w:val="auto"/>
        </w:rPr>
        <w:t xml:space="preserve">Research from </w:t>
      </w:r>
      <w:r>
        <w:rPr>
          <w:rFonts w:ascii="Arial" w:cs="Arial" w:eastAsia="Arial" w:hAnsi="Arial"/>
          <w:sz w:val="18"/>
          <w:szCs w:val="18"/>
          <w:i w:val="1"/>
          <w:iCs w:val="1"/>
          <w:color w:val="auto"/>
        </w:rPr>
        <w:t>Morgan Stanley, McKinsey</w:t>
      </w:r>
      <w:r>
        <w:rPr>
          <w:rFonts w:ascii="Arial" w:cs="Arial" w:eastAsia="Arial" w:hAnsi="Arial"/>
          <w:sz w:val="18"/>
          <w:szCs w:val="18"/>
          <w:color w:val="auto"/>
        </w:rPr>
        <w:t xml:space="preserve">, and </w:t>
      </w:r>
      <w:r>
        <w:rPr>
          <w:rFonts w:ascii="Arial" w:cs="Arial" w:eastAsia="Arial" w:hAnsi="Arial"/>
          <w:sz w:val="18"/>
          <w:szCs w:val="18"/>
          <w:i w:val="1"/>
          <w:iCs w:val="1"/>
          <w:color w:val="auto"/>
        </w:rPr>
        <w:t>Robeco Sam</w:t>
      </w:r>
      <w:r>
        <w:rPr>
          <w:rFonts w:ascii="Arial" w:cs="Arial" w:eastAsia="Arial" w:hAnsi="Arial"/>
          <w:sz w:val="18"/>
          <w:szCs w:val="18"/>
          <w:color w:val="auto"/>
        </w:rPr>
        <w:t xml:space="preserve"> suggests gender diverse leadership leads to superior stock price performance and return on equity. </w:t>
      </w:r>
      <w:r>
        <w:rPr>
          <w:rFonts w:ascii="Arial" w:cs="Arial" w:eastAsia="Arial" w:hAnsi="Arial"/>
          <w:sz w:val="18"/>
          <w:szCs w:val="18"/>
          <w:i w:val="1"/>
          <w:iCs w:val="1"/>
          <w:color w:val="auto"/>
        </w:rPr>
        <w:t>McKinsey</w:t>
      </w:r>
      <w:r>
        <w:rPr>
          <w:rFonts w:ascii="Arial" w:cs="Arial" w:eastAsia="Arial" w:hAnsi="Arial"/>
          <w:sz w:val="18"/>
          <w:szCs w:val="18"/>
          <w:color w:val="auto"/>
        </w:rPr>
        <w:t xml:space="preserve"> states, “the business case for the advancement and promotion of women is compelling.” Best practices include “tracking and eliminating gender pay gaps.”</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-657860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Public policy risk is of concern, not only in the United Kingdom, but in the United States. The Paycheck Fairness Act pends before Congress. California, Massachusetts, New York, and Maryland have strengthened equal pay legislation. The Congressional Joint Economic Committee reports 40 percent of the wage gap may be attributed to discrimination.</w:t>
      </w:r>
    </w:p>
    <w:p>
      <w:pPr>
        <w:spacing w:after="0" w:line="75"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JP Morgan report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company’s </w:t>
      </w:r>
      <w:r>
        <w:rPr>
          <w:rFonts w:ascii="Arial" w:cs="Arial" w:eastAsia="Arial" w:hAnsi="Arial"/>
          <w:sz w:val="18"/>
          <w:szCs w:val="18"/>
          <w:i w:val="1"/>
          <w:iCs w:val="1"/>
          <w:color w:val="auto"/>
        </w:rPr>
        <w:t>global median</w:t>
      </w:r>
      <w:r>
        <w:rPr>
          <w:rFonts w:ascii="Arial" w:cs="Arial" w:eastAsia="Arial" w:hAnsi="Arial"/>
          <w:sz w:val="18"/>
          <w:szCs w:val="18"/>
          <w:color w:val="auto"/>
        </w:rPr>
        <w:t xml:space="preserve"> gender pay gap, including associated policy, reputational, competitive, and operational risks, and risks related to recruiting and retaining female talent. The report should be prepared at reasonable cost, omitting proprietary information, litigation strategy and legal compliance information.</w:t>
      </w:r>
    </w:p>
    <w:p>
      <w:pPr>
        <w:spacing w:after="0" w:line="9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The gender pay gap is defined as the difference between male and female </w:t>
      </w:r>
      <w:r>
        <w:rPr>
          <w:rFonts w:ascii="Arial" w:cs="Arial" w:eastAsia="Arial" w:hAnsi="Arial"/>
          <w:sz w:val="18"/>
          <w:szCs w:val="18"/>
          <w:i w:val="1"/>
          <w:iCs w:val="1"/>
          <w:color w:val="auto"/>
        </w:rPr>
        <w:t>median</w:t>
      </w:r>
      <w:r>
        <w:rPr>
          <w:rFonts w:ascii="Arial" w:cs="Arial" w:eastAsia="Arial" w:hAnsi="Arial"/>
          <w:sz w:val="18"/>
          <w:szCs w:val="18"/>
          <w:color w:val="auto"/>
        </w:rPr>
        <w:t xml:space="preserve"> earnings expressed as a percentage of male earnings (Organization for Economic Cooperation and Development).</w:t>
      </w:r>
    </w:p>
    <w:p>
      <w:pPr>
        <w:spacing w:after="0" w:line="7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A report adequate for investors to assess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strategy and performance would include the percentage </w:t>
      </w:r>
      <w:r>
        <w:rPr>
          <w:rFonts w:ascii="Arial" w:cs="Arial" w:eastAsia="Arial" w:hAnsi="Arial"/>
          <w:sz w:val="18"/>
          <w:szCs w:val="18"/>
          <w:i w:val="1"/>
          <w:iCs w:val="1"/>
          <w:color w:val="auto"/>
        </w:rPr>
        <w:t xml:space="preserve">global median </w:t>
      </w:r>
      <w:r>
        <w:rPr>
          <w:rFonts w:ascii="Arial" w:cs="Arial" w:eastAsia="Arial" w:hAnsi="Arial"/>
          <w:sz w:val="18"/>
          <w:szCs w:val="18"/>
          <w:color w:val="auto"/>
        </w:rPr>
        <w:t>pay gap between male and female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race and ethnicity, including base, bonus and equity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SHAREHOLDER PROPOSALS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4876"/>
        </w:rPr>
        <w:t>BOARD RESPONSE TO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33534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Board of Directors recommends that shareholders vote</w:t>
      </w:r>
    </w:p>
    <w:p>
      <w:pPr>
        <w:ind w:left="220"/>
        <w:spacing w:after="0"/>
        <w:rPr>
          <w:sz w:val="20"/>
          <w:szCs w:val="20"/>
          <w:color w:val="auto"/>
        </w:rPr>
      </w:pPr>
      <w:r>
        <w:rPr>
          <w:rFonts w:ascii="Arial" w:cs="Arial" w:eastAsia="Arial" w:hAnsi="Arial"/>
          <w:sz w:val="18"/>
          <w:szCs w:val="18"/>
          <w:b w:val="1"/>
          <w:bCs w:val="1"/>
          <w:u w:val="single" w:color="auto"/>
          <w:color w:val="E2231A"/>
        </w:rPr>
        <w:t>AGAINST</w:t>
      </w:r>
      <w:r>
        <w:rPr>
          <w:rFonts w:ascii="Arial" w:cs="Arial" w:eastAsia="Arial" w:hAnsi="Arial"/>
          <w:sz w:val="18"/>
          <w:szCs w:val="18"/>
          <w:b w:val="1"/>
          <w:bCs w:val="1"/>
          <w:color w:val="E2231A"/>
        </w:rPr>
        <w:t xml:space="preserve"> </w:t>
      </w:r>
      <w:r>
        <w:rPr>
          <w:rFonts w:ascii="Arial" w:cs="Arial" w:eastAsia="Arial" w:hAnsi="Arial"/>
          <w:sz w:val="18"/>
          <w:szCs w:val="18"/>
          <w:color w:val="000000"/>
        </w:rPr>
        <w:t>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3353435" cy="2958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53435" cy="2958465"/>
                    </a:xfrm>
                    <a:prstGeom prst="rect">
                      <a:avLst/>
                    </a:prstGeom>
                    <a:noFill/>
                  </pic:spPr>
                </pic:pic>
              </a:graphicData>
            </a:graphic>
          </wp:anchor>
        </w:drawing>
      </w:r>
    </w:p>
    <w:p>
      <w:pPr>
        <w:spacing w:after="0" w:line="119" w:lineRule="exact"/>
        <w:rPr>
          <w:sz w:val="20"/>
          <w:szCs w:val="20"/>
          <w:color w:val="auto"/>
        </w:rPr>
      </w:pPr>
    </w:p>
    <w:p>
      <w:pPr>
        <w:ind w:left="440" w:right="260"/>
        <w:spacing w:after="0"/>
        <w:rPr>
          <w:sz w:val="20"/>
          <w:szCs w:val="20"/>
          <w:color w:val="auto"/>
        </w:rPr>
      </w:pPr>
      <w:r>
        <w:rPr>
          <w:rFonts w:ascii="Arial" w:cs="Arial" w:eastAsia="Arial" w:hAnsi="Arial"/>
          <w:sz w:val="18"/>
          <w:szCs w:val="18"/>
          <w:b w:val="1"/>
          <w:bCs w:val="1"/>
          <w:color w:val="auto"/>
        </w:rPr>
        <w:t>JPMorgan Chase already conducts periodic pay equity reviews that take into account factors that potentially impact pay. Globally, women at the Firm are paid 99% of what men are paid, taking into account factors that potentially impact pay. This is a more representative measure of comparable pay for similar work than a review focusing solely on median earnings of male and female employees.</w:t>
      </w:r>
    </w:p>
    <w:p>
      <w:pPr>
        <w:spacing w:after="0" w:line="86" w:lineRule="exact"/>
        <w:rPr>
          <w:sz w:val="20"/>
          <w:szCs w:val="20"/>
          <w:color w:val="auto"/>
        </w:rPr>
      </w:pPr>
    </w:p>
    <w:p>
      <w:pPr>
        <w:ind w:left="440" w:right="220"/>
        <w:spacing w:after="0" w:line="239" w:lineRule="auto"/>
        <w:rPr>
          <w:sz w:val="20"/>
          <w:szCs w:val="20"/>
          <w:color w:val="auto"/>
        </w:rPr>
      </w:pPr>
      <w:r>
        <w:rPr>
          <w:rFonts w:ascii="Arial" w:cs="Arial" w:eastAsia="Arial" w:hAnsi="Arial"/>
          <w:sz w:val="18"/>
          <w:szCs w:val="18"/>
          <w:b w:val="1"/>
          <w:bCs w:val="1"/>
          <w:color w:val="auto"/>
        </w:rPr>
        <w:t>We are committed to fairness in compensation practices for all employees. The report requested on the median pay gap is primarily influenced by the representation of women at different levels of the organization and is not reflective of the Firm’s commitment to diversity, expanding advancement opportunities for women and minorities, and fairness in compensation. We do not believe it is a meaningful metric to present to shareholders.</w:t>
      </w:r>
    </w:p>
    <w:p>
      <w:pPr>
        <w:spacing w:after="0" w:line="89" w:lineRule="exact"/>
        <w:rPr>
          <w:sz w:val="20"/>
          <w:szCs w:val="20"/>
          <w:color w:val="auto"/>
        </w:rPr>
      </w:pPr>
    </w:p>
    <w:p>
      <w:pPr>
        <w:ind w:left="440" w:right="220"/>
        <w:spacing w:after="0" w:line="266" w:lineRule="auto"/>
        <w:rPr>
          <w:sz w:val="20"/>
          <w:szCs w:val="20"/>
          <w:color w:val="auto"/>
        </w:rPr>
      </w:pPr>
      <w:r>
        <w:rPr>
          <w:rFonts w:ascii="Arial" w:cs="Arial" w:eastAsia="Arial" w:hAnsi="Arial"/>
          <w:sz w:val="17"/>
          <w:szCs w:val="17"/>
          <w:b w:val="1"/>
          <w:bCs w:val="1"/>
          <w:color w:val="auto"/>
        </w:rPr>
        <w:t>JPMorgan Chase is committed to diversity and inclusion best practices and devotes significant resources to programs, policies and analyses that we believe have a greater impact than the proposed pay gap report.</w:t>
      </w:r>
    </w:p>
    <w:p>
      <w:pPr>
        <w:spacing w:after="0" w:line="192" w:lineRule="exact"/>
        <w:rPr>
          <w:sz w:val="20"/>
          <w:szCs w:val="20"/>
          <w:color w:val="auto"/>
        </w:rPr>
      </w:pPr>
    </w:p>
    <w:p>
      <w:pPr>
        <w:ind w:left="220" w:right="20"/>
        <w:spacing w:after="0" w:line="237" w:lineRule="auto"/>
        <w:rPr>
          <w:sz w:val="20"/>
          <w:szCs w:val="20"/>
          <w:color w:val="auto"/>
        </w:rPr>
      </w:pPr>
      <w:r>
        <w:rPr>
          <w:rFonts w:ascii="Arial" w:cs="Arial" w:eastAsia="Arial" w:hAnsi="Arial"/>
          <w:sz w:val="18"/>
          <w:szCs w:val="18"/>
          <w:color w:val="auto"/>
        </w:rPr>
        <w:t>JPMorgan Chase strongly believes that a work environment that is diverse and inclusive at all levels of the Firm is critical to our success. Employees are our greatest asset, and we are deeply committed to hiring, retaining and developing employees from different backgrounds and experiences at all levels and paying them equitably based on the work they do.</w:t>
      </w:r>
    </w:p>
    <w:p>
      <w:pPr>
        <w:spacing w:after="0" w:line="97" w:lineRule="exact"/>
        <w:rPr>
          <w:sz w:val="20"/>
          <w:szCs w:val="20"/>
          <w:color w:val="auto"/>
        </w:rPr>
      </w:pPr>
    </w:p>
    <w:p>
      <w:pPr>
        <w:ind w:left="220" w:right="40"/>
        <w:spacing w:after="0" w:line="234" w:lineRule="auto"/>
        <w:rPr>
          <w:sz w:val="20"/>
          <w:szCs w:val="20"/>
          <w:color w:val="auto"/>
        </w:rPr>
      </w:pPr>
      <w:r>
        <w:rPr>
          <w:rFonts w:ascii="Arial" w:cs="Arial" w:eastAsia="Arial" w:hAnsi="Arial"/>
          <w:sz w:val="18"/>
          <w:szCs w:val="18"/>
          <w:color w:val="auto"/>
        </w:rPr>
        <w:t>The Firm has governance mechanisms, systems and controls in place so that all employees are paid fairly for the work they do. We conduct periodic pay equity reviews at all levels of the Firm. In 2018, we announced that an internal review concluded that</w:t>
      </w:r>
    </w:p>
    <w:p>
      <w:pPr>
        <w:spacing w:after="0" w:line="3" w:lineRule="exact"/>
        <w:rPr>
          <w:sz w:val="20"/>
          <w:szCs w:val="20"/>
          <w:color w:val="auto"/>
        </w:rPr>
      </w:pPr>
    </w:p>
    <w:p>
      <w:pPr>
        <w:ind w:left="220" w:hanging="9"/>
        <w:spacing w:after="0" w:line="237" w:lineRule="auto"/>
        <w:tabs>
          <w:tab w:leader="none" w:pos="42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globally, women at the Firm are paid 99% of what men are paid, taking into account factors that potentially impact pay such as an employee’s role, tenure, seniority, the business they work in and geography, and (ii) in the United States, minority employees are paid more than 99% of what non-minority employees are paid. The Firm has made a commitment to make an annual disclosure of this measure.</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 xml:space="preserve">We know that pay equity reviews are only a starting point and we are committed not only to disclosing information about our progress, but also advocating for broader progress beyond JPMorgan Chase. A special report from J.P. Morgan’s Global Research franchise, </w:t>
      </w:r>
      <w:r>
        <w:rPr>
          <w:rFonts w:ascii="Arial" w:cs="Arial" w:eastAsia="Arial" w:hAnsi="Arial"/>
          <w:sz w:val="18"/>
          <w:szCs w:val="18"/>
          <w:i w:val="1"/>
          <w:iCs w:val="1"/>
          <w:color w:val="auto"/>
        </w:rPr>
        <w:t>Achieving Gender Balance 2019: Progress,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Opportunities and Challenges, </w:t>
      </w:r>
      <w:r>
        <w:rPr>
          <w:rFonts w:ascii="Arial" w:cs="Arial" w:eastAsia="Arial" w:hAnsi="Arial"/>
          <w:sz w:val="18"/>
          <w:szCs w:val="18"/>
          <w:color w:val="auto"/>
        </w:rPr>
        <w:t>takes a closer look at the latest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developments and progress achieved on gender balance in the private and public sectors. We also know that diverse leadership is more likely to be innovative and high-performing and achieves better outcomes. We are focused on identifying and expanding advancement opportunities for diverse employees at more senior levels across the Firm. We build diversity into our performance development, and the development of a diverse and inclusive environment is tracked and measured at all stages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-2581910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40"/>
        <w:spacing w:after="0" w:line="246" w:lineRule="auto"/>
        <w:rPr>
          <w:sz w:val="20"/>
          <w:szCs w:val="20"/>
          <w:color w:val="auto"/>
        </w:rPr>
      </w:pPr>
      <w:r>
        <w:rPr>
          <w:rFonts w:ascii="Arial" w:cs="Arial" w:eastAsia="Arial" w:hAnsi="Arial"/>
          <w:sz w:val="18"/>
          <w:szCs w:val="18"/>
          <w:color w:val="auto"/>
        </w:rPr>
        <w:t>– outreach, marketing, recruitment, hiring, retention, promotion and development.</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pay gap metric requested in the proposal simply measures the pay difference between the median male and median female employee. It tells us what we already know – we have more women than men in entry level positions and not enough women in senior ranks. We understand that a blunt metric like median pay gap may be helpful for a certain discussion about pay, representation and public policy, but it is not the answer. To begin, this particular metric may have unintended consequences. For example, if a company with a high concentration of women in entry level jobs wanted to even out its median pay metric, it could do so by limiting entry level job opportunities for women. Instead, we believe that measuring, tracking and analyzing data, information and programs focused on increasing representation, development, mobility and promotion in thoughtful and sustainable ways are far more effective to drive the long-term change needed.</w:t>
      </w:r>
    </w:p>
    <w:p>
      <w:pPr>
        <w:spacing w:after="0" w:line="9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At JPMorgan Chase today, women represent almost 49% of our global workforce and 45% of our Firm’s Operating Committee. Women executives manage our core businesses and functions including Asset &amp; Wealth Management, Global Finance, Global Technology, Legal, Human Resources, Consumer Banking, Credit Card, U.S. Mergers &amp; Acquisitions, and Global Equity Capital Markets.</w:t>
      </w:r>
    </w:p>
    <w:p>
      <w:pPr>
        <w:spacing w:after="0" w:line="9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Firm management has long focused on the empowerment and advancement of its women employees. The Firm’s signature program, Women on the Move (“WOTM”), started as an internal, Firmwide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1905</wp:posOffset>
            </wp:positionV>
            <wp:extent cx="662051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500" w:space="320"/>
            <w:col w:w="538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right="80"/>
        <w:spacing w:after="0" w:line="238" w:lineRule="auto"/>
        <w:rPr>
          <w:sz w:val="20"/>
          <w:szCs w:val="20"/>
          <w:color w:val="auto"/>
        </w:rPr>
      </w:pPr>
      <w:r>
        <w:rPr>
          <w:rFonts w:ascii="Arial" w:cs="Arial" w:eastAsia="Arial" w:hAnsi="Arial"/>
          <w:sz w:val="18"/>
          <w:szCs w:val="18"/>
          <w:color w:val="auto"/>
        </w:rPr>
        <w:t>initiative to empower our female employees to grow their careers. While the Firm has increased the percent of women in entry level programs, a key goal of WOTM is to increase women’s representation at all levels and advance more women into management and leadership positions across the Firm.</w:t>
      </w:r>
    </w:p>
    <w:p>
      <w:pPr>
        <w:spacing w:after="0" w:line="95" w:lineRule="exact"/>
        <w:rPr>
          <w:sz w:val="20"/>
          <w:szCs w:val="20"/>
          <w:color w:val="auto"/>
        </w:rPr>
      </w:pPr>
    </w:p>
    <w:p>
      <w:pPr>
        <w:ind w:left="220" w:right="140"/>
        <w:spacing w:after="0" w:line="236" w:lineRule="auto"/>
        <w:rPr>
          <w:sz w:val="20"/>
          <w:szCs w:val="20"/>
          <w:color w:val="auto"/>
        </w:rPr>
      </w:pPr>
      <w:r>
        <w:rPr>
          <w:rFonts w:ascii="Arial" w:cs="Arial" w:eastAsia="Arial" w:hAnsi="Arial"/>
          <w:sz w:val="18"/>
          <w:szCs w:val="18"/>
          <w:color w:val="auto"/>
        </w:rPr>
        <w:t>The Firm has made significant strides on various management disciplines related to diversity and inclusion. For example, we require diverse slates and strategic sourcing for senior hires. We are committed to tracking and measuring sourcing, hiring, development, promotion and attrition. We conduct robust talent reviews of which diversity is a key priority component. Our management training program – Leadership Edge – is dedicated to enabling leaders at all levels to grow and succeed throughout their careers.</w:t>
      </w:r>
    </w:p>
    <w:p>
      <w:pPr>
        <w:spacing w:after="0" w:line="99" w:lineRule="exact"/>
        <w:rPr>
          <w:sz w:val="20"/>
          <w:szCs w:val="20"/>
          <w:color w:val="auto"/>
        </w:rPr>
      </w:pPr>
    </w:p>
    <w:p>
      <w:pPr>
        <w:ind w:left="220" w:right="80"/>
        <w:spacing w:after="0" w:line="257" w:lineRule="auto"/>
        <w:rPr>
          <w:sz w:val="20"/>
          <w:szCs w:val="20"/>
          <w:color w:val="auto"/>
        </w:rPr>
      </w:pPr>
      <w:r>
        <w:rPr>
          <w:rFonts w:ascii="Arial" w:cs="Arial" w:eastAsia="Arial" w:hAnsi="Arial"/>
          <w:sz w:val="17"/>
          <w:szCs w:val="17"/>
          <w:color w:val="auto"/>
        </w:rPr>
        <w:t>The Firm also has robust programs and policies that support families, such as backup child care and expanded parental leave, as well as programs that address barriers to returning to work, such as our ReEntry Program and Parental Mentors initiative.</w:t>
      </w:r>
    </w:p>
    <w:p>
      <w:pPr>
        <w:spacing w:after="0" w:line="81"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The ReEntry Program is a competitive fellowship that seeks to attract accomplished individuals who have taken a voluntary career break for at least two years and wish to return to the workforce full-time. Through hands-on experience, mentoring and intensive training, participants develop leading industry knowledge and insight to ramp up with ease and prepare for a long-term career path. Participants benefit from the engagement of managers, mentors and program alumni.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120"/>
        <w:spacing w:after="0"/>
        <w:rPr>
          <w:sz w:val="20"/>
          <w:szCs w:val="20"/>
          <w:color w:val="auto"/>
        </w:rPr>
      </w:pPr>
      <w:r>
        <w:rPr>
          <w:rFonts w:ascii="Arial" w:cs="Arial" w:eastAsia="Arial" w:hAnsi="Arial"/>
          <w:sz w:val="16"/>
          <w:szCs w:val="16"/>
          <w:color w:val="333333"/>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-657860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Firm continues to sponsor various programs, practices and forums – collectively referred to as Business Resource Groups – that are focused on recruiting and hiring the best diverse talent, providing personal and professional support, developing talent and skills and empowering employees to broaden their networks and take on new opportunities. JPMorgan Chase is also committed to maintaining a culture of respect in the way we work and do business. In 2018, we launched the “Together We” campaign focused on providing information and resources to encourage employees to speak up, raise concerns and have candid conversations. Part of this campaign includes facilitating the engagement and inclusion of women.</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proud of the overall representation of women and the progress we have made over time. We believe we have the right management ownership, focus and dedication on diversity and inclusion, and we acknowledge there is more work to be done to continue to increase the representation of women at senior levels of the organization.</w:t>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proposed report would not allow shareholders to have a complete view of the Firm’s approach to diversity, compensation, or gender pay equity and is not a meaningful use of resources for shareholders given the Firm’s commitment to measuring, tracking and analyzing data, information and programs focused on increasing representation, development, mobility and promotion in thoughtful and sustainable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146685</wp:posOffset>
            </wp:positionV>
            <wp:extent cx="3087370" cy="3346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087370" cy="334645"/>
                    </a:xfrm>
                    <a:prstGeom prst="rect">
                      <a:avLst/>
                    </a:prstGeom>
                    <a:noFill/>
                  </pic:spPr>
                </pic:pic>
              </a:graphicData>
            </a:graphic>
          </wp:anchor>
        </w:drawing>
      </w:r>
    </w:p>
    <w:p>
      <w:pPr>
        <w:spacing w:after="0" w:line="248" w:lineRule="exact"/>
        <w:rPr>
          <w:sz w:val="20"/>
          <w:szCs w:val="20"/>
          <w:color w:val="auto"/>
        </w:rPr>
      </w:pPr>
    </w:p>
    <w:p>
      <w:pPr>
        <w:ind w:left="680" w:right="1380"/>
        <w:spacing w:after="0" w:line="236" w:lineRule="auto"/>
        <w:rPr>
          <w:sz w:val="20"/>
          <w:szCs w:val="20"/>
          <w:color w:val="auto"/>
        </w:rPr>
      </w:pPr>
      <w:r>
        <w:rPr>
          <w:rFonts w:ascii="Arial" w:cs="Arial" w:eastAsia="Arial" w:hAnsi="Arial"/>
          <w:sz w:val="20"/>
          <w:szCs w:val="20"/>
          <w:color w:val="auto"/>
        </w:rPr>
        <w:t xml:space="preserve">The Board of Directors recommends a vote </w:t>
      </w:r>
      <w:r>
        <w:rPr>
          <w:rFonts w:ascii="Arial" w:cs="Arial" w:eastAsia="Arial" w:hAnsi="Arial"/>
          <w:sz w:val="20"/>
          <w:szCs w:val="20"/>
          <w:b w:val="1"/>
          <w:bCs w:val="1"/>
          <w:u w:val="single" w:color="auto"/>
          <w:color w:val="auto"/>
        </w:rPr>
        <w:t>AGAINST</w:t>
      </w:r>
      <w:r>
        <w:rPr>
          <w:rFonts w:ascii="Arial" w:cs="Arial" w:eastAsia="Arial" w:hAnsi="Arial"/>
          <w:sz w:val="20"/>
          <w:szCs w:val="20"/>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-250190</wp:posOffset>
            </wp:positionV>
            <wp:extent cx="120015" cy="1028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420"/>
          </w:cols>
          <w:pgMar w:left="240" w:top="459" w:right="419" w:bottom="1440" w:gutter="0" w:footer="0" w:header="0"/>
        </w:sectPr>
      </w:pPr>
    </w:p>
    <w:p>
      <w:pPr>
        <w:spacing w:after="0" w:line="120"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87</w:t>
            </w:r>
          </w:p>
        </w:tc>
      </w:tr>
    </w:tbl>
    <w:p>
      <w:pPr>
        <w:sectPr>
          <w:pgSz w:w="11900" w:h="16838" w:orient="portrait"/>
          <w:cols w:equalWidth="0" w:num="1">
            <w:col w:w="11240"/>
          </w:cols>
          <w:pgMar w:left="240" w:top="459" w:right="41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SHAREHOLDER PROPOSALS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Proposal 5 — Enhance shareholder proxy access</w:t>
      </w:r>
    </w:p>
    <w:p>
      <w:pPr>
        <w:sectPr>
          <w:pgSz w:w="11900" w:h="16838" w:orient="portrait"/>
          <w:cols w:equalWidth="0" w:num="1">
            <w:col w:w="11180"/>
          </w:cols>
          <w:pgMar w:left="240" w:top="459" w:right="479" w:bottom="1440" w:gutter="0" w:footer="0" w:header="0"/>
        </w:sectPr>
      </w:pPr>
    </w:p>
    <w:p>
      <w:pPr>
        <w:spacing w:after="0" w:line="183" w:lineRule="exact"/>
        <w:rPr>
          <w:sz w:val="20"/>
          <w:szCs w:val="20"/>
          <w:color w:val="auto"/>
        </w:rPr>
      </w:pPr>
    </w:p>
    <w:p>
      <w:pPr>
        <w:ind w:left="220" w:right="240"/>
        <w:spacing w:after="0" w:line="246" w:lineRule="auto"/>
        <w:rPr>
          <w:sz w:val="20"/>
          <w:szCs w:val="20"/>
          <w:color w:val="auto"/>
        </w:rPr>
      </w:pPr>
      <w:r>
        <w:rPr>
          <w:rFonts w:ascii="Arial" w:cs="Arial" w:eastAsia="Arial" w:hAnsi="Arial"/>
          <w:sz w:val="18"/>
          <w:szCs w:val="18"/>
          <w:color w:val="auto"/>
        </w:rPr>
        <w:t>John Chevedden, as agent for Kenneth Steiner, has advised us that he intends to introduce the following resolution:</w:t>
      </w:r>
    </w:p>
    <w:p>
      <w:pPr>
        <w:spacing w:after="0" w:line="89" w:lineRule="exact"/>
        <w:rPr>
          <w:sz w:val="20"/>
          <w:szCs w:val="20"/>
          <w:color w:val="auto"/>
        </w:rPr>
      </w:pPr>
    </w:p>
    <w:p>
      <w:pPr>
        <w:jc w:val="both"/>
        <w:ind w:left="220" w:right="60"/>
        <w:spacing w:after="0"/>
        <w:rPr>
          <w:sz w:val="20"/>
          <w:szCs w:val="20"/>
          <w:color w:val="auto"/>
        </w:rPr>
      </w:pPr>
      <w:r>
        <w:rPr>
          <w:rFonts w:ascii="Arial" w:cs="Arial" w:eastAsia="Arial" w:hAnsi="Arial"/>
          <w:sz w:val="18"/>
          <w:szCs w:val="18"/>
          <w:color w:val="auto"/>
        </w:rPr>
        <w:t>RESOLVED: Stockholders ask the board of directors to amend its proxy access bylaw provisions and any associated documents, to include the following change:</w:t>
      </w:r>
    </w:p>
    <w:p>
      <w:pPr>
        <w:spacing w:after="0" w:line="95" w:lineRule="exact"/>
        <w:rPr>
          <w:sz w:val="20"/>
          <w:szCs w:val="20"/>
          <w:color w:val="auto"/>
        </w:rPr>
      </w:pPr>
    </w:p>
    <w:p>
      <w:pPr>
        <w:ind w:left="220" w:right="200"/>
        <w:spacing w:after="0" w:line="239" w:lineRule="auto"/>
        <w:rPr>
          <w:sz w:val="20"/>
          <w:szCs w:val="20"/>
          <w:color w:val="auto"/>
        </w:rPr>
      </w:pPr>
      <w:r>
        <w:rPr>
          <w:rFonts w:ascii="Arial" w:cs="Arial" w:eastAsia="Arial" w:hAnsi="Arial"/>
          <w:sz w:val="18"/>
          <w:szCs w:val="18"/>
          <w:color w:val="auto"/>
        </w:rPr>
        <w:t>A shareholder proxy access director candidate shall not need to obtain a specific percentage vote in order to qualify as a shareholder proxy access director candidate at any future shareholder meeting.</w:t>
      </w:r>
    </w:p>
    <w:p>
      <w:pPr>
        <w:spacing w:after="0" w:line="94"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This proposal is important because a shareholder proxy access candidate might not obtain the current required 20%-vote (and thus be disqualified the following year under our current rule) even if he or she is a more qualified candidate to join our Board of Directors than certain existing directors. Shareholders may simply believe that at the time of the annual meeting that the company is not ready for a proxy access candidate and hence may not support the candidate because the timing is not right.</w:t>
      </w:r>
    </w:p>
    <w:p>
      <w:pPr>
        <w:spacing w:after="0" w:line="100" w:lineRule="exact"/>
        <w:rPr>
          <w:sz w:val="20"/>
          <w:szCs w:val="20"/>
          <w:color w:val="auto"/>
        </w:rPr>
      </w:pPr>
    </w:p>
    <w:p>
      <w:pPr>
        <w:jc w:val="both"/>
        <w:ind w:left="220" w:right="240"/>
        <w:spacing w:after="0"/>
        <w:rPr>
          <w:sz w:val="20"/>
          <w:szCs w:val="20"/>
          <w:color w:val="auto"/>
        </w:rPr>
      </w:pPr>
      <w:r>
        <w:rPr>
          <w:rFonts w:ascii="Arial" w:cs="Arial" w:eastAsia="Arial" w:hAnsi="Arial"/>
          <w:sz w:val="18"/>
          <w:szCs w:val="18"/>
          <w:color w:val="auto"/>
        </w:rPr>
        <w:t>A year later a majority of shareholders might determine that the timing is right and hence they should be able to vote for such a highly qualified candidate.</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just a few of the scores of companies that do not require a proxy access director candidate to obtain a specific percentage vote in order to be a candidate in the following year:</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Citigroup (C)</w:t>
      </w:r>
    </w:p>
    <w:p>
      <w:pPr>
        <w:ind w:left="220"/>
        <w:spacing w:after="0" w:line="234" w:lineRule="auto"/>
        <w:rPr>
          <w:sz w:val="20"/>
          <w:szCs w:val="20"/>
          <w:color w:val="auto"/>
        </w:rPr>
      </w:pPr>
      <w:r>
        <w:rPr>
          <w:rFonts w:ascii="Arial" w:cs="Arial" w:eastAsia="Arial" w:hAnsi="Arial"/>
          <w:sz w:val="18"/>
          <w:szCs w:val="18"/>
          <w:color w:val="auto"/>
        </w:rPr>
        <w:t>eBay (EBAY)</w:t>
      </w:r>
    </w:p>
    <w:p>
      <w:pPr>
        <w:ind w:left="220"/>
        <w:spacing w:after="0" w:line="235" w:lineRule="auto"/>
        <w:rPr>
          <w:sz w:val="20"/>
          <w:szCs w:val="20"/>
          <w:color w:val="auto"/>
        </w:rPr>
      </w:pPr>
      <w:r>
        <w:rPr>
          <w:rFonts w:ascii="Arial" w:cs="Arial" w:eastAsia="Arial" w:hAnsi="Arial"/>
          <w:sz w:val="18"/>
          <w:szCs w:val="18"/>
          <w:color w:val="auto"/>
        </w:rPr>
        <w:t>FedEx (FDX)</w:t>
      </w:r>
    </w:p>
    <w:p>
      <w:pPr>
        <w:ind w:left="220"/>
        <w:spacing w:after="0" w:line="235" w:lineRule="auto"/>
        <w:rPr>
          <w:sz w:val="20"/>
          <w:szCs w:val="20"/>
          <w:color w:val="auto"/>
        </w:rPr>
      </w:pPr>
      <w:r>
        <w:rPr>
          <w:rFonts w:ascii="Arial" w:cs="Arial" w:eastAsia="Arial" w:hAnsi="Arial"/>
          <w:sz w:val="18"/>
          <w:szCs w:val="18"/>
          <w:color w:val="auto"/>
        </w:rPr>
        <w:t>Goodyear (GT)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Home Depot (HD)</w:t>
      </w:r>
    </w:p>
    <w:p>
      <w:pPr>
        <w:spacing w:after="0" w:line="104" w:lineRule="exact"/>
        <w:rPr>
          <w:sz w:val="20"/>
          <w:szCs w:val="20"/>
          <w:color w:val="auto"/>
        </w:rPr>
      </w:pPr>
    </w:p>
    <w:p>
      <w:pPr>
        <w:ind w:left="220" w:right="380"/>
        <w:spacing w:after="0" w:line="257" w:lineRule="auto"/>
        <w:rPr>
          <w:sz w:val="20"/>
          <w:szCs w:val="20"/>
          <w:color w:val="auto"/>
        </w:rPr>
      </w:pPr>
      <w:r>
        <w:rPr>
          <w:rFonts w:ascii="Arial" w:cs="Arial" w:eastAsia="Arial" w:hAnsi="Arial"/>
          <w:sz w:val="17"/>
          <w:szCs w:val="17"/>
          <w:color w:val="auto"/>
        </w:rPr>
        <w:t>Hopefully the JPM Board of Directors and the chairman of the Board Governance Committee, William Weldon, will not try to prevent us from voting on this fix-it proposal in regard to the restricted version of proxy access adopted by JPM in 2016.</w:t>
      </w:r>
    </w:p>
    <w:p>
      <w:pPr>
        <w:spacing w:after="0" w:line="81" w:lineRule="exact"/>
        <w:rPr>
          <w:sz w:val="20"/>
          <w:szCs w:val="20"/>
          <w:color w:val="auto"/>
        </w:rPr>
      </w:pPr>
    </w:p>
    <w:p>
      <w:pPr>
        <w:ind w:left="220" w:right="180"/>
        <w:spacing w:after="0"/>
        <w:rPr>
          <w:sz w:val="20"/>
          <w:szCs w:val="20"/>
          <w:color w:val="auto"/>
        </w:rPr>
      </w:pPr>
      <w:r>
        <w:rPr>
          <w:rFonts w:ascii="Arial" w:cs="Arial" w:eastAsia="Arial" w:hAnsi="Arial"/>
          <w:sz w:val="18"/>
          <w:szCs w:val="18"/>
          <w:color w:val="auto"/>
        </w:rPr>
        <w:t>JPM prevented us from voting on a special shareholder meeting fix-it proposal in 2018. Mr. Weldon received 10-times as many negative votes in 2018 as certain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other JPM directors after his 2018 bending-to- management effort to eliminate a non-binding shareholder vote on such a well-established shareholder proposal topic.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Please vote yes:</w:t>
      </w:r>
    </w:p>
    <w:p>
      <w:pPr>
        <w:spacing w:after="0"/>
        <w:rPr>
          <w:sz w:val="20"/>
          <w:szCs w:val="20"/>
          <w:color w:val="auto"/>
        </w:rPr>
      </w:pPr>
      <w:r>
        <w:rPr>
          <w:rFonts w:ascii="Arial" w:cs="Arial" w:eastAsia="Arial" w:hAnsi="Arial"/>
          <w:sz w:val="18"/>
          <w:szCs w:val="18"/>
          <w:b w:val="1"/>
          <w:bCs w:val="1"/>
          <w:color w:val="auto"/>
        </w:rPr>
        <w:t>Enhance Shareholder Proxy Access – Proposal 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BOARD RESPONSE TO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wp:posOffset>
            </wp:positionV>
            <wp:extent cx="342201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w:t>
      </w:r>
    </w:p>
    <w:p>
      <w:pPr>
        <w:spacing w:after="0"/>
        <w:rPr>
          <w:sz w:val="20"/>
          <w:szCs w:val="20"/>
          <w:color w:val="auto"/>
        </w:rPr>
      </w:pPr>
      <w:r>
        <w:rPr>
          <w:rFonts w:ascii="Arial" w:cs="Arial" w:eastAsia="Arial" w:hAnsi="Arial"/>
          <w:sz w:val="18"/>
          <w:szCs w:val="18"/>
          <w:b w:val="1"/>
          <w:bCs w:val="1"/>
          <w:u w:val="single" w:color="auto"/>
          <w:color w:val="E2231A"/>
        </w:rPr>
        <w:t>AGAINST</w:t>
      </w:r>
      <w:r>
        <w:rPr>
          <w:rFonts w:ascii="Arial" w:cs="Arial" w:eastAsia="Arial" w:hAnsi="Arial"/>
          <w:sz w:val="18"/>
          <w:szCs w:val="18"/>
          <w:b w:val="1"/>
          <w:bCs w:val="1"/>
          <w:color w:val="E2231A"/>
        </w:rPr>
        <w:t xml:space="preserve"> </w:t>
      </w:r>
      <w:r>
        <w:rPr>
          <w:rFonts w:ascii="Arial" w:cs="Arial" w:eastAsia="Arial" w:hAnsi="Arial"/>
          <w:sz w:val="18"/>
          <w:szCs w:val="18"/>
          <w:color w:val="000000"/>
        </w:rPr>
        <w:t>this proposal for the following reasons:</w:t>
      </w:r>
    </w:p>
    <w:p>
      <w:pPr>
        <w:spacing w:after="0" w:line="125" w:lineRule="exact"/>
        <w:rPr>
          <w:sz w:val="20"/>
          <w:szCs w:val="20"/>
          <w:color w:val="auto"/>
        </w:rPr>
      </w:pPr>
    </w:p>
    <w:p>
      <w:pPr>
        <w:ind w:left="320" w:right="100"/>
        <w:spacing w:after="0" w:line="244" w:lineRule="auto"/>
        <w:rPr>
          <w:sz w:val="20"/>
          <w:szCs w:val="20"/>
          <w:color w:val="auto"/>
        </w:rPr>
      </w:pPr>
      <w:r>
        <w:rPr>
          <w:rFonts w:ascii="Arial" w:cs="Arial" w:eastAsia="Arial" w:hAnsi="Arial"/>
          <w:sz w:val="18"/>
          <w:szCs w:val="18"/>
          <w:b w:val="1"/>
          <w:bCs w:val="1"/>
          <w:color w:val="auto"/>
        </w:rPr>
        <w:t>The Firm’s proxy access By-law strikes an appropriate balance between providing shareholders with meaningful access to the right and protecting against potential abuse by shareholders whose interests are not aligned with the majority of long-term shareholders.</w:t>
      </w:r>
    </w:p>
    <w:p>
      <w:pPr>
        <w:spacing w:after="0" w:line="82" w:lineRule="exact"/>
        <w:rPr>
          <w:sz w:val="20"/>
          <w:szCs w:val="20"/>
          <w:color w:val="auto"/>
        </w:rPr>
      </w:pPr>
    </w:p>
    <w:p>
      <w:pPr>
        <w:ind w:left="320" w:right="240"/>
        <w:spacing w:after="0" w:line="242" w:lineRule="auto"/>
        <w:rPr>
          <w:sz w:val="20"/>
          <w:szCs w:val="20"/>
          <w:color w:val="auto"/>
        </w:rPr>
      </w:pPr>
      <w:r>
        <w:rPr>
          <w:rFonts w:ascii="Arial" w:cs="Arial" w:eastAsia="Arial" w:hAnsi="Arial"/>
          <w:sz w:val="18"/>
          <w:szCs w:val="18"/>
          <w:b w:val="1"/>
          <w:bCs w:val="1"/>
          <w:color w:val="auto"/>
        </w:rPr>
        <w:t>The By-law requiring that nominees receive at least 20% support to be eligible for re-nomination protects shareholders from the expense and disruption of voting on repeat nominees who fail to garner significant shareholder support and provides opportunity for shareholders to nominate other qualified candidates.</w:t>
      </w:r>
    </w:p>
    <w:p>
      <w:pPr>
        <w:spacing w:after="0" w:line="84" w:lineRule="exact"/>
        <w:rPr>
          <w:sz w:val="20"/>
          <w:szCs w:val="20"/>
          <w:color w:val="auto"/>
        </w:rPr>
      </w:pPr>
    </w:p>
    <w:p>
      <w:pPr>
        <w:ind w:left="320" w:right="100"/>
        <w:spacing w:after="0" w:line="271" w:lineRule="auto"/>
        <w:rPr>
          <w:sz w:val="20"/>
          <w:szCs w:val="20"/>
          <w:color w:val="auto"/>
        </w:rPr>
      </w:pPr>
      <w:r>
        <w:rPr>
          <w:rFonts w:ascii="Arial" w:cs="Arial" w:eastAsia="Arial" w:hAnsi="Arial"/>
          <w:sz w:val="18"/>
          <w:szCs w:val="18"/>
          <w:b w:val="1"/>
          <w:bCs w:val="1"/>
          <w:color w:val="auto"/>
        </w:rPr>
        <w:t>The Firm’s By-law, including our re-nomination threshold, is aligned with current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-1852930</wp:posOffset>
            </wp:positionV>
            <wp:extent cx="3422015" cy="18783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2015" cy="1878330"/>
                    </a:xfrm>
                    <a:prstGeom prst="rect">
                      <a:avLst/>
                    </a:prstGeom>
                    <a:noFill/>
                  </pic:spPr>
                </pic:pic>
              </a:graphicData>
            </a:graphic>
          </wp:anchor>
        </w:drawing>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Board’s commitment to strong corporate governance that promotes long-term shareholder value is reflected in the Firm’s governance policies and practices with respect to independence, transparency and shareholder rights. As part of this commitment, in January 2016, the Board amended the Firm’s By-laws to provide shareholders with the right to proxy access. This By-law enables shareholders to include in the Firm’s proxy statement their nominees for election as directors. It was developed after carefully considering the range of viewpoints and taking into account feedback from governance experts and many of our shareholders.</w:t>
      </w:r>
    </w:p>
    <w:p>
      <w:pPr>
        <w:spacing w:after="0" w:line="770" w:lineRule="exact"/>
        <w:rPr>
          <w:sz w:val="20"/>
          <w:szCs w:val="20"/>
          <w:color w:val="auto"/>
        </w:rPr>
      </w:pPr>
    </w:p>
    <w:p>
      <w:pPr>
        <w:sectPr>
          <w:pgSz w:w="11900" w:h="16838" w:orient="portrait"/>
          <w:cols w:equalWidth="0" w:num="2">
            <w:col w:w="5480" w:space="340"/>
            <w:col w:w="5360"/>
          </w:cols>
          <w:pgMar w:left="240" w:top="459" w:right="479" w:bottom="1440" w:gutter="0" w:footer="0" w:header="0"/>
          <w:type w:val="continuous"/>
        </w:sectPr>
      </w:pPr>
    </w:p>
    <w:p>
      <w:pPr>
        <w:spacing w:after="0" w:line="7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88</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right="2740"/>
        <w:spacing w:after="0" w:line="236" w:lineRule="auto"/>
        <w:rPr>
          <w:sz w:val="20"/>
          <w:szCs w:val="20"/>
          <w:color w:val="auto"/>
        </w:rPr>
      </w:pPr>
      <w:r>
        <w:rPr>
          <w:rFonts w:ascii="Arial" w:cs="Arial" w:eastAsia="Arial" w:hAnsi="Arial"/>
          <w:sz w:val="18"/>
          <w:szCs w:val="18"/>
          <w:color w:val="auto"/>
        </w:rPr>
        <w:t>We believe our proxy access provisions balance a significant shareholder right with important safeguards from abuse by shareholders or nominees whose interests are not aligned with the majority of long-term shareholders. Relevant here, JPMorgan Chase’s proxy access By-law provides that a person is ineligible for nomination for election to the Board if that person has failed to receive 20% support in the previous two years. This re-nomination threshold protects the proxy access process from being abused by candidates who have already been rejected by the vast majority of shareholders and facilitates the nomination of viable candidates. The Firm and its shareholders should not be forced to incur the expense and disruption associated with responding to proxy access nominations for candidates who have previously failed to garner meaningful support.</w:t>
      </w:r>
    </w:p>
    <w:p>
      <w:pPr>
        <w:spacing w:after="0" w:line="95" w:lineRule="exact"/>
        <w:rPr>
          <w:sz w:val="20"/>
          <w:szCs w:val="20"/>
          <w:color w:val="auto"/>
        </w:rPr>
      </w:pPr>
    </w:p>
    <w:p>
      <w:pPr>
        <w:ind w:left="200" w:right="2740"/>
        <w:spacing w:after="0" w:line="237" w:lineRule="auto"/>
        <w:rPr>
          <w:sz w:val="20"/>
          <w:szCs w:val="20"/>
          <w:color w:val="auto"/>
        </w:rPr>
      </w:pPr>
      <w:r>
        <w:rPr>
          <w:rFonts w:ascii="Arial" w:cs="Arial" w:eastAsia="Arial" w:hAnsi="Arial"/>
          <w:sz w:val="18"/>
          <w:szCs w:val="18"/>
          <w:color w:val="auto"/>
        </w:rPr>
        <w:t xml:space="preserve">The Firm’s proxy access By-law is aligned with current best practices and with prevailing practices among other U.S. companies. Based on a review of the </w:t>
      </w:r>
      <w:r>
        <w:rPr>
          <w:rFonts w:ascii="Arial" w:cs="Arial" w:eastAsia="Arial" w:hAnsi="Arial"/>
          <w:sz w:val="18"/>
          <w:szCs w:val="18"/>
          <w:i w:val="1"/>
          <w:iCs w:val="1"/>
          <w:color w:val="auto"/>
        </w:rPr>
        <w:t>Corporate Governance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Compensation Survey 2018 </w:t>
      </w:r>
      <w:r>
        <w:rPr>
          <w:rFonts w:ascii="Arial" w:cs="Arial" w:eastAsia="Arial" w:hAnsi="Arial"/>
          <w:sz w:val="18"/>
          <w:szCs w:val="18"/>
          <w:color w:val="auto"/>
        </w:rPr>
        <w:t>by Shearman &amp; Sterling,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our proxy access By-law, including the re-nomination threshold, are consistent with the 67% of S&amp;P 500 companies that have adopted proxy access.</w:t>
      </w:r>
    </w:p>
    <w:p>
      <w:pPr>
        <w:spacing w:after="0" w:line="95" w:lineRule="exact"/>
        <w:rPr>
          <w:sz w:val="20"/>
          <w:szCs w:val="20"/>
          <w:color w:val="auto"/>
        </w:rPr>
      </w:pPr>
    </w:p>
    <w:p>
      <w:pPr>
        <w:ind w:left="200" w:right="2780"/>
        <w:spacing w:after="0" w:line="237" w:lineRule="auto"/>
        <w:rPr>
          <w:sz w:val="20"/>
          <w:szCs w:val="20"/>
          <w:color w:val="auto"/>
        </w:rPr>
      </w:pPr>
      <w:r>
        <w:rPr>
          <w:rFonts w:ascii="Arial" w:cs="Arial" w:eastAsia="Arial" w:hAnsi="Arial"/>
          <w:sz w:val="18"/>
          <w:szCs w:val="18"/>
          <w:color w:val="auto"/>
        </w:rPr>
        <w:t>In addition to proxy access, the Firm maintains strong corporate governance practices that include majority voting for director elections; annual election of all directors; strong Lead Independent Director role; independence of more than 90% of the Board and 100% of the Board’s principal standing committee members; and rights to call special meetings and to act by written consent.</w:t>
      </w:r>
    </w:p>
    <w:p>
      <w:pPr>
        <w:spacing w:after="0" w:line="95" w:lineRule="exact"/>
        <w:rPr>
          <w:sz w:val="20"/>
          <w:szCs w:val="20"/>
          <w:color w:val="auto"/>
        </w:rPr>
      </w:pPr>
    </w:p>
    <w:p>
      <w:pPr>
        <w:ind w:left="200" w:right="2760"/>
        <w:spacing w:after="0" w:line="236" w:lineRule="auto"/>
        <w:rPr>
          <w:sz w:val="20"/>
          <w:szCs w:val="20"/>
          <w:color w:val="auto"/>
        </w:rPr>
      </w:pPr>
      <w:r>
        <w:rPr>
          <w:rFonts w:ascii="Arial" w:cs="Arial" w:eastAsia="Arial" w:hAnsi="Arial"/>
          <w:sz w:val="18"/>
          <w:szCs w:val="18"/>
          <w:color w:val="auto"/>
        </w:rPr>
        <w:t>In keeping with its strong commitment to good corporate governance and responsiveness to our shareholders, the Board has already adopted a proxy access By-law that serves the best interests of the Firm and our shareholders. Since our adoption of proxy access, we have held further discussions with shareholders and conducted benchmarking reviews. We continue to believe our By-law is most appropriate for the Firm and its shareholders, and the requested change is unnecessary.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149860</wp:posOffset>
            </wp:positionV>
            <wp:extent cx="3155950" cy="4972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155950" cy="497205"/>
                    </a:xfrm>
                    <a:prstGeom prst="rect">
                      <a:avLst/>
                    </a:prstGeom>
                    <a:noFill/>
                  </pic:spPr>
                </pic:pic>
              </a:graphicData>
            </a:graphic>
          </wp:anchor>
        </w:drawing>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Board of Directors recommends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-40005</wp:posOffset>
            </wp:positionV>
            <wp:extent cx="120015" cy="1028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 xml:space="preserve">vote </w:t>
      </w:r>
      <w:r>
        <w:rPr>
          <w:rFonts w:ascii="Arial" w:cs="Arial" w:eastAsia="Arial" w:hAnsi="Arial"/>
          <w:sz w:val="20"/>
          <w:szCs w:val="20"/>
          <w:b w:val="1"/>
          <w:bCs w:val="1"/>
          <w:u w:val="single" w:color="auto"/>
          <w:color w:val="auto"/>
        </w:rPr>
        <w:t>AGAINST</w:t>
      </w:r>
      <w:r>
        <w:rPr>
          <w:rFonts w:ascii="Arial" w:cs="Arial" w:eastAsia="Arial" w:hAnsi="Arial"/>
          <w:sz w:val="20"/>
          <w:szCs w:val="20"/>
          <w:color w:val="auto"/>
        </w:rPr>
        <w:t xml:space="preserve"> this proposal.</w:t>
      </w:r>
    </w:p>
    <w:p>
      <w:pPr>
        <w:spacing w:after="0" w:line="200" w:lineRule="exact"/>
        <w:rPr>
          <w:sz w:val="20"/>
          <w:szCs w:val="20"/>
          <w:color w:val="auto"/>
        </w:rPr>
      </w:pPr>
    </w:p>
    <w:p>
      <w:pPr>
        <w:spacing w:after="0" w:line="37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333333"/>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-4445</wp:posOffset>
            </wp:positionV>
            <wp:extent cx="3429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8220" w:space="720"/>
            <w:col w:w="228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SHAREHOLDER PROPOSALS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Proposal 6 — Cumulative voting</w:t>
      </w:r>
    </w:p>
    <w:p>
      <w:pPr>
        <w:spacing w:after="0" w:line="183" w:lineRule="exact"/>
        <w:rPr>
          <w:sz w:val="20"/>
          <w:szCs w:val="20"/>
          <w:color w:val="auto"/>
        </w:rPr>
      </w:pPr>
    </w:p>
    <w:p>
      <w:pPr>
        <w:ind w:left="220" w:right="140"/>
        <w:spacing w:after="0" w:line="246" w:lineRule="auto"/>
        <w:rPr>
          <w:sz w:val="20"/>
          <w:szCs w:val="20"/>
          <w:color w:val="auto"/>
        </w:rPr>
      </w:pPr>
      <w:r>
        <w:rPr>
          <w:rFonts w:ascii="Arial" w:cs="Arial" w:eastAsia="Arial" w:hAnsi="Arial"/>
          <w:sz w:val="18"/>
          <w:szCs w:val="18"/>
          <w:color w:val="auto"/>
        </w:rPr>
        <w:t>John Chevedden has advised us that he intends to introduce the following resolution:</w:t>
      </w:r>
    </w:p>
    <w:p>
      <w:pPr>
        <w:spacing w:after="0" w:line="89" w:lineRule="exact"/>
        <w:rPr>
          <w:sz w:val="20"/>
          <w:szCs w:val="20"/>
          <w:color w:val="auto"/>
        </w:rPr>
      </w:pPr>
    </w:p>
    <w:p>
      <w:pPr>
        <w:ind w:left="220"/>
        <w:spacing w:after="0" w:line="236" w:lineRule="auto"/>
        <w:rPr>
          <w:sz w:val="20"/>
          <w:szCs w:val="20"/>
          <w:color w:val="auto"/>
        </w:rPr>
      </w:pPr>
      <w:r>
        <w:rPr>
          <w:rFonts w:ascii="Arial" w:cs="Arial" w:eastAsia="Arial" w:hAnsi="Arial"/>
          <w:sz w:val="18"/>
          <w:szCs w:val="18"/>
          <w:color w:val="auto"/>
        </w:rPr>
        <w:t>Resolved: Cumulative Voting. Shareholders recommend that our Board take the steps necessary to adopt cumulative voting. Cumulative voting means that each shareholder may cast as many votes as equal to number of shares held, multiplied by the number of directors to be elected. A shareholder may cast all such cumulated votes for a single candidate or focus on a few candidates. Under cumulative voting shareholders can withhold votes from poor-performing directors in order to cast multiple votes for other director candidates. This is an important protection for shareholders.</w:t>
      </w:r>
    </w:p>
    <w:p>
      <w:pPr>
        <w:spacing w:after="0" w:line="98"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Cumulative voting also allows a significant group of shareholders to elect a director of its choice — to safeguard minority shareholder interests and to bring a greater independent risk management perspective to Board decisions. Cumulative voting won 54%-support at Aetna and 51%-support at Alaska Air. It also received 53%-support at General Motors in two annual elections. The Council of Institutional Investors and CalPERS recommended adoption of this proposal topic.</w:t>
      </w:r>
    </w:p>
    <w:p>
      <w:pPr>
        <w:spacing w:after="0" w:line="100" w:lineRule="exact"/>
        <w:rPr>
          <w:sz w:val="20"/>
          <w:szCs w:val="20"/>
          <w:color w:val="auto"/>
        </w:rPr>
      </w:pPr>
    </w:p>
    <w:p>
      <w:pPr>
        <w:ind w:left="220" w:right="40"/>
        <w:spacing w:after="0" w:line="236" w:lineRule="auto"/>
        <w:rPr>
          <w:sz w:val="20"/>
          <w:szCs w:val="20"/>
          <w:color w:val="auto"/>
        </w:rPr>
      </w:pPr>
      <w:r>
        <w:rPr>
          <w:rFonts w:ascii="Arial" w:cs="Arial" w:eastAsia="Arial" w:hAnsi="Arial"/>
          <w:sz w:val="18"/>
          <w:szCs w:val="18"/>
          <w:color w:val="auto"/>
        </w:rPr>
        <w:t>Cumulative voting can be used to elect one director with a highly focused specialization in banking risk management. This is of utmost importance because shareholders of big banks have paid $1Os of billions in fines since big bank managers failed to prevent misconduct related to Bernie Madoff’s Ponzi scheme, mortgage securities sales, energy market manipulation, military lending, foreclosures, municipal securities, collateralized debt obligations, mortgage servicing and foreign exchange rigging.</w:t>
      </w:r>
    </w:p>
    <w:p>
      <w:pPr>
        <w:spacing w:after="0" w:line="100" w:lineRule="exact"/>
        <w:rPr>
          <w:sz w:val="20"/>
          <w:szCs w:val="20"/>
          <w:color w:val="auto"/>
        </w:rPr>
      </w:pPr>
    </w:p>
    <w:p>
      <w:pPr>
        <w:ind w:left="220" w:right="140"/>
        <w:spacing w:after="0" w:line="239" w:lineRule="auto"/>
        <w:rPr>
          <w:sz w:val="20"/>
          <w:szCs w:val="20"/>
          <w:color w:val="auto"/>
        </w:rPr>
      </w:pPr>
      <w:r>
        <w:rPr>
          <w:rFonts w:ascii="Arial" w:cs="Arial" w:eastAsia="Arial" w:hAnsi="Arial"/>
          <w:sz w:val="18"/>
          <w:szCs w:val="18"/>
          <w:color w:val="auto"/>
        </w:rPr>
        <w:t>Hopefully William Weldon, chairman of the Board Governance Committee and the JPM Board of Directors will not try to prevent us from voting on this shareholder proposal which previously received 33%-support at JPM.</w:t>
      </w:r>
    </w:p>
    <w:p>
      <w:pPr>
        <w:spacing w:after="0" w:line="94" w:lineRule="exact"/>
        <w:rPr>
          <w:sz w:val="20"/>
          <w:szCs w:val="20"/>
          <w:color w:val="auto"/>
        </w:rPr>
      </w:pPr>
    </w:p>
    <w:p>
      <w:pPr>
        <w:ind w:left="220" w:right="60"/>
        <w:spacing w:after="0" w:line="237" w:lineRule="auto"/>
        <w:rPr>
          <w:sz w:val="20"/>
          <w:szCs w:val="20"/>
          <w:color w:val="auto"/>
        </w:rPr>
      </w:pPr>
      <w:r>
        <w:rPr>
          <w:rFonts w:ascii="Arial" w:cs="Arial" w:eastAsia="Arial" w:hAnsi="Arial"/>
          <w:sz w:val="18"/>
          <w:szCs w:val="18"/>
          <w:color w:val="auto"/>
        </w:rPr>
        <w:t>JPM prevented us from voting on a special shareholder meeting fix-it proposal in 2018. Mr. Weldon received 10-times as many negative votes in 2018 as certain other JPM directors after his brazen 2018 effort to restrict the shareholder right to vote on such a well-established shareholder proposal at such an important company as JPM.</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Hopefully Mr. Weldon will not try to export a similar lid on the voice of shareholders to ExxonMobil and CVS Health where Mr. Weldon is also a director. At CVS shareholder proposals such as this have taken a leadership role in improving the governance rules of CVS. After receiving shareholder proposals CVS adopted a shareholder right to act by written consent (2012), eliminated uphill 67% shareholder vote requirements (2013) and adopted a more practical rule for shareholders to call for a special meeting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-2156460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Please vote yes:</w:t>
      </w:r>
    </w:p>
    <w:p>
      <w:pPr>
        <w:spacing w:after="0"/>
        <w:rPr>
          <w:sz w:val="20"/>
          <w:szCs w:val="20"/>
          <w:color w:val="auto"/>
        </w:rPr>
      </w:pPr>
      <w:r>
        <w:rPr>
          <w:rFonts w:ascii="Arial" w:cs="Arial" w:eastAsia="Arial" w:hAnsi="Arial"/>
          <w:sz w:val="18"/>
          <w:szCs w:val="18"/>
          <w:b w:val="1"/>
          <w:bCs w:val="1"/>
          <w:color w:val="auto"/>
        </w:rPr>
        <w:t>Cumulative Voting — Proposal 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BOARD RESPONSE TO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wp:posOffset>
            </wp:positionV>
            <wp:extent cx="342201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w:t>
      </w:r>
    </w:p>
    <w:p>
      <w:pPr>
        <w:spacing w:after="0"/>
        <w:rPr>
          <w:sz w:val="20"/>
          <w:szCs w:val="20"/>
          <w:color w:val="auto"/>
        </w:rPr>
      </w:pPr>
      <w:r>
        <w:rPr>
          <w:rFonts w:ascii="Arial" w:cs="Arial" w:eastAsia="Arial" w:hAnsi="Arial"/>
          <w:sz w:val="18"/>
          <w:szCs w:val="18"/>
          <w:b w:val="1"/>
          <w:bCs w:val="1"/>
          <w:u w:val="single" w:color="auto"/>
          <w:color w:val="E2231A"/>
        </w:rPr>
        <w:t>AGAINST</w:t>
      </w:r>
      <w:r>
        <w:rPr>
          <w:rFonts w:ascii="Arial" w:cs="Arial" w:eastAsia="Arial" w:hAnsi="Arial"/>
          <w:sz w:val="18"/>
          <w:szCs w:val="18"/>
          <w:b w:val="1"/>
          <w:bCs w:val="1"/>
          <w:color w:val="E2231A"/>
        </w:rPr>
        <w:t xml:space="preserve"> </w:t>
      </w:r>
      <w:r>
        <w:rPr>
          <w:rFonts w:ascii="Arial" w:cs="Arial" w:eastAsia="Arial" w:hAnsi="Arial"/>
          <w:sz w:val="18"/>
          <w:szCs w:val="18"/>
          <w:color w:val="000000"/>
        </w:rPr>
        <w:t>this proposal for the following reasons: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One share, one vote best serves shareholder interests.</w:t>
      </w:r>
    </w:p>
    <w:p>
      <w:pPr>
        <w:spacing w:after="0" w:line="130" w:lineRule="exact"/>
        <w:rPr>
          <w:sz w:val="20"/>
          <w:szCs w:val="20"/>
          <w:color w:val="auto"/>
        </w:rPr>
      </w:pPr>
    </w:p>
    <w:p>
      <w:pPr>
        <w:ind w:left="320" w:right="160"/>
        <w:spacing w:after="0" w:line="253" w:lineRule="auto"/>
        <w:rPr>
          <w:sz w:val="20"/>
          <w:szCs w:val="20"/>
          <w:color w:val="auto"/>
        </w:rPr>
      </w:pPr>
      <w:r>
        <w:rPr>
          <w:rFonts w:ascii="Arial" w:cs="Arial" w:eastAsia="Arial" w:hAnsi="Arial"/>
          <w:sz w:val="18"/>
          <w:szCs w:val="18"/>
          <w:b w:val="1"/>
          <w:bCs w:val="1"/>
          <w:color w:val="auto"/>
        </w:rPr>
        <w:t>Cumulative voting is inconsistent with majority voting for directors and increases the risk of disproportionate representation of special interests.</w:t>
      </w:r>
    </w:p>
    <w:p>
      <w:pPr>
        <w:spacing w:after="0" w:line="74" w:lineRule="exact"/>
        <w:rPr>
          <w:sz w:val="20"/>
          <w:szCs w:val="20"/>
          <w:color w:val="auto"/>
        </w:rPr>
      </w:pPr>
    </w:p>
    <w:p>
      <w:pPr>
        <w:ind w:left="320" w:right="120"/>
        <w:spacing w:after="0" w:line="271" w:lineRule="auto"/>
        <w:rPr>
          <w:sz w:val="20"/>
          <w:szCs w:val="20"/>
          <w:color w:val="auto"/>
        </w:rPr>
      </w:pPr>
      <w:r>
        <w:rPr>
          <w:rFonts w:ascii="Arial" w:cs="Arial" w:eastAsia="Arial" w:hAnsi="Arial"/>
          <w:sz w:val="18"/>
          <w:szCs w:val="18"/>
          <w:b w:val="1"/>
          <w:bCs w:val="1"/>
          <w:color w:val="auto"/>
        </w:rPr>
        <w:t>The Firm has strong corporate governance standards that promote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-960755</wp:posOffset>
            </wp:positionV>
            <wp:extent cx="3422015" cy="9861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2015" cy="986155"/>
                    </a:xfrm>
                    <a:prstGeom prst="rect">
                      <a:avLst/>
                    </a:prstGeom>
                    <a:noFill/>
                  </pic:spPr>
                </pic:pic>
              </a:graphicData>
            </a:graphic>
          </wp:anchor>
        </w:drawing>
      </w:r>
    </w:p>
    <w:p>
      <w:pPr>
        <w:spacing w:after="0" w:line="12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provide that each share of common stock is entitled to one vote for each nominee for director. The Board believes that this voting method for electing directors best serves the interests of the Firm and our shareholders.</w:t>
      </w:r>
    </w:p>
    <w:p>
      <w:pPr>
        <w:spacing w:after="0" w:line="94" w:lineRule="exact"/>
        <w:rPr>
          <w:sz w:val="20"/>
          <w:szCs w:val="20"/>
          <w:color w:val="auto"/>
        </w:rPr>
      </w:pPr>
    </w:p>
    <w:p>
      <w:pPr>
        <w:ind w:right="400"/>
        <w:spacing w:after="0" w:line="253" w:lineRule="auto"/>
        <w:rPr>
          <w:sz w:val="20"/>
          <w:szCs w:val="20"/>
          <w:color w:val="auto"/>
        </w:rPr>
      </w:pPr>
      <w:r>
        <w:rPr>
          <w:rFonts w:ascii="Arial" w:cs="Arial" w:eastAsia="Arial" w:hAnsi="Arial"/>
          <w:sz w:val="17"/>
          <w:szCs w:val="17"/>
          <w:color w:val="auto"/>
        </w:rPr>
        <w:t>The majority vote standard for director elections has received substantial support from a wide range of corporate governance experts and has received high support when presented as a shareholder proposal. Among S&amp;P 500 companies, 89% have majority voting for director elections. (In contrast, a proposal to adopt cumulative voting for director elections received only approximately 8.6% support at last year’s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-4445</wp:posOffset>
            </wp:positionV>
            <wp:extent cx="662051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right="2760"/>
        <w:spacing w:after="0" w:line="239" w:lineRule="auto"/>
        <w:rPr>
          <w:sz w:val="20"/>
          <w:szCs w:val="20"/>
          <w:color w:val="auto"/>
        </w:rPr>
      </w:pPr>
      <w:r>
        <w:rPr>
          <w:rFonts w:ascii="Arial" w:cs="Arial" w:eastAsia="Arial" w:hAnsi="Arial"/>
          <w:sz w:val="18"/>
          <w:szCs w:val="18"/>
          <w:color w:val="auto"/>
        </w:rPr>
        <w:t>The majority vote standard is just one aspect of our strong corporate governance that reflects our high standards for independence, transparency and shareholder rights and promotes long-term shareholder value:</w:t>
      </w:r>
    </w:p>
    <w:p>
      <w:pPr>
        <w:spacing w:after="0" w:line="61" w:lineRule="exact"/>
        <w:rPr>
          <w:sz w:val="20"/>
          <w:szCs w:val="20"/>
          <w:color w:val="auto"/>
        </w:rPr>
      </w:pPr>
    </w:p>
    <w:p>
      <w:pPr>
        <w:ind w:left="400" w:right="3280"/>
        <w:spacing w:after="0"/>
        <w:rPr>
          <w:sz w:val="20"/>
          <w:szCs w:val="20"/>
          <w:color w:val="auto"/>
        </w:rPr>
      </w:pPr>
      <w:r>
        <w:rPr>
          <w:rFonts w:ascii="Arial" w:cs="Arial" w:eastAsia="Arial" w:hAnsi="Arial"/>
          <w:sz w:val="18"/>
          <w:szCs w:val="18"/>
          <w:color w:val="auto"/>
        </w:rPr>
        <w:t>Majority voting for the election of directors in uncontested elections requires that directors receive more “for” than “against” votes to be re-elected</w:t>
      </w:r>
    </w:p>
    <w:p>
      <w:pPr>
        <w:spacing w:after="0" w:line="108" w:lineRule="exact"/>
        <w:rPr>
          <w:sz w:val="20"/>
          <w:szCs w:val="20"/>
          <w:color w:val="auto"/>
        </w:rPr>
      </w:pPr>
    </w:p>
    <w:p>
      <w:pPr>
        <w:ind w:left="400" w:right="3460"/>
        <w:spacing w:after="0" w:line="246" w:lineRule="auto"/>
        <w:rPr>
          <w:sz w:val="20"/>
          <w:szCs w:val="20"/>
          <w:color w:val="auto"/>
        </w:rPr>
      </w:pPr>
      <w:r>
        <w:rPr>
          <w:rFonts w:ascii="Arial" w:cs="Arial" w:eastAsia="Arial" w:hAnsi="Arial"/>
          <w:sz w:val="18"/>
          <w:szCs w:val="18"/>
          <w:color w:val="auto"/>
        </w:rPr>
        <w:t>Annual election of all directors promotes a high level of accountability to shareholders</w:t>
      </w:r>
    </w:p>
    <w:p>
      <w:pPr>
        <w:spacing w:after="0" w:line="102" w:lineRule="exact"/>
        <w:rPr>
          <w:sz w:val="20"/>
          <w:szCs w:val="20"/>
          <w:color w:val="auto"/>
        </w:rPr>
      </w:pPr>
    </w:p>
    <w:p>
      <w:pPr>
        <w:ind w:left="400" w:right="2800"/>
        <w:spacing w:after="0" w:line="239" w:lineRule="auto"/>
        <w:rPr>
          <w:sz w:val="20"/>
          <w:szCs w:val="20"/>
          <w:color w:val="auto"/>
        </w:rPr>
      </w:pPr>
      <w:r>
        <w:rPr>
          <w:rFonts w:ascii="Arial" w:cs="Arial" w:eastAsia="Arial" w:hAnsi="Arial"/>
          <w:sz w:val="18"/>
          <w:szCs w:val="18"/>
          <w:color w:val="auto"/>
        </w:rPr>
        <w:t>Strong Lead Independent Director role, and independence of more than 90% of Board and 100% of the Board’s five principal standing committees, provide for effective, independent oversight</w:t>
      </w:r>
    </w:p>
    <w:p>
      <w:pPr>
        <w:spacing w:after="0" w:line="107" w:lineRule="exact"/>
        <w:rPr>
          <w:sz w:val="20"/>
          <w:szCs w:val="20"/>
          <w:color w:val="auto"/>
        </w:rPr>
      </w:pPr>
    </w:p>
    <w:p>
      <w:pPr>
        <w:ind w:left="400" w:right="2780"/>
        <w:spacing w:after="0" w:line="246" w:lineRule="auto"/>
        <w:rPr>
          <w:sz w:val="20"/>
          <w:szCs w:val="20"/>
          <w:color w:val="auto"/>
        </w:rPr>
      </w:pPr>
      <w:r>
        <w:rPr>
          <w:rFonts w:ascii="Arial" w:cs="Arial" w:eastAsia="Arial" w:hAnsi="Arial"/>
          <w:sz w:val="18"/>
          <w:szCs w:val="18"/>
          <w:color w:val="auto"/>
        </w:rPr>
        <w:t>Explicit shareholder rights to call special meetings and to act by written consent and shareholders’ right to proxy access</w:t>
      </w:r>
    </w:p>
    <w:p>
      <w:pPr>
        <w:spacing w:after="0" w:line="135" w:lineRule="exact"/>
        <w:rPr>
          <w:sz w:val="20"/>
          <w:szCs w:val="20"/>
          <w:color w:val="auto"/>
        </w:rPr>
      </w:pPr>
    </w:p>
    <w:p>
      <w:pPr>
        <w:ind w:left="220" w:right="2760"/>
        <w:spacing w:after="0" w:line="236" w:lineRule="auto"/>
        <w:rPr>
          <w:sz w:val="20"/>
          <w:szCs w:val="20"/>
          <w:color w:val="auto"/>
        </w:rPr>
      </w:pPr>
      <w:r>
        <w:rPr>
          <w:rFonts w:ascii="Arial" w:cs="Arial" w:eastAsia="Arial" w:hAnsi="Arial"/>
          <w:sz w:val="18"/>
          <w:szCs w:val="18"/>
          <w:color w:val="auto"/>
        </w:rPr>
        <w:t>We firmly support majority voting and believe that cumulative voting has a conflicting objective. Cumulative voting could be detrimental because it allows a shareholder to vote multiple times for the same director nominee, potentially resulting in the election of a director interested in representing only the special interests of a small group of shareholders rather than all of the Firm’s shareholders. A successful board of directors requires that all directors work together productively on behalf of all shareholders.</w:t>
      </w:r>
    </w:p>
    <w:p>
      <w:pPr>
        <w:spacing w:after="0" w:line="100" w:lineRule="exact"/>
        <w:rPr>
          <w:sz w:val="20"/>
          <w:szCs w:val="20"/>
          <w:color w:val="auto"/>
        </w:rPr>
      </w:pPr>
    </w:p>
    <w:p>
      <w:pPr>
        <w:ind w:left="220" w:right="2740"/>
        <w:spacing w:after="0" w:line="236" w:lineRule="auto"/>
        <w:rPr>
          <w:sz w:val="20"/>
          <w:szCs w:val="20"/>
          <w:color w:val="auto"/>
        </w:rPr>
      </w:pPr>
      <w:r>
        <w:rPr>
          <w:rFonts w:ascii="Arial" w:cs="Arial" w:eastAsia="Arial" w:hAnsi="Arial"/>
          <w:sz w:val="18"/>
          <w:szCs w:val="18"/>
          <w:color w:val="auto"/>
        </w:rPr>
        <w:t>Furthermore, a director elected by a small group of shareholders could face a conflict between the fiduciary duty owed to all shareholders and allegiance to the shareholder or group that elected him or her. In contrast, allowing each share of common stock to have one vote for each director nominee encourages accountability of each director to all of our shareholders. Because each director oversees the management of the Firm for the benefit of all shareholders, the Board believes that changing the current voting procedures would not be in the best interests of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148590</wp:posOffset>
            </wp:positionV>
            <wp:extent cx="3155950" cy="3600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155950" cy="360045"/>
                    </a:xfrm>
                    <a:prstGeom prst="rect">
                      <a:avLst/>
                    </a:prstGeom>
                    <a:noFill/>
                  </pic:spPr>
                </pic:pic>
              </a:graphicData>
            </a:graphic>
          </wp:anchor>
        </w:drawing>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Board of Directors recommends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-108585</wp:posOffset>
            </wp:positionV>
            <wp:extent cx="120015" cy="1028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0"/>
          <w:szCs w:val="20"/>
          <w:color w:val="auto"/>
        </w:rPr>
        <w:t xml:space="preserve">vote </w:t>
      </w:r>
      <w:r>
        <w:rPr>
          <w:rFonts w:ascii="Arial" w:cs="Arial" w:eastAsia="Arial" w:hAnsi="Arial"/>
          <w:sz w:val="20"/>
          <w:szCs w:val="20"/>
          <w:b w:val="1"/>
          <w:bCs w:val="1"/>
          <w:u w:val="single" w:color="auto"/>
          <w:color w:val="auto"/>
        </w:rPr>
        <w:t>AGAINST</w:t>
      </w:r>
      <w:r>
        <w:rPr>
          <w:rFonts w:ascii="Arial" w:cs="Arial" w:eastAsia="Arial" w:hAnsi="Arial"/>
          <w:sz w:val="20"/>
          <w:szCs w:val="20"/>
          <w:color w:val="auto"/>
        </w:rPr>
        <w:t xml:space="preserve"> this proposal.</w:t>
      </w:r>
    </w:p>
    <w:p>
      <w:pPr>
        <w:spacing w:after="0" w:line="35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333333"/>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-4445</wp:posOffset>
            </wp:positionV>
            <wp:extent cx="3429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8220" w:space="720"/>
            <w:col w:w="228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ANNUAL MEETING INFORMATION</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Information about the annual shareholder meeting</w:t>
      </w:r>
    </w:p>
    <w:p>
      <w:pPr>
        <w:sectPr>
          <w:pgSz w:w="11900" w:h="16838" w:orient="portrait"/>
          <w:cols w:equalWidth="0" w:num="1">
            <w:col w:w="11200"/>
          </w:cols>
          <w:pgMar w:left="240" w:top="459" w:right="459" w:bottom="1440" w:gutter="0" w:footer="0" w:header="0"/>
        </w:sect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4876"/>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88900</wp:posOffset>
            </wp:positionV>
            <wp:extent cx="33534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Why am I receiving these materials?</w:t>
      </w:r>
    </w:p>
    <w:p>
      <w:pPr>
        <w:spacing w:after="0" w:line="18"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You are invited to attend JPMorgan Chase’s Annual Meeting of Shareholders and vote on the proposals described in this proxy statement because you were a JPMorgan Chase shareholder on March 22, 2019 (the “Record Date”). JPMorgan Chase is soliciting proxies for use at the annual meeting, including any postponements or adjournments.</w:t>
      </w:r>
    </w:p>
    <w:p>
      <w:pPr>
        <w:spacing w:after="0" w:line="75" w:lineRule="exact"/>
        <w:rPr>
          <w:sz w:val="20"/>
          <w:szCs w:val="20"/>
          <w:color w:val="auto"/>
        </w:rPr>
      </w:pPr>
    </w:p>
    <w:p>
      <w:pPr>
        <w:ind w:left="220" w:right="100"/>
        <w:spacing w:after="0" w:line="266" w:lineRule="auto"/>
        <w:rPr>
          <w:sz w:val="20"/>
          <w:szCs w:val="20"/>
          <w:color w:val="auto"/>
        </w:rPr>
      </w:pPr>
      <w:r>
        <w:rPr>
          <w:rFonts w:ascii="Arial" w:cs="Arial" w:eastAsia="Arial" w:hAnsi="Arial"/>
          <w:sz w:val="17"/>
          <w:szCs w:val="17"/>
          <w:b w:val="1"/>
          <w:bCs w:val="1"/>
          <w:i w:val="1"/>
          <w:iCs w:val="1"/>
          <w:color w:val="auto"/>
        </w:rPr>
        <w:t>Even if you plan on attending the annual meeting in person, we encourage you to vote your shares in advance using one of the methods described in this proxy statement to ensure that your vote will be represented at the annual meeting.</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When and where is our annual meeting?</w:t>
      </w:r>
    </w:p>
    <w:p>
      <w:pPr>
        <w:spacing w:after="0" w:line="18" w:lineRule="exact"/>
        <w:rPr>
          <w:sz w:val="20"/>
          <w:szCs w:val="20"/>
          <w:color w:val="auto"/>
        </w:rPr>
      </w:pPr>
    </w:p>
    <w:p>
      <w:pPr>
        <w:ind w:left="220" w:right="40"/>
        <w:spacing w:after="0"/>
        <w:rPr>
          <w:sz w:val="20"/>
          <w:szCs w:val="20"/>
          <w:color w:val="auto"/>
        </w:rPr>
      </w:pPr>
      <w:r>
        <w:rPr>
          <w:rFonts w:ascii="Arial" w:cs="Arial" w:eastAsia="Arial" w:hAnsi="Arial"/>
          <w:sz w:val="18"/>
          <w:szCs w:val="18"/>
          <w:color w:val="auto"/>
        </w:rPr>
        <w:t>We will hold our annual meeting on Tuesday, May 21, 2019, at 10 a.m., Central Time at Chase Tower, 21 South Clark Street, Chicago, Illinois.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Will our annual meeting be webcast?</w:t>
      </w:r>
    </w:p>
    <w:p>
      <w:pPr>
        <w:spacing w:after="0" w:line="18" w:lineRule="exact"/>
        <w:rPr>
          <w:sz w:val="20"/>
          <w:szCs w:val="20"/>
          <w:color w:val="auto"/>
        </w:rPr>
      </w:pPr>
    </w:p>
    <w:p>
      <w:pPr>
        <w:ind w:left="220" w:right="60"/>
        <w:spacing w:after="0" w:line="234" w:lineRule="auto"/>
        <w:rPr>
          <w:sz w:val="20"/>
          <w:szCs w:val="20"/>
          <w:color w:val="auto"/>
        </w:rPr>
      </w:pPr>
      <w:r>
        <w:rPr>
          <w:rFonts w:ascii="Arial" w:cs="Arial" w:eastAsia="Arial" w:hAnsi="Arial"/>
          <w:sz w:val="18"/>
          <w:szCs w:val="18"/>
          <w:color w:val="auto"/>
        </w:rPr>
        <w:t>Our annual meeting will be available through a live, audio-only webcast. Information about the webcast can be found on our website at jpmorganchase.com. Please go to our website before the meeting to download any necessary audio software. An audio broadcast of the meeting will also be available by phone at</w:t>
      </w:r>
    </w:p>
    <w:p>
      <w:pPr>
        <w:spacing w:after="0" w:line="4" w:lineRule="exact"/>
        <w:rPr>
          <w:sz w:val="20"/>
          <w:szCs w:val="20"/>
          <w:color w:val="auto"/>
        </w:rPr>
      </w:pPr>
    </w:p>
    <w:p>
      <w:pPr>
        <w:ind w:left="220" w:right="360" w:hanging="9"/>
        <w:spacing w:after="0" w:line="246" w:lineRule="auto"/>
        <w:tabs>
          <w:tab w:leader="none" w:pos="68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541-2724 in the U.S. and Canada or (706) 634-7246 for international participants.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What is included in our proxy materials?</w:t>
      </w:r>
    </w:p>
    <w:p>
      <w:pPr>
        <w:spacing w:after="0" w:line="18" w:lineRule="exact"/>
        <w:rPr>
          <w:sz w:val="20"/>
          <w:szCs w:val="20"/>
          <w:color w:val="auto"/>
        </w:rPr>
      </w:pPr>
    </w:p>
    <w:p>
      <w:pPr>
        <w:ind w:left="220" w:right="220"/>
        <w:spacing w:after="0"/>
        <w:rPr>
          <w:sz w:val="20"/>
          <w:szCs w:val="20"/>
          <w:color w:val="auto"/>
        </w:rPr>
      </w:pPr>
      <w:r>
        <w:rPr>
          <w:rFonts w:ascii="Arial" w:cs="Arial" w:eastAsia="Arial" w:hAnsi="Arial"/>
          <w:sz w:val="18"/>
          <w:szCs w:val="18"/>
          <w:color w:val="auto"/>
        </w:rPr>
        <w:t>Our proxy materials, which are available on our website at jpmorganchase.com/corporate/investor-relations/annual-report-proxy, include:</w:t>
      </w:r>
    </w:p>
    <w:p>
      <w:pPr>
        <w:spacing w:after="0" w:line="62" w:lineRule="exact"/>
        <w:rPr>
          <w:sz w:val="20"/>
          <w:szCs w:val="20"/>
          <w:color w:val="auto"/>
        </w:rPr>
      </w:pPr>
    </w:p>
    <w:p>
      <w:pPr>
        <w:ind w:left="400" w:right="880"/>
        <w:spacing w:after="0" w:line="391" w:lineRule="auto"/>
        <w:rPr>
          <w:sz w:val="20"/>
          <w:szCs w:val="20"/>
          <w:color w:val="auto"/>
        </w:rPr>
      </w:pPr>
      <w:r>
        <w:rPr>
          <w:rFonts w:ascii="Arial" w:cs="Arial" w:eastAsia="Arial" w:hAnsi="Arial"/>
          <w:sz w:val="18"/>
          <w:szCs w:val="18"/>
          <w:color w:val="auto"/>
        </w:rPr>
        <w:t>Our Notice of 2019 Annual Meeting of Shareholders; Our Proxy Statement; and</w:t>
      </w:r>
    </w:p>
    <w:p>
      <w:pPr>
        <w:ind w:left="220"/>
        <w:spacing w:after="0"/>
        <w:rPr>
          <w:sz w:val="20"/>
          <w:szCs w:val="20"/>
          <w:color w:val="auto"/>
        </w:rPr>
      </w:pPr>
      <w:r>
        <w:rPr>
          <w:rFonts w:ascii="Arial" w:cs="Arial" w:eastAsia="Arial" w:hAnsi="Arial"/>
          <w:sz w:val="18"/>
          <w:szCs w:val="18"/>
          <w:color w:val="auto"/>
        </w:rPr>
        <w:t>Our 2018 Annual Report to Shareholders</w:t>
      </w:r>
    </w:p>
    <w:p>
      <w:pPr>
        <w:spacing w:after="0" w:line="163" w:lineRule="exact"/>
        <w:rPr>
          <w:sz w:val="20"/>
          <w:szCs w:val="20"/>
          <w:color w:val="auto"/>
        </w:rPr>
      </w:pPr>
    </w:p>
    <w:p>
      <w:pPr>
        <w:ind w:left="220" w:right="100"/>
        <w:spacing w:after="0" w:line="238" w:lineRule="auto"/>
        <w:rPr>
          <w:sz w:val="20"/>
          <w:szCs w:val="20"/>
          <w:color w:val="auto"/>
        </w:rPr>
      </w:pPr>
      <w:r>
        <w:rPr>
          <w:rFonts w:ascii="Arial" w:cs="Arial" w:eastAsia="Arial" w:hAnsi="Arial"/>
          <w:sz w:val="18"/>
          <w:szCs w:val="18"/>
          <w:color w:val="auto"/>
        </w:rPr>
        <w:t>If you received printed versions of these materials by mail (rather than through electronic delivery), the materials also included a proxy card or voting instruction form. For further information, see “Information about paper and electronic delivery of proxy materials” below.</w:t>
      </w:r>
    </w:p>
    <w:p>
      <w:pPr>
        <w:spacing w:after="0" w:line="26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Attending and voting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88900</wp:posOffset>
            </wp:positionV>
            <wp:extent cx="342201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attend our annual meeting?</w:t>
      </w:r>
    </w:p>
    <w:p>
      <w:pPr>
        <w:spacing w:after="0" w:line="1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Shareholders as of the close of business on the Record Date and/or their authorized representatives are permitted to attend our annual meeting in person by following the procedures in this proxy statement.</w:t>
      </w:r>
    </w:p>
    <w:p>
      <w:pPr>
        <w:spacing w:after="0" w:line="9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you need an accommodation, or if you have any questions about accessing the physical location for the annual meeting, please contact the Office of the Secretary by sending an email to corporate.secretary@jpmchase.com or calling (212) 270-6000 by May 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our annual meeting?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You can vote your shares of common stock at our annual meeting if you were a shareholder at the close of business on the Record Date.</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At the close of business on the Record Date, there were 3,247,865,059 shares of common stock outstanding, each of which entitles the holder to one vote for each matter to be voted on at our annual meeting.</w:t>
      </w:r>
    </w:p>
    <w:p>
      <w:pPr>
        <w:spacing w:after="0" w:line="7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There are different proof of ownership requirements to attend the meeting, and different instructions to vote your shares, depending on whether you are a “shareholder of record” or a “beneficial owner” of our common shares.</w:t>
      </w:r>
    </w:p>
    <w:p>
      <w:pPr>
        <w:spacing w:after="0" w:line="6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color w:val="auto"/>
        </w:rPr>
        <w:t>What is the difference between holding shares as a shareholder of record and as a beneficial owner of shares held in street name?</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of JPMorgan Chase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registered directly in your name with our transfer agent, Computershare, you are considered a “shareholder of record” of those shares.</w:t>
      </w:r>
    </w:p>
    <w:p>
      <w:pPr>
        <w:spacing w:after="0" w:line="184"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an account at a bank, brokerage firm, broker-dealer or other similar organization, then you are a beneficial owner of shares held in street name. In that case, you will have received these proxy materials, as well as a voting instruction form, from the organization holding your shares and, as a beneficial owner, you have the right to direct the organization as to how to vote them. Most individual shareholders are beneficial owners of shares held in street name.</w:t>
      </w:r>
    </w:p>
    <w:p>
      <w:pPr>
        <w:spacing w:after="0" w:line="268"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1905</wp:posOffset>
            </wp:positionV>
            <wp:extent cx="662051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60" w:space="360"/>
            <w:col w:w="5380"/>
          </w:cols>
          <w:pgMar w:left="240" w:top="459" w:right="4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ANNUAL MEETING INFORMATION</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color w:val="auto"/>
        </w:rPr>
        <w:t xml:space="preserve">What do I need to bring to attend the annual meeting? </w:t>
      </w:r>
      <w:r>
        <w:rPr>
          <w:rFonts w:ascii="Arial" w:cs="Arial" w:eastAsia="Arial" w:hAnsi="Arial"/>
          <w:sz w:val="18"/>
          <w:szCs w:val="18"/>
          <w:u w:val="single" w:color="auto"/>
          <w:color w:val="auto"/>
        </w:rPr>
        <w:t>Photo Identification.</w:t>
      </w:r>
      <w:r>
        <w:rPr>
          <w:rFonts w:ascii="Arial" w:cs="Arial" w:eastAsia="Arial" w:hAnsi="Arial"/>
          <w:sz w:val="18"/>
          <w:szCs w:val="18"/>
          <w:color w:val="auto"/>
        </w:rPr>
        <w:t xml:space="preserve"> Anyone wishing to gain admission to our annual meeting must provide a valid form of government-issued photo identification, such as a driver’s license or passport.</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Proof of Ownership.</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Shareholders of Record: Please bring the top half of the proxy card or your Notice as proof of ownership. No additional document regarding proof of ownership is required.</w:t>
      </w:r>
    </w:p>
    <w:p>
      <w:pPr>
        <w:spacing w:after="0" w:line="108" w:lineRule="exact"/>
        <w:rPr>
          <w:sz w:val="20"/>
          <w:szCs w:val="20"/>
          <w:color w:val="auto"/>
        </w:rPr>
      </w:pPr>
    </w:p>
    <w:p>
      <w:pPr>
        <w:ind w:left="400" w:right="20"/>
        <w:spacing w:after="0" w:line="238" w:lineRule="auto"/>
        <w:rPr>
          <w:sz w:val="20"/>
          <w:szCs w:val="20"/>
          <w:color w:val="auto"/>
        </w:rPr>
      </w:pPr>
      <w:r>
        <w:rPr>
          <w:rFonts w:ascii="Arial" w:cs="Arial" w:eastAsia="Arial" w:hAnsi="Arial"/>
          <w:sz w:val="18"/>
          <w:szCs w:val="18"/>
          <w:color w:val="auto"/>
        </w:rPr>
        <w:t>Beneficial Owner of Shares Held in Street Name: You must bring a brokerage statement, voting instruction form or legal proxy from the organization that holds your shares as proof of your ownership of shares as of the close of business on the Record Date. A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left="140" w:right="180"/>
        <w:spacing w:after="0" w:line="238" w:lineRule="auto"/>
        <w:rPr>
          <w:sz w:val="20"/>
          <w:szCs w:val="20"/>
          <w:color w:val="auto"/>
        </w:rPr>
      </w:pPr>
      <w:r>
        <w:rPr>
          <w:rFonts w:ascii="Arial" w:cs="Arial" w:eastAsia="Arial" w:hAnsi="Arial"/>
          <w:sz w:val="18"/>
          <w:szCs w:val="18"/>
          <w:color w:val="auto"/>
        </w:rPr>
        <w:t>instruction form or legal proxy is a written document that authorizes you to vote your shares held in street name at the Annual Meeting. Please contact the organization that holds your shares for instructions regarding obtaining the voting instruction form or legal proxy.</w:t>
      </w:r>
    </w:p>
    <w:p>
      <w:pPr>
        <w:spacing w:after="0" w:line="18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auto"/>
        </w:rPr>
        <w:t xml:space="preserve">Additional documentation for an Authorized Representative. </w:t>
      </w:r>
      <w:r>
        <w:rPr>
          <w:rFonts w:ascii="Arial" w:cs="Arial" w:eastAsia="Arial" w:hAnsi="Arial"/>
          <w:sz w:val="18"/>
          <w:szCs w:val="18"/>
          <w:color w:val="auto"/>
        </w:rPr>
        <w:t>Any representative of a shareholder must also present satisfactory documentation evidencing his or her authority with respect to the shares.</w:t>
      </w:r>
    </w:p>
    <w:p>
      <w:pPr>
        <w:spacing w:after="0" w:line="8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reserve the right to limit the number of representatives for any shareholder who may attend the meeting.</w:t>
      </w:r>
    </w:p>
    <w:p>
      <w:pPr>
        <w:spacing w:after="0" w:line="688" w:lineRule="exact"/>
        <w:rPr>
          <w:sz w:val="20"/>
          <w:szCs w:val="20"/>
          <w:color w:val="auto"/>
        </w:rPr>
      </w:pPr>
    </w:p>
    <w:p>
      <w:pPr>
        <w:sectPr>
          <w:pgSz w:w="11900" w:h="16838" w:orient="portrait"/>
          <w:cols w:equalWidth="0" w:num="2">
            <w:col w:w="5320" w:space="500"/>
            <w:col w:w="5420"/>
          </w:cols>
          <w:pgMar w:left="240" w:top="459" w:right="419" w:bottom="1440" w:gutter="0" w:footer="0" w:header="0"/>
          <w:type w:val="continuous"/>
        </w:sect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I vote?</w:t>
      </w:r>
    </w:p>
    <w:p>
      <w:pPr>
        <w:spacing w:after="0" w:line="18"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To be valid, your vote by Internet, telephone or mail must be received by the deadline specified on the proxy card or voting instruction form, as applicable.</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4260" w:type="dxa"/>
            <w:vAlign w:val="bottom"/>
          </w:tcPr>
          <w:p>
            <w:pPr>
              <w:ind w:left="720"/>
              <w:spacing w:after="0"/>
              <w:rPr>
                <w:sz w:val="20"/>
                <w:szCs w:val="20"/>
                <w:color w:val="auto"/>
              </w:rPr>
            </w:pPr>
            <w:r>
              <w:rPr>
                <w:rFonts w:ascii="Arial" w:cs="Arial" w:eastAsia="Arial" w:hAnsi="Arial"/>
                <w:sz w:val="14"/>
                <w:szCs w:val="14"/>
                <w:b w:val="1"/>
                <w:bCs w:val="1"/>
                <w:color w:val="auto"/>
              </w:rPr>
              <w:t>If you are a beneficial owner of shares held in</w:t>
            </w:r>
          </w:p>
        </w:tc>
      </w:tr>
      <w:tr>
        <w:trPr>
          <w:trHeight w:val="175"/>
        </w:trPr>
        <w:tc>
          <w:tcPr>
            <w:tcW w:w="6760" w:type="dxa"/>
            <w:vAlign w:val="bottom"/>
            <w:tcBorders>
              <w:bottom w:val="single" w:sz="8" w:color="004876"/>
            </w:tcBorders>
          </w:tcPr>
          <w:p>
            <w:pPr>
              <w:ind w:left="3740"/>
              <w:spacing w:after="0"/>
              <w:rPr>
                <w:sz w:val="20"/>
                <w:szCs w:val="20"/>
                <w:color w:val="auto"/>
              </w:rPr>
            </w:pPr>
            <w:r>
              <w:rPr>
                <w:rFonts w:ascii="Arial" w:cs="Arial" w:eastAsia="Arial" w:hAnsi="Arial"/>
                <w:sz w:val="14"/>
                <w:szCs w:val="14"/>
                <w:b w:val="1"/>
                <w:bCs w:val="1"/>
                <w:color w:val="auto"/>
              </w:rPr>
              <w:t>If you are a shareholder of record</w:t>
            </w:r>
          </w:p>
        </w:tc>
        <w:tc>
          <w:tcPr>
            <w:tcW w:w="4260" w:type="dxa"/>
            <w:vAlign w:val="bottom"/>
            <w:tcBorders>
              <w:bottom w:val="single" w:sz="8" w:color="004876"/>
            </w:tcBorders>
          </w:tcPr>
          <w:p>
            <w:pPr>
              <w:ind w:left="720"/>
              <w:spacing w:after="0"/>
              <w:rPr>
                <w:sz w:val="20"/>
                <w:szCs w:val="20"/>
                <w:color w:val="auto"/>
              </w:rPr>
            </w:pPr>
            <w:r>
              <w:rPr>
                <w:rFonts w:ascii="Arial" w:cs="Arial" w:eastAsia="Arial" w:hAnsi="Arial"/>
                <w:sz w:val="14"/>
                <w:szCs w:val="14"/>
                <w:b w:val="1"/>
                <w:bCs w:val="1"/>
                <w:color w:val="auto"/>
              </w:rPr>
              <w:t>street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wp:posOffset>
            </wp:positionV>
            <wp:extent cx="6997700" cy="8661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7700" cy="86614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45" w:lineRule="exact"/>
        <w:rPr>
          <w:sz w:val="20"/>
          <w:szCs w:val="20"/>
          <w:color w:val="auto"/>
        </w:rPr>
      </w:pPr>
    </w:p>
    <w:p>
      <w:pPr>
        <w:ind w:left="280"/>
        <w:spacing w:after="0"/>
        <w:tabs>
          <w:tab w:leader="none" w:pos="3940" w:val="left"/>
        </w:tabs>
        <w:rPr>
          <w:sz w:val="20"/>
          <w:szCs w:val="20"/>
          <w:color w:val="auto"/>
        </w:rPr>
      </w:pPr>
      <w:r>
        <w:rPr>
          <w:rFonts w:ascii="Arial" w:cs="Arial" w:eastAsia="Arial" w:hAnsi="Arial"/>
          <w:sz w:val="14"/>
          <w:szCs w:val="14"/>
          <w:color w:val="auto"/>
        </w:rPr>
        <w:t>In Person at our annual meeting</w:t>
      </w:r>
      <w:r>
        <w:rPr>
          <w:sz w:val="20"/>
          <w:szCs w:val="20"/>
          <w:color w:val="auto"/>
        </w:rPr>
        <w:tab/>
      </w:r>
      <w:r>
        <w:rPr>
          <w:rFonts w:ascii="Arial" w:cs="Arial" w:eastAsia="Arial" w:hAnsi="Arial"/>
          <w:sz w:val="14"/>
          <w:szCs w:val="14"/>
          <w:color w:val="auto"/>
        </w:rPr>
        <w:t>Request a ballot from an usher at our meeting; complete</w:t>
      </w:r>
    </w:p>
    <w:p>
      <w:pPr>
        <w:spacing w:after="0" w:line="1" w:lineRule="exact"/>
        <w:rPr>
          <w:sz w:val="20"/>
          <w:szCs w:val="20"/>
          <w:color w:val="auto"/>
        </w:rPr>
      </w:pPr>
    </w:p>
    <w:p>
      <w:pPr>
        <w:ind w:left="3960"/>
        <w:spacing w:after="0"/>
        <w:rPr>
          <w:sz w:val="20"/>
          <w:szCs w:val="20"/>
          <w:color w:val="auto"/>
        </w:rPr>
      </w:pPr>
      <w:r>
        <w:rPr>
          <w:rFonts w:ascii="Arial" w:cs="Arial" w:eastAsia="Arial" w:hAnsi="Arial"/>
          <w:sz w:val="14"/>
          <w:szCs w:val="14"/>
          <w:color w:val="auto"/>
        </w:rPr>
        <w:t>and submit it.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You will need to bring with you a valid voting instruction form or legal proxy from the organization that holds your shares. See above for information about obtaining one. You also need to request a ballot from the usher at the meeting. In order for your vote to be counted, you must hand both the completed ballot and either your legal proxy or voting instruction form to an usher.</w:t>
      </w:r>
    </w:p>
    <w:p>
      <w:pPr>
        <w:spacing w:after="0" w:line="200" w:lineRule="exact"/>
        <w:rPr>
          <w:sz w:val="20"/>
          <w:szCs w:val="20"/>
          <w:color w:val="auto"/>
        </w:rPr>
      </w:pPr>
    </w:p>
    <w:p>
      <w:pPr>
        <w:sectPr>
          <w:pgSz w:w="11900" w:h="16838" w:orient="portrait"/>
          <w:cols w:equalWidth="0" w:num="2">
            <w:col w:w="7560" w:space="140"/>
            <w:col w:w="3540"/>
          </w:cols>
          <w:pgMar w:left="240" w:top="459" w:right="419" w:bottom="1440" w:gutter="0" w:footer="0" w:header="0"/>
          <w:type w:val="continuous"/>
        </w:sectPr>
      </w:pP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620" w:type="dxa"/>
            <w:vAlign w:val="bottom"/>
          </w:tcPr>
          <w:p>
            <w:pPr>
              <w:ind w:left="60"/>
              <w:spacing w:after="0"/>
              <w:rPr>
                <w:sz w:val="20"/>
                <w:szCs w:val="20"/>
                <w:color w:val="auto"/>
              </w:rPr>
            </w:pPr>
            <w:r>
              <w:rPr>
                <w:rFonts w:ascii="Arial" w:cs="Arial" w:eastAsia="Arial" w:hAnsi="Arial"/>
                <w:sz w:val="14"/>
                <w:szCs w:val="14"/>
                <w:color w:val="auto"/>
              </w:rPr>
              <w:t>Online (24 hours a day) — Use the Internet to transmit</w:t>
            </w:r>
          </w:p>
        </w:tc>
        <w:tc>
          <w:tcPr>
            <w:tcW w:w="3700" w:type="dxa"/>
            <w:vAlign w:val="bottom"/>
          </w:tcPr>
          <w:p>
            <w:pPr>
              <w:ind w:left="120"/>
              <w:spacing w:after="0"/>
              <w:rPr>
                <w:sz w:val="20"/>
                <w:szCs w:val="20"/>
                <w:color w:val="auto"/>
              </w:rPr>
            </w:pPr>
            <w:r>
              <w:rPr>
                <w:rFonts w:ascii="Arial" w:cs="Arial" w:eastAsia="Arial" w:hAnsi="Arial"/>
                <w:sz w:val="14"/>
                <w:szCs w:val="14"/>
                <w:color w:val="auto"/>
              </w:rPr>
              <w:t>Go to www.proxyvote.com and follow the instructions.</w:t>
            </w:r>
          </w:p>
        </w:tc>
        <w:tc>
          <w:tcPr>
            <w:tcW w:w="3700" w:type="dxa"/>
            <w:vAlign w:val="bottom"/>
          </w:tcPr>
          <w:p>
            <w:pPr>
              <w:ind w:left="160"/>
              <w:spacing w:after="0"/>
              <w:rPr>
                <w:sz w:val="20"/>
                <w:szCs w:val="20"/>
                <w:color w:val="auto"/>
              </w:rPr>
            </w:pPr>
            <w:r>
              <w:rPr>
                <w:rFonts w:ascii="Arial" w:cs="Arial" w:eastAsia="Arial" w:hAnsi="Arial"/>
                <w:sz w:val="14"/>
                <w:szCs w:val="14"/>
                <w:color w:val="auto"/>
              </w:rPr>
              <w:t>Go to www.proxyvote.com and follow the instructions.</w:t>
            </w:r>
          </w:p>
        </w:tc>
      </w:tr>
      <w:tr>
        <w:trPr>
          <w:trHeight w:val="162"/>
        </w:trPr>
        <w:tc>
          <w:tcPr>
            <w:tcW w:w="3620" w:type="dxa"/>
            <w:vAlign w:val="bottom"/>
          </w:tcPr>
          <w:p>
            <w:pPr>
              <w:ind w:left="60"/>
              <w:spacing w:after="0"/>
              <w:rPr>
                <w:sz w:val="20"/>
                <w:szCs w:val="20"/>
                <w:color w:val="auto"/>
              </w:rPr>
            </w:pPr>
            <w:r>
              <w:rPr>
                <w:rFonts w:ascii="Arial" w:cs="Arial" w:eastAsia="Arial" w:hAnsi="Arial"/>
                <w:sz w:val="14"/>
                <w:szCs w:val="14"/>
                <w:color w:val="auto"/>
              </w:rPr>
              <w:t>your voting instructions up until 11:59 P.M. Eastern</w:t>
            </w:r>
          </w:p>
        </w:tc>
        <w:tc>
          <w:tcPr>
            <w:tcW w:w="370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171"/>
        </w:trPr>
        <w:tc>
          <w:tcPr>
            <w:tcW w:w="3620" w:type="dxa"/>
            <w:vAlign w:val="bottom"/>
          </w:tcPr>
          <w:p>
            <w:pPr>
              <w:ind w:left="60"/>
              <w:spacing w:after="0"/>
              <w:rPr>
                <w:sz w:val="20"/>
                <w:szCs w:val="20"/>
                <w:color w:val="auto"/>
              </w:rPr>
            </w:pPr>
            <w:r>
              <w:rPr>
                <w:rFonts w:ascii="Arial" w:cs="Arial" w:eastAsia="Arial" w:hAnsi="Arial"/>
                <w:sz w:val="14"/>
                <w:szCs w:val="14"/>
                <w:color w:val="auto"/>
              </w:rPr>
              <w:t>Time the day before the meeting date.</w:t>
            </w:r>
          </w:p>
        </w:tc>
        <w:tc>
          <w:tcPr>
            <w:tcW w:w="370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07"/>
        </w:trPr>
        <w:tc>
          <w:tcPr>
            <w:tcW w:w="3620" w:type="dxa"/>
            <w:vAlign w:val="bottom"/>
            <w:shd w:val="clear" w:color="auto" w:fill="E5E5E5"/>
          </w:tcPr>
          <w:p>
            <w:pPr>
              <w:ind w:left="60"/>
              <w:spacing w:after="0"/>
              <w:rPr>
                <w:sz w:val="20"/>
                <w:szCs w:val="20"/>
                <w:color w:val="auto"/>
              </w:rPr>
            </w:pPr>
            <w:r>
              <w:rPr>
                <w:rFonts w:ascii="Arial" w:cs="Arial" w:eastAsia="Arial" w:hAnsi="Arial"/>
                <w:sz w:val="14"/>
                <w:szCs w:val="14"/>
                <w:color w:val="auto"/>
              </w:rPr>
              <w:t>By Telephone (24 hours a day) — Use any touch-tone</w:t>
            </w:r>
          </w:p>
        </w:tc>
        <w:tc>
          <w:tcPr>
            <w:tcW w:w="3700" w:type="dxa"/>
            <w:vAlign w:val="bottom"/>
            <w:shd w:val="clear" w:color="auto" w:fill="E5E5E5"/>
          </w:tcPr>
          <w:p>
            <w:pPr>
              <w:ind w:left="120"/>
              <w:spacing w:after="0"/>
              <w:rPr>
                <w:sz w:val="20"/>
                <w:szCs w:val="20"/>
                <w:color w:val="auto"/>
              </w:rPr>
            </w:pPr>
            <w:r>
              <w:rPr>
                <w:rFonts w:ascii="Arial" w:cs="Arial" w:eastAsia="Arial" w:hAnsi="Arial"/>
                <w:sz w:val="14"/>
                <w:szCs w:val="14"/>
                <w:color w:val="auto"/>
              </w:rPr>
              <w:t>1-800-690-6903</w:t>
            </w:r>
          </w:p>
        </w:tc>
        <w:tc>
          <w:tcPr>
            <w:tcW w:w="3700" w:type="dxa"/>
            <w:vAlign w:val="bottom"/>
            <w:shd w:val="clear" w:color="auto" w:fill="E5E5E5"/>
          </w:tcPr>
          <w:p>
            <w:pPr>
              <w:ind w:left="160"/>
              <w:spacing w:after="0"/>
              <w:rPr>
                <w:sz w:val="20"/>
                <w:szCs w:val="20"/>
                <w:color w:val="auto"/>
              </w:rPr>
            </w:pPr>
            <w:r>
              <w:rPr>
                <w:rFonts w:ascii="Arial" w:cs="Arial" w:eastAsia="Arial" w:hAnsi="Arial"/>
                <w:sz w:val="14"/>
                <w:szCs w:val="14"/>
                <w:color w:val="auto"/>
              </w:rPr>
              <w:t>1-800-454-8683</w:t>
            </w:r>
          </w:p>
        </w:tc>
      </w:tr>
      <w:tr>
        <w:trPr>
          <w:trHeight w:val="162"/>
        </w:trPr>
        <w:tc>
          <w:tcPr>
            <w:tcW w:w="3620" w:type="dxa"/>
            <w:vAlign w:val="bottom"/>
            <w:shd w:val="clear" w:color="auto" w:fill="E5E5E5"/>
          </w:tcPr>
          <w:p>
            <w:pPr>
              <w:ind w:left="60"/>
              <w:spacing w:after="0"/>
              <w:rPr>
                <w:sz w:val="20"/>
                <w:szCs w:val="20"/>
                <w:color w:val="auto"/>
              </w:rPr>
            </w:pPr>
            <w:r>
              <w:rPr>
                <w:rFonts w:ascii="Arial" w:cs="Arial" w:eastAsia="Arial" w:hAnsi="Arial"/>
                <w:sz w:val="14"/>
                <w:szCs w:val="14"/>
                <w:color w:val="auto"/>
              </w:rPr>
              <w:t>telephone to transmit your voting instructions up until</w:t>
            </w:r>
          </w:p>
        </w:tc>
        <w:tc>
          <w:tcPr>
            <w:tcW w:w="3700" w:type="dxa"/>
            <w:vAlign w:val="bottom"/>
            <w:shd w:val="clear" w:color="auto" w:fill="E5E5E5"/>
          </w:tcPr>
          <w:p>
            <w:pPr>
              <w:spacing w:after="0"/>
              <w:rPr>
                <w:sz w:val="14"/>
                <w:szCs w:val="14"/>
                <w:color w:val="auto"/>
              </w:rPr>
            </w:pPr>
          </w:p>
        </w:tc>
        <w:tc>
          <w:tcPr>
            <w:tcW w:w="370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The availability of voting by telephone may depend on</w:t>
            </w:r>
          </w:p>
        </w:tc>
      </w:tr>
      <w:tr>
        <w:trPr>
          <w:trHeight w:val="162"/>
        </w:trPr>
        <w:tc>
          <w:tcPr>
            <w:tcW w:w="3620" w:type="dxa"/>
            <w:vAlign w:val="bottom"/>
            <w:shd w:val="clear" w:color="auto" w:fill="E5E5E5"/>
          </w:tcPr>
          <w:p>
            <w:pPr>
              <w:ind w:left="60"/>
              <w:spacing w:after="0"/>
              <w:rPr>
                <w:sz w:val="20"/>
                <w:szCs w:val="20"/>
                <w:color w:val="auto"/>
              </w:rPr>
            </w:pPr>
            <w:r>
              <w:rPr>
                <w:rFonts w:ascii="Arial" w:cs="Arial" w:eastAsia="Arial" w:hAnsi="Arial"/>
                <w:sz w:val="14"/>
                <w:szCs w:val="14"/>
                <w:color w:val="auto"/>
              </w:rPr>
              <w:t>11:59 P.M. Eastern Time the day before the meeting</w:t>
            </w:r>
          </w:p>
        </w:tc>
        <w:tc>
          <w:tcPr>
            <w:tcW w:w="3700" w:type="dxa"/>
            <w:vAlign w:val="bottom"/>
            <w:shd w:val="clear" w:color="auto" w:fill="E5E5E5"/>
          </w:tcPr>
          <w:p>
            <w:pPr>
              <w:spacing w:after="0"/>
              <w:rPr>
                <w:sz w:val="14"/>
                <w:szCs w:val="14"/>
                <w:color w:val="auto"/>
              </w:rPr>
            </w:pPr>
          </w:p>
        </w:tc>
        <w:tc>
          <w:tcPr>
            <w:tcW w:w="3700" w:type="dxa"/>
            <w:vAlign w:val="bottom"/>
            <w:shd w:val="clear" w:color="auto" w:fill="E5E5E5"/>
          </w:tcPr>
          <w:p>
            <w:pPr>
              <w:ind w:left="160"/>
              <w:spacing w:after="0"/>
              <w:rPr>
                <w:sz w:val="20"/>
                <w:szCs w:val="20"/>
                <w:color w:val="auto"/>
              </w:rPr>
            </w:pPr>
            <w:r>
              <w:rPr>
                <w:rFonts w:ascii="Arial" w:cs="Arial" w:eastAsia="Arial" w:hAnsi="Arial"/>
                <w:sz w:val="14"/>
                <w:szCs w:val="14"/>
                <w:color w:val="auto"/>
              </w:rPr>
              <w:t>the voting process of the organization that holds your</w:t>
            </w:r>
          </w:p>
        </w:tc>
      </w:tr>
      <w:tr>
        <w:trPr>
          <w:trHeight w:val="171"/>
        </w:trPr>
        <w:tc>
          <w:tcPr>
            <w:tcW w:w="3620" w:type="dxa"/>
            <w:vAlign w:val="bottom"/>
            <w:shd w:val="clear" w:color="auto" w:fill="E5E5E5"/>
          </w:tcPr>
          <w:p>
            <w:pPr>
              <w:ind w:left="60"/>
              <w:spacing w:after="0"/>
              <w:rPr>
                <w:sz w:val="20"/>
                <w:szCs w:val="20"/>
                <w:color w:val="auto"/>
              </w:rPr>
            </w:pPr>
            <w:r>
              <w:rPr>
                <w:rFonts w:ascii="Arial" w:cs="Arial" w:eastAsia="Arial" w:hAnsi="Arial"/>
                <w:sz w:val="14"/>
                <w:szCs w:val="14"/>
                <w:color w:val="auto"/>
              </w:rPr>
              <w:t>date.</w:t>
            </w:r>
          </w:p>
        </w:tc>
        <w:tc>
          <w:tcPr>
            <w:tcW w:w="3700" w:type="dxa"/>
            <w:vAlign w:val="bottom"/>
            <w:shd w:val="clear" w:color="auto" w:fill="E5E5E5"/>
          </w:tcPr>
          <w:p>
            <w:pPr>
              <w:spacing w:after="0"/>
              <w:rPr>
                <w:sz w:val="14"/>
                <w:szCs w:val="14"/>
                <w:color w:val="auto"/>
              </w:rPr>
            </w:pPr>
          </w:p>
        </w:tc>
        <w:tc>
          <w:tcPr>
            <w:tcW w:w="3700" w:type="dxa"/>
            <w:vAlign w:val="bottom"/>
            <w:shd w:val="clear" w:color="auto" w:fill="E5E5E5"/>
          </w:tcPr>
          <w:p>
            <w:pPr>
              <w:ind w:left="160"/>
              <w:spacing w:after="0"/>
              <w:rPr>
                <w:sz w:val="20"/>
                <w:szCs w:val="20"/>
                <w:color w:val="auto"/>
              </w:rPr>
            </w:pPr>
            <w:r>
              <w:rPr>
                <w:rFonts w:ascii="Arial" w:cs="Arial" w:eastAsia="Arial" w:hAnsi="Arial"/>
                <w:sz w:val="14"/>
                <w:szCs w:val="14"/>
                <w:color w:val="auto"/>
              </w:rPr>
              <w:t>shares.</w:t>
            </w:r>
          </w:p>
        </w:tc>
      </w:tr>
    </w:tbl>
    <w:p>
      <w:pPr>
        <w:spacing w:after="0" w:line="45" w:lineRule="exact"/>
        <w:rPr>
          <w:sz w:val="20"/>
          <w:szCs w:val="20"/>
          <w:color w:val="auto"/>
        </w:rPr>
      </w:pPr>
    </w:p>
    <w:p>
      <w:pPr>
        <w:sectPr>
          <w:pgSz w:w="11900" w:h="16838" w:orient="portrait"/>
          <w:cols w:equalWidth="0" w:num="1">
            <w:col w:w="11240"/>
          </w:cols>
          <w:pgMar w:left="240" w:top="459" w:right="419" w:bottom="1440" w:gutter="0" w:footer="0" w:header="0"/>
          <w:type w:val="continuous"/>
        </w:sectPr>
      </w:pPr>
    </w:p>
    <w:p>
      <w:pPr>
        <w:ind w:left="280"/>
        <w:spacing w:after="0"/>
        <w:tabs>
          <w:tab w:leader="none" w:pos="3940" w:val="left"/>
        </w:tabs>
        <w:rPr>
          <w:sz w:val="20"/>
          <w:szCs w:val="20"/>
          <w:color w:val="auto"/>
        </w:rPr>
      </w:pPr>
      <w:r>
        <w:rPr>
          <w:rFonts w:ascii="Arial" w:cs="Arial" w:eastAsia="Arial" w:hAnsi="Arial"/>
          <w:sz w:val="14"/>
          <w:szCs w:val="14"/>
          <w:color w:val="auto"/>
        </w:rPr>
        <w:t>By Mail</w:t>
      </w:r>
      <w:r>
        <w:rPr>
          <w:sz w:val="20"/>
          <w:szCs w:val="20"/>
          <w:color w:val="auto"/>
        </w:rPr>
        <w:tab/>
      </w:r>
      <w:r>
        <w:rPr>
          <w:rFonts w:ascii="Arial" w:cs="Arial" w:eastAsia="Arial" w:hAnsi="Arial"/>
          <w:sz w:val="14"/>
          <w:szCs w:val="14"/>
          <w:color w:val="auto"/>
        </w:rPr>
        <w:t>Return a properly executed and dated proxy card in the</w:t>
      </w:r>
    </w:p>
    <w:p>
      <w:pPr>
        <w:spacing w:after="0" w:line="1" w:lineRule="exact"/>
        <w:rPr>
          <w:sz w:val="20"/>
          <w:szCs w:val="20"/>
          <w:color w:val="auto"/>
        </w:rPr>
      </w:pPr>
    </w:p>
    <w:p>
      <w:pPr>
        <w:ind w:left="3960"/>
        <w:spacing w:after="0"/>
        <w:rPr>
          <w:sz w:val="20"/>
          <w:szCs w:val="20"/>
          <w:color w:val="auto"/>
        </w:rPr>
      </w:pPr>
      <w:r>
        <w:rPr>
          <w:rFonts w:ascii="Arial" w:cs="Arial" w:eastAsia="Arial" w:hAnsi="Arial"/>
          <w:sz w:val="14"/>
          <w:szCs w:val="14"/>
          <w:color w:val="auto"/>
        </w:rPr>
        <w:t>pre-paid envelope we have provided.</w:t>
      </w:r>
    </w:p>
    <w:p>
      <w:pPr>
        <w:spacing w:after="0" w:line="20" w:lineRule="exact"/>
        <w:rPr>
          <w:sz w:val="20"/>
          <w:szCs w:val="20"/>
          <w:color w:val="auto"/>
        </w:rPr>
      </w:pPr>
      <w:r>
        <w:rPr>
          <w:sz w:val="20"/>
          <w:szCs w:val="20"/>
          <w:color w:val="auto"/>
        </w:rPr>
        <w:br w:type="column"/>
      </w:r>
    </w:p>
    <w:p>
      <w:pPr>
        <w:ind w:right="280"/>
        <w:spacing w:after="0" w:line="247" w:lineRule="auto"/>
        <w:rPr>
          <w:sz w:val="20"/>
          <w:szCs w:val="20"/>
          <w:color w:val="auto"/>
        </w:rPr>
      </w:pPr>
      <w:r>
        <w:rPr>
          <w:rFonts w:ascii="Arial" w:cs="Arial" w:eastAsia="Arial" w:hAnsi="Arial"/>
          <w:sz w:val="14"/>
          <w:szCs w:val="14"/>
          <w:color w:val="auto"/>
        </w:rPr>
        <w:t>Return a properly executed and dated voting instruction form by mail, depending upon the method(s) your bank, brokerage firm, broker-dealer or other similar organization makes available.</w:t>
      </w:r>
    </w:p>
    <w:p>
      <w:pPr>
        <w:spacing w:after="0" w:line="128" w:lineRule="exact"/>
        <w:rPr>
          <w:sz w:val="20"/>
          <w:szCs w:val="20"/>
          <w:color w:val="auto"/>
        </w:rPr>
      </w:pPr>
    </w:p>
    <w:p>
      <w:pPr>
        <w:sectPr>
          <w:pgSz w:w="11900" w:h="16838" w:orient="portrait"/>
          <w:cols w:equalWidth="0" w:num="2">
            <w:col w:w="7480" w:space="220"/>
            <w:col w:w="3540"/>
          </w:cols>
          <w:pgMar w:left="240" w:top="459" w:right="419" w:bottom="1440" w:gutter="0" w:footer="0" w:header="0"/>
          <w:type w:val="continuous"/>
        </w:sect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93</w:t>
            </w:r>
          </w:p>
        </w:tc>
      </w:tr>
    </w:tbl>
    <w:p>
      <w:pPr>
        <w:sectPr>
          <w:pgSz w:w="11900" w:h="16838" w:orient="portrait"/>
          <w:cols w:equalWidth="0" w:num="1">
            <w:col w:w="11240"/>
          </w:cols>
          <w:pgMar w:left="240" w:top="459" w:right="41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ANNUAL MEETING INFORMATION</w:t>
      </w: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 I change my vote after I have voted?</w:t>
      </w:r>
    </w:p>
    <w:p>
      <w:pPr>
        <w:spacing w:after="0" w:line="18"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You can revoke your proxy and change your vote at any time before the closing of the polls at our annual meeting, subject to the voting deadlines that are described on the proxy card or voting instruction form, as applicable.</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can revoke your vote:</w:t>
      </w:r>
    </w:p>
    <w:p>
      <w:pPr>
        <w:spacing w:after="0" w:line="71" w:lineRule="exact"/>
        <w:rPr>
          <w:sz w:val="20"/>
          <w:szCs w:val="20"/>
          <w:color w:val="auto"/>
        </w:rPr>
      </w:pPr>
    </w:p>
    <w:p>
      <w:pPr>
        <w:ind w:left="400" w:right="20"/>
        <w:spacing w:after="0" w:line="238" w:lineRule="auto"/>
        <w:rPr>
          <w:sz w:val="20"/>
          <w:szCs w:val="20"/>
          <w:color w:val="auto"/>
        </w:rPr>
      </w:pPr>
      <w:r>
        <w:rPr>
          <w:rFonts w:ascii="Arial" w:cs="Arial" w:eastAsia="Arial" w:hAnsi="Arial"/>
          <w:sz w:val="18"/>
          <w:szCs w:val="18"/>
          <w:color w:val="auto"/>
        </w:rPr>
        <w:t>In Person. You may revoke your proxy and change your vote by attending the annual meeting and voting in person. However, your attendance at the annual meeting will not automatically revoke your proxy unless you properly vote at the annual meeting.</w:t>
      </w:r>
    </w:p>
    <w:p>
      <w:pPr>
        <w:spacing w:after="0" w:line="108" w:lineRule="exact"/>
        <w:rPr>
          <w:sz w:val="20"/>
          <w:szCs w:val="20"/>
          <w:color w:val="auto"/>
        </w:rPr>
      </w:pPr>
    </w:p>
    <w:p>
      <w:pPr>
        <w:ind w:left="400" w:right="60"/>
        <w:spacing w:after="0" w:line="239" w:lineRule="auto"/>
        <w:rPr>
          <w:sz w:val="20"/>
          <w:szCs w:val="20"/>
          <w:color w:val="auto"/>
        </w:rPr>
      </w:pPr>
      <w:r>
        <w:rPr>
          <w:rFonts w:ascii="Arial" w:cs="Arial" w:eastAsia="Arial" w:hAnsi="Arial"/>
          <w:sz w:val="18"/>
          <w:szCs w:val="18"/>
          <w:color w:val="auto"/>
        </w:rPr>
        <w:t>In Writing. You may request that your prior proxy be revoked by delivering a written notice of revocation prior to the annual meeting to the Office of the Secretary at: JPMorgan Chase &amp; Co., 4 New York Plaza, New York, NY 10004.</w:t>
      </w:r>
    </w:p>
    <w:p>
      <w:pPr>
        <w:spacing w:after="0" w:line="107" w:lineRule="exact"/>
        <w:rPr>
          <w:sz w:val="20"/>
          <w:szCs w:val="20"/>
          <w:color w:val="auto"/>
        </w:rPr>
      </w:pPr>
    </w:p>
    <w:p>
      <w:pPr>
        <w:ind w:left="400" w:right="20"/>
        <w:spacing w:after="0" w:line="261" w:lineRule="auto"/>
        <w:rPr>
          <w:sz w:val="20"/>
          <w:szCs w:val="20"/>
          <w:color w:val="auto"/>
        </w:rPr>
      </w:pPr>
      <w:r>
        <w:rPr>
          <w:rFonts w:ascii="Arial" w:cs="Arial" w:eastAsia="Arial" w:hAnsi="Arial"/>
          <w:sz w:val="17"/>
          <w:szCs w:val="17"/>
          <w:color w:val="auto"/>
        </w:rPr>
        <w:t>Online. You may change your vote using the online voting method described above, in which case only your latest internet proxy submitted prior to the annual meeting will be counted.</w:t>
      </w:r>
    </w:p>
    <w:p>
      <w:pPr>
        <w:spacing w:after="0" w:line="91" w:lineRule="exact"/>
        <w:rPr>
          <w:sz w:val="20"/>
          <w:szCs w:val="20"/>
          <w:color w:val="auto"/>
        </w:rPr>
      </w:pPr>
    </w:p>
    <w:p>
      <w:pPr>
        <w:ind w:left="400" w:right="180"/>
        <w:spacing w:after="0" w:line="239" w:lineRule="auto"/>
        <w:rPr>
          <w:sz w:val="20"/>
          <w:szCs w:val="20"/>
          <w:color w:val="auto"/>
        </w:rPr>
      </w:pPr>
      <w:r>
        <w:rPr>
          <w:rFonts w:ascii="Arial" w:cs="Arial" w:eastAsia="Arial" w:hAnsi="Arial"/>
          <w:sz w:val="18"/>
          <w:szCs w:val="18"/>
          <w:color w:val="auto"/>
        </w:rPr>
        <w:t>Telephone. You may change your vote using the phone voting method described above, in which case only your latest telephone proxy submitted prior to the annual meeting will be counted.</w:t>
      </w:r>
    </w:p>
    <w:p>
      <w:pPr>
        <w:spacing w:after="0" w:line="107" w:lineRule="exact"/>
        <w:rPr>
          <w:sz w:val="20"/>
          <w:szCs w:val="20"/>
          <w:color w:val="auto"/>
        </w:rPr>
      </w:pPr>
    </w:p>
    <w:p>
      <w:pPr>
        <w:ind w:left="400" w:right="380"/>
        <w:spacing w:after="0" w:line="238" w:lineRule="auto"/>
        <w:rPr>
          <w:sz w:val="20"/>
          <w:szCs w:val="20"/>
          <w:color w:val="auto"/>
        </w:rPr>
      </w:pPr>
      <w:r>
        <w:rPr>
          <w:rFonts w:ascii="Arial" w:cs="Arial" w:eastAsia="Arial" w:hAnsi="Arial"/>
          <w:sz w:val="18"/>
          <w:szCs w:val="18"/>
          <w:color w:val="auto"/>
        </w:rPr>
        <w:t>Mail. You may revoke your proxy and change your vote by signing and returning a new proxy card or voting instruction form dated as of a later date, in which case only your latest proxy card or voting instruction form received prior to the annual meeting will be counted.</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are shares voted?</w:t>
      </w:r>
    </w:p>
    <w:p>
      <w:pPr>
        <w:spacing w:after="0" w:line="18"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All shares represented by valid ballots or valid proxies received prior to the taking of the vote at the annual meeting will be voted. If you do not vote in person at the annual meeting, the persons named as proxies on the proxy card, will vote your shares as you have instructed.</w:t>
      </w:r>
    </w:p>
    <w:p>
      <w:pPr>
        <w:spacing w:after="0" w:line="181" w:lineRule="exact"/>
        <w:rPr>
          <w:sz w:val="20"/>
          <w:szCs w:val="20"/>
          <w:color w:val="auto"/>
        </w:rPr>
      </w:pPr>
    </w:p>
    <w:p>
      <w:pPr>
        <w:ind w:left="200" w:right="240"/>
        <w:spacing w:after="0" w:line="247" w:lineRule="auto"/>
        <w:rPr>
          <w:sz w:val="20"/>
          <w:szCs w:val="20"/>
          <w:color w:val="auto"/>
        </w:rPr>
      </w:pPr>
      <w:r>
        <w:rPr>
          <w:rFonts w:ascii="Arial" w:cs="Arial" w:eastAsia="Arial" w:hAnsi="Arial"/>
          <w:sz w:val="18"/>
          <w:szCs w:val="18"/>
          <w:b w:val="1"/>
          <w:bCs w:val="1"/>
          <w:color w:val="auto"/>
        </w:rPr>
        <w:t>How will my shares be voted if I do not give specific voting instructions?</w:t>
      </w:r>
    </w:p>
    <w:p>
      <w:pPr>
        <w:spacing w:after="0" w:line="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 are a shareholder of record and do</w:t>
      </w:r>
      <w:r>
        <w:rPr>
          <w:rFonts w:ascii="Arial" w:cs="Arial" w:eastAsia="Arial" w:hAnsi="Arial"/>
          <w:sz w:val="18"/>
          <w:szCs w:val="18"/>
          <w:i w:val="1"/>
          <w:iCs w:val="1"/>
          <w:color w:val="auto"/>
        </w:rPr>
        <w:t xml:space="preserve"> </w:t>
      </w:r>
      <w:r>
        <w:rPr>
          <w:rFonts w:ascii="Arial" w:cs="Arial" w:eastAsia="Arial" w:hAnsi="Arial"/>
          <w:sz w:val="18"/>
          <w:szCs w:val="18"/>
          <w:color w:val="auto"/>
        </w:rPr>
        <w:t>not return a proxy card, or if you sign, date and return a proxy card but do not give specific voting instructions, then the persons named as proxies on the proxy card will vote your shares in the manner</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recommended by our Board on all matters presented in this proxy statement. In addition, the proxies may determine in their discretion how to vote your shares regarding any other matters properly presented for a vote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-1465580</wp:posOffset>
            </wp:positionV>
            <wp:extent cx="72891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Although our Board does not anticipate that any of the director nominees will be unable to stand for election as a director nominee at our annual meeting, if this occurs, the persons named as proxies on the proxy card will vote your shares in favor of such other person or persons as may be recommended by our Governance Committee and designated by the Board.</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 are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organization holding your shares does not receive specific voting instructions from you, how your shares may be voted will depend on whether the proposal is considered “routine” or “non-routine,” as described below.</w:t>
      </w:r>
    </w:p>
    <w:p>
      <w:pPr>
        <w:spacing w:after="0" w:line="180"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color w:val="auto"/>
        </w:rPr>
        <w:t xml:space="preserve">Which proposals are considered “routine” or “non-routine”? </w:t>
      </w:r>
      <w:r>
        <w:rPr>
          <w:rFonts w:ascii="Arial" w:cs="Arial" w:eastAsia="Arial" w:hAnsi="Arial"/>
          <w:sz w:val="18"/>
          <w:szCs w:val="18"/>
          <w:color w:val="auto"/>
        </w:rPr>
        <w:t>The ratification of the appointment of the independent registered public accounting firm is considered to be a “routine” matter under NYSE rules. A bank, brokerage firm, broker-dealer or other similar organization may generally vote in their discretion on routine matters, if specific voting instructions are not received from a beneficial owner.</w:t>
      </w:r>
    </w:p>
    <w:p>
      <w:pPr>
        <w:spacing w:after="0" w:line="9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other proposals are considered “non-routine” under NYSE rules and are therefore “non-discretionary” matters. This means your bank, brokerage firm, broker-dealer or other similar organization may not vote your shares without instructions from you. If the organization that holds your shares does not receive instructions from you on how to vote on one of these non-routine matters, it will so inform the inspector of election. This is generally referred to as a “broker non-vote”.</w:t>
      </w:r>
    </w:p>
    <w:p>
      <w:pPr>
        <w:spacing w:after="0" w:line="78"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Participants in the 401(k) Savings Plan: </w:t>
      </w:r>
      <w:r>
        <w:rPr>
          <w:rFonts w:ascii="Arial" w:cs="Arial" w:eastAsia="Arial" w:hAnsi="Arial"/>
          <w:sz w:val="18"/>
          <w:szCs w:val="18"/>
          <w:color w:val="auto"/>
        </w:rPr>
        <w:t>The trustee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JPMorgan Chase 401(k) Savings Plan (“Plan”) will vote the shares held in the Common Stock Fund as of the Record Date. If you have an interest in the JPMorgan Chase Common Stock Fund through the Plan, your vote will provide voting instructions to the trustee. If no voting instructions are given, the trustee will vote uninstructed shares in the same proportion as voted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1905</wp:posOffset>
            </wp:positionV>
            <wp:extent cx="662051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80" w:space="340"/>
            <w:col w:w="5360"/>
          </w:cols>
          <w:pgMar w:left="24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ANNUAL MEETING INFORMATION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voting requirement to approve each of the proposals?</w:t>
      </w:r>
    </w:p>
    <w:p>
      <w:pPr>
        <w:spacing w:after="0" w:line="18" w:lineRule="exact"/>
        <w:rPr>
          <w:sz w:val="20"/>
          <w:szCs w:val="20"/>
          <w:color w:val="auto"/>
        </w:rPr>
      </w:pPr>
    </w:p>
    <w:p>
      <w:pPr>
        <w:ind w:left="200" w:right="160"/>
        <w:spacing w:after="0"/>
        <w:rPr>
          <w:sz w:val="20"/>
          <w:szCs w:val="20"/>
          <w:color w:val="auto"/>
        </w:rPr>
      </w:pPr>
      <w:r>
        <w:rPr>
          <w:rFonts w:ascii="Arial" w:cs="Arial" w:eastAsia="Arial" w:hAnsi="Arial"/>
          <w:sz w:val="18"/>
          <w:szCs w:val="18"/>
          <w:i w:val="1"/>
          <w:iCs w:val="1"/>
          <w:color w:val="auto"/>
        </w:rPr>
        <w:t xml:space="preserve">Quorum Requirement: </w:t>
      </w:r>
      <w:r>
        <w:rPr>
          <w:rFonts w:ascii="Arial" w:cs="Arial" w:eastAsia="Arial" w:hAnsi="Arial"/>
          <w:sz w:val="18"/>
          <w:szCs w:val="18"/>
          <w:color w:val="auto"/>
        </w:rPr>
        <w:t>Before any business can be transacted at our annual meeting, a quorum must be present. Holders of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entitled to vote at the annual meeting, present in person or represented by proxy, will constitute a quorum. Abstentions and broker non-votes are treated as present for quorum purposes.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Requirements for each proposal: </w:t>
      </w:r>
      <w:r>
        <w:rPr>
          <w:rFonts w:ascii="Arial" w:cs="Arial" w:eastAsia="Arial" w:hAnsi="Arial"/>
          <w:sz w:val="18"/>
          <w:szCs w:val="18"/>
          <w:color w:val="auto"/>
        </w:rPr>
        <w:t>What is the voting requirement for each proposal?</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20" w:type="dxa"/>
            <w:vAlign w:val="bottom"/>
          </w:tcPr>
          <w:p>
            <w:pPr>
              <w:ind w:left="340"/>
              <w:spacing w:after="0"/>
              <w:rPr>
                <w:sz w:val="20"/>
                <w:szCs w:val="20"/>
                <w:color w:val="auto"/>
              </w:rPr>
            </w:pPr>
            <w:r>
              <w:rPr>
                <w:rFonts w:ascii="Arial" w:cs="Arial" w:eastAsia="Arial" w:hAnsi="Arial"/>
                <w:sz w:val="14"/>
                <w:szCs w:val="14"/>
                <w:b w:val="1"/>
                <w:bCs w:val="1"/>
                <w:color w:val="auto"/>
              </w:rPr>
              <w:t>Effect of broker</w:t>
            </w:r>
          </w:p>
        </w:tc>
      </w:tr>
      <w:tr>
        <w:trPr>
          <w:trHeight w:val="233"/>
        </w:trPr>
        <w:tc>
          <w:tcPr>
            <w:tcW w:w="2040" w:type="dxa"/>
            <w:vAlign w:val="bottom"/>
            <w:tcBorders>
              <w:bottom w:val="single" w:sz="8" w:color="004876"/>
            </w:tcBorders>
          </w:tcPr>
          <w:p>
            <w:pPr>
              <w:ind w:left="60"/>
              <w:spacing w:after="0"/>
              <w:rPr>
                <w:sz w:val="20"/>
                <w:szCs w:val="20"/>
                <w:color w:val="auto"/>
              </w:rPr>
            </w:pPr>
            <w:r>
              <w:rPr>
                <w:rFonts w:ascii="Arial" w:cs="Arial" w:eastAsia="Arial" w:hAnsi="Arial"/>
                <w:sz w:val="14"/>
                <w:szCs w:val="14"/>
                <w:b w:val="1"/>
                <w:bCs w:val="1"/>
                <w:color w:val="auto"/>
              </w:rPr>
              <w:t>Proposal</w:t>
            </w:r>
          </w:p>
        </w:tc>
        <w:tc>
          <w:tcPr>
            <w:tcW w:w="1980" w:type="dxa"/>
            <w:vAlign w:val="bottom"/>
            <w:tcBorders>
              <w:bottom w:val="single" w:sz="8" w:color="004876"/>
            </w:tcBorders>
          </w:tcPr>
          <w:p>
            <w:pPr>
              <w:ind w:left="380"/>
              <w:spacing w:after="0"/>
              <w:rPr>
                <w:sz w:val="20"/>
                <w:szCs w:val="20"/>
                <w:color w:val="auto"/>
              </w:rPr>
            </w:pPr>
            <w:r>
              <w:rPr>
                <w:rFonts w:ascii="Arial" w:cs="Arial" w:eastAsia="Arial" w:hAnsi="Arial"/>
                <w:sz w:val="14"/>
                <w:szCs w:val="14"/>
                <w:b w:val="1"/>
                <w:bCs w:val="1"/>
                <w:color w:val="auto"/>
              </w:rPr>
              <w:t>Voting options</w:t>
            </w:r>
          </w:p>
        </w:tc>
        <w:tc>
          <w:tcPr>
            <w:tcW w:w="2300" w:type="dxa"/>
            <w:vAlign w:val="bottom"/>
            <w:tcBorders>
              <w:bottom w:val="single" w:sz="8" w:color="004876"/>
            </w:tcBorders>
          </w:tcPr>
          <w:p>
            <w:pPr>
              <w:ind w:left="600"/>
              <w:spacing w:after="0"/>
              <w:rPr>
                <w:sz w:val="20"/>
                <w:szCs w:val="20"/>
                <w:color w:val="auto"/>
              </w:rPr>
            </w:pPr>
            <w:r>
              <w:rPr>
                <w:rFonts w:ascii="Arial" w:cs="Arial" w:eastAsia="Arial" w:hAnsi="Arial"/>
                <w:sz w:val="14"/>
                <w:szCs w:val="14"/>
                <w:b w:val="1"/>
                <w:bCs w:val="1"/>
                <w:color w:val="auto"/>
              </w:rPr>
              <w:t>Vote requirement</w:t>
            </w:r>
          </w:p>
        </w:tc>
        <w:tc>
          <w:tcPr>
            <w:tcW w:w="2380" w:type="dxa"/>
            <w:vAlign w:val="bottom"/>
            <w:tcBorders>
              <w:bottom w:val="single" w:sz="8" w:color="004876"/>
            </w:tcBorders>
          </w:tcPr>
          <w:p>
            <w:pPr>
              <w:ind w:left="520"/>
              <w:spacing w:after="0" w:line="233" w:lineRule="exact"/>
              <w:rPr>
                <w:sz w:val="20"/>
                <w:szCs w:val="20"/>
                <w:color w:val="auto"/>
              </w:rPr>
            </w:pPr>
            <w:r>
              <w:rPr>
                <w:rFonts w:ascii="Arial" w:cs="Arial" w:eastAsia="Arial" w:hAnsi="Arial"/>
                <w:sz w:val="14"/>
                <w:szCs w:val="14"/>
                <w:b w:val="1"/>
                <w:bCs w:val="1"/>
                <w:color w:val="auto"/>
              </w:rPr>
              <w:t xml:space="preserve">Effect of abstentions </w:t>
            </w:r>
            <w:r>
              <w:rPr>
                <w:rFonts w:ascii="Arial" w:cs="Arial" w:eastAsia="Arial" w:hAnsi="Arial"/>
                <w:sz w:val="24"/>
                <w:szCs w:val="24"/>
                <w:b w:val="1"/>
                <w:bCs w:val="1"/>
                <w:color w:val="auto"/>
                <w:vertAlign w:val="superscript"/>
              </w:rPr>
              <w:t>1</w:t>
            </w:r>
          </w:p>
        </w:tc>
        <w:tc>
          <w:tcPr>
            <w:tcW w:w="2320" w:type="dxa"/>
            <w:vAlign w:val="bottom"/>
            <w:tcBorders>
              <w:bottom w:val="single" w:sz="8" w:color="004876"/>
            </w:tcBorders>
          </w:tcPr>
          <w:p>
            <w:pPr>
              <w:ind w:left="340"/>
              <w:spacing w:after="0" w:line="233" w:lineRule="exact"/>
              <w:rPr>
                <w:sz w:val="20"/>
                <w:szCs w:val="20"/>
                <w:color w:val="auto"/>
              </w:rPr>
            </w:pPr>
            <w:r>
              <w:rPr>
                <w:rFonts w:ascii="Arial" w:cs="Arial" w:eastAsia="Arial" w:hAnsi="Arial"/>
                <w:sz w:val="14"/>
                <w:szCs w:val="14"/>
                <w:b w:val="1"/>
                <w:bCs w:val="1"/>
                <w:color w:val="auto"/>
              </w:rPr>
              <w:t xml:space="preserve">non-votes </w:t>
            </w:r>
            <w:r>
              <w:rPr>
                <w:rFonts w:ascii="Arial" w:cs="Arial" w:eastAsia="Arial" w:hAnsi="Arial"/>
                <w:sz w:val="24"/>
                <w:szCs w:val="24"/>
                <w:b w:val="1"/>
                <w:bCs w:val="1"/>
                <w:color w:val="auto"/>
                <w:vertAlign w:val="superscript"/>
              </w:rPr>
              <w:t>2</w:t>
            </w:r>
          </w:p>
        </w:tc>
      </w:tr>
      <w:tr>
        <w:trPr>
          <w:trHeight w:val="211"/>
        </w:trPr>
        <w:tc>
          <w:tcPr>
            <w:tcW w:w="204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Corporate Governance:</w:t>
            </w:r>
          </w:p>
        </w:tc>
        <w:tc>
          <w:tcPr>
            <w:tcW w:w="1980" w:type="dxa"/>
            <w:vAlign w:val="bottom"/>
            <w:shd w:val="clear" w:color="auto" w:fill="E5E5E5"/>
          </w:tcPr>
          <w:p>
            <w:pPr>
              <w:spacing w:after="0"/>
              <w:rPr>
                <w:sz w:val="18"/>
                <w:szCs w:val="18"/>
                <w:color w:val="auto"/>
              </w:rPr>
            </w:pPr>
          </w:p>
        </w:tc>
        <w:tc>
          <w:tcPr>
            <w:tcW w:w="2300" w:type="dxa"/>
            <w:vAlign w:val="bottom"/>
            <w:shd w:val="clear" w:color="auto" w:fill="E5E5E5"/>
          </w:tcPr>
          <w:p>
            <w:pPr>
              <w:spacing w:after="0"/>
              <w:rPr>
                <w:sz w:val="18"/>
                <w:szCs w:val="18"/>
                <w:color w:val="auto"/>
              </w:rPr>
            </w:pPr>
          </w:p>
        </w:tc>
        <w:tc>
          <w:tcPr>
            <w:tcW w:w="2380" w:type="dxa"/>
            <w:vAlign w:val="bottom"/>
            <w:shd w:val="clear" w:color="auto" w:fill="E5E5E5"/>
          </w:tcPr>
          <w:p>
            <w:pPr>
              <w:spacing w:after="0"/>
              <w:rPr>
                <w:sz w:val="18"/>
                <w:szCs w:val="18"/>
                <w:color w:val="auto"/>
              </w:rPr>
            </w:pPr>
          </w:p>
        </w:tc>
        <w:tc>
          <w:tcPr>
            <w:tcW w:w="2320" w:type="dxa"/>
            <w:vAlign w:val="bottom"/>
            <w:shd w:val="clear" w:color="auto" w:fill="E5E5E5"/>
          </w:tcPr>
          <w:p>
            <w:pPr>
              <w:spacing w:after="0"/>
              <w:rPr>
                <w:sz w:val="18"/>
                <w:szCs w:val="18"/>
                <w:color w:val="auto"/>
              </w:rPr>
            </w:pPr>
          </w:p>
        </w:tc>
      </w:tr>
      <w:tr>
        <w:trPr>
          <w:trHeight w:val="39"/>
        </w:trPr>
        <w:tc>
          <w:tcPr>
            <w:tcW w:w="2040" w:type="dxa"/>
            <w:vAlign w:val="bottom"/>
            <w:shd w:val="clear" w:color="auto" w:fill="E5E5E5"/>
          </w:tcPr>
          <w:p>
            <w:pPr>
              <w:spacing w:after="0"/>
              <w:rPr>
                <w:sz w:val="3"/>
                <w:szCs w:val="3"/>
                <w:color w:val="auto"/>
              </w:rPr>
            </w:pPr>
          </w:p>
        </w:tc>
        <w:tc>
          <w:tcPr>
            <w:tcW w:w="1980" w:type="dxa"/>
            <w:vAlign w:val="bottom"/>
            <w:shd w:val="clear" w:color="auto" w:fill="E5E5E5"/>
          </w:tcPr>
          <w:p>
            <w:pPr>
              <w:spacing w:after="0"/>
              <w:rPr>
                <w:sz w:val="3"/>
                <w:szCs w:val="3"/>
                <w:color w:val="auto"/>
              </w:rPr>
            </w:pPr>
          </w:p>
        </w:tc>
        <w:tc>
          <w:tcPr>
            <w:tcW w:w="2300" w:type="dxa"/>
            <w:vAlign w:val="bottom"/>
            <w:shd w:val="clear" w:color="auto" w:fill="E5E5E5"/>
          </w:tcPr>
          <w:p>
            <w:pPr>
              <w:spacing w:after="0"/>
              <w:rPr>
                <w:sz w:val="3"/>
                <w:szCs w:val="3"/>
                <w:color w:val="auto"/>
              </w:rPr>
            </w:pPr>
          </w:p>
        </w:tc>
        <w:tc>
          <w:tcPr>
            <w:tcW w:w="2380" w:type="dxa"/>
            <w:vAlign w:val="bottom"/>
            <w:shd w:val="clear" w:color="auto" w:fill="E5E5E5"/>
          </w:tcPr>
          <w:p>
            <w:pPr>
              <w:spacing w:after="0"/>
              <w:rPr>
                <w:sz w:val="3"/>
                <w:szCs w:val="3"/>
                <w:color w:val="auto"/>
              </w:rPr>
            </w:pPr>
          </w:p>
        </w:tc>
        <w:tc>
          <w:tcPr>
            <w:tcW w:w="2320" w:type="dxa"/>
            <w:vAlign w:val="bottom"/>
            <w:shd w:val="clear" w:color="auto" w:fill="E5E5E5"/>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11240"/>
          </w:cols>
          <w:pgMar w:left="240" w:top="459" w:right="419" w:bottom="1440" w:gutter="0" w:footer="0" w:header="0"/>
        </w:sectPr>
      </w:pPr>
    </w:p>
    <w:p>
      <w:pPr>
        <w:ind w:left="280"/>
        <w:spacing w:after="0"/>
        <w:tabs>
          <w:tab w:leader="none" w:pos="2620" w:val="left"/>
        </w:tabs>
        <w:rPr>
          <w:sz w:val="20"/>
          <w:szCs w:val="20"/>
          <w:color w:val="auto"/>
        </w:rPr>
      </w:pPr>
      <w:r>
        <w:rPr>
          <w:rFonts w:ascii="Arial" w:cs="Arial" w:eastAsia="Arial" w:hAnsi="Arial"/>
          <w:sz w:val="14"/>
          <w:szCs w:val="14"/>
          <w:color w:val="auto"/>
        </w:rPr>
        <w:t xml:space="preserve">- Election of Director </w:t>
      </w:r>
      <w:r>
        <w:rPr>
          <w:rFonts w:ascii="Arial" w:cs="Arial" w:eastAsia="Arial" w:hAnsi="Arial"/>
          <w:sz w:val="24"/>
          <w:szCs w:val="24"/>
          <w:color w:val="auto"/>
          <w:vertAlign w:val="superscript"/>
        </w:rPr>
        <w:t>3</w:t>
      </w:r>
      <w:r>
        <w:rPr>
          <w:sz w:val="20"/>
          <w:szCs w:val="20"/>
          <w:color w:val="auto"/>
        </w:rPr>
        <w:tab/>
      </w:r>
      <w:r>
        <w:rPr>
          <w:rFonts w:ascii="Arial" w:cs="Arial" w:eastAsia="Arial" w:hAnsi="Arial"/>
          <w:sz w:val="14"/>
          <w:szCs w:val="14"/>
          <w:color w:val="auto"/>
        </w:rPr>
        <w:t>FOR, AGAINST or ABSTAIN (for</w:t>
      </w:r>
    </w:p>
    <w:p>
      <w:pPr>
        <w:ind w:left="2640"/>
        <w:spacing w:after="0"/>
        <w:rPr>
          <w:sz w:val="20"/>
          <w:szCs w:val="20"/>
          <w:color w:val="auto"/>
        </w:rPr>
      </w:pPr>
      <w:r>
        <w:rPr>
          <w:rFonts w:ascii="Arial" w:cs="Arial" w:eastAsia="Arial" w:hAnsi="Arial"/>
          <w:sz w:val="14"/>
          <w:szCs w:val="14"/>
          <w:color w:val="auto"/>
        </w:rPr>
        <w:t>each director nominee)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Majority of the votes cast FOR or AGAINST (for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20320</wp:posOffset>
            </wp:positionV>
            <wp:extent cx="6997700" cy="1631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No effect — not counted as a vote cast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No effect — broker non-votes are not permitted</w:t>
      </w:r>
    </w:p>
    <w:p>
      <w:pPr>
        <w:spacing w:after="0" w:line="216" w:lineRule="exact"/>
        <w:rPr>
          <w:sz w:val="20"/>
          <w:szCs w:val="20"/>
          <w:color w:val="auto"/>
        </w:rPr>
      </w:pPr>
    </w:p>
    <w:p>
      <w:pPr>
        <w:sectPr>
          <w:pgSz w:w="11900" w:h="16838" w:orient="portrait"/>
          <w:cols w:equalWidth="0" w:num="4">
            <w:col w:w="4740" w:space="100"/>
            <w:col w:w="1940" w:space="280"/>
            <w:col w:w="1860" w:space="340"/>
            <w:col w:w="1980"/>
          </w:cols>
          <w:pgMar w:left="240" w:top="459" w:right="419" w:bottom="1440" w:gutter="0" w:footer="0" w:header="0"/>
          <w:type w:val="continuous"/>
        </w:sectPr>
      </w:pPr>
    </w:p>
    <w:p>
      <w:pPr>
        <w:ind w:left="280"/>
        <w:spacing w:after="0"/>
        <w:rPr>
          <w:sz w:val="20"/>
          <w:szCs w:val="20"/>
          <w:color w:val="auto"/>
        </w:rPr>
      </w:pPr>
      <w:r>
        <w:rPr>
          <w:rFonts w:ascii="Arial" w:cs="Arial" w:eastAsia="Arial" w:hAnsi="Arial"/>
          <w:sz w:val="14"/>
          <w:szCs w:val="14"/>
          <w:b w:val="1"/>
          <w:bCs w:val="1"/>
          <w:color w:val="auto"/>
        </w:rPr>
        <w:t>Executive Compensation:</w:t>
      </w:r>
    </w:p>
    <w:p>
      <w:pPr>
        <w:spacing w:after="0" w:line="10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80" w:type="dxa"/>
            <w:vAlign w:val="bottom"/>
          </w:tcPr>
          <w:p>
            <w:pPr>
              <w:ind w:left="60"/>
              <w:spacing w:after="0"/>
              <w:rPr>
                <w:sz w:val="20"/>
                <w:szCs w:val="20"/>
                <w:color w:val="auto"/>
              </w:rPr>
            </w:pPr>
            <w:r>
              <w:rPr>
                <w:rFonts w:ascii="Arial" w:cs="Arial" w:eastAsia="Arial" w:hAnsi="Arial"/>
                <w:sz w:val="14"/>
                <w:szCs w:val="14"/>
                <w:color w:val="auto"/>
              </w:rPr>
              <w:t>- Advisory Vote on</w:t>
            </w:r>
          </w:p>
        </w:tc>
        <w:tc>
          <w:tcPr>
            <w:tcW w:w="2260" w:type="dxa"/>
            <w:vAlign w:val="bottom"/>
          </w:tcPr>
          <w:p>
            <w:pPr>
              <w:ind w:left="240"/>
              <w:spacing w:after="0"/>
              <w:rPr>
                <w:sz w:val="20"/>
                <w:szCs w:val="20"/>
                <w:color w:val="auto"/>
              </w:rPr>
            </w:pPr>
            <w:r>
              <w:rPr>
                <w:rFonts w:ascii="Arial" w:cs="Arial" w:eastAsia="Arial" w:hAnsi="Arial"/>
                <w:sz w:val="14"/>
                <w:szCs w:val="14"/>
                <w:color w:val="auto"/>
              </w:rPr>
              <w:t>FOR, AGAINST or ABSTAIN</w:t>
            </w:r>
          </w:p>
        </w:tc>
        <w:tc>
          <w:tcPr>
            <w:tcW w:w="2320" w:type="dxa"/>
            <w:vAlign w:val="bottom"/>
          </w:tcPr>
          <w:p>
            <w:pPr>
              <w:ind w:left="180"/>
              <w:spacing w:after="0"/>
              <w:rPr>
                <w:sz w:val="20"/>
                <w:szCs w:val="20"/>
                <w:color w:val="auto"/>
              </w:rPr>
            </w:pPr>
            <w:r>
              <w:rPr>
                <w:rFonts w:ascii="Arial" w:cs="Arial" w:eastAsia="Arial" w:hAnsi="Arial"/>
                <w:sz w:val="14"/>
                <w:szCs w:val="14"/>
                <w:color w:val="auto"/>
              </w:rPr>
              <w:t>Majority of the shares present or</w:t>
            </w:r>
          </w:p>
        </w:tc>
        <w:tc>
          <w:tcPr>
            <w:tcW w:w="2040" w:type="dxa"/>
            <w:vAlign w:val="bottom"/>
          </w:tcPr>
          <w:p>
            <w:pPr>
              <w:ind w:left="80"/>
              <w:spacing w:after="0"/>
              <w:rPr>
                <w:sz w:val="20"/>
                <w:szCs w:val="20"/>
                <w:color w:val="auto"/>
              </w:rPr>
            </w:pPr>
            <w:r>
              <w:rPr>
                <w:rFonts w:ascii="Arial" w:cs="Arial" w:eastAsia="Arial" w:hAnsi="Arial"/>
                <w:sz w:val="14"/>
                <w:szCs w:val="14"/>
                <w:color w:val="auto"/>
              </w:rPr>
              <w:t>Counts as a vote AGAINST</w:t>
            </w:r>
          </w:p>
        </w:tc>
        <w:tc>
          <w:tcPr>
            <w:tcW w:w="2220" w:type="dxa"/>
            <w:vAlign w:val="bottom"/>
          </w:tcPr>
          <w:p>
            <w:pPr>
              <w:ind w:left="240"/>
              <w:spacing w:after="0"/>
              <w:rPr>
                <w:sz w:val="20"/>
                <w:szCs w:val="20"/>
                <w:color w:val="auto"/>
              </w:rPr>
            </w:pPr>
            <w:r>
              <w:rPr>
                <w:rFonts w:ascii="Arial" w:cs="Arial" w:eastAsia="Arial" w:hAnsi="Arial"/>
                <w:sz w:val="14"/>
                <w:szCs w:val="14"/>
                <w:color w:val="auto"/>
              </w:rPr>
              <w:t>No effect — broker non-votes</w:t>
            </w:r>
          </w:p>
        </w:tc>
      </w:tr>
      <w:tr>
        <w:trPr>
          <w:trHeight w:val="219"/>
        </w:trPr>
        <w:tc>
          <w:tcPr>
            <w:tcW w:w="2180" w:type="dxa"/>
            <w:vAlign w:val="bottom"/>
          </w:tcPr>
          <w:p>
            <w:pPr>
              <w:ind w:left="140"/>
              <w:spacing w:after="0" w:line="219" w:lineRule="exact"/>
              <w:rPr>
                <w:sz w:val="20"/>
                <w:szCs w:val="20"/>
                <w:color w:val="auto"/>
              </w:rPr>
            </w:pPr>
            <w:r>
              <w:rPr>
                <w:rFonts w:ascii="Arial" w:cs="Arial" w:eastAsia="Arial" w:hAnsi="Arial"/>
                <w:sz w:val="14"/>
                <w:szCs w:val="14"/>
                <w:color w:val="auto"/>
              </w:rPr>
              <w:t>Compensation</w:t>
            </w:r>
            <w:r>
              <w:rPr>
                <w:rFonts w:ascii="Arial" w:cs="Arial" w:eastAsia="Arial" w:hAnsi="Arial"/>
                <w:sz w:val="24"/>
                <w:szCs w:val="24"/>
                <w:color w:val="auto"/>
                <w:vertAlign w:val="superscript"/>
              </w:rPr>
              <w:t>4</w:t>
            </w:r>
          </w:p>
        </w:tc>
        <w:tc>
          <w:tcPr>
            <w:tcW w:w="2260" w:type="dxa"/>
            <w:vAlign w:val="bottom"/>
          </w:tcPr>
          <w:p>
            <w:pPr>
              <w:spacing w:after="0"/>
              <w:rPr>
                <w:sz w:val="19"/>
                <w:szCs w:val="19"/>
                <w:color w:val="auto"/>
              </w:rPr>
            </w:pPr>
          </w:p>
        </w:tc>
        <w:tc>
          <w:tcPr>
            <w:tcW w:w="2320" w:type="dxa"/>
            <w:vAlign w:val="bottom"/>
          </w:tcPr>
          <w:p>
            <w:pPr>
              <w:ind w:left="180"/>
              <w:spacing w:after="0"/>
              <w:rPr>
                <w:sz w:val="20"/>
                <w:szCs w:val="20"/>
                <w:color w:val="auto"/>
              </w:rPr>
            </w:pPr>
            <w:r>
              <w:rPr>
                <w:rFonts w:ascii="Arial" w:cs="Arial" w:eastAsia="Arial" w:hAnsi="Arial"/>
                <w:sz w:val="14"/>
                <w:szCs w:val="14"/>
                <w:color w:val="auto"/>
              </w:rPr>
              <w:t>represented by proxy</w:t>
            </w:r>
          </w:p>
        </w:tc>
        <w:tc>
          <w:tcPr>
            <w:tcW w:w="2040" w:type="dxa"/>
            <w:vAlign w:val="bottom"/>
          </w:tcPr>
          <w:p>
            <w:pPr>
              <w:spacing w:after="0"/>
              <w:rPr>
                <w:sz w:val="19"/>
                <w:szCs w:val="19"/>
                <w:color w:val="auto"/>
              </w:rPr>
            </w:pPr>
          </w:p>
        </w:tc>
        <w:tc>
          <w:tcPr>
            <w:tcW w:w="2220" w:type="dxa"/>
            <w:vAlign w:val="bottom"/>
          </w:tcPr>
          <w:p>
            <w:pPr>
              <w:ind w:left="240"/>
              <w:spacing w:after="0"/>
              <w:rPr>
                <w:sz w:val="20"/>
                <w:szCs w:val="20"/>
                <w:color w:val="auto"/>
              </w:rPr>
            </w:pPr>
            <w:r>
              <w:rPr>
                <w:rFonts w:ascii="Arial" w:cs="Arial" w:eastAsia="Arial" w:hAnsi="Arial"/>
                <w:sz w:val="14"/>
                <w:szCs w:val="14"/>
                <w:color w:val="auto"/>
              </w:rPr>
              <w:t>are not permitted</w:t>
            </w:r>
          </w:p>
        </w:tc>
      </w:tr>
      <w:tr>
        <w:trPr>
          <w:trHeight w:val="237"/>
        </w:trPr>
        <w:tc>
          <w:tcPr>
            <w:tcW w:w="21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Audit Matters:</w:t>
            </w:r>
          </w:p>
        </w:tc>
        <w:tc>
          <w:tcPr>
            <w:tcW w:w="2260" w:type="dxa"/>
            <w:vAlign w:val="bottom"/>
            <w:tcBorders>
              <w:bottom w:val="single" w:sz="8" w:color="E5E5E5"/>
            </w:tcBorders>
            <w:shd w:val="clear" w:color="auto" w:fill="E5E5E5"/>
          </w:tcPr>
          <w:p>
            <w:pPr>
              <w:spacing w:after="0"/>
              <w:rPr>
                <w:sz w:val="20"/>
                <w:szCs w:val="20"/>
                <w:color w:val="auto"/>
              </w:rPr>
            </w:pPr>
          </w:p>
        </w:tc>
        <w:tc>
          <w:tcPr>
            <w:tcW w:w="2320" w:type="dxa"/>
            <w:vAlign w:val="bottom"/>
            <w:tcBorders>
              <w:bottom w:val="single" w:sz="8" w:color="E5E5E5"/>
            </w:tcBorders>
            <w:shd w:val="clear" w:color="auto" w:fill="E5E5E5"/>
          </w:tcPr>
          <w:p>
            <w:pPr>
              <w:spacing w:after="0"/>
              <w:rPr>
                <w:sz w:val="20"/>
                <w:szCs w:val="20"/>
                <w:color w:val="auto"/>
              </w:rPr>
            </w:pPr>
          </w:p>
        </w:tc>
        <w:tc>
          <w:tcPr>
            <w:tcW w:w="2040" w:type="dxa"/>
            <w:vAlign w:val="bottom"/>
            <w:tcBorders>
              <w:bottom w:val="single" w:sz="8" w:color="E5E5E5"/>
            </w:tcBorders>
            <w:shd w:val="clear" w:color="auto" w:fill="E5E5E5"/>
          </w:tcPr>
          <w:p>
            <w:pPr>
              <w:spacing w:after="0"/>
              <w:rPr>
                <w:sz w:val="20"/>
                <w:szCs w:val="20"/>
                <w:color w:val="auto"/>
              </w:rPr>
            </w:pPr>
          </w:p>
        </w:tc>
        <w:tc>
          <w:tcPr>
            <w:tcW w:w="2220" w:type="dxa"/>
            <w:vAlign w:val="bottom"/>
            <w:tcBorders>
              <w:bottom w:val="single" w:sz="8" w:color="E5E5E5"/>
            </w:tcBorders>
            <w:shd w:val="clear" w:color="auto" w:fill="E5E5E5"/>
          </w:tcPr>
          <w:p>
            <w:pPr>
              <w:spacing w:after="0"/>
              <w:rPr>
                <w:sz w:val="20"/>
                <w:szCs w:val="20"/>
                <w:color w:val="auto"/>
              </w:rPr>
            </w:pPr>
          </w:p>
        </w:tc>
      </w:tr>
      <w:tr>
        <w:trPr>
          <w:trHeight w:val="207"/>
        </w:trPr>
        <w:tc>
          <w:tcPr>
            <w:tcW w:w="2180" w:type="dxa"/>
            <w:vAlign w:val="bottom"/>
          </w:tcPr>
          <w:p>
            <w:pPr>
              <w:ind w:left="60"/>
              <w:spacing w:after="0"/>
              <w:rPr>
                <w:sz w:val="20"/>
                <w:szCs w:val="20"/>
                <w:color w:val="auto"/>
              </w:rPr>
            </w:pPr>
            <w:r>
              <w:rPr>
                <w:rFonts w:ascii="Arial" w:cs="Arial" w:eastAsia="Arial" w:hAnsi="Arial"/>
                <w:sz w:val="14"/>
                <w:szCs w:val="14"/>
                <w:color w:val="auto"/>
              </w:rPr>
              <w:t>Ratification of Auditor</w:t>
            </w:r>
          </w:p>
        </w:tc>
        <w:tc>
          <w:tcPr>
            <w:tcW w:w="2260" w:type="dxa"/>
            <w:vAlign w:val="bottom"/>
          </w:tcPr>
          <w:p>
            <w:pPr>
              <w:ind w:left="240"/>
              <w:spacing w:after="0"/>
              <w:rPr>
                <w:sz w:val="20"/>
                <w:szCs w:val="20"/>
                <w:color w:val="auto"/>
              </w:rPr>
            </w:pPr>
            <w:r>
              <w:rPr>
                <w:rFonts w:ascii="Arial" w:cs="Arial" w:eastAsia="Arial" w:hAnsi="Arial"/>
                <w:sz w:val="14"/>
                <w:szCs w:val="14"/>
                <w:color w:val="auto"/>
              </w:rPr>
              <w:t>FOR, AGAINST or ABSTAIN</w:t>
            </w:r>
          </w:p>
        </w:tc>
        <w:tc>
          <w:tcPr>
            <w:tcW w:w="2320" w:type="dxa"/>
            <w:vAlign w:val="bottom"/>
          </w:tcPr>
          <w:p>
            <w:pPr>
              <w:ind w:left="180"/>
              <w:spacing w:after="0"/>
              <w:rPr>
                <w:sz w:val="20"/>
                <w:szCs w:val="20"/>
                <w:color w:val="auto"/>
              </w:rPr>
            </w:pPr>
            <w:r>
              <w:rPr>
                <w:rFonts w:ascii="Arial" w:cs="Arial" w:eastAsia="Arial" w:hAnsi="Arial"/>
                <w:sz w:val="14"/>
                <w:szCs w:val="14"/>
                <w:color w:val="auto"/>
              </w:rPr>
              <w:t>Majority of the shares present or</w:t>
            </w:r>
          </w:p>
        </w:tc>
        <w:tc>
          <w:tcPr>
            <w:tcW w:w="2040" w:type="dxa"/>
            <w:vAlign w:val="bottom"/>
          </w:tcPr>
          <w:p>
            <w:pPr>
              <w:ind w:left="80"/>
              <w:spacing w:after="0"/>
              <w:rPr>
                <w:sz w:val="20"/>
                <w:szCs w:val="20"/>
                <w:color w:val="auto"/>
              </w:rPr>
            </w:pPr>
            <w:r>
              <w:rPr>
                <w:rFonts w:ascii="Arial" w:cs="Arial" w:eastAsia="Arial" w:hAnsi="Arial"/>
                <w:sz w:val="14"/>
                <w:szCs w:val="14"/>
                <w:color w:val="auto"/>
              </w:rPr>
              <w:t>Counts as a vote AGAINST</w:t>
            </w:r>
          </w:p>
        </w:tc>
        <w:tc>
          <w:tcPr>
            <w:tcW w:w="2220" w:type="dxa"/>
            <w:vAlign w:val="bottom"/>
          </w:tcPr>
          <w:p>
            <w:pPr>
              <w:ind w:left="240"/>
              <w:spacing w:after="0"/>
              <w:rPr>
                <w:sz w:val="20"/>
                <w:szCs w:val="20"/>
                <w:color w:val="auto"/>
              </w:rPr>
            </w:pPr>
            <w:r>
              <w:rPr>
                <w:rFonts w:ascii="Arial" w:cs="Arial" w:eastAsia="Arial" w:hAnsi="Arial"/>
                <w:sz w:val="14"/>
                <w:szCs w:val="14"/>
                <w:color w:val="auto"/>
              </w:rPr>
              <w:t>N/A — the organization that</w:t>
            </w:r>
          </w:p>
        </w:tc>
      </w:tr>
      <w:tr>
        <w:trPr>
          <w:trHeight w:val="162"/>
        </w:trPr>
        <w:tc>
          <w:tcPr>
            <w:tcW w:w="2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320" w:type="dxa"/>
            <w:vAlign w:val="bottom"/>
          </w:tcPr>
          <w:p>
            <w:pPr>
              <w:ind w:left="180"/>
              <w:spacing w:after="0"/>
              <w:rPr>
                <w:sz w:val="20"/>
                <w:szCs w:val="20"/>
                <w:color w:val="auto"/>
              </w:rPr>
            </w:pPr>
            <w:r>
              <w:rPr>
                <w:rFonts w:ascii="Arial" w:cs="Arial" w:eastAsia="Arial" w:hAnsi="Arial"/>
                <w:sz w:val="14"/>
                <w:szCs w:val="14"/>
                <w:color w:val="auto"/>
              </w:rPr>
              <w:t>represented by proxy</w:t>
            </w:r>
          </w:p>
        </w:tc>
        <w:tc>
          <w:tcPr>
            <w:tcW w:w="2040" w:type="dxa"/>
            <w:vAlign w:val="bottom"/>
          </w:tcPr>
          <w:p>
            <w:pPr>
              <w:spacing w:after="0"/>
              <w:rPr>
                <w:sz w:val="14"/>
                <w:szCs w:val="14"/>
                <w:color w:val="auto"/>
              </w:rPr>
            </w:pPr>
          </w:p>
        </w:tc>
        <w:tc>
          <w:tcPr>
            <w:tcW w:w="2220" w:type="dxa"/>
            <w:vAlign w:val="bottom"/>
          </w:tcPr>
          <w:p>
            <w:pPr>
              <w:ind w:left="240"/>
              <w:spacing w:after="0"/>
              <w:rPr>
                <w:sz w:val="20"/>
                <w:szCs w:val="20"/>
                <w:color w:val="auto"/>
              </w:rPr>
            </w:pPr>
            <w:r>
              <w:rPr>
                <w:rFonts w:ascii="Arial" w:cs="Arial" w:eastAsia="Arial" w:hAnsi="Arial"/>
                <w:sz w:val="14"/>
                <w:szCs w:val="14"/>
                <w:color w:val="auto"/>
              </w:rPr>
              <w:t>holds shares of beneficial</w:t>
            </w:r>
          </w:p>
        </w:tc>
      </w:tr>
      <w:tr>
        <w:trPr>
          <w:trHeight w:val="162"/>
        </w:trPr>
        <w:tc>
          <w:tcPr>
            <w:tcW w:w="2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20" w:type="dxa"/>
            <w:vAlign w:val="bottom"/>
          </w:tcPr>
          <w:p>
            <w:pPr>
              <w:ind w:left="240"/>
              <w:spacing w:after="0"/>
              <w:rPr>
                <w:sz w:val="20"/>
                <w:szCs w:val="20"/>
                <w:color w:val="auto"/>
              </w:rPr>
            </w:pPr>
            <w:r>
              <w:rPr>
                <w:rFonts w:ascii="Arial" w:cs="Arial" w:eastAsia="Arial" w:hAnsi="Arial"/>
                <w:sz w:val="14"/>
                <w:szCs w:val="14"/>
                <w:color w:val="auto"/>
              </w:rPr>
              <w:t>owners may vote in their</w:t>
            </w:r>
          </w:p>
        </w:tc>
      </w:tr>
      <w:tr>
        <w:trPr>
          <w:trHeight w:val="172"/>
        </w:trPr>
        <w:tc>
          <w:tcPr>
            <w:tcW w:w="2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20" w:type="dxa"/>
            <w:vAlign w:val="bottom"/>
          </w:tcPr>
          <w:p>
            <w:pPr>
              <w:ind w:left="240"/>
              <w:spacing w:after="0"/>
              <w:rPr>
                <w:sz w:val="20"/>
                <w:szCs w:val="20"/>
                <w:color w:val="auto"/>
              </w:rPr>
            </w:pPr>
            <w:r>
              <w:rPr>
                <w:rFonts w:ascii="Arial" w:cs="Arial" w:eastAsia="Arial" w:hAnsi="Arial"/>
                <w:sz w:val="14"/>
                <w:szCs w:val="14"/>
                <w:color w:val="auto"/>
              </w:rPr>
              <w:t>discretion</w:t>
            </w:r>
          </w:p>
        </w:tc>
      </w:tr>
      <w:tr>
        <w:trPr>
          <w:trHeight w:val="39"/>
        </w:trPr>
        <w:tc>
          <w:tcPr>
            <w:tcW w:w="21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07"/>
        </w:trPr>
        <w:tc>
          <w:tcPr>
            <w:tcW w:w="218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Shareholder Proposals:</w:t>
            </w:r>
          </w:p>
        </w:tc>
        <w:tc>
          <w:tcPr>
            <w:tcW w:w="2260" w:type="dxa"/>
            <w:vAlign w:val="bottom"/>
            <w:shd w:val="clear" w:color="auto" w:fill="E5E5E5"/>
          </w:tcPr>
          <w:p>
            <w:pPr>
              <w:ind w:left="240"/>
              <w:spacing w:after="0"/>
              <w:rPr>
                <w:sz w:val="20"/>
                <w:szCs w:val="20"/>
                <w:color w:val="auto"/>
              </w:rPr>
            </w:pPr>
            <w:r>
              <w:rPr>
                <w:rFonts w:ascii="Arial" w:cs="Arial" w:eastAsia="Arial" w:hAnsi="Arial"/>
                <w:sz w:val="14"/>
                <w:szCs w:val="14"/>
                <w:color w:val="auto"/>
              </w:rPr>
              <w:t>FOR, AGAINST or ABSTAIN</w:t>
            </w:r>
          </w:p>
        </w:tc>
        <w:tc>
          <w:tcPr>
            <w:tcW w:w="2320" w:type="dxa"/>
            <w:vAlign w:val="bottom"/>
            <w:shd w:val="clear" w:color="auto" w:fill="E5E5E5"/>
          </w:tcPr>
          <w:p>
            <w:pPr>
              <w:ind w:left="180"/>
              <w:spacing w:after="0"/>
              <w:rPr>
                <w:sz w:val="20"/>
                <w:szCs w:val="20"/>
                <w:color w:val="auto"/>
              </w:rPr>
            </w:pPr>
            <w:r>
              <w:rPr>
                <w:rFonts w:ascii="Arial" w:cs="Arial" w:eastAsia="Arial" w:hAnsi="Arial"/>
                <w:sz w:val="14"/>
                <w:szCs w:val="14"/>
                <w:color w:val="auto"/>
              </w:rPr>
              <w:t>Majority of the shares present or</w:t>
            </w:r>
          </w:p>
        </w:tc>
        <w:tc>
          <w:tcPr>
            <w:tcW w:w="2040" w:type="dxa"/>
            <w:vAlign w:val="bottom"/>
            <w:shd w:val="clear" w:color="auto" w:fill="E5E5E5"/>
          </w:tcPr>
          <w:p>
            <w:pPr>
              <w:ind w:left="80"/>
              <w:spacing w:after="0"/>
              <w:rPr>
                <w:sz w:val="20"/>
                <w:szCs w:val="20"/>
                <w:color w:val="auto"/>
              </w:rPr>
            </w:pPr>
            <w:r>
              <w:rPr>
                <w:rFonts w:ascii="Arial" w:cs="Arial" w:eastAsia="Arial" w:hAnsi="Arial"/>
                <w:sz w:val="14"/>
                <w:szCs w:val="14"/>
                <w:color w:val="auto"/>
              </w:rPr>
              <w:t>Counts as a vote AGAINST</w:t>
            </w:r>
          </w:p>
        </w:tc>
        <w:tc>
          <w:tcPr>
            <w:tcW w:w="2220" w:type="dxa"/>
            <w:vAlign w:val="bottom"/>
            <w:shd w:val="clear" w:color="auto" w:fill="E5E5E5"/>
          </w:tcPr>
          <w:p>
            <w:pPr>
              <w:ind w:left="240"/>
              <w:spacing w:after="0"/>
              <w:rPr>
                <w:sz w:val="20"/>
                <w:szCs w:val="20"/>
                <w:color w:val="auto"/>
              </w:rPr>
            </w:pPr>
            <w:r>
              <w:rPr>
                <w:rFonts w:ascii="Arial" w:cs="Arial" w:eastAsia="Arial" w:hAnsi="Arial"/>
                <w:sz w:val="14"/>
                <w:szCs w:val="14"/>
                <w:color w:val="auto"/>
              </w:rPr>
              <w:t>No effect — broker non-votes</w:t>
            </w:r>
          </w:p>
        </w:tc>
      </w:tr>
      <w:tr>
        <w:trPr>
          <w:trHeight w:val="162"/>
        </w:trPr>
        <w:tc>
          <w:tcPr>
            <w:tcW w:w="2180" w:type="dxa"/>
            <w:vAlign w:val="bottom"/>
            <w:shd w:val="clear" w:color="auto" w:fill="E5E5E5"/>
          </w:tcPr>
          <w:p>
            <w:pPr>
              <w:ind w:left="60"/>
              <w:spacing w:after="0"/>
              <w:rPr>
                <w:sz w:val="20"/>
                <w:szCs w:val="20"/>
                <w:color w:val="auto"/>
              </w:rPr>
            </w:pPr>
            <w:r>
              <w:rPr>
                <w:rFonts w:ascii="Arial" w:cs="Arial" w:eastAsia="Arial" w:hAnsi="Arial"/>
                <w:sz w:val="14"/>
                <w:szCs w:val="14"/>
                <w:color w:val="auto"/>
              </w:rPr>
              <w:t>(voting requirements for each</w:t>
            </w:r>
          </w:p>
        </w:tc>
        <w:tc>
          <w:tcPr>
            <w:tcW w:w="2260" w:type="dxa"/>
            <w:vAlign w:val="bottom"/>
            <w:shd w:val="clear" w:color="auto" w:fill="E5E5E5"/>
          </w:tcPr>
          <w:p>
            <w:pPr>
              <w:spacing w:after="0"/>
              <w:rPr>
                <w:sz w:val="14"/>
                <w:szCs w:val="14"/>
                <w:color w:val="auto"/>
              </w:rPr>
            </w:pPr>
          </w:p>
        </w:tc>
        <w:tc>
          <w:tcPr>
            <w:tcW w:w="2320" w:type="dxa"/>
            <w:vAlign w:val="bottom"/>
            <w:shd w:val="clear" w:color="auto" w:fill="E5E5E5"/>
          </w:tcPr>
          <w:p>
            <w:pPr>
              <w:ind w:left="180"/>
              <w:spacing w:after="0"/>
              <w:rPr>
                <w:sz w:val="20"/>
                <w:szCs w:val="20"/>
                <w:color w:val="auto"/>
              </w:rPr>
            </w:pPr>
            <w:r>
              <w:rPr>
                <w:rFonts w:ascii="Arial" w:cs="Arial" w:eastAsia="Arial" w:hAnsi="Arial"/>
                <w:sz w:val="14"/>
                <w:szCs w:val="14"/>
                <w:color w:val="auto"/>
              </w:rPr>
              <w:t>represented by proxy</w:t>
            </w:r>
          </w:p>
        </w:tc>
        <w:tc>
          <w:tcPr>
            <w:tcW w:w="2040" w:type="dxa"/>
            <w:vAlign w:val="bottom"/>
            <w:shd w:val="clear" w:color="auto" w:fill="E5E5E5"/>
          </w:tcPr>
          <w:p>
            <w:pPr>
              <w:spacing w:after="0"/>
              <w:rPr>
                <w:sz w:val="14"/>
                <w:szCs w:val="14"/>
                <w:color w:val="auto"/>
              </w:rPr>
            </w:pPr>
          </w:p>
        </w:tc>
        <w:tc>
          <w:tcPr>
            <w:tcW w:w="2220" w:type="dxa"/>
            <w:vAlign w:val="bottom"/>
            <w:shd w:val="clear" w:color="auto" w:fill="E5E5E5"/>
          </w:tcPr>
          <w:p>
            <w:pPr>
              <w:ind w:left="240"/>
              <w:spacing w:after="0"/>
              <w:rPr>
                <w:sz w:val="20"/>
                <w:szCs w:val="20"/>
                <w:color w:val="auto"/>
              </w:rPr>
            </w:pPr>
            <w:r>
              <w:rPr>
                <w:rFonts w:ascii="Arial" w:cs="Arial" w:eastAsia="Arial" w:hAnsi="Arial"/>
                <w:sz w:val="14"/>
                <w:szCs w:val="14"/>
                <w:color w:val="auto"/>
              </w:rPr>
              <w:t>are not permitted</w:t>
            </w:r>
          </w:p>
        </w:tc>
      </w:tr>
      <w:tr>
        <w:trPr>
          <w:trHeight w:val="172"/>
        </w:trPr>
        <w:tc>
          <w:tcPr>
            <w:tcW w:w="2180" w:type="dxa"/>
            <w:vAlign w:val="bottom"/>
            <w:shd w:val="clear" w:color="auto" w:fill="E5E5E5"/>
          </w:tcPr>
          <w:p>
            <w:pPr>
              <w:ind w:left="60"/>
              <w:spacing w:after="0"/>
              <w:rPr>
                <w:sz w:val="20"/>
                <w:szCs w:val="20"/>
                <w:color w:val="auto"/>
              </w:rPr>
            </w:pPr>
            <w:r>
              <w:rPr>
                <w:rFonts w:ascii="Arial" w:cs="Arial" w:eastAsia="Arial" w:hAnsi="Arial"/>
                <w:sz w:val="14"/>
                <w:szCs w:val="14"/>
                <w:color w:val="auto"/>
              </w:rPr>
              <w:t>proposal are the same)</w:t>
            </w:r>
          </w:p>
        </w:tc>
        <w:tc>
          <w:tcPr>
            <w:tcW w:w="2260" w:type="dxa"/>
            <w:vAlign w:val="bottom"/>
            <w:shd w:val="clear" w:color="auto" w:fill="E5E5E5"/>
          </w:tcPr>
          <w:p>
            <w:pPr>
              <w:spacing w:after="0"/>
              <w:rPr>
                <w:sz w:val="14"/>
                <w:szCs w:val="14"/>
                <w:color w:val="auto"/>
              </w:rPr>
            </w:pPr>
          </w:p>
        </w:tc>
        <w:tc>
          <w:tcPr>
            <w:tcW w:w="2320" w:type="dxa"/>
            <w:vAlign w:val="bottom"/>
            <w:shd w:val="clear" w:color="auto" w:fill="E5E5E5"/>
          </w:tcPr>
          <w:p>
            <w:pPr>
              <w:spacing w:after="0"/>
              <w:rPr>
                <w:sz w:val="14"/>
                <w:szCs w:val="14"/>
                <w:color w:val="auto"/>
              </w:rPr>
            </w:pPr>
          </w:p>
        </w:tc>
        <w:tc>
          <w:tcPr>
            <w:tcW w:w="2040" w:type="dxa"/>
            <w:vAlign w:val="bottom"/>
            <w:shd w:val="clear" w:color="auto" w:fill="E5E5E5"/>
          </w:tcPr>
          <w:p>
            <w:pPr>
              <w:spacing w:after="0"/>
              <w:rPr>
                <w:sz w:val="14"/>
                <w:szCs w:val="14"/>
                <w:color w:val="auto"/>
              </w:rPr>
            </w:pPr>
          </w:p>
        </w:tc>
        <w:tc>
          <w:tcPr>
            <w:tcW w:w="2220" w:type="dxa"/>
            <w:vAlign w:val="bottom"/>
            <w:shd w:val="clear" w:color="auto" w:fill="E5E5E5"/>
          </w:tcPr>
          <w:p>
            <w:pPr>
              <w:spacing w:after="0"/>
              <w:rPr>
                <w:sz w:val="14"/>
                <w:szCs w:val="14"/>
                <w:color w:val="auto"/>
              </w:rPr>
            </w:pPr>
          </w:p>
        </w:tc>
      </w:tr>
      <w:tr>
        <w:trPr>
          <w:trHeight w:val="39"/>
        </w:trPr>
        <w:tc>
          <w:tcPr>
            <w:tcW w:w="2180" w:type="dxa"/>
            <w:vAlign w:val="bottom"/>
            <w:shd w:val="clear" w:color="auto" w:fill="E5E5E5"/>
          </w:tcPr>
          <w:p>
            <w:pPr>
              <w:spacing w:after="0"/>
              <w:rPr>
                <w:sz w:val="3"/>
                <w:szCs w:val="3"/>
                <w:color w:val="auto"/>
              </w:rPr>
            </w:pPr>
          </w:p>
        </w:tc>
        <w:tc>
          <w:tcPr>
            <w:tcW w:w="2260" w:type="dxa"/>
            <w:vAlign w:val="bottom"/>
            <w:shd w:val="clear" w:color="auto" w:fill="E5E5E5"/>
          </w:tcPr>
          <w:p>
            <w:pPr>
              <w:spacing w:after="0"/>
              <w:rPr>
                <w:sz w:val="3"/>
                <w:szCs w:val="3"/>
                <w:color w:val="auto"/>
              </w:rPr>
            </w:pPr>
          </w:p>
        </w:tc>
        <w:tc>
          <w:tcPr>
            <w:tcW w:w="2320" w:type="dxa"/>
            <w:vAlign w:val="bottom"/>
            <w:shd w:val="clear" w:color="auto" w:fill="E5E5E5"/>
          </w:tcPr>
          <w:p>
            <w:pPr>
              <w:spacing w:after="0"/>
              <w:rPr>
                <w:sz w:val="3"/>
                <w:szCs w:val="3"/>
                <w:color w:val="auto"/>
              </w:rPr>
            </w:pPr>
          </w:p>
        </w:tc>
        <w:tc>
          <w:tcPr>
            <w:tcW w:w="2040" w:type="dxa"/>
            <w:vAlign w:val="bottom"/>
            <w:shd w:val="clear" w:color="auto" w:fill="E5E5E5"/>
          </w:tcPr>
          <w:p>
            <w:pPr>
              <w:spacing w:after="0"/>
              <w:rPr>
                <w:sz w:val="3"/>
                <w:szCs w:val="3"/>
                <w:color w:val="auto"/>
              </w:rPr>
            </w:pPr>
          </w:p>
        </w:tc>
        <w:tc>
          <w:tcPr>
            <w:tcW w:w="2220" w:type="dxa"/>
            <w:vAlign w:val="bottom"/>
            <w:shd w:val="clear" w:color="auto" w:fill="E5E5E5"/>
          </w:tcPr>
          <w:p>
            <w:pPr>
              <w:spacing w:after="0"/>
              <w:rPr>
                <w:sz w:val="3"/>
                <w:szCs w:val="3"/>
                <w:color w:val="auto"/>
              </w:rPr>
            </w:pPr>
          </w:p>
        </w:tc>
      </w:tr>
    </w:tbl>
    <w:p>
      <w:pPr>
        <w:spacing w:after="0" w:line="221" w:lineRule="exact"/>
        <w:rPr>
          <w:sz w:val="20"/>
          <w:szCs w:val="20"/>
          <w:color w:val="auto"/>
        </w:rPr>
      </w:pPr>
    </w:p>
    <w:p>
      <w:pPr>
        <w:ind w:left="420" w:right="100" w:hanging="176"/>
        <w:spacing w:after="0" w:line="199" w:lineRule="auto"/>
        <w:tabs>
          <w:tab w:leader="none" w:pos="420" w:val="left"/>
        </w:tabs>
        <w:numPr>
          <w:ilvl w:val="0"/>
          <w:numId w:val="188"/>
        </w:numPr>
        <w:rPr>
          <w:rFonts w:ascii="Arial" w:cs="Arial" w:eastAsia="Arial" w:hAnsi="Arial"/>
          <w:sz w:val="24"/>
          <w:szCs w:val="24"/>
          <w:color w:val="auto"/>
          <w:vertAlign w:val="superscript"/>
        </w:rPr>
      </w:pPr>
      <w:r>
        <w:rPr>
          <w:rFonts w:ascii="Arial" w:cs="Arial" w:eastAsia="Arial" w:hAnsi="Arial"/>
          <w:sz w:val="14"/>
          <w:szCs w:val="14"/>
          <w:color w:val="auto"/>
        </w:rPr>
        <w:t>For election of directors, abstentions have no effect because the required vote is determined as follows: votes FOR divided by the sum of votes FOR plus votes AGAINST. For all other proposals (management and shareholder), abstentions are counted as a vote AGAINST the proposal because the required vote is determined as follows: votes FOR divided by the sum of votes FOR plus votes AGAINST plus votes ABSTAINING.</w:t>
      </w:r>
    </w:p>
    <w:p>
      <w:pPr>
        <w:spacing w:after="0" w:line="58" w:lineRule="exact"/>
        <w:rPr>
          <w:sz w:val="20"/>
          <w:szCs w:val="20"/>
          <w:color w:val="auto"/>
        </w:rPr>
      </w:pPr>
    </w:p>
    <w:p>
      <w:pPr>
        <w:ind w:left="420" w:right="380" w:hanging="176"/>
        <w:spacing w:after="0" w:line="183" w:lineRule="auto"/>
        <w:tabs>
          <w:tab w:leader="none" w:pos="420" w:val="left"/>
        </w:tabs>
        <w:numPr>
          <w:ilvl w:val="0"/>
          <w:numId w:val="189"/>
        </w:numPr>
        <w:rPr>
          <w:rFonts w:ascii="Arial" w:cs="Arial" w:eastAsia="Arial" w:hAnsi="Arial"/>
          <w:sz w:val="24"/>
          <w:szCs w:val="24"/>
          <w:color w:val="auto"/>
          <w:vertAlign w:val="superscript"/>
        </w:rPr>
      </w:pPr>
      <w:r>
        <w:rPr>
          <w:rFonts w:ascii="Arial" w:cs="Arial" w:eastAsia="Arial" w:hAnsi="Arial"/>
          <w:sz w:val="14"/>
          <w:szCs w:val="14"/>
          <w:color w:val="auto"/>
        </w:rPr>
        <w:t>For all proposals (management and shareholder) other than ratification of the independent auditor, broker non-votes have no effect because they are not considered shares entitled to vote on the proposal.</w:t>
      </w:r>
    </w:p>
    <w:p>
      <w:pPr>
        <w:spacing w:after="0" w:line="58" w:lineRule="exact"/>
        <w:rPr>
          <w:sz w:val="20"/>
          <w:szCs w:val="20"/>
          <w:color w:val="auto"/>
        </w:rPr>
      </w:pPr>
    </w:p>
    <w:p>
      <w:pPr>
        <w:ind w:left="420" w:right="160" w:hanging="176"/>
        <w:spacing w:after="0" w:line="199" w:lineRule="auto"/>
        <w:tabs>
          <w:tab w:leader="none" w:pos="420" w:val="left"/>
        </w:tabs>
        <w:numPr>
          <w:ilvl w:val="0"/>
          <w:numId w:val="190"/>
        </w:numPr>
        <w:rPr>
          <w:rFonts w:ascii="Arial" w:cs="Arial" w:eastAsia="Arial" w:hAnsi="Arial"/>
          <w:sz w:val="24"/>
          <w:szCs w:val="24"/>
          <w:color w:val="auto"/>
          <w:vertAlign w:val="superscript"/>
        </w:rPr>
      </w:pPr>
      <w:r>
        <w:rPr>
          <w:rFonts w:ascii="Arial" w:cs="Arial" w:eastAsia="Arial" w:hAnsi="Arial"/>
          <w:sz w:val="14"/>
          <w:szCs w:val="14"/>
          <w:color w:val="auto"/>
        </w:rPr>
        <w:t>If, in a non-contested election of directors, an incumbent nominee for director is not re-elected by a majority of votes cast, he or she must tender his or her resignation, and the Board of Directors, through a process managed by the Governance Committee, will decide whether to accept the resignation at its next regular meeting. Unless the Board decides to reject the offer or to postpone the effective date, the resignation shall become effective 45 days after the date of the election.</w:t>
      </w:r>
    </w:p>
    <w:p>
      <w:pPr>
        <w:ind w:left="420" w:hanging="176"/>
        <w:spacing w:after="0" w:line="200" w:lineRule="auto"/>
        <w:tabs>
          <w:tab w:leader="none" w:pos="420" w:val="left"/>
        </w:tabs>
        <w:numPr>
          <w:ilvl w:val="0"/>
          <w:numId w:val="191"/>
        </w:numPr>
        <w:rPr>
          <w:rFonts w:ascii="Arial" w:cs="Arial" w:eastAsia="Arial" w:hAnsi="Arial"/>
          <w:sz w:val="24"/>
          <w:szCs w:val="24"/>
          <w:color w:val="auto"/>
          <w:vertAlign w:val="superscript"/>
        </w:rPr>
      </w:pPr>
      <w:r>
        <w:rPr>
          <w:rFonts w:ascii="Arial" w:cs="Arial" w:eastAsia="Arial" w:hAnsi="Arial"/>
          <w:sz w:val="14"/>
          <w:szCs w:val="14"/>
          <w:color w:val="auto"/>
        </w:rPr>
        <w:t>The result of the advisory vote on compensation is not binding on the Board, whether or not the resolution is passed under the standard described above.</w:t>
      </w:r>
    </w:p>
    <w:p>
      <w:pPr>
        <w:sectPr>
          <w:pgSz w:w="11900" w:h="16838" w:orient="portrait"/>
          <w:cols w:equalWidth="0" w:num="1">
            <w:col w:w="11240"/>
          </w:cols>
          <w:pgMar w:left="240" w:top="459" w:right="419" w:bottom="1440" w:gutter="0" w:footer="0" w:header="0"/>
          <w:type w:val="continuous"/>
        </w:sect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Is my vote confidential?</w:t>
      </w:r>
    </w:p>
    <w:p>
      <w:pPr>
        <w:spacing w:after="0" w:line="18" w:lineRule="exact"/>
        <w:rPr>
          <w:sz w:val="20"/>
          <w:szCs w:val="20"/>
          <w:color w:val="auto"/>
        </w:rPr>
      </w:pPr>
    </w:p>
    <w:p>
      <w:pPr>
        <w:ind w:left="220"/>
        <w:spacing w:after="0" w:line="237" w:lineRule="auto"/>
        <w:rPr>
          <w:sz w:val="20"/>
          <w:szCs w:val="20"/>
          <w:color w:val="auto"/>
        </w:rPr>
      </w:pPr>
      <w:r>
        <w:rPr>
          <w:rFonts w:ascii="Arial" w:cs="Arial" w:eastAsia="Arial" w:hAnsi="Arial"/>
          <w:sz w:val="18"/>
          <w:szCs w:val="18"/>
          <w:color w:val="auto"/>
        </w:rPr>
        <w:t>Proxy instructions, ballots and voting tabulations that identify individual shareholders are handled in a manner that protects your voting privacy. JPMorgan Chase will not disclose the proxy instructions or ballots of individual shareholders except to those recording the vote, or as may be required in accordance with appropriate legal process, or as authorized by the shareholder.</w:t>
      </w:r>
    </w:p>
    <w:p>
      <w:pPr>
        <w:spacing w:after="0" w:line="183" w:lineRule="exact"/>
        <w:rPr>
          <w:sz w:val="20"/>
          <w:szCs w:val="20"/>
          <w:color w:val="auto"/>
        </w:rPr>
      </w:pPr>
    </w:p>
    <w:p>
      <w:pPr>
        <w:ind w:left="220" w:right="60"/>
        <w:spacing w:after="0" w:line="242" w:lineRule="auto"/>
        <w:rPr>
          <w:sz w:val="20"/>
          <w:szCs w:val="20"/>
          <w:color w:val="auto"/>
        </w:rPr>
      </w:pPr>
      <w:r>
        <w:rPr>
          <w:rFonts w:ascii="Arial" w:cs="Arial" w:eastAsia="Arial" w:hAnsi="Arial"/>
          <w:sz w:val="18"/>
          <w:szCs w:val="18"/>
          <w:b w:val="1"/>
          <w:bCs w:val="1"/>
          <w:color w:val="auto"/>
        </w:rPr>
        <w:t xml:space="preserve">Could other matters be decided at the 2019 annual meeting? </w:t>
      </w:r>
      <w:r>
        <w:rPr>
          <w:rFonts w:ascii="Arial" w:cs="Arial" w:eastAsia="Arial" w:hAnsi="Arial"/>
          <w:sz w:val="18"/>
          <w:szCs w:val="18"/>
          <w:color w:val="auto"/>
        </w:rPr>
        <w:t>We do not know of any matters that will be considered at the annual meeting other than those described above. If a shareholder proposal that was properly excluded from this proxy statement or is otherwise not properly presented at the meeting is nevertheless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brought before the meeting, the Chairman will declare such a proposal out of order, and it will be disregarded. If any other matters arise at the annual meeting that are properly presented at the meeting, the proxies will be voted at the discretion of the proxy holders.</w:t>
      </w:r>
    </w:p>
    <w:p>
      <w:pPr>
        <w:spacing w:after="0" w:line="18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color w:val="auto"/>
        </w:rPr>
        <w:t xml:space="preserve">What happens if the meeting is postponed or adjourned? </w:t>
      </w:r>
      <w:r>
        <w:rPr>
          <w:rFonts w:ascii="Arial" w:cs="Arial" w:eastAsia="Arial" w:hAnsi="Arial"/>
          <w:sz w:val="18"/>
          <w:szCs w:val="18"/>
          <w:color w:val="auto"/>
        </w:rPr>
        <w:t>Your proxy will still be good and may be voted at the postponed or adjourned meeting. You will still be able to change or revoke your proxy until it is voted.</w:t>
      </w:r>
    </w:p>
    <w:p>
      <w:pPr>
        <w:spacing w:after="0" w:line="17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 xml:space="preserve">Who counts the votes cast at our annual meeting? </w:t>
      </w:r>
      <w:r>
        <w:rPr>
          <w:rFonts w:ascii="Arial" w:cs="Arial" w:eastAsia="Arial" w:hAnsi="Arial"/>
          <w:sz w:val="18"/>
          <w:szCs w:val="18"/>
          <w:color w:val="auto"/>
        </w:rPr>
        <w:t>Representatives of Broadridge Financial Solutions, Inc. will tabulate the votes cast at our annual meeting, and American Election Services, LLC will act as the independent inspector of election.</w:t>
      </w:r>
    </w:p>
    <w:p>
      <w:pPr>
        <w:spacing w:after="0" w:line="200"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64"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2"/>
                <w:szCs w:val="12"/>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95</w:t>
            </w:r>
          </w:p>
        </w:tc>
      </w:tr>
    </w:tbl>
    <w:p>
      <w:pPr>
        <w:sectPr>
          <w:pgSz w:w="11900" w:h="16838" w:orient="portrait"/>
          <w:cols w:equalWidth="0" w:num="1">
            <w:col w:w="11240"/>
          </w:cols>
          <w:pgMar w:left="240" w:top="459" w:right="41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ANNUAL MEETING INFORMATION</w:t>
      </w:r>
    </w:p>
    <w:p>
      <w:pPr>
        <w:spacing w:after="0" w:line="200" w:lineRule="exact"/>
        <w:rPr>
          <w:sz w:val="20"/>
          <w:szCs w:val="20"/>
          <w:color w:val="auto"/>
        </w:rPr>
      </w:pPr>
    </w:p>
    <w:p>
      <w:pPr>
        <w:spacing w:after="0" w:line="226" w:lineRule="exact"/>
        <w:rPr>
          <w:sz w:val="20"/>
          <w:szCs w:val="20"/>
          <w:color w:val="auto"/>
        </w:rPr>
      </w:pPr>
    </w:p>
    <w:p>
      <w:pPr>
        <w:ind w:left="200" w:right="60"/>
        <w:spacing w:after="0" w:line="244" w:lineRule="auto"/>
        <w:rPr>
          <w:sz w:val="20"/>
          <w:szCs w:val="20"/>
          <w:color w:val="auto"/>
        </w:rPr>
      </w:pPr>
      <w:r>
        <w:rPr>
          <w:rFonts w:ascii="Arial" w:cs="Arial" w:eastAsia="Arial" w:hAnsi="Arial"/>
          <w:sz w:val="18"/>
          <w:szCs w:val="18"/>
          <w:b w:val="1"/>
          <w:bCs w:val="1"/>
          <w:color w:val="auto"/>
        </w:rPr>
        <w:t xml:space="preserve">Where can I find the voting results of our annual meeting? </w:t>
      </w:r>
      <w:r>
        <w:rPr>
          <w:rFonts w:ascii="Arial" w:cs="Arial" w:eastAsia="Arial" w:hAnsi="Arial"/>
          <w:sz w:val="18"/>
          <w:szCs w:val="18"/>
          <w:color w:val="auto"/>
        </w:rPr>
        <w:t>We expect to announce the preliminary voting results at our annual meeting. The final voting results will be reported on a Current Report on Form 8-K that will be filed with the SEC and be available on our website.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is paying the costs of this proxy solicitation?</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JPMorgan Chase is paying the costs of the solicitation of proxies.</w:t>
      </w:r>
    </w:p>
    <w:p>
      <w:pPr>
        <w:ind w:left="200"/>
        <w:spacing w:after="0" w:line="234" w:lineRule="auto"/>
        <w:rPr>
          <w:sz w:val="20"/>
          <w:szCs w:val="20"/>
          <w:color w:val="auto"/>
        </w:rPr>
      </w:pPr>
      <w:r>
        <w:rPr>
          <w:rFonts w:ascii="Arial" w:cs="Arial" w:eastAsia="Arial" w:hAnsi="Arial"/>
          <w:sz w:val="18"/>
          <w:szCs w:val="18"/>
          <w:color w:val="auto"/>
        </w:rPr>
        <w:t>JPMorgan Chase has retained MacKenzie Partners, Inc. to assist</w:t>
      </w:r>
    </w:p>
    <w:p>
      <w:pPr>
        <w:ind w:left="200"/>
        <w:spacing w:after="0" w:line="235" w:lineRule="auto"/>
        <w:rPr>
          <w:sz w:val="20"/>
          <w:szCs w:val="20"/>
          <w:color w:val="auto"/>
        </w:rPr>
      </w:pPr>
      <w:r>
        <w:rPr>
          <w:rFonts w:ascii="Arial" w:cs="Arial" w:eastAsia="Arial" w:hAnsi="Arial"/>
          <w:sz w:val="18"/>
          <w:szCs w:val="18"/>
          <w:color w:val="auto"/>
        </w:rPr>
        <w:t>in the distribution of proxy materials and the solicitation of proxies</w:t>
      </w:r>
    </w:p>
    <w:p>
      <w:pPr>
        <w:ind w:left="200"/>
        <w:spacing w:after="0" w:line="235" w:lineRule="auto"/>
        <w:rPr>
          <w:sz w:val="20"/>
          <w:szCs w:val="20"/>
          <w:color w:val="auto"/>
        </w:rPr>
      </w:pPr>
      <w:r>
        <w:rPr>
          <w:rFonts w:ascii="Arial" w:cs="Arial" w:eastAsia="Arial" w:hAnsi="Arial"/>
          <w:sz w:val="18"/>
          <w:szCs w:val="18"/>
          <w:color w:val="auto"/>
        </w:rPr>
        <w:t>from brokerage firms, banks, broker-dealers and other similar</w:t>
      </w:r>
    </w:p>
    <w:p>
      <w:pPr>
        <w:ind w:left="200"/>
        <w:spacing w:after="0" w:line="235" w:lineRule="auto"/>
        <w:rPr>
          <w:sz w:val="20"/>
          <w:szCs w:val="20"/>
          <w:color w:val="auto"/>
        </w:rPr>
      </w:pPr>
      <w:r>
        <w:rPr>
          <w:rFonts w:ascii="Arial" w:cs="Arial" w:eastAsia="Arial" w:hAnsi="Arial"/>
          <w:sz w:val="18"/>
          <w:szCs w:val="18"/>
          <w:color w:val="auto"/>
        </w:rPr>
        <w:t>organizations representing beneficial owners of shares. We have</w:t>
      </w:r>
    </w:p>
    <w:p>
      <w:pPr>
        <w:ind w:left="200"/>
        <w:spacing w:after="0" w:line="235" w:lineRule="auto"/>
        <w:rPr>
          <w:sz w:val="20"/>
          <w:szCs w:val="20"/>
          <w:color w:val="auto"/>
        </w:rPr>
      </w:pPr>
      <w:r>
        <w:rPr>
          <w:rFonts w:ascii="Arial" w:cs="Arial" w:eastAsia="Arial" w:hAnsi="Arial"/>
          <w:sz w:val="18"/>
          <w:szCs w:val="18"/>
          <w:color w:val="auto"/>
        </w:rPr>
        <w:t>agreed to pay MacKenzie Partners a fee of approximately</w:t>
      </w:r>
    </w:p>
    <w:p>
      <w:pPr>
        <w:ind w:left="200"/>
        <w:spacing w:after="0"/>
        <w:rPr>
          <w:sz w:val="20"/>
          <w:szCs w:val="20"/>
          <w:color w:val="auto"/>
        </w:rPr>
      </w:pPr>
      <w:r>
        <w:rPr>
          <w:rFonts w:ascii="Arial" w:cs="Arial" w:eastAsia="Arial" w:hAnsi="Arial"/>
          <w:sz w:val="18"/>
          <w:szCs w:val="18"/>
          <w:color w:val="auto"/>
        </w:rPr>
        <w:t>$50,000 plus reimbursement of certain out-of-pocket expenses.</w:t>
      </w:r>
    </w:p>
    <w:p>
      <w:pPr>
        <w:spacing w:after="0" w:line="104"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JPMorgan Chase must also pay brokerage firms, banks, broker-dealers and other similar organizations representing beneficial owners certain fees associated with:</w:t>
      </w:r>
    </w:p>
    <w:p>
      <w:pPr>
        <w:spacing w:after="0" w:line="62" w:lineRule="exact"/>
        <w:rPr>
          <w:sz w:val="20"/>
          <w:szCs w:val="20"/>
          <w:color w:val="auto"/>
        </w:rPr>
      </w:pPr>
    </w:p>
    <w:p>
      <w:pPr>
        <w:ind w:left="400" w:right="560"/>
        <w:spacing w:after="0" w:line="246" w:lineRule="auto"/>
        <w:rPr>
          <w:sz w:val="20"/>
          <w:szCs w:val="20"/>
          <w:color w:val="auto"/>
        </w:rPr>
      </w:pPr>
      <w:r>
        <w:rPr>
          <w:rFonts w:ascii="Arial" w:cs="Arial" w:eastAsia="Arial" w:hAnsi="Arial"/>
          <w:sz w:val="18"/>
          <w:szCs w:val="18"/>
          <w:color w:val="auto"/>
        </w:rPr>
        <w:t>Forwarding the Notice of Internet Availability to beneficial owners;</w:t>
      </w:r>
    </w:p>
    <w:p>
      <w:pPr>
        <w:spacing w:after="0" w:line="102" w:lineRule="exact"/>
        <w:rPr>
          <w:sz w:val="20"/>
          <w:szCs w:val="20"/>
          <w:color w:val="auto"/>
        </w:rPr>
      </w:pPr>
    </w:p>
    <w:p>
      <w:pPr>
        <w:ind w:left="400" w:right="60"/>
        <w:spacing w:after="0" w:line="246" w:lineRule="auto"/>
        <w:rPr>
          <w:sz w:val="20"/>
          <w:szCs w:val="20"/>
          <w:color w:val="auto"/>
        </w:rPr>
      </w:pPr>
      <w:r>
        <w:rPr>
          <w:rFonts w:ascii="Arial" w:cs="Arial" w:eastAsia="Arial" w:hAnsi="Arial"/>
          <w:sz w:val="18"/>
          <w:szCs w:val="18"/>
          <w:color w:val="auto"/>
        </w:rPr>
        <w:t>Forwarding printed proxy materials by mail to beneficial owners who specifically request them; and</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Obtaining beneficial owners’ voting instructions.</w:t>
      </w:r>
    </w:p>
    <w:p>
      <w:pPr>
        <w:spacing w:after="0" w:line="16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In addition to solicitations by mail, the persons who will be serving as the proxies and JPMorgan Chase’s directors, officers and employees may solicit, without additional compensation, proxies on JPMorgan Chase’s behalf in person, by phone or by electronic communication.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I inspect the list of shareholders of record?</w:t>
      </w:r>
    </w:p>
    <w:p>
      <w:pPr>
        <w:spacing w:after="0" w:line="18"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A list of shareholders of record as of March 22, 2019 will be available for inspection during ordinary business hours at our offices at 4 New York Plaza, New York, NY 10004, from May 11, 2019, to May 20, 2019, as well as at our annual meeting.</w:t>
      </w:r>
    </w:p>
    <w:p>
      <w:pPr>
        <w:spacing w:after="0" w:line="180"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color w:val="004876"/>
        </w:rPr>
        <w:t>Information about paper and electronic delivery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26670</wp:posOffset>
            </wp:positionV>
            <wp:extent cx="33534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42"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JPMorgan Chase uses the SEC rule commonly known as “Notice and Access” that permits companies to furnish proxy materials to our shareholders over the Internet. This process enables us to expedite delivery of materials to our shareholders and reduces the costs to us of printing and mailing paper proxy materials.</w:t>
      </w:r>
    </w:p>
    <w:p>
      <w:pPr>
        <w:spacing w:after="0" w:line="26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22288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accordance with the Notice and Access rules, on or about April 5, 2019, we sent those current shareholders of record on March 22, 2019, the Record Date for the annual meeting, a Notice. The Notice contains instructions on how to access our proxy statement and annual report online. If you received a Notice, you will not receive a printed copy of the proxy materials in the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-1720850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7"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If you received a Notice, and would like to receive copies of our proxy materials in print by mail, or electronically by email, please follow the instructions in the Notice.</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Shareholders who do not receive the Notice will receive either by mail a paper, or by email an electronic, copy of our proxy statement and 2018 Annual Report to Shareholders, which will be sent on or about April 5,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an additional proxy card?</w:t>
      </w:r>
    </w:p>
    <w:p>
      <w:pPr>
        <w:spacing w:after="0" w:line="18"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Shareholders of record can contact the Office of the Secretary by sending an email to corporate.secretary@jpmchase.com or calling (212) 270-6000.</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If you hold your shares of common stock in street name, contact your account representative at the bank, brokerage firm, broker-dealer or similar organization through which you hold your shares.</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How do I sign up for electronic delivery of proxy materials? </w:t>
      </w:r>
      <w:r>
        <w:rPr>
          <w:rFonts w:ascii="Arial" w:cs="Arial" w:eastAsia="Arial" w:hAnsi="Arial"/>
          <w:sz w:val="18"/>
          <w:szCs w:val="18"/>
          <w:color w:val="auto"/>
        </w:rPr>
        <w:t>This proxy statement and our 2018 Annual Report to Shareholders are available on our website at: www.jpmorganchase.com. If you would like to help reduce the environmental impact of our annual meetings and our costs of printing and mailing future materials, you can agree to access these documents in the future over the Internet rather than receiving printed copies in the mail. For your convenience, you may find links to sign up for electronic delivery for both shareholders of record and beneficial owners who hold shares in street name at https://enroll.icsdelivery.com/jpm.</w:t>
      </w:r>
    </w:p>
    <w:p>
      <w:pPr>
        <w:spacing w:after="0" w:line="95"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Once you sign up, you will continue to receive proxy materials electronically until you revoke this preference.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-4445</wp:posOffset>
            </wp:positionV>
            <wp:extent cx="662051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spacing w:after="0"/>
        <w:rPr>
          <w:sz w:val="20"/>
          <w:szCs w:val="20"/>
          <w:color w:val="auto"/>
        </w:rPr>
      </w:pPr>
      <w:r>
        <w:rPr>
          <w:rFonts w:ascii="Arial" w:cs="Arial" w:eastAsia="Arial" w:hAnsi="Arial"/>
          <w:sz w:val="16"/>
          <w:szCs w:val="16"/>
          <w:color w:val="333333"/>
        </w:rPr>
        <w:t>ANNUAL MEETING INFORMATION</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both"/>
        <w:ind w:left="220" w:right="20"/>
        <w:spacing w:after="0" w:line="243" w:lineRule="auto"/>
        <w:rPr>
          <w:sz w:val="20"/>
          <w:szCs w:val="20"/>
          <w:color w:val="auto"/>
        </w:rPr>
      </w:pPr>
      <w:r>
        <w:rPr>
          <w:rFonts w:ascii="Arial" w:cs="Arial" w:eastAsia="Arial" w:hAnsi="Arial"/>
          <w:sz w:val="18"/>
          <w:szCs w:val="18"/>
          <w:b w:val="1"/>
          <w:bCs w:val="1"/>
          <w:color w:val="auto"/>
        </w:rPr>
        <w:t>I share an address with another shareholder, and we received only one paper copy of the proxy materials. How can I obtain an additional copy of the proxy materials?</w:t>
      </w:r>
    </w:p>
    <w:p>
      <w:pPr>
        <w:spacing w:after="0" w:line="1"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JPMorgan Chase has adopted a procedure called “householding”. Under this procedure, JPMorgan Chase may deliver a single copy of the proxy statement and annual report to multiple shareholders who share the same address, unless we have received contrary instructions from one or more of the shareholders. Each shareholder continues to receive a separate proxy card. This procedure reduces the environmental impact of our annual meetings and our printing and mailing costs.</w:t>
      </w:r>
    </w:p>
    <w:p>
      <w:pPr>
        <w:spacing w:after="0" w:line="100" w:lineRule="exact"/>
        <w:rPr>
          <w:sz w:val="20"/>
          <w:szCs w:val="20"/>
          <w:color w:val="auto"/>
        </w:rPr>
      </w:pPr>
    </w:p>
    <w:p>
      <w:pPr>
        <w:ind w:left="220" w:right="20"/>
        <w:spacing w:after="0" w:line="236" w:lineRule="auto"/>
        <w:rPr>
          <w:sz w:val="20"/>
          <w:szCs w:val="20"/>
          <w:color w:val="auto"/>
        </w:rPr>
      </w:pPr>
      <w:r>
        <w:rPr>
          <w:rFonts w:ascii="Arial" w:cs="Arial" w:eastAsia="Arial" w:hAnsi="Arial"/>
          <w:sz w:val="18"/>
          <w:szCs w:val="18"/>
          <w:color w:val="auto"/>
        </w:rPr>
        <w:t>If your household received a single set of proxy materials, but you prefer to receive a separate copy of the proxy statement and 2018 Annual Report, you may contact the Secretary at: JPMorgan Chase &amp; Co., Office of the Secretary, 4 New York Plaza, New York, NY 10004, or by sending an e-mail to the Office of the Secretary at corporate.secretary@jpmchase.com or by calling us at 212-270-6000 and these documents will be delivered to you promptly upon receiving the request.</w:t>
      </w:r>
    </w:p>
    <w:p>
      <w:pPr>
        <w:spacing w:after="0" w:line="100" w:lineRule="exact"/>
        <w:rPr>
          <w:sz w:val="20"/>
          <w:szCs w:val="20"/>
          <w:color w:val="auto"/>
        </w:rPr>
      </w:pPr>
    </w:p>
    <w:p>
      <w:pPr>
        <w:ind w:left="220" w:right="60"/>
        <w:spacing w:after="0" w:line="248" w:lineRule="auto"/>
        <w:rPr>
          <w:sz w:val="20"/>
          <w:szCs w:val="20"/>
          <w:color w:val="auto"/>
        </w:rPr>
      </w:pPr>
      <w:r>
        <w:rPr>
          <w:rFonts w:ascii="Arial" w:cs="Arial" w:eastAsia="Arial" w:hAnsi="Arial"/>
          <w:sz w:val="17"/>
          <w:szCs w:val="17"/>
          <w:color w:val="auto"/>
        </w:rPr>
        <w:t>Alternatively, if you are receiving more than one copy of the proxy materials at a single address and would like to participate in “householding”, please contact Broadridge Financial Services at</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1-866-540-7095. If you are a beneficial owner who holds shares in street name, contact your bank, brokerage firm, broker-dealer or similar organization to request information about householding.</w:t>
      </w:r>
    </w:p>
    <w:p>
      <w:pPr>
        <w:spacing w:after="0" w:line="95" w:lineRule="exact"/>
        <w:rPr>
          <w:sz w:val="20"/>
          <w:szCs w:val="20"/>
          <w:color w:val="auto"/>
        </w:rPr>
      </w:pPr>
    </w:p>
    <w:p>
      <w:pPr>
        <w:ind w:left="220" w:right="20"/>
        <w:spacing w:after="0" w:line="253" w:lineRule="auto"/>
        <w:rPr>
          <w:sz w:val="20"/>
          <w:szCs w:val="20"/>
          <w:color w:val="auto"/>
        </w:rPr>
      </w:pPr>
      <w:r>
        <w:rPr>
          <w:rFonts w:ascii="Arial" w:cs="Arial" w:eastAsia="Arial" w:hAnsi="Arial"/>
          <w:sz w:val="17"/>
          <w:szCs w:val="17"/>
          <w:color w:val="auto"/>
        </w:rPr>
        <w:t>You may change your householding preferences at any time, by contacting Broadridge Financial Services at 1-866-540-7095 or by sending a written request to Broadridge Financial Services, Inc., Householding Department, 51 Mercedes Way, Edgewood, NY 11717, or by contacting the bank, brokerage firm, broker-dealer or similar organization through which you hold your shares.</w:t>
      </w:r>
    </w:p>
    <w:p>
      <w:pPr>
        <w:spacing w:after="0" w:line="27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9160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4876"/>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wp:posOffset>
            </wp:positionV>
            <wp:extent cx="34220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color w:val="auto"/>
        </w:rPr>
        <w:t xml:space="preserve">How do I obtain more information about JPMorgan Chase? </w:t>
      </w:r>
      <w:r>
        <w:rPr>
          <w:rFonts w:ascii="Arial" w:cs="Arial" w:eastAsia="Arial" w:hAnsi="Arial"/>
          <w:sz w:val="18"/>
          <w:szCs w:val="18"/>
          <w:color w:val="auto"/>
        </w:rPr>
        <w:t>The Governance Principles, Code, Code of Ethics for Finance Professionals, Business Principles, How We Do Business – The Report, the JPMorgan Chase &amp; Co. Political Activities Statement, and the Firm’s ESG Report, as well as the Firm’s By-laws and charters of our principal standing Board committees, are posted on our website at jpmorganchase.com/governance. These documents will also be made available to any shareholder who requests them by writing to the Secretary at JPMorgan Chase &amp; Co., Office of the Secretary, 4 New York Plaza, New York, NY 10004, or by sending an e-mail to the Office of the Secretary at corporate.secretary@jpmchase.com.</w:t>
      </w:r>
    </w:p>
    <w:p>
      <w:pPr>
        <w:spacing w:after="0" w:line="9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Information that the Firm is required to disclose under Disclosure &amp; Transparency Rule 7.2 (Corporate Governance Statements) of the U.K. Financial Conduct Authority may be found in this proxy statement under the headings “Corporate Governance” and “Audit Committee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-4445</wp:posOffset>
            </wp:positionV>
            <wp:extent cx="3429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ectPr>
          <w:pgSz w:w="11900" w:h="16838" w:orient="portrait"/>
          <w:cols w:equalWidth="0" w:num="2">
            <w:col w:w="5480" w:space="340"/>
            <w:col w:w="5400"/>
          </w:cols>
          <w:pgMar w:left="240" w:top="459" w:right="4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ANNUAL MEETING INFORMATION</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Shareholder proposals and nominations for the 2020 annual meeting</w:t>
      </w:r>
    </w:p>
    <w:p>
      <w:pPr>
        <w:sectPr>
          <w:pgSz w:w="11900" w:h="16838" w:orient="portrait"/>
          <w:cols w:equalWidth="0" w:num="1">
            <w:col w:w="11200"/>
          </w:cols>
          <w:pgMar w:left="240" w:top="459" w:right="459" w:bottom="1440" w:gutter="0" w:footer="0" w:header="0"/>
        </w:sectPr>
      </w:pPr>
    </w:p>
    <w:p>
      <w:pPr>
        <w:spacing w:after="0" w:line="282"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color w:val="auto"/>
        </w:rPr>
        <w:t>How do I submit a proposal for inclusion at the 2020 Annual Meeting of Shareholders?</w:t>
      </w:r>
    </w:p>
    <w:p>
      <w:pPr>
        <w:spacing w:after="0" w:line="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Shareholders who wish to present proposals for inclusion in the proxy materials to be distributed by us in connection with our 2020 Annual Meeting of Shareholders must submit such proposals to the Secretary of JPMorgan Chase no later than December 7, 2019. Such proposals must comply with all requirements of Rule 14a-8 promulgated by the Securities and Exchange Commission.</w:t>
      </w:r>
    </w:p>
    <w:p>
      <w:pPr>
        <w:spacing w:after="0" w:line="183" w:lineRule="exact"/>
        <w:rPr>
          <w:sz w:val="20"/>
          <w:szCs w:val="20"/>
          <w:color w:val="auto"/>
        </w:rPr>
      </w:pPr>
    </w:p>
    <w:p>
      <w:pPr>
        <w:ind w:left="200" w:right="700"/>
        <w:spacing w:after="0" w:line="247" w:lineRule="auto"/>
        <w:rPr>
          <w:sz w:val="20"/>
          <w:szCs w:val="20"/>
          <w:color w:val="auto"/>
        </w:rPr>
      </w:pPr>
      <w:r>
        <w:rPr>
          <w:rFonts w:ascii="Arial" w:cs="Arial" w:eastAsia="Arial" w:hAnsi="Arial"/>
          <w:sz w:val="18"/>
          <w:szCs w:val="18"/>
          <w:b w:val="1"/>
          <w:bCs w:val="1"/>
          <w:color w:val="auto"/>
        </w:rPr>
        <w:t>How can I submit nominees for inclusion in the proxy materials for the 2020 Annual Meeting?</w:t>
      </w:r>
    </w:p>
    <w:p>
      <w:pPr>
        <w:spacing w:after="0" w:line="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Firm’s By-laws provide for a right of proxy access. This By-law enables shareholders, under specified conditions, to include their nominees for election as directors in the Firm’s proxy statement. Under By-law Section 1.10, a shareholder (or group of up to 20 shareholders) who has continuously owned at least 3% of the Firm’s outstanding shares for at least three consecutive years may nominate up to 20% of the Board (but in any event at least two directors) and have such nominee(s) included in the Firm’s proxy statement, if the shareholder(s) and the nominee(s) satisfy the applicable requirements set forth in the Firm’s By-laws.</w:t>
      </w:r>
    </w:p>
    <w:p>
      <w:pPr>
        <w:spacing w:after="0" w:line="98"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Shareholders seeking to have one or more nominees included in the Firm’s 2020 proxy statement must deliver the notice required by the Firm’s By-laws, to the Secretary of JPMorgan Chase not later than December 7, 2019, and not earlier than November 7, 2019.</w:t>
      </w:r>
    </w:p>
    <w:p>
      <w:pPr>
        <w:spacing w:after="0" w:line="181" w:lineRule="exact"/>
        <w:rPr>
          <w:sz w:val="20"/>
          <w:szCs w:val="20"/>
          <w:color w:val="auto"/>
        </w:rPr>
      </w:pPr>
    </w:p>
    <w:p>
      <w:pPr>
        <w:ind w:left="200" w:right="560"/>
        <w:spacing w:after="0" w:line="241" w:lineRule="auto"/>
        <w:rPr>
          <w:sz w:val="20"/>
          <w:szCs w:val="20"/>
          <w:color w:val="auto"/>
        </w:rPr>
      </w:pPr>
      <w:r>
        <w:rPr>
          <w:rFonts w:ascii="Arial" w:cs="Arial" w:eastAsia="Arial" w:hAnsi="Arial"/>
          <w:sz w:val="18"/>
          <w:szCs w:val="18"/>
          <w:b w:val="1"/>
          <w:bCs w:val="1"/>
          <w:color w:val="auto"/>
        </w:rPr>
        <w:t>How can I submit proposals (including nominations for election of director) at our 2020 Annual Meeting of Shareholders, that are not to be included in the proxy materials?</w:t>
      </w:r>
    </w:p>
    <w:p>
      <w:pPr>
        <w:spacing w:after="0" w:line="1"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Our By-laws govern the submission of nominations for director or other business proposals that a shareholder wishes to have considered at a meeting of shareholders, but that are not included in JPMorgan Chase’s proxy statement for that meeting.</w:t>
      </w:r>
    </w:p>
    <w:p>
      <w:pPr>
        <w:spacing w:after="0" w:line="94"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Under our By-laws, nominations for director or other business proposals to be addressed at our next annual meeting may be made by a shareholder who is entitled to vote and who has delivered a notice to the Secretary of JPMorgan Chase not later than the close of business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February 21, 2020, and not earlier than January 22, 2020 and who complies with the other applicable requirements set forth in the Firm’s By-laws. The notice must contain the information required by the By-laws.</w:t>
      </w:r>
    </w:p>
    <w:p>
      <w:pPr>
        <w:spacing w:after="0" w:line="94"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These advance notice provisions are in addition to, and separate from, the requirements that a shareholder must meet in order to have a nominee or proposal included in the proxy statement.</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 proxy granted by a shareholder will give discretionary authority to the proxies to vote on any matters introduced pursuant to the advance-notice By-law provisions described above, subject to applicable rules of the SEC.</w:t>
      </w:r>
    </w:p>
    <w:p>
      <w:pPr>
        <w:spacing w:after="0" w:line="180"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b w:val="1"/>
          <w:bCs w:val="1"/>
          <w:color w:val="auto"/>
        </w:rPr>
        <w:t xml:space="preserve">How can I obtain a copy of JPMorgan Chase’s By-laws? </w:t>
      </w:r>
      <w:r>
        <w:rPr>
          <w:rFonts w:ascii="Arial" w:cs="Arial" w:eastAsia="Arial" w:hAnsi="Arial"/>
          <w:sz w:val="18"/>
          <w:szCs w:val="18"/>
          <w:color w:val="auto"/>
        </w:rPr>
        <w:t>Copies of our By-laws are available on our website at: jpmorganchase.com/governance or may be obtained from the Secretary.</w:t>
      </w:r>
    </w:p>
    <w:p>
      <w:pPr>
        <w:spacing w:after="0" w:line="174"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Where should a shareholder send his or her proposals? </w:t>
      </w:r>
      <w:r>
        <w:rPr>
          <w:rFonts w:ascii="Arial" w:cs="Arial" w:eastAsia="Arial" w:hAnsi="Arial"/>
          <w:sz w:val="18"/>
          <w:szCs w:val="18"/>
          <w:color w:val="auto"/>
        </w:rPr>
        <w:t>Shareholder proposals (including nominees for director pursuant to the Firms’ proxy access By-laws) should be mailed to the Secretary at JPMorgan Chase &amp; Co., Office of the Secretary, 4 New York Plaza, New York, NY 10004; a copy may be e-mailed to the Office of the Secretary at corporate.secretary@jpmchase.com.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Molly Carpenter</w:t>
      </w:r>
    </w:p>
    <w:p>
      <w:pPr>
        <w:spacing w:after="0"/>
        <w:rPr>
          <w:sz w:val="20"/>
          <w:szCs w:val="20"/>
          <w:color w:val="auto"/>
        </w:rPr>
      </w:pPr>
      <w:r>
        <w:rPr>
          <w:rFonts w:ascii="Arial" w:cs="Arial" w:eastAsia="Arial" w:hAnsi="Arial"/>
          <w:sz w:val="18"/>
          <w:szCs w:val="18"/>
          <w:color w:val="auto"/>
        </w:rPr>
        <w:t>Secretary</w:t>
      </w:r>
    </w:p>
    <w:p>
      <w:pPr>
        <w:spacing w:after="0" w:line="3139" w:lineRule="exact"/>
        <w:rPr>
          <w:sz w:val="20"/>
          <w:szCs w:val="20"/>
          <w:color w:val="auto"/>
        </w:rPr>
      </w:pPr>
    </w:p>
    <w:p>
      <w:pPr>
        <w:sectPr>
          <w:pgSz w:w="11900" w:h="16838" w:orient="portrait"/>
          <w:cols w:equalWidth="0" w:num="2">
            <w:col w:w="5480" w:space="340"/>
            <w:col w:w="5380"/>
          </w:cols>
          <w:pgMar w:left="240" w:top="459" w:right="459" w:bottom="1440" w:gutter="0" w:footer="0" w:header="0"/>
          <w:type w:val="continuous"/>
        </w:sectPr>
      </w:pPr>
    </w:p>
    <w:p>
      <w:pPr>
        <w:spacing w:after="0" w:line="7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98</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NON-GAAP MEASURES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Notes on non-GAAP financial measures</w:t>
      </w:r>
    </w:p>
    <w:p>
      <w:pPr>
        <w:spacing w:after="0" w:line="129" w:lineRule="exact"/>
        <w:rPr>
          <w:sz w:val="20"/>
          <w:szCs w:val="20"/>
          <w:color w:val="auto"/>
        </w:rPr>
      </w:pPr>
    </w:p>
    <w:p>
      <w:pPr>
        <w:ind w:left="420" w:right="100" w:hanging="216"/>
        <w:spacing w:after="0" w:line="236" w:lineRule="auto"/>
        <w:tabs>
          <w:tab w:leader="none" w:pos="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addition to analyzing the Firm’s results on a reported basis, management reviews Firmwide results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(and each of the reportable business segments) on a fully taxable-equivalent basis. Accordingly, revenue from investments that receive tax credits and tax-exempt securities is presented in the managed results on a basis comparable to taxable investments and securities. These non-GAAP financial measures allow management to assess the comparability of revenue year-to-year arising from both taxable and tax-exempt sources. The corresponding income tax impact related to tax-exempt items is recorded within income tax expense. These adjustments have no impact on net income as reported by the Firm as a whole or by the lines of business. For a reconciliation of the Firm’s results from a reported to managed basis, see page 57 of the 2018 Form 10-K.</w:t>
      </w:r>
    </w:p>
    <w:p>
      <w:pPr>
        <w:spacing w:after="0" w:line="111" w:lineRule="exact"/>
        <w:rPr>
          <w:rFonts w:ascii="Arial" w:cs="Arial" w:eastAsia="Arial" w:hAnsi="Arial"/>
          <w:sz w:val="18"/>
          <w:szCs w:val="18"/>
          <w:color w:val="auto"/>
        </w:rPr>
      </w:pPr>
    </w:p>
    <w:p>
      <w:pPr>
        <w:ind w:left="420" w:right="160" w:hanging="216"/>
        <w:spacing w:after="0" w:line="248" w:lineRule="auto"/>
        <w:tabs>
          <w:tab w:leader="none" w:pos="4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TCE, ROTCE and TBVPS are each non-GAAP financial measures. TCE represents the Firm’s common stockholders’ equity (i.e., total stockholders’ equity less preferred stock) less goodwill and identifiable intangible assets (other than mortgage servicing rights), net of related deferred tax liabilities. ROTCE measures the Firm’s net income applicable to common equity as a percentage of average TCE.</w:t>
      </w:r>
    </w:p>
    <w:p>
      <w:pPr>
        <w:spacing w:after="0" w:line="1" w:lineRule="exact"/>
        <w:rPr>
          <w:rFonts w:ascii="Arial" w:cs="Arial" w:eastAsia="Arial" w:hAnsi="Arial"/>
          <w:sz w:val="17"/>
          <w:szCs w:val="17"/>
          <w:color w:val="auto"/>
        </w:rPr>
      </w:pPr>
    </w:p>
    <w:p>
      <w:pPr>
        <w:ind w:left="420" w:right="20"/>
        <w:spacing w:after="0"/>
        <w:rPr>
          <w:rFonts w:ascii="Arial" w:cs="Arial" w:eastAsia="Arial" w:hAnsi="Arial"/>
          <w:sz w:val="17"/>
          <w:szCs w:val="17"/>
          <w:color w:val="auto"/>
        </w:rPr>
      </w:pPr>
      <w:r>
        <w:rPr>
          <w:rFonts w:ascii="Arial" w:cs="Arial" w:eastAsia="Arial" w:hAnsi="Arial"/>
          <w:sz w:val="18"/>
          <w:szCs w:val="18"/>
          <w:color w:val="auto"/>
        </w:rPr>
        <w:t>TBVPS represents the Firm’s TCE at period-end divided by common shares at period-end. TCE, ROTCE and TBVPS are utilized by the Firm, as well as investors and analysts, in assessing the Firm’s use of equity. The following tables provide reconciliations and calculations of these measures for the periods presented.</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22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60" w:type="dxa"/>
            <w:vAlign w:val="bottom"/>
          </w:tcPr>
          <w:p>
            <w:pPr>
              <w:spacing w:after="0"/>
              <w:rPr>
                <w:sz w:val="13"/>
                <w:szCs w:val="13"/>
                <w:color w:val="auto"/>
              </w:rPr>
            </w:pPr>
          </w:p>
        </w:tc>
        <w:tc>
          <w:tcPr>
            <w:tcW w:w="5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99</w:t>
            </w:r>
          </w:p>
        </w:tc>
      </w:tr>
    </w:tbl>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00"/>
        <w:spacing w:after="0"/>
        <w:rPr>
          <w:sz w:val="20"/>
          <w:szCs w:val="20"/>
          <w:color w:val="auto"/>
        </w:rPr>
      </w:pPr>
      <w:r>
        <w:rPr>
          <w:rFonts w:ascii="Arial" w:cs="Arial" w:eastAsia="Arial" w:hAnsi="Arial"/>
          <w:sz w:val="16"/>
          <w:szCs w:val="16"/>
          <w:color w:val="333333"/>
        </w:rPr>
        <w:t>NON-GAAP MEASURES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reconciliations</w:t>
      </w: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Borders>
              <w:bottom w:val="single" w:sz="8" w:color="004876"/>
            </w:tcBorders>
          </w:tcPr>
          <w:p>
            <w:pPr>
              <w:spacing w:after="0"/>
              <w:rPr>
                <w:sz w:val="17"/>
                <w:szCs w:val="17"/>
                <w:color w:val="auto"/>
              </w:rPr>
            </w:pPr>
          </w:p>
        </w:tc>
        <w:tc>
          <w:tcPr>
            <w:tcW w:w="140" w:type="dxa"/>
            <w:vAlign w:val="bottom"/>
            <w:tcBorders>
              <w:bottom w:val="single" w:sz="8" w:color="004876"/>
            </w:tcBorders>
          </w:tcPr>
          <w:p>
            <w:pPr>
              <w:spacing w:after="0"/>
              <w:rPr>
                <w:sz w:val="17"/>
                <w:szCs w:val="17"/>
                <w:color w:val="auto"/>
              </w:rPr>
            </w:pPr>
          </w:p>
        </w:tc>
        <w:tc>
          <w:tcPr>
            <w:tcW w:w="780" w:type="dxa"/>
            <w:vAlign w:val="bottom"/>
            <w:tcBorders>
              <w:bottom w:val="single" w:sz="8" w:color="004876"/>
            </w:tcBorders>
          </w:tcPr>
          <w:p>
            <w:pPr>
              <w:spacing w:after="0"/>
              <w:rPr>
                <w:sz w:val="17"/>
                <w:szCs w:val="17"/>
                <w:color w:val="auto"/>
              </w:rPr>
            </w:pPr>
          </w:p>
        </w:tc>
        <w:tc>
          <w:tcPr>
            <w:tcW w:w="160" w:type="dxa"/>
            <w:vAlign w:val="bottom"/>
            <w:tcBorders>
              <w:bottom w:val="single" w:sz="8" w:color="004876"/>
            </w:tcBorders>
          </w:tcPr>
          <w:p>
            <w:pPr>
              <w:spacing w:after="0"/>
              <w:rPr>
                <w:sz w:val="17"/>
                <w:szCs w:val="17"/>
                <w:color w:val="auto"/>
              </w:rPr>
            </w:pPr>
          </w:p>
        </w:tc>
        <w:tc>
          <w:tcPr>
            <w:tcW w:w="740" w:type="dxa"/>
            <w:vAlign w:val="bottom"/>
            <w:tcBorders>
              <w:bottom w:val="single" w:sz="8" w:color="004876"/>
            </w:tcBorders>
          </w:tcPr>
          <w:p>
            <w:pPr>
              <w:spacing w:after="0"/>
              <w:rPr>
                <w:sz w:val="17"/>
                <w:szCs w:val="17"/>
                <w:color w:val="auto"/>
              </w:rPr>
            </w:pPr>
          </w:p>
        </w:tc>
        <w:tc>
          <w:tcPr>
            <w:tcW w:w="180" w:type="dxa"/>
            <w:vAlign w:val="bottom"/>
            <w:tcBorders>
              <w:bottom w:val="single" w:sz="8" w:color="004876"/>
            </w:tcBorders>
          </w:tcPr>
          <w:p>
            <w:pPr>
              <w:spacing w:after="0"/>
              <w:rPr>
                <w:sz w:val="17"/>
                <w:szCs w:val="17"/>
                <w:color w:val="auto"/>
              </w:rPr>
            </w:pPr>
          </w:p>
        </w:tc>
        <w:tc>
          <w:tcPr>
            <w:tcW w:w="720" w:type="dxa"/>
            <w:vAlign w:val="bottom"/>
            <w:tcBorders>
              <w:bottom w:val="single" w:sz="8" w:color="004876"/>
            </w:tcBorders>
          </w:tcPr>
          <w:p>
            <w:pPr>
              <w:spacing w:after="0"/>
              <w:rPr>
                <w:sz w:val="17"/>
                <w:szCs w:val="17"/>
                <w:color w:val="auto"/>
              </w:rPr>
            </w:pPr>
          </w:p>
        </w:tc>
        <w:tc>
          <w:tcPr>
            <w:tcW w:w="180" w:type="dxa"/>
            <w:vAlign w:val="bottom"/>
            <w:tcBorders>
              <w:bottom w:val="single" w:sz="8" w:color="004876"/>
            </w:tcBorders>
          </w:tcPr>
          <w:p>
            <w:pPr>
              <w:spacing w:after="0"/>
              <w:rPr>
                <w:sz w:val="17"/>
                <w:szCs w:val="17"/>
                <w:color w:val="auto"/>
              </w:rPr>
            </w:pPr>
          </w:p>
        </w:tc>
        <w:tc>
          <w:tcPr>
            <w:tcW w:w="740" w:type="dxa"/>
            <w:vAlign w:val="bottom"/>
            <w:tcBorders>
              <w:bottom w:val="single" w:sz="8" w:color="004876"/>
            </w:tcBorders>
          </w:tcPr>
          <w:p>
            <w:pPr>
              <w:spacing w:after="0"/>
              <w:rPr>
                <w:sz w:val="17"/>
                <w:szCs w:val="17"/>
                <w:color w:val="auto"/>
              </w:rPr>
            </w:pPr>
          </w:p>
        </w:tc>
        <w:tc>
          <w:tcPr>
            <w:tcW w:w="160" w:type="dxa"/>
            <w:vAlign w:val="bottom"/>
            <w:tcBorders>
              <w:bottom w:val="single" w:sz="8" w:color="004876"/>
            </w:tcBorders>
          </w:tcPr>
          <w:p>
            <w:pPr>
              <w:spacing w:after="0"/>
              <w:rPr>
                <w:sz w:val="17"/>
                <w:szCs w:val="17"/>
                <w:color w:val="auto"/>
              </w:rPr>
            </w:pPr>
          </w:p>
        </w:tc>
        <w:tc>
          <w:tcPr>
            <w:tcW w:w="920" w:type="dxa"/>
            <w:vAlign w:val="bottom"/>
            <w:tcBorders>
              <w:bottom w:val="single" w:sz="8" w:color="004876"/>
            </w:tcBorders>
            <w:gridSpan w:val="2"/>
          </w:tcPr>
          <w:p>
            <w:pPr>
              <w:jc w:val="center"/>
              <w:ind w:left="208"/>
              <w:spacing w:after="0"/>
              <w:rPr>
                <w:sz w:val="20"/>
                <w:szCs w:val="20"/>
                <w:color w:val="auto"/>
              </w:rPr>
            </w:pPr>
            <w:r>
              <w:rPr>
                <w:rFonts w:ascii="Arial" w:cs="Arial" w:eastAsia="Arial" w:hAnsi="Arial"/>
                <w:sz w:val="14"/>
                <w:szCs w:val="14"/>
                <w:b w:val="1"/>
                <w:bCs w:val="1"/>
                <w:color w:val="auto"/>
              </w:rPr>
              <w:t>Average</w:t>
            </w:r>
          </w:p>
        </w:tc>
        <w:tc>
          <w:tcPr>
            <w:tcW w:w="720" w:type="dxa"/>
            <w:vAlign w:val="bottom"/>
            <w:tcBorders>
              <w:bottom w:val="single" w:sz="8" w:color="004876"/>
            </w:tcBorders>
          </w:tcPr>
          <w:p>
            <w:pPr>
              <w:spacing w:after="0"/>
              <w:rPr>
                <w:sz w:val="17"/>
                <w:szCs w:val="17"/>
                <w:color w:val="auto"/>
              </w:rPr>
            </w:pPr>
          </w:p>
        </w:tc>
        <w:tc>
          <w:tcPr>
            <w:tcW w:w="180" w:type="dxa"/>
            <w:vAlign w:val="bottom"/>
            <w:tcBorders>
              <w:bottom w:val="single" w:sz="8" w:color="004876"/>
            </w:tcBorders>
          </w:tcPr>
          <w:p>
            <w:pPr>
              <w:spacing w:after="0"/>
              <w:rPr>
                <w:sz w:val="17"/>
                <w:szCs w:val="17"/>
                <w:color w:val="auto"/>
              </w:rPr>
            </w:pPr>
          </w:p>
        </w:tc>
        <w:tc>
          <w:tcPr>
            <w:tcW w:w="720" w:type="dxa"/>
            <w:vAlign w:val="bottom"/>
            <w:tcBorders>
              <w:bottom w:val="single" w:sz="8" w:color="004876"/>
            </w:tcBorders>
          </w:tcPr>
          <w:p>
            <w:pPr>
              <w:spacing w:after="0"/>
              <w:rPr>
                <w:sz w:val="17"/>
                <w:szCs w:val="17"/>
                <w:color w:val="auto"/>
              </w:rPr>
            </w:pPr>
          </w:p>
        </w:tc>
        <w:tc>
          <w:tcPr>
            <w:tcW w:w="180" w:type="dxa"/>
            <w:vAlign w:val="bottom"/>
            <w:tcBorders>
              <w:bottom w:val="single" w:sz="8" w:color="004876"/>
            </w:tcBorders>
          </w:tcPr>
          <w:p>
            <w:pPr>
              <w:spacing w:after="0"/>
              <w:rPr>
                <w:sz w:val="17"/>
                <w:szCs w:val="17"/>
                <w:color w:val="auto"/>
              </w:rPr>
            </w:pPr>
          </w:p>
        </w:tc>
        <w:tc>
          <w:tcPr>
            <w:tcW w:w="740" w:type="dxa"/>
            <w:vAlign w:val="bottom"/>
            <w:tcBorders>
              <w:bottom w:val="single" w:sz="8" w:color="004876"/>
            </w:tcBorders>
          </w:tcPr>
          <w:p>
            <w:pPr>
              <w:spacing w:after="0"/>
              <w:rPr>
                <w:sz w:val="17"/>
                <w:szCs w:val="17"/>
                <w:color w:val="auto"/>
              </w:rPr>
            </w:pPr>
          </w:p>
        </w:tc>
        <w:tc>
          <w:tcPr>
            <w:tcW w:w="160" w:type="dxa"/>
            <w:vAlign w:val="bottom"/>
            <w:tcBorders>
              <w:bottom w:val="single" w:sz="8" w:color="004876"/>
            </w:tcBorders>
          </w:tcPr>
          <w:p>
            <w:pPr>
              <w:spacing w:after="0"/>
              <w:rPr>
                <w:sz w:val="17"/>
                <w:szCs w:val="17"/>
                <w:color w:val="auto"/>
              </w:rPr>
            </w:pPr>
          </w:p>
        </w:tc>
        <w:tc>
          <w:tcPr>
            <w:tcW w:w="740" w:type="dxa"/>
            <w:vAlign w:val="bottom"/>
            <w:tcBorders>
              <w:bottom w:val="single" w:sz="8" w:color="004876"/>
            </w:tcBorders>
          </w:tcPr>
          <w:p>
            <w:pPr>
              <w:spacing w:after="0"/>
              <w:rPr>
                <w:sz w:val="17"/>
                <w:szCs w:val="17"/>
                <w:color w:val="auto"/>
              </w:rPr>
            </w:pPr>
          </w:p>
        </w:tc>
        <w:tc>
          <w:tcPr>
            <w:tcW w:w="160" w:type="dxa"/>
            <w:vAlign w:val="bottom"/>
            <w:tcBorders>
              <w:bottom w:val="single" w:sz="8" w:color="004876"/>
            </w:tcBorders>
          </w:tcPr>
          <w:p>
            <w:pPr>
              <w:spacing w:after="0"/>
              <w:rPr>
                <w:sz w:val="17"/>
                <w:szCs w:val="17"/>
                <w:color w:val="auto"/>
              </w:rPr>
            </w:pPr>
          </w:p>
        </w:tc>
        <w:tc>
          <w:tcPr>
            <w:tcW w:w="800" w:type="dxa"/>
            <w:vAlign w:val="bottom"/>
            <w:tcBorders>
              <w:bottom w:val="single" w:sz="8" w:color="004876"/>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w:t>
            </w:r>
          </w:p>
        </w:tc>
        <w:tc>
          <w:tcPr>
            <w:tcW w:w="18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8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740" w:type="dxa"/>
            <w:vAlign w:val="bottom"/>
            <w:tcBorders>
              <w:bottom w:val="single" w:sz="8" w:color="004876"/>
            </w:tcBorders>
          </w:tcPr>
          <w:p>
            <w:pPr>
              <w:spacing w:after="0"/>
              <w:rPr>
                <w:sz w:val="18"/>
                <w:szCs w:val="18"/>
                <w:color w:val="auto"/>
              </w:rPr>
            </w:pPr>
          </w:p>
        </w:tc>
        <w:tc>
          <w:tcPr>
            <w:tcW w:w="18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80" w:type="dxa"/>
            <w:vAlign w:val="bottom"/>
            <w:tcBorders>
              <w:bottom w:val="single" w:sz="8" w:color="004876"/>
            </w:tcBorders>
          </w:tcPr>
          <w:p>
            <w:pPr>
              <w:spacing w:after="0"/>
              <w:rPr>
                <w:sz w:val="18"/>
                <w:szCs w:val="18"/>
                <w:color w:val="auto"/>
              </w:rPr>
            </w:pPr>
          </w:p>
        </w:tc>
        <w:tc>
          <w:tcPr>
            <w:tcW w:w="2540" w:type="dxa"/>
            <w:vAlign w:val="bottom"/>
            <w:tcBorders>
              <w:bottom w:val="single" w:sz="8" w:color="004876"/>
            </w:tcBorders>
            <w:gridSpan w:val="5"/>
          </w:tcPr>
          <w:p>
            <w:pPr>
              <w:jc w:val="center"/>
              <w:ind w:left="368"/>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80" w:type="dxa"/>
            <w:vAlign w:val="bottom"/>
            <w:tcBorders>
              <w:bottom w:val="single" w:sz="8" w:color="004876"/>
            </w:tcBorders>
          </w:tcPr>
          <w:p>
            <w:pPr>
              <w:spacing w:after="0"/>
              <w:rPr>
                <w:sz w:val="18"/>
                <w:szCs w:val="18"/>
                <w:color w:val="auto"/>
              </w:rPr>
            </w:pPr>
          </w:p>
        </w:tc>
        <w:tc>
          <w:tcPr>
            <w:tcW w:w="74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74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800" w:type="dxa"/>
            <w:vAlign w:val="bottom"/>
            <w:tcBorders>
              <w:bottom w:val="single" w:sz="8" w:color="004876"/>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per share and ratio</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388"/>
              <w:spacing w:after="0"/>
              <w:rPr>
                <w:sz w:val="20"/>
                <w:szCs w:val="20"/>
                <w:color w:val="auto"/>
              </w:rPr>
            </w:pPr>
            <w:r>
              <w:rPr>
                <w:rFonts w:ascii="Arial" w:cs="Arial" w:eastAsia="Arial" w:hAnsi="Arial"/>
                <w:sz w:val="14"/>
                <w:szCs w:val="14"/>
                <w:color w:val="auto"/>
                <w:w w:val="96"/>
              </w:rPr>
              <w:t>2009</w:t>
            </w:r>
          </w:p>
        </w:tc>
        <w:tc>
          <w:tcPr>
            <w:tcW w:w="160" w:type="dxa"/>
            <w:vAlign w:val="bottom"/>
          </w:tcPr>
          <w:p>
            <w:pPr>
              <w:spacing w:after="0"/>
              <w:rPr>
                <w:sz w:val="15"/>
                <w:szCs w:val="15"/>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5"/>
                <w:szCs w:val="15"/>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2011</w:t>
            </w:r>
          </w:p>
        </w:tc>
        <w:tc>
          <w:tcPr>
            <w:tcW w:w="180" w:type="dxa"/>
            <w:vAlign w:val="bottom"/>
          </w:tcPr>
          <w:p>
            <w:pPr>
              <w:spacing w:after="0"/>
              <w:rPr>
                <w:sz w:val="15"/>
                <w:szCs w:val="15"/>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15"/>
                <w:szCs w:val="15"/>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5"/>
                <w:szCs w:val="15"/>
                <w:color w:val="auto"/>
              </w:rPr>
            </w:pP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2014</w:t>
            </w:r>
          </w:p>
        </w:tc>
        <w:tc>
          <w:tcPr>
            <w:tcW w:w="180" w:type="dxa"/>
            <w:vAlign w:val="bottom"/>
          </w:tcPr>
          <w:p>
            <w:pPr>
              <w:spacing w:after="0"/>
              <w:rPr>
                <w:sz w:val="15"/>
                <w:szCs w:val="15"/>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180" w:type="dxa"/>
            <w:vAlign w:val="bottom"/>
          </w:tcPr>
          <w:p>
            <w:pPr>
              <w:spacing w:after="0"/>
              <w:rPr>
                <w:sz w:val="15"/>
                <w:szCs w:val="15"/>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5"/>
                <w:szCs w:val="15"/>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5"/>
                <w:szCs w:val="15"/>
                <w:color w:val="auto"/>
              </w:rPr>
            </w:pPr>
          </w:p>
        </w:tc>
        <w:tc>
          <w:tcPr>
            <w:tcW w:w="80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Borders>
              <w:top w:val="single" w:sz="8" w:color="004876"/>
              <w:bottom w:val="single" w:sz="8" w:color="E5E5E5"/>
            </w:tcBorders>
            <w:gridSpan w:val="2"/>
            <w:shd w:val="clear" w:color="auto" w:fill="E5E5E5"/>
          </w:tcPr>
          <w:p>
            <w:pPr>
              <w:ind w:left="60"/>
              <w:spacing w:after="0"/>
              <w:rPr>
                <w:sz w:val="20"/>
                <w:szCs w:val="20"/>
                <w:color w:val="auto"/>
              </w:rPr>
            </w:pPr>
            <w:r>
              <w:rPr>
                <w:rFonts w:ascii="Arial" w:cs="Arial" w:eastAsia="Arial" w:hAnsi="Arial"/>
                <w:sz w:val="14"/>
                <w:szCs w:val="14"/>
                <w:color w:val="auto"/>
              </w:rPr>
              <w:t>Common stockholders’ equity $</w:t>
            </w:r>
          </w:p>
        </w:tc>
        <w:tc>
          <w:tcPr>
            <w:tcW w:w="140" w:type="dxa"/>
            <w:vAlign w:val="bottom"/>
            <w:tcBorders>
              <w:top w:val="single" w:sz="8" w:color="004876"/>
              <w:bottom w:val="single" w:sz="8" w:color="E5E5E5"/>
            </w:tcBorders>
            <w:shd w:val="clear" w:color="auto" w:fill="E5E5E5"/>
          </w:tcPr>
          <w:p>
            <w:pPr>
              <w:spacing w:after="0"/>
              <w:rPr>
                <w:sz w:val="17"/>
                <w:szCs w:val="17"/>
                <w:color w:val="auto"/>
              </w:rPr>
            </w:pPr>
          </w:p>
        </w:tc>
        <w:tc>
          <w:tcPr>
            <w:tcW w:w="78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145,903</w:t>
            </w:r>
          </w:p>
        </w:tc>
        <w:tc>
          <w:tcPr>
            <w:tcW w:w="16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4876"/>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161,520</w:t>
            </w:r>
          </w:p>
        </w:tc>
        <w:tc>
          <w:tcPr>
            <w:tcW w:w="18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004876"/>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173,266</w:t>
            </w:r>
          </w:p>
        </w:tc>
        <w:tc>
          <w:tcPr>
            <w:tcW w:w="18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184,352</w:t>
            </w:r>
          </w:p>
        </w:tc>
        <w:tc>
          <w:tcPr>
            <w:tcW w:w="16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196,409</w:t>
            </w:r>
          </w:p>
        </w:tc>
        <w:tc>
          <w:tcPr>
            <w:tcW w:w="18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004876"/>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207,400</w:t>
            </w:r>
          </w:p>
        </w:tc>
        <w:tc>
          <w:tcPr>
            <w:tcW w:w="18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004876"/>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215,690</w:t>
            </w:r>
          </w:p>
        </w:tc>
        <w:tc>
          <w:tcPr>
            <w:tcW w:w="18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224,631</w:t>
            </w:r>
          </w:p>
        </w:tc>
        <w:tc>
          <w:tcPr>
            <w:tcW w:w="16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230,350</w:t>
            </w:r>
          </w:p>
        </w:tc>
        <w:tc>
          <w:tcPr>
            <w:tcW w:w="16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229,222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Less: Goodwill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48,254</w:t>
            </w:r>
          </w:p>
        </w:tc>
        <w:tc>
          <w:tcPr>
            <w:tcW w:w="16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48,618</w:t>
            </w:r>
          </w:p>
        </w:tc>
        <w:tc>
          <w:tcPr>
            <w:tcW w:w="18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48,632</w:t>
            </w: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48,176</w:t>
            </w:r>
          </w:p>
        </w:tc>
        <w:tc>
          <w:tcPr>
            <w:tcW w:w="16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48,102</w:t>
            </w:r>
          </w:p>
        </w:tc>
        <w:tc>
          <w:tcPr>
            <w:tcW w:w="18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48,029</w:t>
            </w:r>
          </w:p>
        </w:tc>
        <w:tc>
          <w:tcPr>
            <w:tcW w:w="18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47,445</w:t>
            </w: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47,310</w:t>
            </w:r>
          </w:p>
        </w:tc>
        <w:tc>
          <w:tcPr>
            <w:tcW w:w="16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47,317</w:t>
            </w:r>
          </w:p>
        </w:tc>
        <w:tc>
          <w:tcPr>
            <w:tcW w:w="1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b w:val="1"/>
                <w:bCs w:val="1"/>
                <w:color w:val="auto"/>
              </w:rPr>
              <w:t>47,491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Less: Other intangible assets</w:t>
            </w:r>
          </w:p>
        </w:tc>
        <w:tc>
          <w:tcPr>
            <w:tcW w:w="18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E5E5E5"/>
            </w:tcBorders>
            <w:shd w:val="clear" w:color="auto" w:fill="E5E5E5"/>
          </w:tcPr>
          <w:p>
            <w:pPr>
              <w:spacing w:after="0"/>
              <w:rPr>
                <w:sz w:val="18"/>
                <w:szCs w:val="18"/>
                <w:color w:val="auto"/>
              </w:rPr>
            </w:pPr>
          </w:p>
        </w:tc>
        <w:tc>
          <w:tcPr>
            <w:tcW w:w="78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5,095</w:t>
            </w:r>
          </w:p>
        </w:tc>
        <w:tc>
          <w:tcPr>
            <w:tcW w:w="16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4,178</w:t>
            </w:r>
          </w:p>
        </w:tc>
        <w:tc>
          <w:tcPr>
            <w:tcW w:w="18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3,632</w:t>
            </w:r>
          </w:p>
        </w:tc>
        <w:tc>
          <w:tcPr>
            <w:tcW w:w="18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2,833</w:t>
            </w:r>
          </w:p>
        </w:tc>
        <w:tc>
          <w:tcPr>
            <w:tcW w:w="16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1,950</w:t>
            </w:r>
          </w:p>
        </w:tc>
        <w:tc>
          <w:tcPr>
            <w:tcW w:w="18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1,378</w:t>
            </w:r>
          </w:p>
        </w:tc>
        <w:tc>
          <w:tcPr>
            <w:tcW w:w="18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1,092</w:t>
            </w:r>
          </w:p>
        </w:tc>
        <w:tc>
          <w:tcPr>
            <w:tcW w:w="18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922</w:t>
            </w:r>
          </w:p>
        </w:tc>
        <w:tc>
          <w:tcPr>
            <w:tcW w:w="16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832</w:t>
            </w:r>
          </w:p>
        </w:tc>
        <w:tc>
          <w:tcPr>
            <w:tcW w:w="160" w:type="dxa"/>
            <w:vAlign w:val="bottom"/>
            <w:tcBorders>
              <w:bottom w:val="single" w:sz="8" w:color="E5E5E5"/>
            </w:tcBorders>
            <w:shd w:val="clear" w:color="auto" w:fill="E5E5E5"/>
          </w:tcPr>
          <w:p>
            <w:pPr>
              <w:spacing w:after="0"/>
              <w:rPr>
                <w:sz w:val="18"/>
                <w:szCs w:val="18"/>
                <w:color w:val="auto"/>
              </w:rPr>
            </w:pPr>
          </w:p>
        </w:tc>
        <w:tc>
          <w:tcPr>
            <w:tcW w:w="80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807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Add: Certain deferred tax</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2,231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60" w:type="dxa"/>
            <w:vAlign w:val="bottom"/>
            <w:tcBorders>
              <w:bottom w:val="single" w:sz="8" w:color="004876"/>
            </w:tcBorders>
          </w:tcPr>
          <w:p>
            <w:pPr>
              <w:ind w:left="60"/>
              <w:spacing w:after="0" w:line="219" w:lineRule="exact"/>
              <w:rPr>
                <w:sz w:val="20"/>
                <w:szCs w:val="20"/>
                <w:color w:val="auto"/>
              </w:rPr>
            </w:pPr>
            <w:r>
              <w:rPr>
                <w:rFonts w:ascii="Arial" w:cs="Arial" w:eastAsia="Arial" w:hAnsi="Arial"/>
                <w:sz w:val="14"/>
                <w:szCs w:val="14"/>
                <w:color w:val="auto"/>
              </w:rPr>
              <w:t>liabilities</w:t>
            </w:r>
            <w:r>
              <w:rPr>
                <w:rFonts w:ascii="Arial" w:cs="Arial" w:eastAsia="Arial" w:hAnsi="Arial"/>
                <w:sz w:val="24"/>
                <w:szCs w:val="24"/>
                <w:color w:val="auto"/>
                <w:vertAlign w:val="superscript"/>
              </w:rPr>
              <w:t>(a)</w:t>
            </w:r>
          </w:p>
        </w:tc>
        <w:tc>
          <w:tcPr>
            <w:tcW w:w="180" w:type="dxa"/>
            <w:vAlign w:val="bottom"/>
            <w:tcBorders>
              <w:bottom w:val="single" w:sz="8" w:color="004876"/>
            </w:tcBorders>
          </w:tcPr>
          <w:p>
            <w:pPr>
              <w:spacing w:after="0"/>
              <w:rPr>
                <w:sz w:val="19"/>
                <w:szCs w:val="19"/>
                <w:color w:val="auto"/>
              </w:rPr>
            </w:pPr>
          </w:p>
        </w:tc>
        <w:tc>
          <w:tcPr>
            <w:tcW w:w="140" w:type="dxa"/>
            <w:vAlign w:val="bottom"/>
            <w:tcBorders>
              <w:bottom w:val="single" w:sz="8" w:color="004876"/>
            </w:tcBorders>
          </w:tcPr>
          <w:p>
            <w:pPr>
              <w:spacing w:after="0"/>
              <w:rPr>
                <w:sz w:val="19"/>
                <w:szCs w:val="19"/>
                <w:color w:val="auto"/>
              </w:rPr>
            </w:pPr>
          </w:p>
        </w:tc>
        <w:tc>
          <w:tcPr>
            <w:tcW w:w="78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2,547</w:t>
            </w:r>
          </w:p>
        </w:tc>
        <w:tc>
          <w:tcPr>
            <w:tcW w:w="160" w:type="dxa"/>
            <w:vAlign w:val="bottom"/>
            <w:tcBorders>
              <w:bottom w:val="single" w:sz="8" w:color="004876"/>
            </w:tcBorders>
          </w:tcPr>
          <w:p>
            <w:pPr>
              <w:spacing w:after="0"/>
              <w:rPr>
                <w:sz w:val="19"/>
                <w:szCs w:val="19"/>
                <w:color w:val="auto"/>
              </w:rPr>
            </w:pPr>
          </w:p>
        </w:tc>
        <w:tc>
          <w:tcPr>
            <w:tcW w:w="74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2,587</w:t>
            </w:r>
          </w:p>
        </w:tc>
        <w:tc>
          <w:tcPr>
            <w:tcW w:w="18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2,635</w:t>
            </w:r>
          </w:p>
        </w:tc>
        <w:tc>
          <w:tcPr>
            <w:tcW w:w="180" w:type="dxa"/>
            <w:vAlign w:val="bottom"/>
            <w:tcBorders>
              <w:bottom w:val="single" w:sz="8" w:color="004876"/>
            </w:tcBorders>
          </w:tcPr>
          <w:p>
            <w:pPr>
              <w:spacing w:after="0"/>
              <w:rPr>
                <w:sz w:val="19"/>
                <w:szCs w:val="19"/>
                <w:color w:val="auto"/>
              </w:rPr>
            </w:pPr>
          </w:p>
        </w:tc>
        <w:tc>
          <w:tcPr>
            <w:tcW w:w="7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2,754</w:t>
            </w:r>
          </w:p>
        </w:tc>
        <w:tc>
          <w:tcPr>
            <w:tcW w:w="160" w:type="dxa"/>
            <w:vAlign w:val="bottom"/>
            <w:tcBorders>
              <w:bottom w:val="single" w:sz="8" w:color="004876"/>
            </w:tcBorders>
          </w:tcPr>
          <w:p>
            <w:pPr>
              <w:spacing w:after="0"/>
              <w:rPr>
                <w:sz w:val="19"/>
                <w:szCs w:val="19"/>
                <w:color w:val="auto"/>
              </w:rPr>
            </w:pPr>
          </w:p>
        </w:tc>
        <w:tc>
          <w:tcPr>
            <w:tcW w:w="7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2,885</w:t>
            </w:r>
          </w:p>
        </w:tc>
        <w:tc>
          <w:tcPr>
            <w:tcW w:w="18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2,950</w:t>
            </w:r>
          </w:p>
        </w:tc>
        <w:tc>
          <w:tcPr>
            <w:tcW w:w="18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2,964</w:t>
            </w:r>
          </w:p>
        </w:tc>
        <w:tc>
          <w:tcPr>
            <w:tcW w:w="180" w:type="dxa"/>
            <w:vAlign w:val="bottom"/>
            <w:tcBorders>
              <w:bottom w:val="single" w:sz="8" w:color="004876"/>
            </w:tcBorders>
          </w:tcPr>
          <w:p>
            <w:pPr>
              <w:spacing w:after="0"/>
              <w:rPr>
                <w:sz w:val="19"/>
                <w:szCs w:val="19"/>
                <w:color w:val="auto"/>
              </w:rPr>
            </w:pPr>
          </w:p>
        </w:tc>
        <w:tc>
          <w:tcPr>
            <w:tcW w:w="7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3,212</w:t>
            </w:r>
          </w:p>
        </w:tc>
        <w:tc>
          <w:tcPr>
            <w:tcW w:w="160" w:type="dxa"/>
            <w:vAlign w:val="bottom"/>
            <w:tcBorders>
              <w:bottom w:val="single" w:sz="8" w:color="004876"/>
            </w:tcBorders>
          </w:tcPr>
          <w:p>
            <w:pPr>
              <w:spacing w:after="0"/>
              <w:rPr>
                <w:sz w:val="19"/>
                <w:szCs w:val="19"/>
                <w:color w:val="auto"/>
              </w:rPr>
            </w:pPr>
          </w:p>
        </w:tc>
        <w:tc>
          <w:tcPr>
            <w:tcW w:w="7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3,116</w:t>
            </w:r>
          </w:p>
        </w:tc>
        <w:tc>
          <w:tcPr>
            <w:tcW w:w="160" w:type="dxa"/>
            <w:vAlign w:val="bottom"/>
            <w:tcBorders>
              <w:bottom w:val="single" w:sz="8" w:color="004876"/>
            </w:tcBorders>
          </w:tcPr>
          <w:p>
            <w:pPr>
              <w:spacing w:after="0"/>
              <w:rPr>
                <w:sz w:val="19"/>
                <w:szCs w:val="19"/>
                <w:color w:val="auto"/>
              </w:rPr>
            </w:pPr>
          </w:p>
        </w:tc>
        <w:tc>
          <w:tcPr>
            <w:tcW w:w="800" w:type="dxa"/>
            <w:vAlign w:val="bottom"/>
            <w:tcBorders>
              <w:bottom w:val="single" w:sz="8" w:color="004876"/>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Tangible common equity</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5E5E5"/>
            </w:tcBorders>
            <w:shd w:val="clear" w:color="auto" w:fill="E5E5E5"/>
          </w:tcPr>
          <w:p>
            <w:pPr>
              <w:spacing w:after="0"/>
              <w:rPr>
                <w:sz w:val="18"/>
                <w:szCs w:val="18"/>
                <w:color w:val="auto"/>
              </w:rPr>
            </w:pPr>
          </w:p>
        </w:tc>
        <w:tc>
          <w:tcPr>
            <w:tcW w:w="78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95,101</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111,311</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123,637</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136,097</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149,242</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160,943</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170,117</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179,611</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185,317</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183,155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60" w:type="dxa"/>
            <w:vAlign w:val="bottom"/>
            <w:tcBorders>
              <w:top w:val="single" w:sz="8" w:color="004876"/>
            </w:tcBorders>
          </w:tcPr>
          <w:p>
            <w:pPr>
              <w:ind w:left="60"/>
              <w:spacing w:after="0"/>
              <w:rPr>
                <w:sz w:val="20"/>
                <w:szCs w:val="20"/>
                <w:color w:val="auto"/>
              </w:rPr>
            </w:pPr>
            <w:r>
              <w:rPr>
                <w:rFonts w:ascii="Arial" w:cs="Arial" w:eastAsia="Arial" w:hAnsi="Arial"/>
                <w:sz w:val="14"/>
                <w:szCs w:val="14"/>
                <w:color w:val="auto"/>
              </w:rPr>
              <w:t>Net income applicable to</w:t>
            </w:r>
          </w:p>
        </w:tc>
        <w:tc>
          <w:tcPr>
            <w:tcW w:w="180" w:type="dxa"/>
            <w:vAlign w:val="bottom"/>
            <w:tcBorders>
              <w:top w:val="single" w:sz="8" w:color="004876"/>
            </w:tcBorders>
          </w:tcPr>
          <w:p>
            <w:pPr>
              <w:spacing w:after="0"/>
              <w:rPr>
                <w:sz w:val="15"/>
                <w:szCs w:val="15"/>
                <w:color w:val="auto"/>
              </w:rPr>
            </w:pPr>
          </w:p>
        </w:tc>
        <w:tc>
          <w:tcPr>
            <w:tcW w:w="140" w:type="dxa"/>
            <w:vAlign w:val="bottom"/>
            <w:tcBorders>
              <w:top w:val="single" w:sz="8" w:color="004876"/>
            </w:tcBorders>
          </w:tcPr>
          <w:p>
            <w:pPr>
              <w:spacing w:after="0"/>
              <w:rPr>
                <w:sz w:val="15"/>
                <w:szCs w:val="15"/>
                <w:color w:val="auto"/>
              </w:rPr>
            </w:pPr>
          </w:p>
        </w:tc>
        <w:tc>
          <w:tcPr>
            <w:tcW w:w="780" w:type="dxa"/>
            <w:vAlign w:val="bottom"/>
            <w:tcBorders>
              <w:top w:val="single" w:sz="8" w:color="004876"/>
            </w:tcBorders>
          </w:tcPr>
          <w:p>
            <w:pPr>
              <w:spacing w:after="0"/>
              <w:rPr>
                <w:sz w:val="15"/>
                <w:szCs w:val="15"/>
                <w:color w:val="auto"/>
              </w:rPr>
            </w:pPr>
          </w:p>
        </w:tc>
        <w:tc>
          <w:tcPr>
            <w:tcW w:w="160" w:type="dxa"/>
            <w:vAlign w:val="bottom"/>
            <w:tcBorders>
              <w:top w:val="single" w:sz="8" w:color="004876"/>
            </w:tcBorders>
          </w:tcPr>
          <w:p>
            <w:pPr>
              <w:spacing w:after="0"/>
              <w:rPr>
                <w:sz w:val="15"/>
                <w:szCs w:val="15"/>
                <w:color w:val="auto"/>
              </w:rPr>
            </w:pPr>
          </w:p>
        </w:tc>
        <w:tc>
          <w:tcPr>
            <w:tcW w:w="740" w:type="dxa"/>
            <w:vAlign w:val="bottom"/>
            <w:tcBorders>
              <w:top w:val="single" w:sz="8" w:color="004876"/>
            </w:tcBorders>
          </w:tcPr>
          <w:p>
            <w:pPr>
              <w:spacing w:after="0"/>
              <w:rPr>
                <w:sz w:val="15"/>
                <w:szCs w:val="15"/>
                <w:color w:val="auto"/>
              </w:rPr>
            </w:pPr>
          </w:p>
        </w:tc>
        <w:tc>
          <w:tcPr>
            <w:tcW w:w="180" w:type="dxa"/>
            <w:vAlign w:val="bottom"/>
            <w:tcBorders>
              <w:top w:val="single" w:sz="8" w:color="004876"/>
            </w:tcBorders>
          </w:tcPr>
          <w:p>
            <w:pPr>
              <w:spacing w:after="0"/>
              <w:rPr>
                <w:sz w:val="15"/>
                <w:szCs w:val="15"/>
                <w:color w:val="auto"/>
              </w:rPr>
            </w:pPr>
          </w:p>
        </w:tc>
        <w:tc>
          <w:tcPr>
            <w:tcW w:w="720" w:type="dxa"/>
            <w:vAlign w:val="bottom"/>
            <w:tcBorders>
              <w:top w:val="single" w:sz="8" w:color="004876"/>
            </w:tcBorders>
          </w:tcPr>
          <w:p>
            <w:pPr>
              <w:spacing w:after="0"/>
              <w:rPr>
                <w:sz w:val="15"/>
                <w:szCs w:val="15"/>
                <w:color w:val="auto"/>
              </w:rPr>
            </w:pPr>
          </w:p>
        </w:tc>
        <w:tc>
          <w:tcPr>
            <w:tcW w:w="180" w:type="dxa"/>
            <w:vAlign w:val="bottom"/>
            <w:tcBorders>
              <w:top w:val="single" w:sz="8" w:color="004876"/>
            </w:tcBorders>
          </w:tcPr>
          <w:p>
            <w:pPr>
              <w:spacing w:after="0"/>
              <w:rPr>
                <w:sz w:val="15"/>
                <w:szCs w:val="15"/>
                <w:color w:val="auto"/>
              </w:rPr>
            </w:pPr>
          </w:p>
        </w:tc>
        <w:tc>
          <w:tcPr>
            <w:tcW w:w="740" w:type="dxa"/>
            <w:vAlign w:val="bottom"/>
            <w:tcBorders>
              <w:top w:val="single" w:sz="8" w:color="004876"/>
            </w:tcBorders>
          </w:tcPr>
          <w:p>
            <w:pPr>
              <w:spacing w:after="0"/>
              <w:rPr>
                <w:sz w:val="15"/>
                <w:szCs w:val="15"/>
                <w:color w:val="auto"/>
              </w:rPr>
            </w:pPr>
          </w:p>
        </w:tc>
        <w:tc>
          <w:tcPr>
            <w:tcW w:w="160" w:type="dxa"/>
            <w:vAlign w:val="bottom"/>
            <w:tcBorders>
              <w:top w:val="single" w:sz="8" w:color="004876"/>
            </w:tcBorders>
          </w:tcPr>
          <w:p>
            <w:pPr>
              <w:spacing w:after="0"/>
              <w:rPr>
                <w:sz w:val="15"/>
                <w:szCs w:val="15"/>
                <w:color w:val="auto"/>
              </w:rPr>
            </w:pPr>
          </w:p>
        </w:tc>
        <w:tc>
          <w:tcPr>
            <w:tcW w:w="740" w:type="dxa"/>
            <w:vAlign w:val="bottom"/>
            <w:tcBorders>
              <w:top w:val="single" w:sz="8" w:color="004876"/>
            </w:tcBorders>
          </w:tcPr>
          <w:p>
            <w:pPr>
              <w:spacing w:after="0"/>
              <w:rPr>
                <w:sz w:val="15"/>
                <w:szCs w:val="15"/>
                <w:color w:val="auto"/>
              </w:rPr>
            </w:pPr>
          </w:p>
        </w:tc>
        <w:tc>
          <w:tcPr>
            <w:tcW w:w="180" w:type="dxa"/>
            <w:vAlign w:val="bottom"/>
            <w:tcBorders>
              <w:top w:val="single" w:sz="8" w:color="004876"/>
            </w:tcBorders>
          </w:tcPr>
          <w:p>
            <w:pPr>
              <w:spacing w:after="0"/>
              <w:rPr>
                <w:sz w:val="15"/>
                <w:szCs w:val="15"/>
                <w:color w:val="auto"/>
              </w:rPr>
            </w:pPr>
          </w:p>
        </w:tc>
        <w:tc>
          <w:tcPr>
            <w:tcW w:w="720" w:type="dxa"/>
            <w:vAlign w:val="bottom"/>
            <w:tcBorders>
              <w:top w:val="single" w:sz="8" w:color="004876"/>
            </w:tcBorders>
          </w:tcPr>
          <w:p>
            <w:pPr>
              <w:spacing w:after="0"/>
              <w:rPr>
                <w:sz w:val="15"/>
                <w:szCs w:val="15"/>
                <w:color w:val="auto"/>
              </w:rPr>
            </w:pPr>
          </w:p>
        </w:tc>
        <w:tc>
          <w:tcPr>
            <w:tcW w:w="180" w:type="dxa"/>
            <w:vAlign w:val="bottom"/>
            <w:tcBorders>
              <w:top w:val="single" w:sz="8" w:color="004876"/>
            </w:tcBorders>
          </w:tcPr>
          <w:p>
            <w:pPr>
              <w:spacing w:after="0"/>
              <w:rPr>
                <w:sz w:val="15"/>
                <w:szCs w:val="15"/>
                <w:color w:val="auto"/>
              </w:rPr>
            </w:pPr>
          </w:p>
        </w:tc>
        <w:tc>
          <w:tcPr>
            <w:tcW w:w="720" w:type="dxa"/>
            <w:vAlign w:val="bottom"/>
            <w:tcBorders>
              <w:top w:val="single" w:sz="8" w:color="004876"/>
            </w:tcBorders>
          </w:tcPr>
          <w:p>
            <w:pPr>
              <w:spacing w:after="0"/>
              <w:rPr>
                <w:sz w:val="15"/>
                <w:szCs w:val="15"/>
                <w:color w:val="auto"/>
              </w:rPr>
            </w:pPr>
          </w:p>
        </w:tc>
        <w:tc>
          <w:tcPr>
            <w:tcW w:w="180" w:type="dxa"/>
            <w:vAlign w:val="bottom"/>
            <w:tcBorders>
              <w:top w:val="single" w:sz="8" w:color="004876"/>
            </w:tcBorders>
          </w:tcPr>
          <w:p>
            <w:pPr>
              <w:spacing w:after="0"/>
              <w:rPr>
                <w:sz w:val="15"/>
                <w:szCs w:val="15"/>
                <w:color w:val="auto"/>
              </w:rPr>
            </w:pPr>
          </w:p>
        </w:tc>
        <w:tc>
          <w:tcPr>
            <w:tcW w:w="740" w:type="dxa"/>
            <w:vAlign w:val="bottom"/>
            <w:tcBorders>
              <w:top w:val="single" w:sz="8" w:color="004876"/>
            </w:tcBorders>
          </w:tcPr>
          <w:p>
            <w:pPr>
              <w:spacing w:after="0"/>
              <w:rPr>
                <w:sz w:val="15"/>
                <w:szCs w:val="15"/>
                <w:color w:val="auto"/>
              </w:rPr>
            </w:pPr>
          </w:p>
        </w:tc>
        <w:tc>
          <w:tcPr>
            <w:tcW w:w="160" w:type="dxa"/>
            <w:vAlign w:val="bottom"/>
            <w:tcBorders>
              <w:top w:val="single" w:sz="8" w:color="004876"/>
            </w:tcBorders>
          </w:tcPr>
          <w:p>
            <w:pPr>
              <w:spacing w:after="0"/>
              <w:rPr>
                <w:sz w:val="15"/>
                <w:szCs w:val="15"/>
                <w:color w:val="auto"/>
              </w:rPr>
            </w:pPr>
          </w:p>
        </w:tc>
        <w:tc>
          <w:tcPr>
            <w:tcW w:w="740" w:type="dxa"/>
            <w:vAlign w:val="bottom"/>
            <w:tcBorders>
              <w:top w:val="single" w:sz="8" w:color="004876"/>
            </w:tcBorders>
          </w:tcPr>
          <w:p>
            <w:pPr>
              <w:spacing w:after="0"/>
              <w:rPr>
                <w:sz w:val="15"/>
                <w:szCs w:val="15"/>
                <w:color w:val="auto"/>
              </w:rPr>
            </w:pPr>
          </w:p>
        </w:tc>
        <w:tc>
          <w:tcPr>
            <w:tcW w:w="160" w:type="dxa"/>
            <w:vAlign w:val="bottom"/>
            <w:tcBorders>
              <w:top w:val="single" w:sz="8" w:color="004876"/>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004876"/>
            </w:tcBorders>
            <w:vMerge w:val="restart"/>
          </w:tcPr>
          <w:p>
            <w:pPr>
              <w:jc w:val="right"/>
              <w:ind w:right="108"/>
              <w:spacing w:after="0"/>
              <w:rPr>
                <w:sz w:val="20"/>
                <w:szCs w:val="20"/>
                <w:color w:val="auto"/>
              </w:rPr>
            </w:pPr>
            <w:r>
              <w:rPr>
                <w:rFonts w:ascii="Arial" w:cs="Arial" w:eastAsia="Arial" w:hAnsi="Arial"/>
                <w:sz w:val="14"/>
                <w:szCs w:val="14"/>
                <w:b w:val="1"/>
                <w:bCs w:val="1"/>
                <w:color w:val="auto"/>
              </w:rPr>
              <w:t>30,923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common equity</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9,289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16,728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18,327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20,606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17,081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20,620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22,927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23,086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22,778</w:t>
            </w:r>
          </w:p>
        </w:tc>
        <w:tc>
          <w:tcPr>
            <w:tcW w:w="1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shd w:val="clear" w:color="auto" w:fill="E5E5E5"/>
          </w:tcPr>
          <w:p>
            <w:pPr>
              <w:ind w:left="60"/>
              <w:spacing w:after="0" w:line="229" w:lineRule="exact"/>
              <w:rPr>
                <w:sz w:val="20"/>
                <w:szCs w:val="20"/>
                <w:color w:val="auto"/>
              </w:rPr>
            </w:pPr>
            <w:r>
              <w:rPr>
                <w:rFonts w:ascii="Arial" w:cs="Arial" w:eastAsia="Arial" w:hAnsi="Arial"/>
                <w:sz w:val="14"/>
                <w:szCs w:val="14"/>
                <w:color w:val="auto"/>
              </w:rPr>
              <w:t>Return on common equity</w:t>
            </w:r>
            <w:r>
              <w:rPr>
                <w:rFonts w:ascii="Arial" w:cs="Arial" w:eastAsia="Arial" w:hAnsi="Arial"/>
                <w:sz w:val="24"/>
                <w:szCs w:val="24"/>
                <w:color w:val="auto"/>
                <w:vertAlign w:val="superscript"/>
              </w:rPr>
              <w:t>(b)</w:t>
            </w:r>
          </w:p>
        </w:tc>
        <w:tc>
          <w:tcPr>
            <w:tcW w:w="18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60"/>
              <w:spacing w:after="0" w:line="159" w:lineRule="exact"/>
              <w:rPr>
                <w:sz w:val="20"/>
                <w:szCs w:val="20"/>
                <w:color w:val="auto"/>
              </w:rPr>
            </w:pPr>
            <w:r>
              <w:rPr>
                <w:rFonts w:ascii="Arial" w:cs="Arial" w:eastAsia="Arial" w:hAnsi="Arial"/>
                <w:sz w:val="14"/>
                <w:szCs w:val="14"/>
                <w:color w:val="auto"/>
              </w:rPr>
              <w:t>Return on tangible common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3"/>
                <w:szCs w:val="13"/>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3"/>
                <w:szCs w:val="13"/>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60" w:type="dxa"/>
            <w:vAlign w:val="bottom"/>
            <w:vMerge w:val="restart"/>
          </w:tcPr>
          <w:p>
            <w:pPr>
              <w:ind w:left="60"/>
              <w:spacing w:after="0"/>
              <w:rPr>
                <w:sz w:val="20"/>
                <w:szCs w:val="20"/>
                <w:color w:val="auto"/>
              </w:rPr>
            </w:pPr>
            <w:r>
              <w:rPr>
                <w:rFonts w:ascii="Arial" w:cs="Arial" w:eastAsia="Arial" w:hAnsi="Arial"/>
                <w:sz w:val="14"/>
                <w:szCs w:val="14"/>
                <w:color w:val="auto"/>
              </w:rPr>
              <w:t>equity</w:t>
            </w:r>
            <w:r>
              <w:rPr>
                <w:rFonts w:ascii="Arial" w:cs="Arial" w:eastAsia="Arial" w:hAnsi="Arial"/>
                <w:sz w:val="24"/>
                <w:szCs w:val="24"/>
                <w:color w:val="auto"/>
                <w:vertAlign w:val="superscript"/>
              </w:rPr>
              <w:t>(c)</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004876"/>
            </w:tcBorders>
          </w:tcPr>
          <w:p>
            <w:pPr>
              <w:spacing w:after="0"/>
              <w:rPr>
                <w:sz w:val="24"/>
                <w:szCs w:val="24"/>
                <w:color w:val="auto"/>
              </w:rPr>
            </w:pPr>
          </w:p>
        </w:tc>
        <w:tc>
          <w:tcPr>
            <w:tcW w:w="140" w:type="dxa"/>
            <w:vAlign w:val="bottom"/>
            <w:tcBorders>
              <w:bottom w:val="single" w:sz="8" w:color="004876"/>
            </w:tcBorders>
          </w:tcPr>
          <w:p>
            <w:pPr>
              <w:spacing w:after="0"/>
              <w:rPr>
                <w:sz w:val="24"/>
                <w:szCs w:val="24"/>
                <w:color w:val="auto"/>
              </w:rPr>
            </w:pPr>
          </w:p>
        </w:tc>
        <w:tc>
          <w:tcPr>
            <w:tcW w:w="780" w:type="dxa"/>
            <w:vAlign w:val="bottom"/>
            <w:tcBorders>
              <w:bottom w:val="single" w:sz="8" w:color="004876"/>
            </w:tcBorders>
          </w:tcPr>
          <w:p>
            <w:pPr>
              <w:spacing w:after="0"/>
              <w:rPr>
                <w:sz w:val="24"/>
                <w:szCs w:val="24"/>
                <w:color w:val="auto"/>
              </w:rPr>
            </w:pPr>
          </w:p>
        </w:tc>
        <w:tc>
          <w:tcPr>
            <w:tcW w:w="160" w:type="dxa"/>
            <w:vAlign w:val="bottom"/>
            <w:tcBorders>
              <w:bottom w:val="single" w:sz="8" w:color="004876"/>
            </w:tcBorders>
          </w:tcPr>
          <w:p>
            <w:pPr>
              <w:spacing w:after="0"/>
              <w:rPr>
                <w:sz w:val="24"/>
                <w:szCs w:val="24"/>
                <w:color w:val="auto"/>
              </w:rPr>
            </w:pPr>
          </w:p>
        </w:tc>
        <w:tc>
          <w:tcPr>
            <w:tcW w:w="740" w:type="dxa"/>
            <w:vAlign w:val="bottom"/>
            <w:tcBorders>
              <w:bottom w:val="single" w:sz="8" w:color="004876"/>
            </w:tcBorders>
          </w:tcPr>
          <w:p>
            <w:pPr>
              <w:spacing w:after="0"/>
              <w:rPr>
                <w:sz w:val="24"/>
                <w:szCs w:val="24"/>
                <w:color w:val="auto"/>
              </w:rPr>
            </w:pPr>
          </w:p>
        </w:tc>
        <w:tc>
          <w:tcPr>
            <w:tcW w:w="180" w:type="dxa"/>
            <w:vAlign w:val="bottom"/>
            <w:tcBorders>
              <w:bottom w:val="single" w:sz="8" w:color="004876"/>
            </w:tcBorders>
          </w:tcPr>
          <w:p>
            <w:pPr>
              <w:spacing w:after="0"/>
              <w:rPr>
                <w:sz w:val="24"/>
                <w:szCs w:val="24"/>
                <w:color w:val="auto"/>
              </w:rPr>
            </w:pPr>
          </w:p>
        </w:tc>
        <w:tc>
          <w:tcPr>
            <w:tcW w:w="720" w:type="dxa"/>
            <w:vAlign w:val="bottom"/>
            <w:tcBorders>
              <w:bottom w:val="single" w:sz="8" w:color="004876"/>
            </w:tcBorders>
          </w:tcPr>
          <w:p>
            <w:pPr>
              <w:spacing w:after="0"/>
              <w:rPr>
                <w:sz w:val="24"/>
                <w:szCs w:val="24"/>
                <w:color w:val="auto"/>
              </w:rPr>
            </w:pPr>
          </w:p>
        </w:tc>
        <w:tc>
          <w:tcPr>
            <w:tcW w:w="180" w:type="dxa"/>
            <w:vAlign w:val="bottom"/>
            <w:tcBorders>
              <w:bottom w:val="single" w:sz="8" w:color="004876"/>
            </w:tcBorders>
          </w:tcPr>
          <w:p>
            <w:pPr>
              <w:spacing w:after="0"/>
              <w:rPr>
                <w:sz w:val="24"/>
                <w:szCs w:val="24"/>
                <w:color w:val="auto"/>
              </w:rPr>
            </w:pPr>
          </w:p>
        </w:tc>
        <w:tc>
          <w:tcPr>
            <w:tcW w:w="740" w:type="dxa"/>
            <w:vAlign w:val="bottom"/>
            <w:tcBorders>
              <w:bottom w:val="single" w:sz="8" w:color="004876"/>
            </w:tcBorders>
          </w:tcPr>
          <w:p>
            <w:pPr>
              <w:spacing w:after="0"/>
              <w:rPr>
                <w:sz w:val="24"/>
                <w:szCs w:val="24"/>
                <w:color w:val="auto"/>
              </w:rPr>
            </w:pPr>
          </w:p>
        </w:tc>
        <w:tc>
          <w:tcPr>
            <w:tcW w:w="160" w:type="dxa"/>
            <w:vAlign w:val="bottom"/>
            <w:tcBorders>
              <w:bottom w:val="single" w:sz="8" w:color="004876"/>
            </w:tcBorders>
          </w:tcPr>
          <w:p>
            <w:pPr>
              <w:spacing w:after="0"/>
              <w:rPr>
                <w:sz w:val="24"/>
                <w:szCs w:val="24"/>
                <w:color w:val="auto"/>
              </w:rPr>
            </w:pPr>
          </w:p>
        </w:tc>
        <w:tc>
          <w:tcPr>
            <w:tcW w:w="1640" w:type="dxa"/>
            <w:vAlign w:val="bottom"/>
            <w:tcBorders>
              <w:bottom w:val="single" w:sz="8" w:color="004876"/>
            </w:tcBorders>
            <w:gridSpan w:val="3"/>
          </w:tcPr>
          <w:p>
            <w:pPr>
              <w:jc w:val="center"/>
              <w:ind w:right="388"/>
              <w:spacing w:after="0"/>
              <w:rPr>
                <w:sz w:val="20"/>
                <w:szCs w:val="20"/>
                <w:color w:val="auto"/>
              </w:rPr>
            </w:pPr>
            <w:r>
              <w:rPr>
                <w:rFonts w:ascii="Arial" w:cs="Arial" w:eastAsia="Arial" w:hAnsi="Arial"/>
                <w:sz w:val="14"/>
                <w:szCs w:val="14"/>
                <w:b w:val="1"/>
                <w:bCs w:val="1"/>
                <w:color w:val="auto"/>
              </w:rPr>
              <w:t>Period-end</w:t>
            </w:r>
          </w:p>
        </w:tc>
        <w:tc>
          <w:tcPr>
            <w:tcW w:w="180" w:type="dxa"/>
            <w:vAlign w:val="bottom"/>
            <w:tcBorders>
              <w:bottom w:val="single" w:sz="8" w:color="004876"/>
            </w:tcBorders>
          </w:tcPr>
          <w:p>
            <w:pPr>
              <w:spacing w:after="0"/>
              <w:rPr>
                <w:sz w:val="24"/>
                <w:szCs w:val="24"/>
                <w:color w:val="auto"/>
              </w:rPr>
            </w:pPr>
          </w:p>
        </w:tc>
        <w:tc>
          <w:tcPr>
            <w:tcW w:w="720" w:type="dxa"/>
            <w:vAlign w:val="bottom"/>
            <w:tcBorders>
              <w:bottom w:val="single" w:sz="8" w:color="004876"/>
            </w:tcBorders>
          </w:tcPr>
          <w:p>
            <w:pPr>
              <w:spacing w:after="0"/>
              <w:rPr>
                <w:sz w:val="24"/>
                <w:szCs w:val="24"/>
                <w:color w:val="auto"/>
              </w:rPr>
            </w:pPr>
          </w:p>
        </w:tc>
        <w:tc>
          <w:tcPr>
            <w:tcW w:w="180" w:type="dxa"/>
            <w:vAlign w:val="bottom"/>
            <w:tcBorders>
              <w:bottom w:val="single" w:sz="8" w:color="004876"/>
            </w:tcBorders>
          </w:tcPr>
          <w:p>
            <w:pPr>
              <w:spacing w:after="0"/>
              <w:rPr>
                <w:sz w:val="24"/>
                <w:szCs w:val="24"/>
                <w:color w:val="auto"/>
              </w:rPr>
            </w:pPr>
          </w:p>
        </w:tc>
        <w:tc>
          <w:tcPr>
            <w:tcW w:w="740" w:type="dxa"/>
            <w:vAlign w:val="bottom"/>
            <w:tcBorders>
              <w:bottom w:val="single" w:sz="8" w:color="004876"/>
            </w:tcBorders>
          </w:tcPr>
          <w:p>
            <w:pPr>
              <w:spacing w:after="0"/>
              <w:rPr>
                <w:sz w:val="24"/>
                <w:szCs w:val="24"/>
                <w:color w:val="auto"/>
              </w:rPr>
            </w:pPr>
          </w:p>
        </w:tc>
        <w:tc>
          <w:tcPr>
            <w:tcW w:w="160" w:type="dxa"/>
            <w:vAlign w:val="bottom"/>
            <w:tcBorders>
              <w:bottom w:val="single" w:sz="8" w:color="004876"/>
            </w:tcBorders>
          </w:tcPr>
          <w:p>
            <w:pPr>
              <w:spacing w:after="0"/>
              <w:rPr>
                <w:sz w:val="24"/>
                <w:szCs w:val="24"/>
                <w:color w:val="auto"/>
              </w:rPr>
            </w:pPr>
          </w:p>
        </w:tc>
        <w:tc>
          <w:tcPr>
            <w:tcW w:w="740" w:type="dxa"/>
            <w:vAlign w:val="bottom"/>
            <w:tcBorders>
              <w:bottom w:val="single" w:sz="8" w:color="004876"/>
            </w:tcBorders>
          </w:tcPr>
          <w:p>
            <w:pPr>
              <w:spacing w:after="0"/>
              <w:rPr>
                <w:sz w:val="24"/>
                <w:szCs w:val="24"/>
                <w:color w:val="auto"/>
              </w:rPr>
            </w:pPr>
          </w:p>
        </w:tc>
        <w:tc>
          <w:tcPr>
            <w:tcW w:w="160" w:type="dxa"/>
            <w:vAlign w:val="bottom"/>
            <w:tcBorders>
              <w:bottom w:val="single" w:sz="8" w:color="004876"/>
            </w:tcBorders>
          </w:tcPr>
          <w:p>
            <w:pPr>
              <w:spacing w:after="0"/>
              <w:rPr>
                <w:sz w:val="24"/>
                <w:szCs w:val="24"/>
                <w:color w:val="auto"/>
              </w:rPr>
            </w:pPr>
          </w:p>
        </w:tc>
        <w:tc>
          <w:tcPr>
            <w:tcW w:w="800" w:type="dxa"/>
            <w:vAlign w:val="bottom"/>
            <w:tcBorders>
              <w:bottom w:val="single" w:sz="8" w:color="004876"/>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w:t>
            </w:r>
          </w:p>
        </w:tc>
        <w:tc>
          <w:tcPr>
            <w:tcW w:w="18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8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740" w:type="dxa"/>
            <w:vAlign w:val="bottom"/>
            <w:tcBorders>
              <w:bottom w:val="single" w:sz="8" w:color="004876"/>
            </w:tcBorders>
          </w:tcPr>
          <w:p>
            <w:pPr>
              <w:spacing w:after="0"/>
              <w:rPr>
                <w:sz w:val="18"/>
                <w:szCs w:val="18"/>
                <w:color w:val="auto"/>
              </w:rPr>
            </w:pPr>
          </w:p>
        </w:tc>
        <w:tc>
          <w:tcPr>
            <w:tcW w:w="18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80" w:type="dxa"/>
            <w:vAlign w:val="bottom"/>
            <w:tcBorders>
              <w:bottom w:val="single" w:sz="8" w:color="004876"/>
            </w:tcBorders>
          </w:tcPr>
          <w:p>
            <w:pPr>
              <w:spacing w:after="0"/>
              <w:rPr>
                <w:sz w:val="18"/>
                <w:szCs w:val="18"/>
                <w:color w:val="auto"/>
              </w:rPr>
            </w:pPr>
          </w:p>
        </w:tc>
        <w:tc>
          <w:tcPr>
            <w:tcW w:w="74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1640" w:type="dxa"/>
            <w:vAlign w:val="bottom"/>
            <w:tcBorders>
              <w:bottom w:val="single" w:sz="8" w:color="004876"/>
            </w:tcBorders>
            <w:gridSpan w:val="3"/>
          </w:tcPr>
          <w:p>
            <w:pPr>
              <w:jc w:val="center"/>
              <w:ind w:right="388"/>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80" w:type="dxa"/>
            <w:vAlign w:val="bottom"/>
            <w:tcBorders>
              <w:bottom w:val="single" w:sz="8" w:color="004876"/>
            </w:tcBorders>
          </w:tcPr>
          <w:p>
            <w:pPr>
              <w:spacing w:after="0"/>
              <w:rPr>
                <w:sz w:val="18"/>
                <w:szCs w:val="18"/>
                <w:color w:val="auto"/>
              </w:rPr>
            </w:pPr>
          </w:p>
        </w:tc>
        <w:tc>
          <w:tcPr>
            <w:tcW w:w="74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74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800" w:type="dxa"/>
            <w:vAlign w:val="bottom"/>
            <w:tcBorders>
              <w:bottom w:val="single" w:sz="8" w:color="004876"/>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per share and ratio</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388"/>
              <w:spacing w:after="0"/>
              <w:rPr>
                <w:sz w:val="20"/>
                <w:szCs w:val="20"/>
                <w:color w:val="auto"/>
              </w:rPr>
            </w:pPr>
            <w:r>
              <w:rPr>
                <w:rFonts w:ascii="Arial" w:cs="Arial" w:eastAsia="Arial" w:hAnsi="Arial"/>
                <w:sz w:val="14"/>
                <w:szCs w:val="14"/>
                <w:color w:val="auto"/>
                <w:w w:val="96"/>
              </w:rPr>
              <w:t>2009</w:t>
            </w:r>
          </w:p>
        </w:tc>
        <w:tc>
          <w:tcPr>
            <w:tcW w:w="160" w:type="dxa"/>
            <w:vAlign w:val="bottom"/>
          </w:tcPr>
          <w:p>
            <w:pPr>
              <w:spacing w:after="0"/>
              <w:rPr>
                <w:sz w:val="15"/>
                <w:szCs w:val="15"/>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2010</w:t>
            </w:r>
          </w:p>
        </w:tc>
        <w:tc>
          <w:tcPr>
            <w:tcW w:w="180" w:type="dxa"/>
            <w:vAlign w:val="bottom"/>
          </w:tcPr>
          <w:p>
            <w:pPr>
              <w:spacing w:after="0"/>
              <w:rPr>
                <w:sz w:val="15"/>
                <w:szCs w:val="15"/>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2011</w:t>
            </w:r>
          </w:p>
        </w:tc>
        <w:tc>
          <w:tcPr>
            <w:tcW w:w="180" w:type="dxa"/>
            <w:vAlign w:val="bottom"/>
          </w:tcPr>
          <w:p>
            <w:pPr>
              <w:spacing w:after="0"/>
              <w:rPr>
                <w:sz w:val="15"/>
                <w:szCs w:val="15"/>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2012</w:t>
            </w:r>
          </w:p>
        </w:tc>
        <w:tc>
          <w:tcPr>
            <w:tcW w:w="160" w:type="dxa"/>
            <w:vAlign w:val="bottom"/>
          </w:tcPr>
          <w:p>
            <w:pPr>
              <w:spacing w:after="0"/>
              <w:rPr>
                <w:sz w:val="15"/>
                <w:szCs w:val="15"/>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5"/>
                <w:szCs w:val="15"/>
                <w:color w:val="auto"/>
              </w:rPr>
            </w:pPr>
          </w:p>
        </w:tc>
        <w:tc>
          <w:tcPr>
            <w:tcW w:w="720" w:type="dxa"/>
            <w:vAlign w:val="bottom"/>
          </w:tcPr>
          <w:p>
            <w:pPr>
              <w:jc w:val="right"/>
              <w:ind w:right="288"/>
              <w:spacing w:after="0"/>
              <w:rPr>
                <w:sz w:val="20"/>
                <w:szCs w:val="20"/>
                <w:color w:val="auto"/>
              </w:rPr>
            </w:pPr>
            <w:r>
              <w:rPr>
                <w:rFonts w:ascii="Arial" w:cs="Arial" w:eastAsia="Arial" w:hAnsi="Arial"/>
                <w:sz w:val="14"/>
                <w:szCs w:val="14"/>
                <w:color w:val="auto"/>
              </w:rPr>
              <w:t>2014</w:t>
            </w:r>
          </w:p>
        </w:tc>
        <w:tc>
          <w:tcPr>
            <w:tcW w:w="180" w:type="dxa"/>
            <w:vAlign w:val="bottom"/>
          </w:tcPr>
          <w:p>
            <w:pPr>
              <w:spacing w:after="0"/>
              <w:rPr>
                <w:sz w:val="15"/>
                <w:szCs w:val="15"/>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180" w:type="dxa"/>
            <w:vAlign w:val="bottom"/>
          </w:tcPr>
          <w:p>
            <w:pPr>
              <w:spacing w:after="0"/>
              <w:rPr>
                <w:sz w:val="15"/>
                <w:szCs w:val="15"/>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5"/>
                <w:szCs w:val="15"/>
                <w:color w:val="auto"/>
              </w:rPr>
            </w:pPr>
          </w:p>
        </w:tc>
        <w:tc>
          <w:tcPr>
            <w:tcW w:w="740" w:type="dxa"/>
            <w:vAlign w:val="bottom"/>
          </w:tcPr>
          <w:p>
            <w:pPr>
              <w:jc w:val="right"/>
              <w:ind w:right="288"/>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5"/>
                <w:szCs w:val="15"/>
                <w:color w:val="auto"/>
              </w:rPr>
            </w:pPr>
          </w:p>
        </w:tc>
        <w:tc>
          <w:tcPr>
            <w:tcW w:w="80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60" w:type="dxa"/>
            <w:vAlign w:val="bottom"/>
            <w:tcBorders>
              <w:top w:val="single" w:sz="8" w:color="004876"/>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Common stockholders’ equity</w:t>
            </w:r>
          </w:p>
        </w:tc>
        <w:tc>
          <w:tcPr>
            <w:tcW w:w="180" w:type="dxa"/>
            <w:vAlign w:val="bottom"/>
            <w:tcBorders>
              <w:top w:val="single" w:sz="8" w:color="004876"/>
              <w:bottom w:val="single" w:sz="8" w:color="E5E5E5"/>
            </w:tcBorders>
            <w:shd w:val="clear" w:color="auto" w:fill="E5E5E5"/>
          </w:tcPr>
          <w:p>
            <w:pPr>
              <w:spacing w:after="0"/>
              <w:rPr>
                <w:sz w:val="17"/>
                <w:szCs w:val="17"/>
                <w:color w:val="auto"/>
              </w:rPr>
            </w:pPr>
          </w:p>
        </w:tc>
        <w:tc>
          <w:tcPr>
            <w:tcW w:w="14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157,213</w:t>
            </w:r>
          </w:p>
        </w:tc>
        <w:tc>
          <w:tcPr>
            <w:tcW w:w="16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4876"/>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168,067</w:t>
            </w:r>
          </w:p>
        </w:tc>
        <w:tc>
          <w:tcPr>
            <w:tcW w:w="18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004876"/>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175,514</w:t>
            </w:r>
          </w:p>
        </w:tc>
        <w:tc>
          <w:tcPr>
            <w:tcW w:w="18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194,727</w:t>
            </w:r>
          </w:p>
        </w:tc>
        <w:tc>
          <w:tcPr>
            <w:tcW w:w="16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199,699</w:t>
            </w:r>
          </w:p>
        </w:tc>
        <w:tc>
          <w:tcPr>
            <w:tcW w:w="18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004876"/>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211,664</w:t>
            </w:r>
          </w:p>
        </w:tc>
        <w:tc>
          <w:tcPr>
            <w:tcW w:w="18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004876"/>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221,505</w:t>
            </w:r>
          </w:p>
        </w:tc>
        <w:tc>
          <w:tcPr>
            <w:tcW w:w="18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228,122</w:t>
            </w:r>
          </w:p>
        </w:tc>
        <w:tc>
          <w:tcPr>
            <w:tcW w:w="16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4876"/>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229,625</w:t>
            </w:r>
          </w:p>
        </w:tc>
        <w:tc>
          <w:tcPr>
            <w:tcW w:w="160" w:type="dxa"/>
            <w:vAlign w:val="bottom"/>
            <w:tcBorders>
              <w:top w:val="single" w:sz="8" w:color="004876"/>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004876"/>
              <w:bottom w:val="single" w:sz="8" w:color="E5E5E5"/>
            </w:tcBorders>
            <w:shd w:val="clear" w:color="auto" w:fill="E5E5E5"/>
          </w:tcPr>
          <w:p>
            <w:pPr>
              <w:jc w:val="right"/>
              <w:ind w:right="148"/>
              <w:spacing w:after="0"/>
              <w:rPr>
                <w:sz w:val="20"/>
                <w:szCs w:val="20"/>
                <w:color w:val="auto"/>
              </w:rPr>
            </w:pPr>
            <w:r>
              <w:rPr>
                <w:rFonts w:ascii="Arial" w:cs="Arial" w:eastAsia="Arial" w:hAnsi="Arial"/>
                <w:sz w:val="14"/>
                <w:szCs w:val="14"/>
                <w:b w:val="1"/>
                <w:bCs w:val="1"/>
                <w:color w:val="auto"/>
              </w:rPr>
              <w:t>230,447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Less: Goodwill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48,357</w:t>
            </w:r>
          </w:p>
        </w:tc>
        <w:tc>
          <w:tcPr>
            <w:tcW w:w="16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48,854</w:t>
            </w:r>
          </w:p>
        </w:tc>
        <w:tc>
          <w:tcPr>
            <w:tcW w:w="18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48,188</w:t>
            </w: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48,175</w:t>
            </w:r>
          </w:p>
        </w:tc>
        <w:tc>
          <w:tcPr>
            <w:tcW w:w="16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48,081</w:t>
            </w:r>
          </w:p>
        </w:tc>
        <w:tc>
          <w:tcPr>
            <w:tcW w:w="18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47,647</w:t>
            </w:r>
          </w:p>
        </w:tc>
        <w:tc>
          <w:tcPr>
            <w:tcW w:w="18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47,325</w:t>
            </w:r>
          </w:p>
        </w:tc>
        <w:tc>
          <w:tcPr>
            <w:tcW w:w="18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47,288</w:t>
            </w:r>
          </w:p>
        </w:tc>
        <w:tc>
          <w:tcPr>
            <w:tcW w:w="16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47,507</w:t>
            </w:r>
          </w:p>
        </w:tc>
        <w:tc>
          <w:tcPr>
            <w:tcW w:w="160" w:type="dxa"/>
            <w:vAlign w:val="bottom"/>
          </w:tcPr>
          <w:p>
            <w:pPr>
              <w:spacing w:after="0"/>
              <w:rPr>
                <w:sz w:val="16"/>
                <w:szCs w:val="16"/>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47,471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Less: Other intangible assets</w:t>
            </w:r>
          </w:p>
        </w:tc>
        <w:tc>
          <w:tcPr>
            <w:tcW w:w="18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E5E5E5"/>
            </w:tcBorders>
            <w:shd w:val="clear" w:color="auto" w:fill="E5E5E5"/>
          </w:tcPr>
          <w:p>
            <w:pPr>
              <w:spacing w:after="0"/>
              <w:rPr>
                <w:sz w:val="18"/>
                <w:szCs w:val="18"/>
                <w:color w:val="auto"/>
              </w:rPr>
            </w:pPr>
          </w:p>
        </w:tc>
        <w:tc>
          <w:tcPr>
            <w:tcW w:w="78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4,621</w:t>
            </w:r>
          </w:p>
        </w:tc>
        <w:tc>
          <w:tcPr>
            <w:tcW w:w="16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4,039</w:t>
            </w:r>
          </w:p>
        </w:tc>
        <w:tc>
          <w:tcPr>
            <w:tcW w:w="18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3,207</w:t>
            </w:r>
          </w:p>
        </w:tc>
        <w:tc>
          <w:tcPr>
            <w:tcW w:w="18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2,235</w:t>
            </w:r>
          </w:p>
        </w:tc>
        <w:tc>
          <w:tcPr>
            <w:tcW w:w="16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1,618</w:t>
            </w:r>
          </w:p>
        </w:tc>
        <w:tc>
          <w:tcPr>
            <w:tcW w:w="18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1,192</w:t>
            </w:r>
          </w:p>
        </w:tc>
        <w:tc>
          <w:tcPr>
            <w:tcW w:w="18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1,015</w:t>
            </w:r>
          </w:p>
        </w:tc>
        <w:tc>
          <w:tcPr>
            <w:tcW w:w="18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862</w:t>
            </w:r>
          </w:p>
        </w:tc>
        <w:tc>
          <w:tcPr>
            <w:tcW w:w="160" w:type="dxa"/>
            <w:vAlign w:val="bottom"/>
            <w:tcBorders>
              <w:bottom w:val="single" w:sz="8" w:color="E5E5E5"/>
            </w:tcBorders>
            <w:shd w:val="clear" w:color="auto" w:fill="E5E5E5"/>
          </w:tcPr>
          <w:p>
            <w:pPr>
              <w:spacing w:after="0"/>
              <w:rPr>
                <w:sz w:val="18"/>
                <w:szCs w:val="18"/>
                <w:color w:val="auto"/>
              </w:rPr>
            </w:pP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855</w:t>
            </w:r>
          </w:p>
        </w:tc>
        <w:tc>
          <w:tcPr>
            <w:tcW w:w="160" w:type="dxa"/>
            <w:vAlign w:val="bottom"/>
            <w:tcBorders>
              <w:bottom w:val="single" w:sz="8" w:color="E5E5E5"/>
            </w:tcBorders>
            <w:shd w:val="clear" w:color="auto" w:fill="E5E5E5"/>
          </w:tcPr>
          <w:p>
            <w:pPr>
              <w:spacing w:after="0"/>
              <w:rPr>
                <w:sz w:val="18"/>
                <w:szCs w:val="18"/>
                <w:color w:val="auto"/>
              </w:rPr>
            </w:pPr>
          </w:p>
        </w:tc>
        <w:tc>
          <w:tcPr>
            <w:tcW w:w="800" w:type="dxa"/>
            <w:vAlign w:val="bottom"/>
            <w:tcBorders>
              <w:bottom w:val="single" w:sz="8" w:color="E5E5E5"/>
            </w:tcBorders>
            <w:shd w:val="clear" w:color="auto" w:fill="E5E5E5"/>
          </w:tcPr>
          <w:p>
            <w:pPr>
              <w:jc w:val="right"/>
              <w:ind w:right="148"/>
              <w:spacing w:after="0"/>
              <w:rPr>
                <w:sz w:val="20"/>
                <w:szCs w:val="20"/>
                <w:color w:val="auto"/>
              </w:rPr>
            </w:pPr>
            <w:r>
              <w:rPr>
                <w:rFonts w:ascii="Arial" w:cs="Arial" w:eastAsia="Arial" w:hAnsi="Arial"/>
                <w:sz w:val="14"/>
                <w:szCs w:val="14"/>
                <w:b w:val="1"/>
                <w:bCs w:val="1"/>
                <w:color w:val="auto"/>
              </w:rPr>
              <w:t>748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Add: Certain deferred tax</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2,280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60" w:type="dxa"/>
            <w:vAlign w:val="bottom"/>
            <w:tcBorders>
              <w:bottom w:val="single" w:sz="8" w:color="004876"/>
            </w:tcBorders>
          </w:tcPr>
          <w:p>
            <w:pPr>
              <w:ind w:left="60"/>
              <w:spacing w:after="0" w:line="219" w:lineRule="exact"/>
              <w:rPr>
                <w:sz w:val="20"/>
                <w:szCs w:val="20"/>
                <w:color w:val="auto"/>
              </w:rPr>
            </w:pPr>
            <w:r>
              <w:rPr>
                <w:rFonts w:ascii="Arial" w:cs="Arial" w:eastAsia="Arial" w:hAnsi="Arial"/>
                <w:sz w:val="14"/>
                <w:szCs w:val="14"/>
                <w:color w:val="auto"/>
              </w:rPr>
              <w:t>liabilities</w:t>
            </w:r>
            <w:r>
              <w:rPr>
                <w:rFonts w:ascii="Arial" w:cs="Arial" w:eastAsia="Arial" w:hAnsi="Arial"/>
                <w:sz w:val="24"/>
                <w:szCs w:val="24"/>
                <w:color w:val="auto"/>
                <w:vertAlign w:val="superscript"/>
              </w:rPr>
              <w:t>(a)</w:t>
            </w:r>
          </w:p>
        </w:tc>
        <w:tc>
          <w:tcPr>
            <w:tcW w:w="180" w:type="dxa"/>
            <w:vAlign w:val="bottom"/>
            <w:tcBorders>
              <w:bottom w:val="single" w:sz="8" w:color="004876"/>
            </w:tcBorders>
          </w:tcPr>
          <w:p>
            <w:pPr>
              <w:spacing w:after="0"/>
              <w:rPr>
                <w:sz w:val="19"/>
                <w:szCs w:val="19"/>
                <w:color w:val="auto"/>
              </w:rPr>
            </w:pPr>
          </w:p>
        </w:tc>
        <w:tc>
          <w:tcPr>
            <w:tcW w:w="140" w:type="dxa"/>
            <w:vAlign w:val="bottom"/>
            <w:tcBorders>
              <w:bottom w:val="single" w:sz="8" w:color="004876"/>
            </w:tcBorders>
          </w:tcPr>
          <w:p>
            <w:pPr>
              <w:spacing w:after="0"/>
              <w:rPr>
                <w:sz w:val="19"/>
                <w:szCs w:val="19"/>
                <w:color w:val="auto"/>
              </w:rPr>
            </w:pPr>
          </w:p>
        </w:tc>
        <w:tc>
          <w:tcPr>
            <w:tcW w:w="78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2,538</w:t>
            </w:r>
          </w:p>
        </w:tc>
        <w:tc>
          <w:tcPr>
            <w:tcW w:w="160" w:type="dxa"/>
            <w:vAlign w:val="bottom"/>
            <w:tcBorders>
              <w:bottom w:val="single" w:sz="8" w:color="004876"/>
            </w:tcBorders>
          </w:tcPr>
          <w:p>
            <w:pPr>
              <w:spacing w:after="0"/>
              <w:rPr>
                <w:sz w:val="19"/>
                <w:szCs w:val="19"/>
                <w:color w:val="auto"/>
              </w:rPr>
            </w:pPr>
          </w:p>
        </w:tc>
        <w:tc>
          <w:tcPr>
            <w:tcW w:w="74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2,586</w:t>
            </w:r>
          </w:p>
        </w:tc>
        <w:tc>
          <w:tcPr>
            <w:tcW w:w="18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2,729</w:t>
            </w:r>
          </w:p>
        </w:tc>
        <w:tc>
          <w:tcPr>
            <w:tcW w:w="180" w:type="dxa"/>
            <w:vAlign w:val="bottom"/>
            <w:tcBorders>
              <w:bottom w:val="single" w:sz="8" w:color="004876"/>
            </w:tcBorders>
          </w:tcPr>
          <w:p>
            <w:pPr>
              <w:spacing w:after="0"/>
              <w:rPr>
                <w:sz w:val="19"/>
                <w:szCs w:val="19"/>
                <w:color w:val="auto"/>
              </w:rPr>
            </w:pPr>
          </w:p>
        </w:tc>
        <w:tc>
          <w:tcPr>
            <w:tcW w:w="7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2,803</w:t>
            </w:r>
          </w:p>
        </w:tc>
        <w:tc>
          <w:tcPr>
            <w:tcW w:w="160" w:type="dxa"/>
            <w:vAlign w:val="bottom"/>
            <w:tcBorders>
              <w:bottom w:val="single" w:sz="8" w:color="004876"/>
            </w:tcBorders>
          </w:tcPr>
          <w:p>
            <w:pPr>
              <w:spacing w:after="0"/>
              <w:rPr>
                <w:sz w:val="19"/>
                <w:szCs w:val="19"/>
                <w:color w:val="auto"/>
              </w:rPr>
            </w:pPr>
          </w:p>
        </w:tc>
        <w:tc>
          <w:tcPr>
            <w:tcW w:w="7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2,953</w:t>
            </w:r>
          </w:p>
        </w:tc>
        <w:tc>
          <w:tcPr>
            <w:tcW w:w="18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2,853</w:t>
            </w:r>
          </w:p>
        </w:tc>
        <w:tc>
          <w:tcPr>
            <w:tcW w:w="18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3,148</w:t>
            </w:r>
          </w:p>
        </w:tc>
        <w:tc>
          <w:tcPr>
            <w:tcW w:w="180" w:type="dxa"/>
            <w:vAlign w:val="bottom"/>
            <w:tcBorders>
              <w:bottom w:val="single" w:sz="8" w:color="004876"/>
            </w:tcBorders>
          </w:tcPr>
          <w:p>
            <w:pPr>
              <w:spacing w:after="0"/>
              <w:rPr>
                <w:sz w:val="19"/>
                <w:szCs w:val="19"/>
                <w:color w:val="auto"/>
              </w:rPr>
            </w:pPr>
          </w:p>
        </w:tc>
        <w:tc>
          <w:tcPr>
            <w:tcW w:w="7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3,230</w:t>
            </w:r>
          </w:p>
        </w:tc>
        <w:tc>
          <w:tcPr>
            <w:tcW w:w="160" w:type="dxa"/>
            <w:vAlign w:val="bottom"/>
            <w:tcBorders>
              <w:bottom w:val="single" w:sz="8" w:color="004876"/>
            </w:tcBorders>
          </w:tcPr>
          <w:p>
            <w:pPr>
              <w:spacing w:after="0"/>
              <w:rPr>
                <w:sz w:val="19"/>
                <w:szCs w:val="19"/>
                <w:color w:val="auto"/>
              </w:rPr>
            </w:pPr>
          </w:p>
        </w:tc>
        <w:tc>
          <w:tcPr>
            <w:tcW w:w="74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2,204</w:t>
            </w:r>
          </w:p>
        </w:tc>
        <w:tc>
          <w:tcPr>
            <w:tcW w:w="160" w:type="dxa"/>
            <w:vAlign w:val="bottom"/>
            <w:tcBorders>
              <w:bottom w:val="single" w:sz="8" w:color="004876"/>
            </w:tcBorders>
          </w:tcPr>
          <w:p>
            <w:pPr>
              <w:spacing w:after="0"/>
              <w:rPr>
                <w:sz w:val="19"/>
                <w:szCs w:val="19"/>
                <w:color w:val="auto"/>
              </w:rPr>
            </w:pPr>
          </w:p>
        </w:tc>
        <w:tc>
          <w:tcPr>
            <w:tcW w:w="800" w:type="dxa"/>
            <w:vAlign w:val="bottom"/>
            <w:tcBorders>
              <w:bottom w:val="single" w:sz="8" w:color="004876"/>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Tangible common equity</w:t>
            </w:r>
          </w:p>
        </w:tc>
        <w:tc>
          <w:tcPr>
            <w:tcW w:w="180" w:type="dxa"/>
            <w:vAlign w:val="bottom"/>
            <w:tcBorders>
              <w:bottom w:val="single" w:sz="8" w:color="E5E5E5"/>
            </w:tcBorders>
            <w:shd w:val="clear" w:color="auto" w:fill="E5E5E5"/>
          </w:tcPr>
          <w:p>
            <w:pPr>
              <w:spacing w:after="0"/>
              <w:rPr>
                <w:sz w:val="19"/>
                <w:szCs w:val="19"/>
                <w:color w:val="auto"/>
              </w:rPr>
            </w:pP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106,773</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117,760</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126,848</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147,120</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152,953</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165,678</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176,313</w:t>
            </w: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183,202</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183,467</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E5E5E5"/>
            </w:tcBorders>
            <w:shd w:val="clear" w:color="auto" w:fill="E5E5E5"/>
          </w:tcPr>
          <w:p>
            <w:pPr>
              <w:jc w:val="right"/>
              <w:ind w:right="148"/>
              <w:spacing w:after="0"/>
              <w:rPr>
                <w:sz w:val="20"/>
                <w:szCs w:val="20"/>
                <w:color w:val="auto"/>
              </w:rPr>
            </w:pPr>
            <w:r>
              <w:rPr>
                <w:rFonts w:ascii="Arial" w:cs="Arial" w:eastAsia="Arial" w:hAnsi="Arial"/>
                <w:sz w:val="14"/>
                <w:szCs w:val="14"/>
                <w:b w:val="1"/>
                <w:bCs w:val="1"/>
                <w:color w:val="auto"/>
              </w:rPr>
              <w:t>184,508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60" w:type="dxa"/>
            <w:vAlign w:val="bottom"/>
            <w:tcBorders>
              <w:top w:val="single" w:sz="8" w:color="004876"/>
            </w:tcBorders>
          </w:tcPr>
          <w:p>
            <w:pPr>
              <w:ind w:left="60"/>
              <w:spacing w:after="0"/>
              <w:rPr>
                <w:sz w:val="20"/>
                <w:szCs w:val="20"/>
                <w:color w:val="auto"/>
              </w:rPr>
            </w:pPr>
            <w:r>
              <w:rPr>
                <w:rFonts w:ascii="Arial" w:cs="Arial" w:eastAsia="Arial" w:hAnsi="Arial"/>
                <w:sz w:val="14"/>
                <w:szCs w:val="14"/>
                <w:color w:val="auto"/>
              </w:rPr>
              <w:t>Common shares</w:t>
            </w:r>
          </w:p>
        </w:tc>
        <w:tc>
          <w:tcPr>
            <w:tcW w:w="180" w:type="dxa"/>
            <w:vAlign w:val="bottom"/>
            <w:tcBorders>
              <w:top w:val="single" w:sz="8" w:color="004876"/>
            </w:tcBorders>
          </w:tcPr>
          <w:p>
            <w:pPr>
              <w:spacing w:after="0"/>
              <w:rPr>
                <w:sz w:val="16"/>
                <w:szCs w:val="16"/>
                <w:color w:val="auto"/>
              </w:rPr>
            </w:pPr>
          </w:p>
        </w:tc>
        <w:tc>
          <w:tcPr>
            <w:tcW w:w="140" w:type="dxa"/>
            <w:vAlign w:val="bottom"/>
            <w:tcBorders>
              <w:top w:val="single" w:sz="8" w:color="004876"/>
            </w:tcBorders>
          </w:tcPr>
          <w:p>
            <w:pPr>
              <w:spacing w:after="0"/>
              <w:rPr>
                <w:sz w:val="16"/>
                <w:szCs w:val="16"/>
                <w:color w:val="auto"/>
              </w:rPr>
            </w:pPr>
          </w:p>
        </w:tc>
        <w:tc>
          <w:tcPr>
            <w:tcW w:w="78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3,942.0</w:t>
            </w:r>
          </w:p>
        </w:tc>
        <w:tc>
          <w:tcPr>
            <w:tcW w:w="160" w:type="dxa"/>
            <w:vAlign w:val="bottom"/>
            <w:tcBorders>
              <w:top w:val="single" w:sz="8" w:color="004876"/>
            </w:tcBorders>
          </w:tcPr>
          <w:p>
            <w:pPr>
              <w:spacing w:after="0"/>
              <w:rPr>
                <w:sz w:val="16"/>
                <w:szCs w:val="16"/>
                <w:color w:val="auto"/>
              </w:rPr>
            </w:pPr>
          </w:p>
        </w:tc>
        <w:tc>
          <w:tcPr>
            <w:tcW w:w="740" w:type="dxa"/>
            <w:vAlign w:val="bottom"/>
            <w:tcBorders>
              <w:top w:val="single" w:sz="8" w:color="004876"/>
            </w:tcBorders>
          </w:tcPr>
          <w:p>
            <w:pPr>
              <w:jc w:val="right"/>
              <w:ind w:right="88"/>
              <w:spacing w:after="0"/>
              <w:rPr>
                <w:sz w:val="20"/>
                <w:szCs w:val="20"/>
                <w:color w:val="auto"/>
              </w:rPr>
            </w:pPr>
            <w:r>
              <w:rPr>
                <w:rFonts w:ascii="Arial" w:cs="Arial" w:eastAsia="Arial" w:hAnsi="Arial"/>
                <w:sz w:val="14"/>
                <w:szCs w:val="14"/>
                <w:color w:val="auto"/>
              </w:rPr>
              <w:t>3,910.3</w:t>
            </w:r>
          </w:p>
        </w:tc>
        <w:tc>
          <w:tcPr>
            <w:tcW w:w="18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88"/>
              <w:spacing w:after="0"/>
              <w:rPr>
                <w:sz w:val="20"/>
                <w:szCs w:val="20"/>
                <w:color w:val="auto"/>
              </w:rPr>
            </w:pPr>
            <w:r>
              <w:rPr>
                <w:rFonts w:ascii="Arial" w:cs="Arial" w:eastAsia="Arial" w:hAnsi="Arial"/>
                <w:sz w:val="14"/>
                <w:szCs w:val="14"/>
                <w:color w:val="auto"/>
              </w:rPr>
              <w:t>3,772.7</w:t>
            </w:r>
          </w:p>
        </w:tc>
        <w:tc>
          <w:tcPr>
            <w:tcW w:w="180" w:type="dxa"/>
            <w:vAlign w:val="bottom"/>
            <w:tcBorders>
              <w:top w:val="single" w:sz="8" w:color="004876"/>
            </w:tcBorders>
          </w:tcPr>
          <w:p>
            <w:pPr>
              <w:spacing w:after="0"/>
              <w:rPr>
                <w:sz w:val="16"/>
                <w:szCs w:val="16"/>
                <w:color w:val="auto"/>
              </w:rPr>
            </w:pPr>
          </w:p>
        </w:tc>
        <w:tc>
          <w:tcPr>
            <w:tcW w:w="74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3,804.0</w:t>
            </w:r>
          </w:p>
        </w:tc>
        <w:tc>
          <w:tcPr>
            <w:tcW w:w="160" w:type="dxa"/>
            <w:vAlign w:val="bottom"/>
            <w:tcBorders>
              <w:top w:val="single" w:sz="8" w:color="004876"/>
            </w:tcBorders>
          </w:tcPr>
          <w:p>
            <w:pPr>
              <w:spacing w:after="0"/>
              <w:rPr>
                <w:sz w:val="16"/>
                <w:szCs w:val="16"/>
                <w:color w:val="auto"/>
              </w:rPr>
            </w:pPr>
          </w:p>
        </w:tc>
        <w:tc>
          <w:tcPr>
            <w:tcW w:w="74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3,756.1</w:t>
            </w:r>
          </w:p>
        </w:tc>
        <w:tc>
          <w:tcPr>
            <w:tcW w:w="18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88"/>
              <w:spacing w:after="0"/>
              <w:rPr>
                <w:sz w:val="20"/>
                <w:szCs w:val="20"/>
                <w:color w:val="auto"/>
              </w:rPr>
            </w:pPr>
            <w:r>
              <w:rPr>
                <w:rFonts w:ascii="Arial" w:cs="Arial" w:eastAsia="Arial" w:hAnsi="Arial"/>
                <w:sz w:val="14"/>
                <w:szCs w:val="14"/>
                <w:color w:val="auto"/>
              </w:rPr>
              <w:t>3,714.8</w:t>
            </w:r>
          </w:p>
        </w:tc>
        <w:tc>
          <w:tcPr>
            <w:tcW w:w="18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88"/>
              <w:spacing w:after="0"/>
              <w:rPr>
                <w:sz w:val="20"/>
                <w:szCs w:val="20"/>
                <w:color w:val="auto"/>
              </w:rPr>
            </w:pPr>
            <w:r>
              <w:rPr>
                <w:rFonts w:ascii="Arial" w:cs="Arial" w:eastAsia="Arial" w:hAnsi="Arial"/>
                <w:sz w:val="14"/>
                <w:szCs w:val="14"/>
                <w:color w:val="auto"/>
              </w:rPr>
              <w:t>3,663.5</w:t>
            </w:r>
          </w:p>
        </w:tc>
        <w:tc>
          <w:tcPr>
            <w:tcW w:w="180" w:type="dxa"/>
            <w:vAlign w:val="bottom"/>
            <w:tcBorders>
              <w:top w:val="single" w:sz="8" w:color="004876"/>
            </w:tcBorders>
          </w:tcPr>
          <w:p>
            <w:pPr>
              <w:spacing w:after="0"/>
              <w:rPr>
                <w:sz w:val="16"/>
                <w:szCs w:val="16"/>
                <w:color w:val="auto"/>
              </w:rPr>
            </w:pPr>
          </w:p>
        </w:tc>
        <w:tc>
          <w:tcPr>
            <w:tcW w:w="74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3,561.2</w:t>
            </w:r>
          </w:p>
        </w:tc>
        <w:tc>
          <w:tcPr>
            <w:tcW w:w="160" w:type="dxa"/>
            <w:vAlign w:val="bottom"/>
            <w:tcBorders>
              <w:top w:val="single" w:sz="8" w:color="004876"/>
            </w:tcBorders>
          </w:tcPr>
          <w:p>
            <w:pPr>
              <w:spacing w:after="0"/>
              <w:rPr>
                <w:sz w:val="16"/>
                <w:szCs w:val="16"/>
                <w:color w:val="auto"/>
              </w:rPr>
            </w:pPr>
          </w:p>
        </w:tc>
        <w:tc>
          <w:tcPr>
            <w:tcW w:w="74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3,425.3</w:t>
            </w:r>
          </w:p>
        </w:tc>
        <w:tc>
          <w:tcPr>
            <w:tcW w:w="160" w:type="dxa"/>
            <w:vAlign w:val="bottom"/>
            <w:tcBorders>
              <w:top w:val="single" w:sz="8" w:color="004876"/>
            </w:tcBorders>
          </w:tcPr>
          <w:p>
            <w:pPr>
              <w:spacing w:after="0"/>
              <w:rPr>
                <w:sz w:val="16"/>
                <w:szCs w:val="16"/>
                <w:color w:val="auto"/>
              </w:rPr>
            </w:pPr>
          </w:p>
        </w:tc>
        <w:tc>
          <w:tcPr>
            <w:tcW w:w="800" w:type="dxa"/>
            <w:vAlign w:val="bottom"/>
            <w:tcBorders>
              <w:top w:val="single" w:sz="8" w:color="004876"/>
            </w:tcBorders>
          </w:tcPr>
          <w:p>
            <w:pPr>
              <w:jc w:val="right"/>
              <w:ind w:right="148"/>
              <w:spacing w:after="0"/>
              <w:rPr>
                <w:sz w:val="20"/>
                <w:szCs w:val="20"/>
                <w:color w:val="auto"/>
              </w:rPr>
            </w:pPr>
            <w:r>
              <w:rPr>
                <w:rFonts w:ascii="Arial" w:cs="Arial" w:eastAsia="Arial" w:hAnsi="Arial"/>
                <w:sz w:val="14"/>
                <w:szCs w:val="14"/>
                <w:b w:val="1"/>
                <w:bCs w:val="1"/>
                <w:color w:val="auto"/>
              </w:rPr>
              <w:t>3,275.8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shd w:val="clear" w:color="auto" w:fill="E5E5E5"/>
          </w:tcPr>
          <w:p>
            <w:pPr>
              <w:ind w:left="60"/>
              <w:spacing w:after="0" w:line="229" w:lineRule="exact"/>
              <w:rPr>
                <w:sz w:val="20"/>
                <w:szCs w:val="20"/>
                <w:color w:val="auto"/>
              </w:rPr>
            </w:pPr>
            <w:r>
              <w:rPr>
                <w:rFonts w:ascii="Arial" w:cs="Arial" w:eastAsia="Arial" w:hAnsi="Arial"/>
                <w:sz w:val="14"/>
                <w:szCs w:val="14"/>
                <w:color w:val="auto"/>
              </w:rPr>
              <w:t>Book value per share</w:t>
            </w:r>
            <w:r>
              <w:rPr>
                <w:rFonts w:ascii="Arial" w:cs="Arial" w:eastAsia="Arial" w:hAnsi="Arial"/>
                <w:sz w:val="24"/>
                <w:szCs w:val="24"/>
                <w:color w:val="auto"/>
                <w:vertAlign w:val="superscript"/>
              </w:rPr>
              <w:t>(d)</w:t>
            </w:r>
          </w:p>
        </w:tc>
        <w:tc>
          <w:tcPr>
            <w:tcW w:w="180" w:type="dxa"/>
            <w:vAlign w:val="bottom"/>
            <w:shd w:val="clear" w:color="auto" w:fill="E5E5E5"/>
          </w:tcPr>
          <w:p>
            <w:pPr>
              <w:spacing w:after="0"/>
              <w:rPr>
                <w:sz w:val="19"/>
                <w:szCs w:val="19"/>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39.88</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42.98</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46.52</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51.19</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53.17</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56.98</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60.46</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64.06</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67.04</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5E5E5"/>
          </w:tcPr>
          <w:p>
            <w:pPr>
              <w:jc w:val="right"/>
              <w:ind w:right="148"/>
              <w:spacing w:after="0"/>
              <w:rPr>
                <w:sz w:val="20"/>
                <w:szCs w:val="20"/>
                <w:color w:val="auto"/>
              </w:rPr>
            </w:pPr>
            <w:r>
              <w:rPr>
                <w:rFonts w:ascii="Arial" w:cs="Arial" w:eastAsia="Arial" w:hAnsi="Arial"/>
                <w:sz w:val="14"/>
                <w:szCs w:val="14"/>
                <w:b w:val="1"/>
                <w:bCs w:val="1"/>
                <w:color w:val="auto"/>
              </w:rPr>
              <w:t>70.35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Tangible book value per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27.09</w:t>
            </w:r>
          </w:p>
        </w:tc>
        <w:tc>
          <w:tcPr>
            <w:tcW w:w="160" w:type="dxa"/>
            <w:vAlign w:val="bottom"/>
          </w:tcPr>
          <w:p>
            <w:pPr>
              <w:spacing w:after="0"/>
              <w:rPr>
                <w:sz w:val="15"/>
                <w:szCs w:val="15"/>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30.12</w:t>
            </w:r>
          </w:p>
        </w:tc>
        <w:tc>
          <w:tcPr>
            <w:tcW w:w="180" w:type="dxa"/>
            <w:vAlign w:val="bottom"/>
          </w:tcPr>
          <w:p>
            <w:pPr>
              <w:spacing w:after="0"/>
              <w:rPr>
                <w:sz w:val="15"/>
                <w:szCs w:val="15"/>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33.62</w:t>
            </w:r>
          </w:p>
        </w:tc>
        <w:tc>
          <w:tcPr>
            <w:tcW w:w="180" w:type="dxa"/>
            <w:vAlign w:val="bottom"/>
          </w:tcPr>
          <w:p>
            <w:pPr>
              <w:spacing w:after="0"/>
              <w:rPr>
                <w:sz w:val="15"/>
                <w:szCs w:val="15"/>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38.68</w:t>
            </w:r>
          </w:p>
        </w:tc>
        <w:tc>
          <w:tcPr>
            <w:tcW w:w="160" w:type="dxa"/>
            <w:vAlign w:val="bottom"/>
          </w:tcPr>
          <w:p>
            <w:pPr>
              <w:spacing w:after="0"/>
              <w:rPr>
                <w:sz w:val="15"/>
                <w:szCs w:val="15"/>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40.72</w:t>
            </w:r>
          </w:p>
        </w:tc>
        <w:tc>
          <w:tcPr>
            <w:tcW w:w="180" w:type="dxa"/>
            <w:vAlign w:val="bottom"/>
          </w:tcPr>
          <w:p>
            <w:pPr>
              <w:spacing w:after="0"/>
              <w:rPr>
                <w:sz w:val="15"/>
                <w:szCs w:val="15"/>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44.60</w:t>
            </w:r>
          </w:p>
        </w:tc>
        <w:tc>
          <w:tcPr>
            <w:tcW w:w="180" w:type="dxa"/>
            <w:vAlign w:val="bottom"/>
          </w:tcPr>
          <w:p>
            <w:pPr>
              <w:spacing w:after="0"/>
              <w:rPr>
                <w:sz w:val="15"/>
                <w:szCs w:val="15"/>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48.13</w:t>
            </w:r>
          </w:p>
        </w:tc>
        <w:tc>
          <w:tcPr>
            <w:tcW w:w="180" w:type="dxa"/>
            <w:vAlign w:val="bottom"/>
          </w:tcPr>
          <w:p>
            <w:pPr>
              <w:spacing w:after="0"/>
              <w:rPr>
                <w:sz w:val="15"/>
                <w:szCs w:val="15"/>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51.44</w:t>
            </w:r>
          </w:p>
        </w:tc>
        <w:tc>
          <w:tcPr>
            <w:tcW w:w="160" w:type="dxa"/>
            <w:vAlign w:val="bottom"/>
          </w:tcPr>
          <w:p>
            <w:pPr>
              <w:spacing w:after="0"/>
              <w:rPr>
                <w:sz w:val="15"/>
                <w:szCs w:val="15"/>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53.56</w:t>
            </w:r>
          </w:p>
        </w:tc>
        <w:tc>
          <w:tcPr>
            <w:tcW w:w="160" w:type="dxa"/>
            <w:vAlign w:val="bottom"/>
          </w:tcPr>
          <w:p>
            <w:pPr>
              <w:spacing w:after="0"/>
              <w:rPr>
                <w:sz w:val="15"/>
                <w:szCs w:val="15"/>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56.33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share</w:t>
            </w:r>
            <w:r>
              <w:rPr>
                <w:rFonts w:ascii="Arial" w:cs="Arial" w:eastAsia="Arial" w:hAnsi="Arial"/>
                <w:sz w:val="24"/>
                <w:szCs w:val="24"/>
                <w:color w:val="auto"/>
                <w:vertAlign w:val="superscript"/>
              </w:rPr>
              <w:t>(e)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480" w:right="420" w:hanging="263"/>
        <w:spacing w:after="0" w:line="183" w:lineRule="auto"/>
        <w:tabs>
          <w:tab w:leader="none" w:pos="480" w:val="left"/>
        </w:tabs>
        <w:numPr>
          <w:ilvl w:val="1"/>
          <w:numId w:val="194"/>
        </w:numPr>
        <w:rPr>
          <w:rFonts w:ascii="Arial" w:cs="Arial" w:eastAsia="Arial" w:hAnsi="Arial"/>
          <w:sz w:val="24"/>
          <w:szCs w:val="24"/>
          <w:color w:val="auto"/>
          <w:vertAlign w:val="superscript"/>
        </w:rPr>
      </w:pPr>
      <w:r>
        <w:rPr>
          <w:rFonts w:ascii="Arial" w:cs="Arial" w:eastAsia="Arial" w:hAnsi="Arial"/>
          <w:sz w:val="14"/>
          <w:szCs w:val="14"/>
          <w:color w:val="auto"/>
        </w:rPr>
        <w:t>Represents deferred tax liabilities related to tax-deductible goodwill and to identifiable intangibles created in nontaxable transactions, which are netted against goodwill and other intangibles when calculating TCE.</w:t>
      </w:r>
    </w:p>
    <w:p>
      <w:pPr>
        <w:spacing w:after="0" w:line="1" w:lineRule="exact"/>
        <w:rPr>
          <w:rFonts w:ascii="Arial" w:cs="Arial" w:eastAsia="Arial" w:hAnsi="Arial"/>
          <w:sz w:val="24"/>
          <w:szCs w:val="24"/>
          <w:color w:val="auto"/>
          <w:vertAlign w:val="superscript"/>
        </w:rPr>
      </w:pPr>
    </w:p>
    <w:p>
      <w:pPr>
        <w:ind w:left="480" w:hanging="263"/>
        <w:spacing w:after="0" w:line="199" w:lineRule="auto"/>
        <w:tabs>
          <w:tab w:leader="none" w:pos="480" w:val="left"/>
        </w:tabs>
        <w:numPr>
          <w:ilvl w:val="1"/>
          <w:numId w:val="194"/>
        </w:numPr>
        <w:rPr>
          <w:rFonts w:ascii="Arial" w:cs="Arial" w:eastAsia="Arial" w:hAnsi="Arial"/>
          <w:sz w:val="24"/>
          <w:szCs w:val="24"/>
          <w:color w:val="auto"/>
          <w:vertAlign w:val="superscript"/>
        </w:rPr>
      </w:pPr>
      <w:r>
        <w:rPr>
          <w:rFonts w:ascii="Arial" w:cs="Arial" w:eastAsia="Arial" w:hAnsi="Arial"/>
          <w:sz w:val="14"/>
          <w:szCs w:val="14"/>
          <w:color w:val="auto"/>
        </w:rPr>
        <w:t>Represents net income applicable to common equity / average common stockholders’ equity.</w:t>
      </w:r>
    </w:p>
    <w:p>
      <w:pPr>
        <w:spacing w:after="0" w:line="58" w:lineRule="exact"/>
        <w:rPr>
          <w:rFonts w:ascii="Arial" w:cs="Arial" w:eastAsia="Arial" w:hAnsi="Arial"/>
          <w:sz w:val="24"/>
          <w:szCs w:val="24"/>
          <w:color w:val="auto"/>
          <w:vertAlign w:val="superscript"/>
        </w:rPr>
      </w:pPr>
    </w:p>
    <w:p>
      <w:pPr>
        <w:ind w:left="460" w:hanging="250"/>
        <w:spacing w:after="0" w:line="189" w:lineRule="auto"/>
        <w:tabs>
          <w:tab w:leader="none" w:pos="460" w:val="left"/>
        </w:tabs>
        <w:numPr>
          <w:ilvl w:val="1"/>
          <w:numId w:val="194"/>
        </w:numPr>
        <w:rPr>
          <w:rFonts w:ascii="Arial" w:cs="Arial" w:eastAsia="Arial" w:hAnsi="Arial"/>
          <w:sz w:val="19"/>
          <w:szCs w:val="19"/>
          <w:color w:val="auto"/>
          <w:vertAlign w:val="superscript"/>
        </w:rPr>
      </w:pPr>
      <w:r>
        <w:rPr>
          <w:rFonts w:ascii="Arial" w:cs="Arial" w:eastAsia="Arial" w:hAnsi="Arial"/>
          <w:sz w:val="12"/>
          <w:szCs w:val="12"/>
          <w:color w:val="auto"/>
        </w:rPr>
        <w:t>Represents net income applicable to common equity / average TCE.</w:t>
      </w:r>
    </w:p>
    <w:p>
      <w:pPr>
        <w:spacing w:after="0" w:line="57" w:lineRule="exact"/>
        <w:rPr>
          <w:rFonts w:ascii="Arial" w:cs="Arial" w:eastAsia="Arial" w:hAnsi="Arial"/>
          <w:sz w:val="19"/>
          <w:szCs w:val="19"/>
          <w:color w:val="auto"/>
          <w:vertAlign w:val="superscript"/>
        </w:rPr>
      </w:pPr>
    </w:p>
    <w:p>
      <w:pPr>
        <w:ind w:left="480" w:hanging="263"/>
        <w:spacing w:after="0" w:line="189" w:lineRule="auto"/>
        <w:tabs>
          <w:tab w:leader="none" w:pos="480" w:val="left"/>
        </w:tabs>
        <w:numPr>
          <w:ilvl w:val="1"/>
          <w:numId w:val="194"/>
        </w:numPr>
        <w:rPr>
          <w:rFonts w:ascii="Arial" w:cs="Arial" w:eastAsia="Arial" w:hAnsi="Arial"/>
          <w:sz w:val="19"/>
          <w:szCs w:val="19"/>
          <w:color w:val="auto"/>
          <w:vertAlign w:val="superscript"/>
        </w:rPr>
      </w:pPr>
      <w:r>
        <w:rPr>
          <w:rFonts w:ascii="Arial" w:cs="Arial" w:eastAsia="Arial" w:hAnsi="Arial"/>
          <w:sz w:val="12"/>
          <w:szCs w:val="12"/>
          <w:color w:val="auto"/>
        </w:rPr>
        <w:t>Represents common stockholders’ equity at period-end / common shares at period-end.</w:t>
      </w:r>
    </w:p>
    <w:p>
      <w:pPr>
        <w:spacing w:after="0" w:line="57" w:lineRule="exact"/>
        <w:rPr>
          <w:rFonts w:ascii="Arial" w:cs="Arial" w:eastAsia="Arial" w:hAnsi="Arial"/>
          <w:sz w:val="19"/>
          <w:szCs w:val="19"/>
          <w:color w:val="auto"/>
          <w:vertAlign w:val="superscript"/>
        </w:rPr>
      </w:pPr>
    </w:p>
    <w:p>
      <w:pPr>
        <w:ind w:left="480" w:hanging="263"/>
        <w:spacing w:after="0" w:line="189" w:lineRule="auto"/>
        <w:tabs>
          <w:tab w:leader="none" w:pos="480" w:val="left"/>
        </w:tabs>
        <w:numPr>
          <w:ilvl w:val="1"/>
          <w:numId w:val="194"/>
        </w:numPr>
        <w:rPr>
          <w:rFonts w:ascii="Arial" w:cs="Arial" w:eastAsia="Arial" w:hAnsi="Arial"/>
          <w:sz w:val="19"/>
          <w:szCs w:val="19"/>
          <w:color w:val="auto"/>
          <w:vertAlign w:val="superscript"/>
        </w:rPr>
      </w:pPr>
      <w:r>
        <w:rPr>
          <w:rFonts w:ascii="Arial" w:cs="Arial" w:eastAsia="Arial" w:hAnsi="Arial"/>
          <w:sz w:val="12"/>
          <w:szCs w:val="12"/>
          <w:color w:val="auto"/>
        </w:rPr>
        <w:t>Represents TCE at period-end / common shares at period-end.</w:t>
      </w:r>
    </w:p>
    <w:p>
      <w:pPr>
        <w:spacing w:after="0" w:line="105" w:lineRule="exact"/>
        <w:rPr>
          <w:rFonts w:ascii="Arial" w:cs="Arial" w:eastAsia="Arial" w:hAnsi="Arial"/>
          <w:sz w:val="19"/>
          <w:szCs w:val="19"/>
          <w:color w:val="auto"/>
          <w:vertAlign w:val="superscript"/>
        </w:rPr>
      </w:pPr>
    </w:p>
    <w:p>
      <w:pPr>
        <w:ind w:left="420" w:hanging="216"/>
        <w:spacing w:after="0" w:line="234" w:lineRule="auto"/>
        <w:tabs>
          <w:tab w:leader="none" w:pos="4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On December 22, 2017, the TCJA was signed into law. The Firm’s results for the year ended December 31, 2017, included a</w:t>
      </w:r>
    </w:p>
    <w:p>
      <w:pPr>
        <w:ind w:left="420" w:right="420"/>
        <w:spacing w:after="0" w:line="238" w:lineRule="auto"/>
        <w:rPr>
          <w:rFonts w:ascii="Arial" w:cs="Arial" w:eastAsia="Arial" w:hAnsi="Arial"/>
          <w:sz w:val="18"/>
          <w:szCs w:val="18"/>
          <w:color w:val="auto"/>
        </w:rPr>
      </w:pPr>
      <w:r>
        <w:rPr>
          <w:rFonts w:ascii="Arial" w:cs="Arial" w:eastAsia="Arial" w:hAnsi="Arial"/>
          <w:sz w:val="18"/>
          <w:szCs w:val="18"/>
          <w:color w:val="auto"/>
        </w:rPr>
        <w:t>$2.4 billion decrease to net income, as a result of the enactment of the TCJA, as well as a legal benefit of $406 million (after-tax) related to a settlement with the FDIC receivership for Washington Mutual and with Deutsche Bank as trustee to certain Washington Mutual trusts. Adjusted ROTCE and adjusted earnings per share, which exclude the impact of these significant items, are each non-GAAP financial measures. Management believes these measures help investors understand the effect of these items on reported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-539115</wp:posOffset>
            </wp:positionV>
            <wp:extent cx="3175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110"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3"/>
          <w:szCs w:val="13"/>
          <w:color w:val="auto"/>
        </w:rPr>
        <w:t>100</w:t>
      </w:r>
      <w:r>
        <w:rPr>
          <w:sz w:val="20"/>
          <w:szCs w:val="20"/>
          <w:color w:val="auto"/>
        </w:rPr>
        <w:tab/>
      </w: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997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480"/>
          </w:cols>
          <w:pgMar w:left="240" w:top="459" w:right="1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333333"/>
        </w:rPr>
        <w:t>NON-GAAP MEASURES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on key performance measures</w:t>
      </w:r>
    </w:p>
    <w:p>
      <w:pPr>
        <w:spacing w:after="0" w:line="139" w:lineRule="exact"/>
        <w:rPr>
          <w:sz w:val="20"/>
          <w:szCs w:val="20"/>
          <w:color w:val="auto"/>
        </w:rPr>
      </w:pPr>
    </w:p>
    <w:p>
      <w:pPr>
        <w:ind w:left="420" w:right="180" w:hanging="216"/>
        <w:spacing w:after="0" w:line="261" w:lineRule="auto"/>
        <w:tabs>
          <w:tab w:leader="none" w:pos="4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Basel III common equity Tier 1 (“CET1”) ratio (which was fully phased-in effective January 1, 2019) is considered a key regulatory capital measure. This measure is used by management, bank regulators, investors and analysts to assess and monitor the Firm’s capital position. For additional information on these measures, see Capital Risk Management on pages 85-94 of the 2018 Form 10-K.</w:t>
      </w:r>
    </w:p>
    <w:p>
      <w:pPr>
        <w:spacing w:after="0" w:line="91" w:lineRule="exact"/>
        <w:rPr>
          <w:rFonts w:ascii="Arial" w:cs="Arial" w:eastAsia="Arial" w:hAnsi="Arial"/>
          <w:sz w:val="17"/>
          <w:szCs w:val="17"/>
          <w:color w:val="auto"/>
        </w:rPr>
      </w:pPr>
    </w:p>
    <w:p>
      <w:pPr>
        <w:ind w:left="420" w:right="160" w:hanging="216"/>
        <w:spacing w:after="0"/>
        <w:tabs>
          <w:tab w:leader="none" w:pos="4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Core loans represent loans considered central to the Firm’s ongoing businesses; and exclude loans classified as trading assets, runoff portfolios, discontinued portfolios and portfolios the Firm has an intent to exit. Core loans is a measure utilized by the Firm and its investors and analysts in assessing actual growth in the loan portfolio.</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14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40" w:type="dxa"/>
            <w:vAlign w:val="bottom"/>
          </w:tcPr>
          <w:p>
            <w:pPr>
              <w:spacing w:after="0"/>
              <w:rPr>
                <w:sz w:val="13"/>
                <w:szCs w:val="13"/>
                <w:color w:val="auto"/>
              </w:rPr>
            </w:pPr>
          </w:p>
        </w:tc>
        <w:tc>
          <w:tcPr>
            <w:tcW w:w="6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101</w:t>
            </w:r>
          </w:p>
        </w:tc>
      </w:tr>
    </w:tbl>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102</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left="200"/>
        <w:spacing w:after="0"/>
        <w:rPr>
          <w:sz w:val="20"/>
          <w:szCs w:val="20"/>
          <w:color w:val="auto"/>
        </w:rPr>
      </w:pPr>
      <w:r>
        <w:rPr>
          <w:rFonts w:ascii="Arial" w:cs="Arial" w:eastAsia="Arial" w:hAnsi="Arial"/>
          <w:sz w:val="25"/>
          <w:szCs w:val="25"/>
          <w:color w:val="004876"/>
        </w:rPr>
        <w:t>Glossary of selected terms and acronyms</w:t>
      </w:r>
    </w:p>
    <w:p>
      <w:pPr>
        <w:spacing w:after="0" w:line="161"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color w:val="auto"/>
        </w:rPr>
        <w:t xml:space="preserve">2018 Form 10 -K: </w:t>
      </w:r>
      <w:r>
        <w:rPr>
          <w:rFonts w:ascii="Arial" w:cs="Arial" w:eastAsia="Arial" w:hAnsi="Arial"/>
          <w:sz w:val="18"/>
          <w:szCs w:val="18"/>
          <w:color w:val="auto"/>
        </w:rPr>
        <w:t>JPMorgan Chase &amp; Co.’s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year ended December 31, 2018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AWM: </w:t>
      </w:r>
      <w:r>
        <w:rPr>
          <w:rFonts w:ascii="Arial" w:cs="Arial" w:eastAsia="Arial" w:hAnsi="Arial"/>
          <w:sz w:val="18"/>
          <w:szCs w:val="18"/>
          <w:color w:val="auto"/>
        </w:rPr>
        <w:t>Asset &amp; Wealth Management</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Bank: </w:t>
      </w:r>
      <w:r>
        <w:rPr>
          <w:rFonts w:ascii="Arial" w:cs="Arial" w:eastAsia="Arial" w:hAnsi="Arial"/>
          <w:sz w:val="18"/>
          <w:szCs w:val="18"/>
          <w:color w:val="auto"/>
        </w:rPr>
        <w:t>JPMorgan Chase Bank, National Association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Business Principles: </w:t>
      </w:r>
      <w:r>
        <w:rPr>
          <w:rFonts w:ascii="Arial" w:cs="Arial" w:eastAsia="Arial" w:hAnsi="Arial"/>
          <w:sz w:val="18"/>
          <w:szCs w:val="18"/>
          <w:color w:val="auto"/>
        </w:rPr>
        <w:t>How We Do Business Principles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BRG: </w:t>
      </w:r>
      <w:r>
        <w:rPr>
          <w:rFonts w:ascii="Arial" w:cs="Arial" w:eastAsia="Arial" w:hAnsi="Arial"/>
          <w:sz w:val="18"/>
          <w:szCs w:val="18"/>
          <w:color w:val="auto"/>
        </w:rPr>
        <w:t>Business resource group</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BVPS: </w:t>
      </w:r>
      <w:r>
        <w:rPr>
          <w:rFonts w:ascii="Arial" w:cs="Arial" w:eastAsia="Arial" w:hAnsi="Arial"/>
          <w:sz w:val="18"/>
          <w:szCs w:val="18"/>
          <w:color w:val="auto"/>
        </w:rPr>
        <w:t>Book value per share</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CB: </w:t>
      </w:r>
      <w:r>
        <w:rPr>
          <w:rFonts w:ascii="Arial" w:cs="Arial" w:eastAsia="Arial" w:hAnsi="Arial"/>
          <w:sz w:val="18"/>
          <w:szCs w:val="18"/>
          <w:color w:val="auto"/>
        </w:rPr>
        <w:t>Commercial Banking</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CCAR: </w:t>
      </w:r>
      <w:r>
        <w:rPr>
          <w:rFonts w:ascii="Arial" w:cs="Arial" w:eastAsia="Arial" w:hAnsi="Arial"/>
          <w:sz w:val="18"/>
          <w:szCs w:val="18"/>
          <w:color w:val="auto"/>
        </w:rPr>
        <w:t>Comprehensive Capital Analysis and Review</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CCB: </w:t>
      </w:r>
      <w:r>
        <w:rPr>
          <w:rFonts w:ascii="Arial" w:cs="Arial" w:eastAsia="Arial" w:hAnsi="Arial"/>
          <w:sz w:val="18"/>
          <w:szCs w:val="18"/>
          <w:color w:val="auto"/>
        </w:rPr>
        <w:t>Consumer &amp; Community Banking</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CD&amp;A: </w:t>
      </w:r>
      <w:r>
        <w:rPr>
          <w:rFonts w:ascii="Arial" w:cs="Arial" w:eastAsia="Arial" w:hAnsi="Arial"/>
          <w:sz w:val="18"/>
          <w:szCs w:val="18"/>
          <w:color w:val="auto"/>
        </w:rPr>
        <w:t>Compensation discussion and analysis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CET1: </w:t>
      </w:r>
      <w:r>
        <w:rPr>
          <w:rFonts w:ascii="Arial" w:cs="Arial" w:eastAsia="Arial" w:hAnsi="Arial"/>
          <w:sz w:val="18"/>
          <w:szCs w:val="18"/>
          <w:color w:val="auto"/>
        </w:rPr>
        <w:t>Common equity Tier 1</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Chief Executive Officer</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CIB: </w:t>
      </w:r>
      <w:r>
        <w:rPr>
          <w:rFonts w:ascii="Arial" w:cs="Arial" w:eastAsia="Arial" w:hAnsi="Arial"/>
          <w:sz w:val="18"/>
          <w:szCs w:val="18"/>
          <w:color w:val="auto"/>
        </w:rPr>
        <w:t>Corporate &amp; Investment Bank</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CMDC: </w:t>
      </w:r>
      <w:r>
        <w:rPr>
          <w:rFonts w:ascii="Arial" w:cs="Arial" w:eastAsia="Arial" w:hAnsi="Arial"/>
          <w:sz w:val="18"/>
          <w:szCs w:val="18"/>
          <w:color w:val="auto"/>
        </w:rPr>
        <w:t>Compensation &amp; Management Development Committee</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Code of Conduct</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Designated Employees: </w:t>
      </w:r>
      <w:r>
        <w:rPr>
          <w:rFonts w:ascii="Arial" w:cs="Arial" w:eastAsia="Arial" w:hAnsi="Arial"/>
          <w:sz w:val="18"/>
          <w:szCs w:val="18"/>
          <w:color w:val="auto"/>
        </w:rPr>
        <w:t>Tier 1 employees &amp; Identified Staff</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DRPC: </w:t>
      </w:r>
      <w:r>
        <w:rPr>
          <w:rFonts w:ascii="Arial" w:cs="Arial" w:eastAsia="Arial" w:hAnsi="Arial"/>
          <w:sz w:val="18"/>
          <w:szCs w:val="18"/>
          <w:color w:val="auto"/>
        </w:rPr>
        <w:t>Directors’ Risk Policy Committee</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Earnings per share</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ESG: </w:t>
      </w:r>
      <w:r>
        <w:rPr>
          <w:rFonts w:ascii="Arial" w:cs="Arial" w:eastAsia="Arial" w:hAnsi="Arial"/>
          <w:sz w:val="18"/>
          <w:szCs w:val="18"/>
          <w:color w:val="auto"/>
        </w:rPr>
        <w:t>Environmental, social and governance</w:t>
      </w:r>
    </w:p>
    <w:p>
      <w:pPr>
        <w:spacing w:after="0" w:line="104"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color w:val="auto"/>
        </w:rPr>
        <w:t xml:space="preserve">Federal Reserve: </w:t>
      </w:r>
      <w:r>
        <w:rPr>
          <w:rFonts w:ascii="Arial" w:cs="Arial" w:eastAsia="Arial" w:hAnsi="Arial"/>
          <w:sz w:val="18"/>
          <w:szCs w:val="18"/>
          <w:color w:val="auto"/>
        </w:rPr>
        <w:t>Board of Governors of the Federal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System</w:t>
      </w:r>
    </w:p>
    <w:p>
      <w:pPr>
        <w:spacing w:after="0" w:line="46"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color w:val="auto"/>
        </w:rPr>
        <w:t xml:space="preserve">Governance Committee: </w:t>
      </w:r>
      <w:r>
        <w:rPr>
          <w:rFonts w:ascii="Arial" w:cs="Arial" w:eastAsia="Arial" w:hAnsi="Arial"/>
          <w:sz w:val="18"/>
          <w:szCs w:val="18"/>
          <w:color w:val="auto"/>
        </w:rPr>
        <w:t>Corporate Governance &amp; Nominating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Governance Principles: </w:t>
      </w:r>
      <w:r>
        <w:rPr>
          <w:rFonts w:ascii="Arial" w:cs="Arial" w:eastAsia="Arial" w:hAnsi="Arial"/>
          <w:sz w:val="18"/>
          <w:szCs w:val="18"/>
          <w:color w:val="auto"/>
        </w:rPr>
        <w:t>Corporate Governance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wp:posOffset>
            </wp:positionV>
            <wp:extent cx="64401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Holdings LLC: </w:t>
      </w:r>
      <w:r>
        <w:rPr>
          <w:rFonts w:ascii="Arial" w:cs="Arial" w:eastAsia="Arial" w:hAnsi="Arial"/>
          <w:sz w:val="18"/>
          <w:szCs w:val="18"/>
          <w:color w:val="auto"/>
        </w:rPr>
        <w:t>JPMorgan Chase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-956945</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Identified Staff: </w:t>
      </w:r>
      <w:r>
        <w:rPr>
          <w:rFonts w:ascii="Arial" w:cs="Arial" w:eastAsia="Arial" w:hAnsi="Arial"/>
          <w:sz w:val="18"/>
          <w:szCs w:val="18"/>
          <w:color w:val="auto"/>
        </w:rPr>
        <w:t>Employees who are material risk-takers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European Union standards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IRM: </w:t>
      </w:r>
      <w:r>
        <w:rPr>
          <w:rFonts w:ascii="Arial" w:cs="Arial" w:eastAsia="Arial" w:hAnsi="Arial"/>
          <w:sz w:val="18"/>
          <w:szCs w:val="18"/>
          <w:color w:val="auto"/>
        </w:rPr>
        <w:t>Independent risk management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LOB: </w:t>
      </w:r>
      <w:r>
        <w:rPr>
          <w:rFonts w:ascii="Arial" w:cs="Arial" w:eastAsia="Arial" w:hAnsi="Arial"/>
          <w:sz w:val="18"/>
          <w:szCs w:val="18"/>
          <w:color w:val="auto"/>
        </w:rPr>
        <w:t>Line of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NEO: </w:t>
      </w:r>
      <w:r>
        <w:rPr>
          <w:rFonts w:ascii="Arial" w:cs="Arial" w:eastAsia="Arial" w:hAnsi="Arial"/>
          <w:sz w:val="18"/>
          <w:szCs w:val="18"/>
          <w:color w:val="auto"/>
        </w:rPr>
        <w:t>Named Executive Officer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 of Internet Availability of Proxy Material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NYSE: </w:t>
      </w:r>
      <w:r>
        <w:rPr>
          <w:rFonts w:ascii="Arial" w:cs="Arial" w:eastAsia="Arial" w:hAnsi="Arial"/>
          <w:sz w:val="18"/>
          <w:szCs w:val="18"/>
          <w:color w:val="auto"/>
        </w:rPr>
        <w:t>New York Stock Exchange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PCAOB: </w:t>
      </w:r>
      <w:r>
        <w:rPr>
          <w:rFonts w:ascii="Arial" w:cs="Arial" w:eastAsia="Arial" w:hAnsi="Arial"/>
          <w:sz w:val="18"/>
          <w:szCs w:val="18"/>
          <w:color w:val="auto"/>
        </w:rPr>
        <w:t>Public Company Accounting Oversight Board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PwC: </w:t>
      </w:r>
      <w:r>
        <w:rPr>
          <w:rFonts w:ascii="Arial" w:cs="Arial" w:eastAsia="Arial" w:hAnsi="Arial"/>
          <w:sz w:val="18"/>
          <w:szCs w:val="18"/>
          <w:color w:val="auto"/>
        </w:rPr>
        <w:t>PricewaterhouseCoopers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Performance share unit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ROE: </w:t>
      </w:r>
      <w:r>
        <w:rPr>
          <w:rFonts w:ascii="Arial" w:cs="Arial" w:eastAsia="Arial" w:hAnsi="Arial"/>
          <w:sz w:val="18"/>
          <w:szCs w:val="18"/>
          <w:color w:val="auto"/>
        </w:rPr>
        <w:t>Return on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ROTCE: </w:t>
      </w:r>
      <w:r>
        <w:rPr>
          <w:rFonts w:ascii="Arial" w:cs="Arial" w:eastAsia="Arial" w:hAnsi="Arial"/>
          <w:sz w:val="18"/>
          <w:szCs w:val="18"/>
          <w:color w:val="auto"/>
        </w:rPr>
        <w:t>Return on tangible common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Restricted stock unit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United States Securities and Exchange Commission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SCT: </w:t>
      </w:r>
      <w:r>
        <w:rPr>
          <w:rFonts w:ascii="Arial" w:cs="Arial" w:eastAsia="Arial" w:hAnsi="Arial"/>
          <w:sz w:val="18"/>
          <w:szCs w:val="18"/>
          <w:color w:val="auto"/>
        </w:rPr>
        <w:t>Summary compensation table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RSUs and PSUs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TCJA: </w:t>
      </w:r>
      <w:r>
        <w:rPr>
          <w:rFonts w:ascii="Arial" w:cs="Arial" w:eastAsia="Arial" w:hAnsi="Arial"/>
          <w:sz w:val="18"/>
          <w:szCs w:val="18"/>
          <w:color w:val="auto"/>
        </w:rPr>
        <w:t>Tax Cuts and Jobs 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TBVPS: </w:t>
      </w:r>
      <w:r>
        <w:rPr>
          <w:rFonts w:ascii="Arial" w:cs="Arial" w:eastAsia="Arial" w:hAnsi="Arial"/>
          <w:sz w:val="18"/>
          <w:szCs w:val="18"/>
          <w:color w:val="auto"/>
        </w:rPr>
        <w:t>Tangible book value per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TCE: </w:t>
      </w:r>
      <w:r>
        <w:rPr>
          <w:rFonts w:ascii="Arial" w:cs="Arial" w:eastAsia="Arial" w:hAnsi="Arial"/>
          <w:sz w:val="18"/>
          <w:szCs w:val="18"/>
          <w:color w:val="auto"/>
        </w:rPr>
        <w:t>Tangible common equity</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 xml:space="preserve">Tier 1 Employees: </w:t>
      </w:r>
      <w:r>
        <w:rPr>
          <w:rFonts w:ascii="Arial" w:cs="Arial" w:eastAsia="Arial" w:hAnsi="Arial"/>
          <w:sz w:val="18"/>
          <w:szCs w:val="18"/>
          <w:color w:val="auto"/>
        </w:rPr>
        <w:t>Employees who are material risk-takers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under Federal Reserve standards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Total shareholder return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U.K.: </w:t>
      </w:r>
      <w:r>
        <w:rPr>
          <w:rFonts w:ascii="Arial" w:cs="Arial" w:eastAsia="Arial" w:hAnsi="Arial"/>
          <w:sz w:val="18"/>
          <w:szCs w:val="18"/>
          <w:color w:val="auto"/>
        </w:rPr>
        <w:t>United Kingdom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United States of America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GAAP: </w:t>
      </w:r>
      <w:r>
        <w:rPr>
          <w:rFonts w:ascii="Arial" w:cs="Arial" w:eastAsia="Arial" w:hAnsi="Arial"/>
          <w:sz w:val="18"/>
          <w:szCs w:val="18"/>
          <w:color w:val="auto"/>
        </w:rPr>
        <w:t>Accounting principles generally accepted in the 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WOTM: </w:t>
      </w:r>
      <w:r>
        <w:rPr>
          <w:rFonts w:ascii="Arial" w:cs="Arial" w:eastAsia="Arial" w:hAnsi="Arial"/>
          <w:sz w:val="18"/>
          <w:szCs w:val="18"/>
          <w:color w:val="auto"/>
        </w:rPr>
        <w:t>Women on the Move</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-4445</wp:posOffset>
            </wp:positionV>
            <wp:extent cx="3943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ectPr>
          <w:pgSz w:w="11900" w:h="16838" w:orient="portrait"/>
          <w:cols w:equalWidth="0" w:num="2">
            <w:col w:w="5320" w:space="500"/>
            <w:col w:w="5300"/>
          </w:cols>
          <w:pgMar w:left="240" w:top="459"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JPMORGAN CHASE &amp; CO. •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97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8100"/>
        <w:spacing w:after="0"/>
        <w:rPr>
          <w:sz w:val="20"/>
          <w:szCs w:val="20"/>
          <w:color w:val="auto"/>
        </w:rPr>
      </w:pPr>
      <w:r>
        <w:rPr>
          <w:rFonts w:ascii="Arial" w:cs="Arial" w:eastAsia="Arial" w:hAnsi="Arial"/>
          <w:sz w:val="16"/>
          <w:szCs w:val="16"/>
          <w:color w:val="333333"/>
        </w:rPr>
        <w:t>CHASE TOWER - MAP AND DIRECTIONS</w:t>
      </w:r>
    </w:p>
    <w:p>
      <w:pPr>
        <w:spacing w:after="0" w:line="148" w:lineRule="exact"/>
        <w:rPr>
          <w:sz w:val="20"/>
          <w:szCs w:val="20"/>
          <w:color w:val="auto"/>
        </w:rPr>
      </w:pPr>
    </w:p>
    <w:p>
      <w:pPr>
        <w:ind w:left="200" w:right="1860"/>
        <w:spacing w:after="0" w:line="250" w:lineRule="auto"/>
        <w:rPr>
          <w:sz w:val="20"/>
          <w:szCs w:val="20"/>
          <w:color w:val="auto"/>
        </w:rPr>
      </w:pPr>
      <w:r>
        <w:rPr>
          <w:rFonts w:ascii="Arial" w:cs="Arial" w:eastAsia="Arial" w:hAnsi="Arial"/>
          <w:sz w:val="45"/>
          <w:szCs w:val="45"/>
          <w:color w:val="004876"/>
        </w:rPr>
        <w:t>Chase Tower, 21 South Clark Street, Chicago, Illinois 60603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124460</wp:posOffset>
            </wp:positionV>
            <wp:extent cx="2461260" cy="20497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46126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Please note: the 10 South Dearborn Street entrance is closed due to construction</w:t>
      </w:r>
    </w:p>
    <w:p>
      <w:pPr>
        <w:sectPr>
          <w:pgSz w:w="11900" w:h="16838" w:orient="portrait"/>
          <w:cols w:equalWidth="0" w:num="1">
            <w:col w:w="11240"/>
          </w:cols>
          <w:pgMar w:left="240" w:top="459" w:right="419" w:bottom="1440" w:gutter="0" w:footer="0" w:header="0"/>
        </w:sect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4876"/>
        </w:rPr>
        <w:t>Driving Directions from O’Hare Airport: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Head east on I-190 East</w:t>
      </w:r>
    </w:p>
    <w:p>
      <w:pPr>
        <w:spacing w:after="0" w:line="64" w:lineRule="exact"/>
        <w:rPr>
          <w:sz w:val="20"/>
          <w:szCs w:val="20"/>
          <w:color w:val="auto"/>
        </w:rPr>
      </w:pPr>
    </w:p>
    <w:p>
      <w:pPr>
        <w:ind w:left="380" w:right="1060"/>
        <w:spacing w:after="0" w:line="322" w:lineRule="auto"/>
        <w:rPr>
          <w:sz w:val="20"/>
          <w:szCs w:val="20"/>
          <w:color w:val="auto"/>
        </w:rPr>
      </w:pPr>
      <w:r>
        <w:rPr>
          <w:rFonts w:ascii="Arial" w:cs="Arial" w:eastAsia="Arial" w:hAnsi="Arial"/>
          <w:sz w:val="14"/>
          <w:szCs w:val="14"/>
          <w:color w:val="auto"/>
        </w:rPr>
        <w:t>Keep to your left—follow signs for IL-171/Cumberland Avenue Merge onto I-90 East</w:t>
      </w:r>
    </w:p>
    <w:p>
      <w:pPr>
        <w:ind w:left="380" w:right="1780"/>
        <w:spacing w:after="0" w:line="322" w:lineRule="auto"/>
        <w:rPr>
          <w:sz w:val="20"/>
          <w:szCs w:val="20"/>
          <w:color w:val="auto"/>
        </w:rPr>
      </w:pPr>
      <w:r>
        <w:rPr>
          <w:rFonts w:ascii="Arial" w:cs="Arial" w:eastAsia="Arial" w:hAnsi="Arial"/>
          <w:sz w:val="14"/>
          <w:szCs w:val="14"/>
          <w:color w:val="auto"/>
        </w:rPr>
        <w:t>Take exit 51C towards East Washington Boulevard Turn left onto West Washington Boulevard</w:t>
      </w:r>
    </w:p>
    <w:p>
      <w:pPr>
        <w:ind w:left="380" w:right="1760"/>
        <w:spacing w:after="0" w:line="338" w:lineRule="auto"/>
        <w:rPr>
          <w:sz w:val="20"/>
          <w:szCs w:val="20"/>
          <w:color w:val="auto"/>
        </w:rPr>
      </w:pPr>
      <w:r>
        <w:rPr>
          <w:rFonts w:ascii="Arial" w:cs="Arial" w:eastAsia="Arial" w:hAnsi="Arial"/>
          <w:sz w:val="14"/>
          <w:szCs w:val="14"/>
          <w:color w:val="auto"/>
        </w:rPr>
        <w:t>Drive 0.8 miles and turn right on North Clark Street Chase Tower will be on your left</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4876"/>
        </w:rPr>
        <w:t>Other Transportation Options from O’Hare Airport:</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Blue Line Train to City (to Forest Park):</w:t>
      </w:r>
    </w:p>
    <w:p>
      <w:pPr>
        <w:spacing w:after="0" w:line="1" w:lineRule="exact"/>
        <w:rPr>
          <w:sz w:val="20"/>
          <w:szCs w:val="20"/>
          <w:color w:val="auto"/>
        </w:rPr>
      </w:pPr>
    </w:p>
    <w:p>
      <w:pPr>
        <w:ind w:left="520" w:hanging="181"/>
        <w:spacing w:after="0"/>
        <w:tabs>
          <w:tab w:leader="none" w:pos="520" w:val="left"/>
        </w:tabs>
        <w:numPr>
          <w:ilvl w:val="1"/>
          <w:numId w:val="198"/>
        </w:numPr>
        <w:rPr>
          <w:rFonts w:ascii="Arial" w:cs="Arial" w:eastAsia="Arial" w:hAnsi="Arial"/>
          <w:sz w:val="12"/>
          <w:szCs w:val="12"/>
          <w:color w:val="auto"/>
        </w:rPr>
      </w:pPr>
      <w:r>
        <w:rPr>
          <w:rFonts w:ascii="Arial" w:cs="Arial" w:eastAsia="Arial" w:hAnsi="Arial"/>
          <w:sz w:val="14"/>
          <w:szCs w:val="14"/>
          <w:color w:val="auto"/>
        </w:rPr>
        <w:t>Get off at the Monroe Stop (18 stops/about 45 minutes)</w:t>
      </w:r>
    </w:p>
    <w:p>
      <w:pPr>
        <w:spacing w:after="0" w:line="1" w:lineRule="exact"/>
        <w:rPr>
          <w:rFonts w:ascii="Arial" w:cs="Arial" w:eastAsia="Arial" w:hAnsi="Arial"/>
          <w:sz w:val="12"/>
          <w:szCs w:val="12"/>
          <w:color w:val="auto"/>
        </w:rPr>
      </w:pPr>
    </w:p>
    <w:p>
      <w:pPr>
        <w:ind w:left="520" w:hanging="181"/>
        <w:spacing w:after="0"/>
        <w:tabs>
          <w:tab w:leader="none" w:pos="520" w:val="left"/>
        </w:tabs>
        <w:numPr>
          <w:ilvl w:val="1"/>
          <w:numId w:val="198"/>
        </w:numPr>
        <w:rPr>
          <w:rFonts w:ascii="Arial" w:cs="Arial" w:eastAsia="Arial" w:hAnsi="Arial"/>
          <w:sz w:val="12"/>
          <w:szCs w:val="12"/>
          <w:color w:val="auto"/>
        </w:rPr>
      </w:pPr>
      <w:r>
        <w:rPr>
          <w:rFonts w:ascii="Arial" w:cs="Arial" w:eastAsia="Arial" w:hAnsi="Arial"/>
          <w:sz w:val="14"/>
          <w:szCs w:val="14"/>
          <w:color w:val="auto"/>
        </w:rPr>
        <w:t>Turn left and follow the signs to Monroe</w:t>
      </w:r>
    </w:p>
    <w:p>
      <w:pPr>
        <w:spacing w:after="0" w:line="1" w:lineRule="exact"/>
        <w:rPr>
          <w:rFonts w:ascii="Arial" w:cs="Arial" w:eastAsia="Arial" w:hAnsi="Arial"/>
          <w:sz w:val="12"/>
          <w:szCs w:val="12"/>
          <w:color w:val="auto"/>
        </w:rPr>
      </w:pPr>
    </w:p>
    <w:p>
      <w:pPr>
        <w:ind w:left="360" w:hanging="156"/>
        <w:spacing w:after="0"/>
        <w:tabs>
          <w:tab w:leader="none" w:pos="36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Walk south towards Monroe; right onto Monroe Street</w:t>
      </w:r>
    </w:p>
    <w:p>
      <w:pPr>
        <w:spacing w:after="0" w:line="1" w:lineRule="exact"/>
        <w:rPr>
          <w:rFonts w:ascii="Arial" w:cs="Arial" w:eastAsia="Arial" w:hAnsi="Arial"/>
          <w:sz w:val="14"/>
          <w:szCs w:val="14"/>
          <w:color w:val="auto"/>
        </w:rPr>
      </w:pPr>
    </w:p>
    <w:p>
      <w:pPr>
        <w:ind w:left="360" w:hanging="156"/>
        <w:spacing w:after="0"/>
        <w:tabs>
          <w:tab w:leader="none" w:pos="36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Walk 1 block and turn right onto Clark Street; Chase Tower will be on your right</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4876"/>
        </w:rPr>
        <w:t>Recommended Parking Garages: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WMW Self Park</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172 West Madison Street</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LAZ Parking</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33 West Monroe Street</w:t>
      </w:r>
    </w:p>
    <w:p>
      <w:pPr>
        <w:spacing w:after="0" w:line="91" w:lineRule="exact"/>
        <w:rPr>
          <w:sz w:val="20"/>
          <w:szCs w:val="20"/>
          <w:color w:val="auto"/>
        </w:rPr>
      </w:pPr>
    </w:p>
    <w:p>
      <w:pPr>
        <w:ind w:left="200" w:right="2620"/>
        <w:spacing w:after="0" w:line="285" w:lineRule="auto"/>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iParkit - Adams &amp; Wabash Self Park</w:t>
      </w:r>
      <w:r>
        <w:rPr>
          <w:rFonts w:ascii="Arial" w:cs="Arial" w:eastAsia="Arial" w:hAnsi="Arial"/>
          <w:sz w:val="14"/>
          <w:szCs w:val="14"/>
          <w:color w:val="auto"/>
        </w:rPr>
        <w:t xml:space="preserve"> 17 East Adams Street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004876"/>
        </w:rPr>
        <w:t>Driving Directions from Midway Airport:</w:t>
      </w:r>
    </w:p>
    <w:p>
      <w:pPr>
        <w:spacing w:after="0" w:line="9" w:lineRule="exact"/>
        <w:rPr>
          <w:sz w:val="20"/>
          <w:szCs w:val="20"/>
          <w:color w:val="auto"/>
        </w:rPr>
      </w:pPr>
    </w:p>
    <w:p>
      <w:pPr>
        <w:ind w:left="180" w:right="1160"/>
        <w:spacing w:after="0" w:line="329" w:lineRule="auto"/>
        <w:rPr>
          <w:sz w:val="20"/>
          <w:szCs w:val="20"/>
          <w:color w:val="auto"/>
        </w:rPr>
      </w:pPr>
      <w:r>
        <w:rPr>
          <w:rFonts w:ascii="Arial" w:cs="Arial" w:eastAsia="Arial" w:hAnsi="Arial"/>
          <w:sz w:val="14"/>
          <w:szCs w:val="14"/>
          <w:color w:val="auto"/>
        </w:rPr>
        <w:t>Head south on South Kilpatrick Avenue toward West 59th Street Turn right onto West 59th Street</w:t>
      </w:r>
    </w:p>
    <w:p>
      <w:pPr>
        <w:spacing w:after="0"/>
        <w:rPr>
          <w:sz w:val="20"/>
          <w:szCs w:val="20"/>
          <w:color w:val="auto"/>
        </w:rPr>
      </w:pPr>
      <w:r>
        <w:rPr>
          <w:rFonts w:ascii="Arial" w:cs="Arial" w:eastAsia="Arial" w:hAnsi="Arial"/>
          <w:sz w:val="14"/>
          <w:szCs w:val="14"/>
          <w:color w:val="auto"/>
        </w:rPr>
        <w:t>Turn right onto South Cicero Avenue</w:t>
      </w:r>
    </w:p>
    <w:p>
      <w:pPr>
        <w:spacing w:after="0" w:line="55" w:lineRule="exact"/>
        <w:rPr>
          <w:sz w:val="20"/>
          <w:szCs w:val="20"/>
          <w:color w:val="auto"/>
        </w:rPr>
      </w:pPr>
    </w:p>
    <w:p>
      <w:pPr>
        <w:ind w:left="180" w:right="200"/>
        <w:spacing w:after="0" w:line="322" w:lineRule="auto"/>
        <w:rPr>
          <w:sz w:val="20"/>
          <w:szCs w:val="20"/>
          <w:color w:val="auto"/>
        </w:rPr>
      </w:pPr>
      <w:r>
        <w:rPr>
          <w:rFonts w:ascii="Arial" w:cs="Arial" w:eastAsia="Arial" w:hAnsi="Arial"/>
          <w:sz w:val="14"/>
          <w:szCs w:val="14"/>
          <w:color w:val="auto"/>
        </w:rPr>
        <w:t>Turn right onto the Interstate 55 North/Stevenson Expressway ramp to Chicago Continue on I-55 North/Stevenson Expressway</w:t>
      </w:r>
    </w:p>
    <w:p>
      <w:pPr>
        <w:ind w:left="180" w:right="840"/>
        <w:spacing w:after="0" w:line="241" w:lineRule="auto"/>
        <w:rPr>
          <w:sz w:val="20"/>
          <w:szCs w:val="20"/>
          <w:color w:val="auto"/>
        </w:rPr>
      </w:pPr>
      <w:r>
        <w:rPr>
          <w:rFonts w:ascii="Arial" w:cs="Arial" w:eastAsia="Arial" w:hAnsi="Arial"/>
          <w:sz w:val="14"/>
          <w:szCs w:val="14"/>
          <w:color w:val="auto"/>
        </w:rPr>
        <w:t>Take exit 292A to merge onto I-90 West/I-94 West toward West Ryan Expressway/Wisconsin</w:t>
      </w:r>
    </w:p>
    <w:p>
      <w:pPr>
        <w:spacing w:after="0"/>
        <w:rPr>
          <w:sz w:val="20"/>
          <w:szCs w:val="20"/>
          <w:color w:val="auto"/>
        </w:rPr>
      </w:pPr>
      <w:r>
        <w:rPr>
          <w:rFonts w:ascii="Arial" w:cs="Arial" w:eastAsia="Arial" w:hAnsi="Arial"/>
          <w:sz w:val="14"/>
          <w:szCs w:val="14"/>
          <w:color w:val="auto"/>
        </w:rPr>
        <w:t>Keep left to stay on I-90 West/I-94 West</w:t>
      </w:r>
    </w:p>
    <w:p>
      <w:pPr>
        <w:spacing w:after="0" w:line="55" w:lineRule="exact"/>
        <w:rPr>
          <w:sz w:val="20"/>
          <w:szCs w:val="20"/>
          <w:color w:val="auto"/>
        </w:rPr>
      </w:pPr>
    </w:p>
    <w:p>
      <w:pPr>
        <w:ind w:left="180" w:right="2340"/>
        <w:spacing w:after="0" w:line="322" w:lineRule="auto"/>
        <w:rPr>
          <w:sz w:val="20"/>
          <w:szCs w:val="20"/>
          <w:color w:val="auto"/>
        </w:rPr>
      </w:pPr>
      <w:r>
        <w:rPr>
          <w:rFonts w:ascii="Arial" w:cs="Arial" w:eastAsia="Arial" w:hAnsi="Arial"/>
          <w:sz w:val="14"/>
          <w:szCs w:val="14"/>
          <w:color w:val="auto"/>
        </w:rPr>
        <w:t>Take exit 51C for Washington Boulevard East Turn right onto West Washington Boulevard</w:t>
      </w:r>
    </w:p>
    <w:p>
      <w:pPr>
        <w:ind w:left="180" w:right="1880"/>
        <w:spacing w:after="0" w:line="338" w:lineRule="auto"/>
        <w:rPr>
          <w:sz w:val="20"/>
          <w:szCs w:val="20"/>
          <w:color w:val="auto"/>
        </w:rPr>
      </w:pPr>
      <w:r>
        <w:rPr>
          <w:rFonts w:ascii="Arial" w:cs="Arial" w:eastAsia="Arial" w:hAnsi="Arial"/>
          <w:sz w:val="14"/>
          <w:szCs w:val="14"/>
          <w:color w:val="auto"/>
        </w:rPr>
        <w:t>Drive 0.7 miles and turn right onto North Clark Street Chase Tower will be on your left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4876"/>
        </w:rPr>
        <w:t>Other Transportation Options from Midway Airport: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Orange Line Train to City (to Loop):</w:t>
      </w:r>
    </w:p>
    <w:p>
      <w:pPr>
        <w:spacing w:after="0" w:line="1" w:lineRule="exact"/>
        <w:rPr>
          <w:sz w:val="20"/>
          <w:szCs w:val="20"/>
          <w:color w:val="auto"/>
        </w:rPr>
      </w:pPr>
    </w:p>
    <w:p>
      <w:pPr>
        <w:ind w:left="320" w:hanging="181"/>
        <w:spacing w:after="0"/>
        <w:tabs>
          <w:tab w:leader="none" w:pos="320" w:val="left"/>
        </w:tabs>
        <w:numPr>
          <w:ilvl w:val="1"/>
          <w:numId w:val="203"/>
        </w:numPr>
        <w:rPr>
          <w:rFonts w:ascii="Arial" w:cs="Arial" w:eastAsia="Arial" w:hAnsi="Arial"/>
          <w:sz w:val="12"/>
          <w:szCs w:val="12"/>
          <w:color w:val="auto"/>
        </w:rPr>
      </w:pPr>
      <w:r>
        <w:rPr>
          <w:rFonts w:ascii="Arial" w:cs="Arial" w:eastAsia="Arial" w:hAnsi="Arial"/>
          <w:sz w:val="14"/>
          <w:szCs w:val="14"/>
          <w:color w:val="auto"/>
        </w:rPr>
        <w:t>Get off at the Washington/Wells Stop (11 stops/about 40 minutes)</w:t>
      </w:r>
    </w:p>
    <w:p>
      <w:pPr>
        <w:spacing w:after="0" w:line="1" w:lineRule="exact"/>
        <w:rPr>
          <w:rFonts w:ascii="Arial" w:cs="Arial" w:eastAsia="Arial" w:hAnsi="Arial"/>
          <w:sz w:val="12"/>
          <w:szCs w:val="12"/>
          <w:color w:val="auto"/>
        </w:rPr>
      </w:pPr>
    </w:p>
    <w:p>
      <w:pPr>
        <w:ind w:left="160" w:hanging="156"/>
        <w:spacing w:after="0"/>
        <w:tabs>
          <w:tab w:leader="none" w:pos="16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Walk south on Wells Street towards Madison Street; left on Madison Street</w:t>
      </w:r>
    </w:p>
    <w:p>
      <w:pPr>
        <w:spacing w:after="0" w:line="1" w:lineRule="exact"/>
        <w:rPr>
          <w:rFonts w:ascii="Arial" w:cs="Arial" w:eastAsia="Arial" w:hAnsi="Arial"/>
          <w:sz w:val="14"/>
          <w:szCs w:val="14"/>
          <w:color w:val="auto"/>
        </w:rPr>
      </w:pPr>
    </w:p>
    <w:p>
      <w:pPr>
        <w:ind w:left="160" w:hanging="156"/>
        <w:spacing w:after="0"/>
        <w:tabs>
          <w:tab w:leader="none" w:pos="16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Walk 2 blocks and turn right on Clark Street; Chase Tower will be on your left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004876"/>
        </w:rPr>
        <w:t>Closest Public Transportation Locations: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Blue Line (Monroe Stop)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Brown, Orange, Pink and Purple Line (Washington/Wells Stop)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Red Line (Monroe Stop)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Metra (Ogilvie Transportation Center and Union Station)</w:t>
      </w:r>
    </w:p>
    <w:p>
      <w:pPr>
        <w:spacing w:after="0" w:line="200" w:lineRule="exact"/>
        <w:rPr>
          <w:sz w:val="20"/>
          <w:szCs w:val="20"/>
          <w:color w:val="auto"/>
        </w:rPr>
      </w:pPr>
    </w:p>
    <w:p>
      <w:pPr>
        <w:sectPr>
          <w:pgSz w:w="11900" w:h="16838" w:orient="portrait"/>
          <w:cols w:equalWidth="0" w:num="2">
            <w:col w:w="5380" w:space="440"/>
            <w:col w:w="5420"/>
          </w:cols>
          <w:pgMar w:left="240" w:top="459" w:right="41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5"/>
          <w:szCs w:val="15"/>
          <w:i w:val="1"/>
          <w:iCs w:val="1"/>
          <w:color w:val="auto"/>
        </w:rPr>
        <w:t>If you attend the meeting in person, you will be asked to present a valid form of government-issued photo identification, such as a driver’s license or passport, and proof of ownership of our common stock as of our Record Date March 22, 2019. See “Information about the annual shareholder meeting” on page 92.</w:t>
      </w:r>
    </w:p>
    <w:p>
      <w:pPr>
        <w:spacing w:after="0" w:line="98"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140" w:type="dxa"/>
            <w:vAlign w:val="bottom"/>
            <w:tcBorders>
              <w:bottom w:val="single" w:sz="8" w:color="004876"/>
            </w:tcBorders>
          </w:tcPr>
          <w:p>
            <w:pPr>
              <w:ind w:left="60"/>
              <w:spacing w:after="0"/>
              <w:rPr>
                <w:sz w:val="20"/>
                <w:szCs w:val="20"/>
                <w:color w:val="auto"/>
              </w:rPr>
            </w:pPr>
            <w:r>
              <w:rPr>
                <w:rFonts w:ascii="Arial" w:cs="Arial" w:eastAsia="Arial" w:hAnsi="Arial"/>
                <w:sz w:val="13"/>
                <w:szCs w:val="13"/>
                <w:color w:val="auto"/>
              </w:rPr>
              <w:t>JPMORGAN CHASE &amp; CO. • 2019 PROXY STATEMENT</w:t>
            </w:r>
          </w:p>
        </w:tc>
        <w:tc>
          <w:tcPr>
            <w:tcW w:w="240" w:type="dxa"/>
            <w:vAlign w:val="bottom"/>
          </w:tcPr>
          <w:p>
            <w:pPr>
              <w:spacing w:after="0"/>
              <w:rPr>
                <w:sz w:val="12"/>
                <w:szCs w:val="12"/>
                <w:color w:val="auto"/>
              </w:rPr>
            </w:pPr>
          </w:p>
        </w:tc>
        <w:tc>
          <w:tcPr>
            <w:tcW w:w="640" w:type="dxa"/>
            <w:vAlign w:val="bottom"/>
            <w:tcBorders>
              <w:bottom w:val="single" w:sz="8" w:color="004876"/>
            </w:tcBorders>
          </w:tcPr>
          <w:p>
            <w:pPr>
              <w:jc w:val="right"/>
              <w:ind w:right="57"/>
              <w:spacing w:after="0"/>
              <w:rPr>
                <w:sz w:val="20"/>
                <w:szCs w:val="20"/>
                <w:color w:val="auto"/>
              </w:rPr>
            </w:pPr>
            <w:r>
              <w:rPr>
                <w:rFonts w:ascii="Arial" w:cs="Arial" w:eastAsia="Arial" w:hAnsi="Arial"/>
                <w:sz w:val="13"/>
                <w:szCs w:val="13"/>
                <w:color w:val="auto"/>
              </w:rPr>
              <w:t>105</w:t>
            </w:r>
          </w:p>
        </w:tc>
      </w:tr>
    </w:tbl>
    <w:p>
      <w:pPr>
        <w:sectPr>
          <w:pgSz w:w="11900" w:h="16838" w:orient="portrait"/>
          <w:cols w:equalWidth="0" w:num="1">
            <w:col w:w="11240"/>
          </w:cols>
          <w:pgMar w:left="240" w:top="459" w:right="41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7272020</wp:posOffset>
            </wp:positionV>
            <wp:extent cx="1680845" cy="8832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68084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hanging="156"/>
        <w:spacing w:after="0"/>
        <w:tabs>
          <w:tab w:leader="none" w:pos="360" w:val="left"/>
        </w:tabs>
        <w:numPr>
          <w:ilvl w:val="0"/>
          <w:numId w:val="204"/>
        </w:numPr>
        <w:rPr>
          <w:rFonts w:ascii="Arial" w:cs="Arial" w:eastAsia="Arial" w:hAnsi="Arial"/>
          <w:sz w:val="15"/>
          <w:szCs w:val="15"/>
          <w:color w:val="auto"/>
        </w:rPr>
      </w:pPr>
      <w:r>
        <w:rPr>
          <w:rFonts w:ascii="Arial" w:cs="Arial" w:eastAsia="Arial" w:hAnsi="Arial"/>
          <w:sz w:val="18"/>
          <w:szCs w:val="18"/>
          <w:color w:val="auto"/>
        </w:rPr>
        <w:t>2019 JPMorgan Chase &amp; Co. All rights reserved.</w:t>
      </w:r>
    </w:p>
    <w:p>
      <w:pPr>
        <w:ind w:left="200"/>
        <w:spacing w:after="0"/>
        <w:rPr>
          <w:sz w:val="20"/>
          <w:szCs w:val="20"/>
          <w:color w:val="auto"/>
        </w:rPr>
      </w:pPr>
      <w:r>
        <w:rPr>
          <w:rFonts w:ascii="Arial" w:cs="Arial" w:eastAsia="Arial" w:hAnsi="Arial"/>
          <w:sz w:val="18"/>
          <w:szCs w:val="18"/>
          <w:color w:val="auto"/>
        </w:rPr>
        <w:t>Printed in U.S.A. on paper that contains recycled fiber with soy ink.</w:t>
      </w:r>
    </w:p>
    <w:p>
      <w:pPr>
        <w:sectPr>
          <w:pgSz w:w="11900" w:h="16838" w:orient="portrait"/>
          <w:cols w:equalWidth="0" w:num="1">
            <w:col w:w="10219"/>
          </w:cols>
          <w:pgMar w:left="240" w:top="459" w:right="1440"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240030</wp:posOffset>
            </wp:positionV>
            <wp:extent cx="2280920" cy="1974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2809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COMPUTERSHARE</w:t>
      </w:r>
    </w:p>
    <w:p>
      <w:pPr>
        <w:spacing w:after="0" w:line="2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P.O. BOX 505000</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LOUISVILLE, KY 40233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ELECTRONIC DELIVERY OF FUTURE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-1150620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-575945</wp:posOffset>
            </wp:positionV>
            <wp:extent cx="1955165" cy="4718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955165" cy="471805"/>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11"/>
          <w:szCs w:val="11"/>
          <w:color w:val="auto"/>
        </w:rPr>
        <w:t>If you would like to reduce the costs incurred by JPMorgan Chase &amp; Co. in mailing proxy materials, you can consent to receiving all future proxy statements, proxy cards and annual reports electronically via e-mail or the Internet. To sign up for electronic delivery, please follow the instructions below to vote using the Internet and, when prompted, indicate that you agree to receive or access proxy materials electronically in future years.</w:t>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VOTE BY INTERNET </w:t>
      </w:r>
      <w:r>
        <w:rPr>
          <w:rFonts w:ascii="Arial" w:cs="Arial" w:eastAsia="Arial" w:hAnsi="Arial"/>
          <w:sz w:val="11"/>
          <w:szCs w:val="11"/>
          <w:color w:val="auto"/>
        </w:rPr>
        <w:t>—</w:t>
      </w:r>
      <w:r>
        <w:rPr>
          <w:rFonts w:ascii="Arial" w:cs="Arial" w:eastAsia="Arial" w:hAnsi="Arial"/>
          <w:sz w:val="11"/>
          <w:szCs w:val="11"/>
          <w:b w:val="1"/>
          <w:bCs w:val="1"/>
          <w:color w:val="auto"/>
        </w:rPr>
        <w:t xml:space="preserve"> www.proxyvote.com or scan the QR code above</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the day before the meeting date. Have your proxy card in hand when you access the website and follow the instructions to obtain your records and to create an electronic voting instruction form.</w:t>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VOTE BY PHONE </w:t>
      </w:r>
      <w:r>
        <w:rPr>
          <w:rFonts w:ascii="Arial" w:cs="Arial" w:eastAsia="Arial" w:hAnsi="Arial"/>
          <w:sz w:val="11"/>
          <w:szCs w:val="11"/>
          <w:color w:val="auto"/>
        </w:rPr>
        <w:t>—</w:t>
      </w:r>
      <w:r>
        <w:rPr>
          <w:rFonts w:ascii="Arial" w:cs="Arial" w:eastAsia="Arial" w:hAnsi="Arial"/>
          <w:sz w:val="11"/>
          <w:szCs w:val="11"/>
          <w:b w:val="1"/>
          <w:bCs w:val="1"/>
          <w:color w:val="auto"/>
        </w:rPr>
        <w:t xml:space="preserve"> 1-800-690-6903</w:t>
      </w:r>
    </w:p>
    <w:p>
      <w:pPr>
        <w:spacing w:after="0" w:line="7" w:lineRule="exact"/>
        <w:rPr>
          <w:sz w:val="20"/>
          <w:szCs w:val="20"/>
          <w:color w:val="auto"/>
        </w:rPr>
      </w:pPr>
    </w:p>
    <w:p>
      <w:pPr>
        <w:jc w:val="both"/>
        <w:spacing w:after="0" w:line="238" w:lineRule="auto"/>
        <w:rPr>
          <w:sz w:val="20"/>
          <w:szCs w:val="20"/>
          <w:color w:val="auto"/>
        </w:rPr>
      </w:pPr>
      <w:r>
        <w:rPr>
          <w:rFonts w:ascii="Arial" w:cs="Arial" w:eastAsia="Arial" w:hAnsi="Arial"/>
          <w:sz w:val="11"/>
          <w:szCs w:val="11"/>
          <w:color w:val="auto"/>
        </w:rPr>
        <w:t>Use any touch-tone telephone to transmit your voting instructions up until 11:59 P.M. Eastern Time the day before the meeting date. Have your proxy card in hand when you call and then follow the instructions.</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7" w:lineRule="exact"/>
        <w:rPr>
          <w:sz w:val="20"/>
          <w:szCs w:val="20"/>
          <w:color w:val="auto"/>
        </w:rPr>
      </w:pPr>
    </w:p>
    <w:p>
      <w:pPr>
        <w:jc w:val="both"/>
        <w:spacing w:after="0" w:line="238"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JPMorgan Chase &amp; Co., c/o Broadridge, 51 Mercedes Way, Edgewood, NY 11717.</w:t>
      </w:r>
    </w:p>
    <w:p>
      <w:pPr>
        <w:spacing w:after="0" w:line="88" w:lineRule="exact"/>
        <w:rPr>
          <w:sz w:val="20"/>
          <w:szCs w:val="20"/>
          <w:color w:val="auto"/>
        </w:rPr>
      </w:pPr>
    </w:p>
    <w:p>
      <w:pPr>
        <w:ind w:left="1660"/>
        <w:spacing w:after="0"/>
        <w:rPr>
          <w:sz w:val="20"/>
          <w:szCs w:val="20"/>
          <w:color w:val="auto"/>
        </w:rPr>
      </w:pPr>
      <w:r>
        <w:rPr>
          <w:rFonts w:ascii="Arial" w:cs="Arial" w:eastAsia="Arial" w:hAnsi="Arial"/>
          <w:sz w:val="11"/>
          <w:szCs w:val="11"/>
          <w:b w:val="1"/>
          <w:bCs w:val="1"/>
          <w:color w:val="auto"/>
        </w:rPr>
        <w:t>Your voting instructions are confidential.</w:t>
      </w:r>
    </w:p>
    <w:p>
      <w:pPr>
        <w:spacing w:after="0" w:line="200" w:lineRule="exact"/>
        <w:rPr>
          <w:sz w:val="20"/>
          <w:szCs w:val="20"/>
          <w:color w:val="auto"/>
        </w:rPr>
      </w:pPr>
    </w:p>
    <w:p>
      <w:pPr>
        <w:sectPr>
          <w:pgSz w:w="11900" w:h="16838" w:orient="portrait"/>
          <w:cols w:equalWidth="0" w:num="2">
            <w:col w:w="5100" w:space="720"/>
            <w:col w:w="540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0" w:type="dxa"/>
        <w:tblCellMar>
          <w:top w:w="0" w:type="dxa"/>
          <w:left w:w="0" w:type="dxa"/>
          <w:bottom w:w="0" w:type="dxa"/>
          <w:right w:w="0" w:type="dxa"/>
        </w:tblCellMar>
      </w:tblPr>
      <w:tr>
        <w:trPr>
          <w:trHeight w:val="152"/>
        </w:trPr>
        <w:tc>
          <w:tcPr>
            <w:tcW w:w="510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680" w:type="dxa"/>
            <w:vAlign w:val="bottom"/>
            <w:vMerge w:val="restart"/>
          </w:tcPr>
          <w:p>
            <w:pPr>
              <w:ind w:left="740"/>
              <w:spacing w:after="0"/>
              <w:rPr>
                <w:sz w:val="20"/>
                <w:szCs w:val="20"/>
                <w:color w:val="auto"/>
              </w:rPr>
            </w:pPr>
            <w:r>
              <w:rPr>
                <w:rFonts w:ascii="Arial" w:cs="Arial" w:eastAsia="Arial" w:hAnsi="Arial"/>
                <w:sz w:val="13"/>
                <w:szCs w:val="13"/>
                <w:color w:val="auto"/>
              </w:rPr>
              <w:t>E61515-P20584-Z74547</w:t>
            </w:r>
          </w:p>
        </w:tc>
        <w:tc>
          <w:tcPr>
            <w:tcW w:w="3200" w:type="dxa"/>
            <w:vAlign w:val="bottom"/>
            <w:vMerge w:val="restart"/>
          </w:tcPr>
          <w:p>
            <w:pPr>
              <w:ind w:left="560"/>
              <w:spacing w:after="0"/>
              <w:rPr>
                <w:sz w:val="20"/>
                <w:szCs w:val="20"/>
                <w:color w:val="auto"/>
              </w:rPr>
            </w:pPr>
            <w:r>
              <w:rPr>
                <w:rFonts w:ascii="Arial" w:cs="Arial" w:eastAsia="Arial" w:hAnsi="Arial"/>
                <w:sz w:val="13"/>
                <w:szCs w:val="13"/>
                <w:color w:val="auto"/>
                <w:w w:val="96"/>
              </w:rPr>
              <w:t>KEEP THIS PORTION FOR YOUR RECORDS</w:t>
            </w:r>
          </w:p>
        </w:tc>
        <w:tc>
          <w:tcPr>
            <w:tcW w:w="0" w:type="dxa"/>
            <w:vAlign w:val="bottom"/>
          </w:tcPr>
          <w:p>
            <w:pPr>
              <w:spacing w:after="0"/>
              <w:rPr>
                <w:sz w:val="1"/>
                <w:szCs w:val="1"/>
                <w:color w:val="auto"/>
              </w:rPr>
            </w:pPr>
          </w:p>
        </w:tc>
      </w:tr>
      <w:tr>
        <w:trPr>
          <w:trHeight w:val="79"/>
        </w:trPr>
        <w:tc>
          <w:tcPr>
            <w:tcW w:w="510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3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200" w:right="2640"/>
        <w:spacing w:after="0" w:line="215" w:lineRule="auto"/>
        <w:rPr>
          <w:sz w:val="20"/>
          <w:szCs w:val="20"/>
          <w:color w:val="auto"/>
        </w:rPr>
      </w:pPr>
      <w:r>
        <w:rPr>
          <w:rFonts w:ascii="Arial" w:cs="Arial" w:eastAsia="Arial" w:hAnsi="Arial"/>
          <w:sz w:val="13"/>
          <w:szCs w:val="13"/>
          <w:b w:val="1"/>
          <w:bCs w:val="1"/>
          <w:color w:val="auto"/>
        </w:rPr>
        <w:t>— — — — — — — — — — — — — — — — — — — — — — — — — — — — — — — — — — — — — — — — — — — — — — — — — — — — — — — — — — — — — — — — — — — — — —</w:t>
      </w:r>
    </w:p>
    <w:p>
      <w:pPr>
        <w:jc w:val="right"/>
        <w:ind w:right="40"/>
        <w:spacing w:after="0" w:line="234" w:lineRule="auto"/>
        <w:rPr>
          <w:sz w:val="20"/>
          <w:szCs w:val="20"/>
          <w:color w:val="auto"/>
        </w:rPr>
      </w:pPr>
      <w:r>
        <w:rPr>
          <w:rFonts w:ascii="Arial" w:cs="Arial" w:eastAsia="Arial" w:hAnsi="Arial"/>
          <w:sz w:val="13"/>
          <w:szCs w:val="13"/>
          <w:color w:val="auto"/>
        </w:rPr>
        <w:t>DETACH AND RETURN THIS PORTION ONLY</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6997700" cy="38500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7700" cy="3850005"/>
                    </a:xfrm>
                    <a:prstGeom prst="rect">
                      <a:avLst/>
                    </a:prstGeom>
                    <a:noFill/>
                  </pic:spPr>
                </pic:pic>
              </a:graphicData>
            </a:graphic>
          </wp:anchor>
        </w:drawing>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JPMORGAN CHASE &amp; CO.</w:t>
      </w:r>
    </w:p>
    <w:p>
      <w:pPr>
        <w:spacing w:after="0" w:line="19"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The Board of Directors recommends you vote FOR the following proposals:</w:t>
      </w:r>
    </w:p>
    <w:p>
      <w:pPr>
        <w:sectPr>
          <w:pgSz w:w="11900" w:h="16838" w:orient="portrait"/>
          <w:cols w:equalWidth="0" w:num="1">
            <w:col w:w="11220"/>
          </w:cols>
          <w:pgMar w:left="240" w:top="459" w:right="439" w:bottom="1440" w:gutter="0" w:footer="0" w:header="0"/>
          <w:type w:val="continuous"/>
        </w:sectPr>
      </w:pP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68"/>
        </w:trPr>
        <w:tc>
          <w:tcPr>
            <w:tcW w:w="160" w:type="dxa"/>
            <w:vAlign w:val="bottom"/>
            <w:vMerge w:val="restart"/>
          </w:tcPr>
          <w:p>
            <w:pPr>
              <w:spacing w:after="0"/>
              <w:rPr>
                <w:sz w:val="20"/>
                <w:szCs w:val="20"/>
                <w:color w:val="auto"/>
              </w:rPr>
            </w:pPr>
            <w:r>
              <w:rPr>
                <w:rFonts w:ascii="Arial" w:cs="Arial" w:eastAsia="Arial" w:hAnsi="Arial"/>
                <w:sz w:val="11"/>
                <w:szCs w:val="11"/>
                <w:color w:val="auto"/>
              </w:rPr>
              <w:t>1.</w:t>
            </w:r>
          </w:p>
        </w:tc>
        <w:tc>
          <w:tcPr>
            <w:tcW w:w="3300" w:type="dxa"/>
            <w:vAlign w:val="bottom"/>
            <w:gridSpan w:val="2"/>
            <w:vMerge w:val="restart"/>
          </w:tcPr>
          <w:p>
            <w:pPr>
              <w:ind w:left="60"/>
              <w:spacing w:after="0"/>
              <w:rPr>
                <w:sz w:val="20"/>
                <w:szCs w:val="20"/>
                <w:color w:val="auto"/>
              </w:rPr>
            </w:pPr>
            <w:r>
              <w:rPr>
                <w:rFonts w:ascii="Arial" w:cs="Arial" w:eastAsia="Arial" w:hAnsi="Arial"/>
                <w:sz w:val="11"/>
                <w:szCs w:val="11"/>
                <w:color w:val="auto"/>
              </w:rPr>
              <w:t>Election of Directors</w:t>
            </w:r>
          </w:p>
        </w:tc>
        <w:tc>
          <w:tcPr>
            <w:tcW w:w="780" w:type="dxa"/>
            <w:vAlign w:val="bottom"/>
          </w:tcPr>
          <w:p>
            <w:pPr>
              <w:ind w:left="380"/>
              <w:spacing w:after="0"/>
              <w:rPr>
                <w:sz w:val="20"/>
                <w:szCs w:val="20"/>
                <w:color w:val="auto"/>
              </w:rPr>
            </w:pPr>
            <w:r>
              <w:rPr>
                <w:rFonts w:ascii="Arial" w:cs="Arial" w:eastAsia="Arial" w:hAnsi="Arial"/>
                <w:sz w:val="13"/>
                <w:szCs w:val="13"/>
                <w:b w:val="1"/>
                <w:bCs w:val="1"/>
                <w:color w:val="auto"/>
              </w:rPr>
              <w:t>For</w:t>
            </w:r>
          </w:p>
        </w:tc>
        <w:tc>
          <w:tcPr>
            <w:tcW w:w="1200" w:type="dxa"/>
            <w:vAlign w:val="bottom"/>
            <w:gridSpan w:val="2"/>
          </w:tcPr>
          <w:p>
            <w:pPr>
              <w:ind w:left="160"/>
              <w:spacing w:after="0"/>
              <w:rPr>
                <w:sz w:val="20"/>
                <w:szCs w:val="20"/>
                <w:color w:val="auto"/>
              </w:rPr>
            </w:pPr>
            <w:r>
              <w:rPr>
                <w:rFonts w:ascii="Arial" w:cs="Arial" w:eastAsia="Arial" w:hAnsi="Arial"/>
                <w:sz w:val="13"/>
                <w:szCs w:val="13"/>
                <w:b w:val="1"/>
                <w:bCs w:val="1"/>
                <w:color w:val="auto"/>
                <w:w w:val="99"/>
              </w:rPr>
              <w:t>Against  Abstain</w:t>
            </w:r>
          </w:p>
        </w:tc>
        <w:tc>
          <w:tcPr>
            <w:tcW w:w="0" w:type="dxa"/>
            <w:vAlign w:val="bottom"/>
          </w:tcPr>
          <w:p>
            <w:pPr>
              <w:spacing w:after="0"/>
              <w:rPr>
                <w:sz w:val="1"/>
                <w:szCs w:val="1"/>
                <w:color w:val="auto"/>
              </w:rPr>
            </w:pPr>
          </w:p>
        </w:tc>
      </w:tr>
      <w:tr>
        <w:trPr>
          <w:trHeight w:val="35"/>
        </w:trPr>
        <w:tc>
          <w:tcPr>
            <w:tcW w:w="160" w:type="dxa"/>
            <w:vAlign w:val="bottom"/>
            <w:vMerge w:val="continue"/>
          </w:tcPr>
          <w:p>
            <w:pPr>
              <w:spacing w:after="0"/>
              <w:rPr>
                <w:sz w:val="3"/>
                <w:szCs w:val="3"/>
                <w:color w:val="auto"/>
              </w:rPr>
            </w:pPr>
          </w:p>
        </w:tc>
        <w:tc>
          <w:tcPr>
            <w:tcW w:w="3300" w:type="dxa"/>
            <w:vAlign w:val="bottom"/>
            <w:gridSpan w:val="2"/>
            <w:vMerge w:val="continue"/>
          </w:tcPr>
          <w:p>
            <w:pPr>
              <w:spacing w:after="0"/>
              <w:rPr>
                <w:sz w:val="3"/>
                <w:szCs w:val="3"/>
                <w:color w:val="auto"/>
              </w:rPr>
            </w:pPr>
          </w:p>
        </w:tc>
        <w:tc>
          <w:tcPr>
            <w:tcW w:w="780" w:type="dxa"/>
            <w:vAlign w:val="bottom"/>
            <w:vMerge w:val="restart"/>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vMerge w:val="restart"/>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vMerge w:val="restart"/>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line="20" w:lineRule="exact"/>
              <w:rPr>
                <w:sz w:val="1"/>
                <w:szCs w:val="1"/>
                <w:color w:val="auto"/>
              </w:rPr>
            </w:pPr>
          </w:p>
        </w:tc>
      </w:tr>
      <w:tr>
        <w:trPr>
          <w:trHeight w:val="225"/>
        </w:trPr>
        <w:tc>
          <w:tcPr>
            <w:tcW w:w="16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1a.</w:t>
            </w:r>
          </w:p>
        </w:tc>
        <w:tc>
          <w:tcPr>
            <w:tcW w:w="3020" w:type="dxa"/>
            <w:vAlign w:val="bottom"/>
          </w:tcPr>
          <w:p>
            <w:pPr>
              <w:ind w:left="60"/>
              <w:spacing w:after="0"/>
              <w:rPr>
                <w:sz w:val="20"/>
                <w:szCs w:val="20"/>
                <w:color w:val="auto"/>
              </w:rPr>
            </w:pPr>
            <w:r>
              <w:rPr>
                <w:rFonts w:ascii="Arial" w:cs="Arial" w:eastAsia="Arial" w:hAnsi="Arial"/>
                <w:sz w:val="11"/>
                <w:szCs w:val="11"/>
                <w:color w:val="auto"/>
              </w:rPr>
              <w:t>Linda B. Bammann</w:t>
            </w:r>
          </w:p>
        </w:tc>
        <w:tc>
          <w:tcPr>
            <w:tcW w:w="7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1b.</w:t>
            </w:r>
          </w:p>
        </w:tc>
        <w:tc>
          <w:tcPr>
            <w:tcW w:w="3020" w:type="dxa"/>
            <w:vAlign w:val="bottom"/>
          </w:tcPr>
          <w:p>
            <w:pPr>
              <w:ind w:left="60"/>
              <w:spacing w:after="0"/>
              <w:rPr>
                <w:sz w:val="20"/>
                <w:szCs w:val="20"/>
                <w:color w:val="auto"/>
              </w:rPr>
            </w:pPr>
            <w:r>
              <w:rPr>
                <w:rFonts w:ascii="Arial" w:cs="Arial" w:eastAsia="Arial" w:hAnsi="Arial"/>
                <w:sz w:val="11"/>
                <w:szCs w:val="11"/>
                <w:color w:val="auto"/>
              </w:rPr>
              <w:t>James A. Bell</w:t>
            </w:r>
          </w:p>
        </w:tc>
        <w:tc>
          <w:tcPr>
            <w:tcW w:w="78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1c.</w:t>
            </w:r>
          </w:p>
        </w:tc>
        <w:tc>
          <w:tcPr>
            <w:tcW w:w="3020" w:type="dxa"/>
            <w:vAlign w:val="bottom"/>
          </w:tcPr>
          <w:p>
            <w:pPr>
              <w:ind w:left="60"/>
              <w:spacing w:after="0"/>
              <w:rPr>
                <w:sz w:val="20"/>
                <w:szCs w:val="20"/>
                <w:color w:val="auto"/>
              </w:rPr>
            </w:pPr>
            <w:r>
              <w:rPr>
                <w:rFonts w:ascii="Arial" w:cs="Arial" w:eastAsia="Arial" w:hAnsi="Arial"/>
                <w:sz w:val="11"/>
                <w:szCs w:val="11"/>
                <w:color w:val="auto"/>
              </w:rPr>
              <w:t>Stephen B. Burke</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1d.</w:t>
            </w:r>
          </w:p>
        </w:tc>
        <w:tc>
          <w:tcPr>
            <w:tcW w:w="3020" w:type="dxa"/>
            <w:vAlign w:val="bottom"/>
          </w:tcPr>
          <w:p>
            <w:pPr>
              <w:ind w:left="60"/>
              <w:spacing w:after="0"/>
              <w:rPr>
                <w:sz w:val="20"/>
                <w:szCs w:val="20"/>
                <w:color w:val="auto"/>
              </w:rPr>
            </w:pPr>
            <w:r>
              <w:rPr>
                <w:rFonts w:ascii="Arial" w:cs="Arial" w:eastAsia="Arial" w:hAnsi="Arial"/>
                <w:sz w:val="11"/>
                <w:szCs w:val="11"/>
                <w:color w:val="auto"/>
              </w:rPr>
              <w:t>Todd A. Combs</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1e.</w:t>
            </w:r>
          </w:p>
        </w:tc>
        <w:tc>
          <w:tcPr>
            <w:tcW w:w="3020" w:type="dxa"/>
            <w:vAlign w:val="bottom"/>
          </w:tcPr>
          <w:p>
            <w:pPr>
              <w:ind w:left="60"/>
              <w:spacing w:after="0"/>
              <w:rPr>
                <w:sz w:val="20"/>
                <w:szCs w:val="20"/>
                <w:color w:val="auto"/>
              </w:rPr>
            </w:pPr>
            <w:r>
              <w:rPr>
                <w:rFonts w:ascii="Arial" w:cs="Arial" w:eastAsia="Arial" w:hAnsi="Arial"/>
                <w:sz w:val="11"/>
                <w:szCs w:val="11"/>
                <w:color w:val="auto"/>
              </w:rPr>
              <w:t>James S. Crown</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1f.</w:t>
            </w:r>
          </w:p>
        </w:tc>
        <w:tc>
          <w:tcPr>
            <w:tcW w:w="3020" w:type="dxa"/>
            <w:vAlign w:val="bottom"/>
          </w:tcPr>
          <w:p>
            <w:pPr>
              <w:ind w:left="60"/>
              <w:spacing w:after="0"/>
              <w:rPr>
                <w:sz w:val="20"/>
                <w:szCs w:val="20"/>
                <w:color w:val="auto"/>
              </w:rPr>
            </w:pPr>
            <w:r>
              <w:rPr>
                <w:rFonts w:ascii="Arial" w:cs="Arial" w:eastAsia="Arial" w:hAnsi="Arial"/>
                <w:sz w:val="11"/>
                <w:szCs w:val="11"/>
                <w:color w:val="auto"/>
              </w:rPr>
              <w:t>James Dimon</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1g.</w:t>
            </w:r>
          </w:p>
        </w:tc>
        <w:tc>
          <w:tcPr>
            <w:tcW w:w="3020" w:type="dxa"/>
            <w:vAlign w:val="bottom"/>
          </w:tcPr>
          <w:p>
            <w:pPr>
              <w:ind w:left="60"/>
              <w:spacing w:after="0"/>
              <w:rPr>
                <w:sz w:val="20"/>
                <w:szCs w:val="20"/>
                <w:color w:val="auto"/>
              </w:rPr>
            </w:pPr>
            <w:r>
              <w:rPr>
                <w:rFonts w:ascii="Arial" w:cs="Arial" w:eastAsia="Arial" w:hAnsi="Arial"/>
                <w:sz w:val="11"/>
                <w:szCs w:val="11"/>
                <w:color w:val="auto"/>
              </w:rPr>
              <w:t>Timothy P. Flynn</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1h.</w:t>
            </w:r>
          </w:p>
        </w:tc>
        <w:tc>
          <w:tcPr>
            <w:tcW w:w="3020" w:type="dxa"/>
            <w:vAlign w:val="bottom"/>
          </w:tcPr>
          <w:p>
            <w:pPr>
              <w:ind w:left="60"/>
              <w:spacing w:after="0"/>
              <w:rPr>
                <w:sz w:val="20"/>
                <w:szCs w:val="20"/>
                <w:color w:val="auto"/>
              </w:rPr>
            </w:pPr>
            <w:r>
              <w:rPr>
                <w:rFonts w:ascii="Arial" w:cs="Arial" w:eastAsia="Arial" w:hAnsi="Arial"/>
                <w:sz w:val="11"/>
                <w:szCs w:val="11"/>
                <w:color w:val="auto"/>
              </w:rPr>
              <w:t>Mellody Hobson</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1i.</w:t>
            </w:r>
          </w:p>
        </w:tc>
        <w:tc>
          <w:tcPr>
            <w:tcW w:w="3020" w:type="dxa"/>
            <w:vAlign w:val="bottom"/>
          </w:tcPr>
          <w:p>
            <w:pPr>
              <w:ind w:left="60"/>
              <w:spacing w:after="0"/>
              <w:rPr>
                <w:sz w:val="20"/>
                <w:szCs w:val="20"/>
                <w:color w:val="auto"/>
              </w:rPr>
            </w:pPr>
            <w:r>
              <w:rPr>
                <w:rFonts w:ascii="Arial" w:cs="Arial" w:eastAsia="Arial" w:hAnsi="Arial"/>
                <w:sz w:val="11"/>
                <w:szCs w:val="11"/>
                <w:color w:val="auto"/>
              </w:rPr>
              <w:t>Laban P. Jackson, Jr.</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1j.</w:t>
            </w:r>
          </w:p>
        </w:tc>
        <w:tc>
          <w:tcPr>
            <w:tcW w:w="3020" w:type="dxa"/>
            <w:vAlign w:val="bottom"/>
          </w:tcPr>
          <w:p>
            <w:pPr>
              <w:ind w:left="60"/>
              <w:spacing w:after="0"/>
              <w:rPr>
                <w:sz w:val="20"/>
                <w:szCs w:val="20"/>
                <w:color w:val="auto"/>
              </w:rPr>
            </w:pPr>
            <w:r>
              <w:rPr>
                <w:rFonts w:ascii="Arial" w:cs="Arial" w:eastAsia="Arial" w:hAnsi="Arial"/>
                <w:sz w:val="11"/>
                <w:szCs w:val="11"/>
                <w:color w:val="auto"/>
              </w:rPr>
              <w:t>Michael A. Neal</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rPr>
              <w:t>1k.</w:t>
            </w:r>
          </w:p>
        </w:tc>
        <w:tc>
          <w:tcPr>
            <w:tcW w:w="3020" w:type="dxa"/>
            <w:vAlign w:val="bottom"/>
          </w:tcPr>
          <w:p>
            <w:pPr>
              <w:ind w:left="60"/>
              <w:spacing w:after="0"/>
              <w:rPr>
                <w:sz w:val="20"/>
                <w:szCs w:val="20"/>
                <w:color w:val="auto"/>
              </w:rPr>
            </w:pPr>
            <w:r>
              <w:rPr>
                <w:rFonts w:ascii="Arial" w:cs="Arial" w:eastAsia="Arial" w:hAnsi="Arial"/>
                <w:sz w:val="11"/>
                <w:szCs w:val="11"/>
                <w:color w:val="auto"/>
              </w:rPr>
              <w:t>Lee R. Raymond</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70"/>
        </w:trPr>
        <w:tc>
          <w:tcPr>
            <w:tcW w:w="3460" w:type="dxa"/>
            <w:vAlign w:val="bottom"/>
            <w:gridSpan w:val="3"/>
          </w:tcPr>
          <w:p>
            <w:pPr>
              <w:spacing w:after="0"/>
              <w:rPr>
                <w:sz w:val="20"/>
                <w:szCs w:val="20"/>
                <w:color w:val="auto"/>
              </w:rPr>
            </w:pPr>
            <w:r>
              <w:rPr>
                <w:rFonts w:ascii="Arial" w:cs="Arial" w:eastAsia="Arial" w:hAnsi="Arial"/>
                <w:sz w:val="11"/>
                <w:szCs w:val="11"/>
                <w:color w:val="auto"/>
              </w:rPr>
              <w:t>2.  Advisory resolution to approve executive compensation</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39"/>
        </w:trPr>
        <w:tc>
          <w:tcPr>
            <w:tcW w:w="160" w:type="dxa"/>
            <w:vAlign w:val="bottom"/>
          </w:tcPr>
          <w:p>
            <w:pPr>
              <w:spacing w:after="0"/>
              <w:rPr>
                <w:sz w:val="20"/>
                <w:szCs w:val="20"/>
                <w:color w:val="auto"/>
              </w:rPr>
            </w:pPr>
            <w:r>
              <w:rPr>
                <w:rFonts w:ascii="Arial" w:cs="Arial" w:eastAsia="Arial" w:hAnsi="Arial"/>
                <w:sz w:val="11"/>
                <w:szCs w:val="11"/>
                <w:color w:val="auto"/>
              </w:rPr>
              <w:t>3.</w:t>
            </w:r>
          </w:p>
        </w:tc>
        <w:tc>
          <w:tcPr>
            <w:tcW w:w="3300" w:type="dxa"/>
            <w:vAlign w:val="bottom"/>
            <w:gridSpan w:val="2"/>
          </w:tcPr>
          <w:p>
            <w:pPr>
              <w:ind w:left="60"/>
              <w:spacing w:after="0"/>
              <w:rPr>
                <w:sz w:val="20"/>
                <w:szCs w:val="20"/>
                <w:color w:val="auto"/>
              </w:rPr>
            </w:pPr>
            <w:r>
              <w:rPr>
                <w:rFonts w:ascii="Arial" w:cs="Arial" w:eastAsia="Arial" w:hAnsi="Arial"/>
                <w:sz w:val="11"/>
                <w:szCs w:val="11"/>
                <w:color w:val="auto"/>
              </w:rPr>
              <w:t>Ratification of independent registered public accounting firm</w:t>
            </w:r>
          </w:p>
        </w:tc>
        <w:tc>
          <w:tcPr>
            <w:tcW w:w="780" w:type="dxa"/>
            <w:vAlign w:val="bottom"/>
          </w:tcPr>
          <w:p>
            <w:pPr>
              <w:ind w:left="380"/>
              <w:spacing w:after="0" w:line="221" w:lineRule="exact"/>
              <w:rPr>
                <w:sz w:val="20"/>
                <w:szCs w:val="20"/>
                <w:color w:val="auto"/>
              </w:rPr>
            </w:pPr>
            <w:r>
              <w:rPr>
                <w:rFonts w:ascii="MS PGothic" w:cs="MS PGothic" w:eastAsia="MS PGothic" w:hAnsi="MS PGothic"/>
                <w:sz w:val="22"/>
                <w:szCs w:val="22"/>
                <w:color w:val="auto"/>
              </w:rPr>
              <w:t>☐</w:t>
            </w:r>
          </w:p>
        </w:tc>
        <w:tc>
          <w:tcPr>
            <w:tcW w:w="70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59" w:lineRule="auto"/>
        <w:rPr>
          <w:sz w:val="20"/>
          <w:szCs w:val="20"/>
          <w:color w:val="auto"/>
        </w:rPr>
      </w:pPr>
      <w:r>
        <w:rPr>
          <w:rFonts w:ascii="Arial" w:cs="Arial" w:eastAsia="Arial" w:hAnsi="Arial"/>
          <w:sz w:val="11"/>
          <w:szCs w:val="11"/>
          <w:b w:val="1"/>
          <w:bCs w:val="1"/>
          <w:color w:val="auto"/>
        </w:rPr>
        <w:t>The Board of Directors recommends you vote AGAINST the following shareholder proposals:</w:t>
      </w:r>
    </w:p>
    <w:p>
      <w:pPr>
        <w:spacing w:after="0" w:line="117" w:lineRule="exact"/>
        <w:rPr>
          <w:sz w:val="20"/>
          <w:szCs w:val="20"/>
          <w:color w:val="auto"/>
        </w:rPr>
      </w:pPr>
    </w:p>
    <w:p>
      <w:pPr>
        <w:ind w:left="220" w:hanging="220"/>
        <w:spacing w:after="0"/>
        <w:tabs>
          <w:tab w:leader="none" w:pos="220" w:val="left"/>
        </w:tabs>
        <w:numPr>
          <w:ilvl w:val="0"/>
          <w:numId w:val="205"/>
        </w:numPr>
        <w:rPr>
          <w:rFonts w:ascii="Arial" w:cs="Arial" w:eastAsia="Arial" w:hAnsi="Arial"/>
          <w:sz w:val="11"/>
          <w:szCs w:val="11"/>
          <w:color w:val="auto"/>
        </w:rPr>
      </w:pPr>
      <w:r>
        <w:rPr>
          <w:rFonts w:ascii="Arial" w:cs="Arial" w:eastAsia="Arial" w:hAnsi="Arial"/>
          <w:sz w:val="11"/>
          <w:szCs w:val="11"/>
          <w:color w:val="auto"/>
        </w:rPr>
        <w:t>Gender pay equity report</w:t>
      </w:r>
    </w:p>
    <w:p>
      <w:pPr>
        <w:spacing w:after="0" w:line="116" w:lineRule="exact"/>
        <w:rPr>
          <w:rFonts w:ascii="Arial" w:cs="Arial" w:eastAsia="Arial" w:hAnsi="Arial"/>
          <w:sz w:val="11"/>
          <w:szCs w:val="11"/>
          <w:color w:val="auto"/>
        </w:rPr>
      </w:pPr>
    </w:p>
    <w:p>
      <w:pPr>
        <w:ind w:left="220" w:hanging="220"/>
        <w:spacing w:after="0"/>
        <w:tabs>
          <w:tab w:leader="none" w:pos="220" w:val="left"/>
        </w:tabs>
        <w:numPr>
          <w:ilvl w:val="0"/>
          <w:numId w:val="205"/>
        </w:numPr>
        <w:rPr>
          <w:rFonts w:ascii="Arial" w:cs="Arial" w:eastAsia="Arial" w:hAnsi="Arial"/>
          <w:sz w:val="11"/>
          <w:szCs w:val="11"/>
          <w:color w:val="auto"/>
        </w:rPr>
      </w:pPr>
      <w:r>
        <w:rPr>
          <w:rFonts w:ascii="Arial" w:cs="Arial" w:eastAsia="Arial" w:hAnsi="Arial"/>
          <w:sz w:val="11"/>
          <w:szCs w:val="11"/>
          <w:color w:val="auto"/>
        </w:rPr>
        <w:t>Enhance shareholder proxy access</w:t>
      </w:r>
    </w:p>
    <w:p>
      <w:pPr>
        <w:spacing w:after="0" w:line="143" w:lineRule="exact"/>
        <w:rPr>
          <w:rFonts w:ascii="Arial" w:cs="Arial" w:eastAsia="Arial" w:hAnsi="Arial"/>
          <w:sz w:val="11"/>
          <w:szCs w:val="11"/>
          <w:color w:val="auto"/>
        </w:rPr>
      </w:pPr>
    </w:p>
    <w:p>
      <w:pPr>
        <w:ind w:left="220" w:hanging="220"/>
        <w:spacing w:after="0"/>
        <w:tabs>
          <w:tab w:leader="none" w:pos="220" w:val="left"/>
        </w:tabs>
        <w:numPr>
          <w:ilvl w:val="0"/>
          <w:numId w:val="205"/>
        </w:numPr>
        <w:rPr>
          <w:rFonts w:ascii="Arial" w:cs="Arial" w:eastAsia="Arial" w:hAnsi="Arial"/>
          <w:sz w:val="11"/>
          <w:szCs w:val="11"/>
          <w:color w:val="auto"/>
        </w:rPr>
      </w:pPr>
      <w:r>
        <w:rPr>
          <w:rFonts w:ascii="Arial" w:cs="Arial" w:eastAsia="Arial" w:hAnsi="Arial"/>
          <w:sz w:val="11"/>
          <w:szCs w:val="11"/>
          <w:color w:val="auto"/>
        </w:rPr>
        <w:t>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1"/>
          <w:szCs w:val="11"/>
          <w:color w:val="auto"/>
        </w:rPr>
        <w:t>Please indicate if you plan to attend this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340" w:val="left"/>
          <w:tab w:leader="none" w:pos="92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81" w:lineRule="exact"/>
        <w:rPr>
          <w:sz w:val="20"/>
          <w:szCs w:val="20"/>
          <w:color w:val="auto"/>
        </w:rPr>
      </w:pPr>
    </w:p>
    <w:p>
      <w:pPr>
        <w:spacing w:after="0" w:line="221" w:lineRule="exact"/>
        <w:tabs>
          <w:tab w:leader="none" w:pos="560" w:val="left"/>
          <w:tab w:leader="none" w:pos="104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87" w:lineRule="exact"/>
        <w:rPr>
          <w:sz w:val="20"/>
          <w:szCs w:val="20"/>
          <w:color w:val="auto"/>
        </w:rPr>
      </w:pPr>
    </w:p>
    <w:p>
      <w:pPr>
        <w:spacing w:after="0" w:line="221" w:lineRule="exact"/>
        <w:tabs>
          <w:tab w:leader="none" w:pos="560" w:val="left"/>
          <w:tab w:leader="none" w:pos="104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37" w:lineRule="exact"/>
        <w:rPr>
          <w:sz w:val="20"/>
          <w:szCs w:val="20"/>
          <w:color w:val="auto"/>
        </w:rPr>
      </w:pPr>
    </w:p>
    <w:p>
      <w:pPr>
        <w:spacing w:after="0" w:line="221" w:lineRule="exact"/>
        <w:tabs>
          <w:tab w:leader="none" w:pos="560" w:val="left"/>
          <w:tab w:leader="none" w:pos="104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Yes</w:t>
      </w:r>
      <w:r>
        <w:rPr>
          <w:sz w:val="20"/>
          <w:szCs w:val="20"/>
          <w:color w:val="auto"/>
        </w:rPr>
        <w:tab/>
      </w:r>
      <w:r>
        <w:rPr>
          <w:rFonts w:ascii="Arial" w:cs="Arial" w:eastAsia="Arial" w:hAnsi="Arial"/>
          <w:sz w:val="13"/>
          <w:szCs w:val="13"/>
          <w:b w:val="1"/>
          <w:bCs w:val="1"/>
          <w:color w:val="auto"/>
        </w:rPr>
        <w:t>No</w:t>
      </w:r>
    </w:p>
    <w:p>
      <w:pPr>
        <w:spacing w:after="0" w:line="68" w:lineRule="exact"/>
        <w:rPr>
          <w:sz w:val="20"/>
          <w:szCs w:val="20"/>
          <w:color w:val="auto"/>
        </w:rPr>
      </w:pPr>
    </w:p>
    <w:p>
      <w:pPr>
        <w:spacing w:after="0" w:line="221" w:lineRule="exact"/>
        <w:tabs>
          <w:tab w:leader="none" w:pos="560" w:val="left"/>
        </w:tabs>
        <w:rPr>
          <w:sz w:val="20"/>
          <w:szCs w:val="20"/>
          <w:color w:val="auto"/>
        </w:rPr>
      </w:pPr>
      <w:r>
        <w:rPr>
          <w:rFonts w:ascii="MS PGothic" w:cs="MS PGothic" w:eastAsia="MS PGothic" w:hAnsi="MS PGothic"/>
          <w:sz w:val="22"/>
          <w:szCs w:val="22"/>
          <w:color w:val="auto"/>
        </w:rPr>
        <w:t>☐</w:t>
        <w:tab/>
        <w:t>☐</w:t>
      </w:r>
    </w:p>
    <w:p>
      <w:pPr>
        <w:spacing w:after="0" w:line="272" w:lineRule="exact"/>
        <w:rPr>
          <w:sz w:val="20"/>
          <w:szCs w:val="20"/>
          <w:color w:val="auto"/>
        </w:rPr>
      </w:pPr>
    </w:p>
    <w:p>
      <w:pPr>
        <w:sectPr>
          <w:pgSz w:w="11900" w:h="16838" w:orient="portrait"/>
          <w:cols w:equalWidth="0" w:num="3">
            <w:col w:w="6020" w:space="140"/>
            <w:col w:w="3060" w:space="300"/>
            <w:col w:w="17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80" w:type="dxa"/>
        <w:tblCellMar>
          <w:top w:w="0" w:type="dxa"/>
          <w:left w:w="0" w:type="dxa"/>
          <w:bottom w:w="0" w:type="dxa"/>
          <w:right w:w="0" w:type="dxa"/>
        </w:tblCellMar>
      </w:tblPr>
      <w:tr>
        <w:trPr>
          <w:trHeight w:val="166"/>
        </w:trPr>
        <w:tc>
          <w:tcPr>
            <w:tcW w:w="2620" w:type="dxa"/>
            <w:vAlign w:val="bottom"/>
          </w:tcPr>
          <w:p>
            <w:pPr>
              <w:spacing w:after="0"/>
              <w:rPr>
                <w:sz w:val="20"/>
                <w:szCs w:val="20"/>
                <w:color w:val="auto"/>
              </w:rPr>
            </w:pPr>
            <w:r>
              <w:rPr>
                <w:rFonts w:ascii="Arial" w:cs="Arial" w:eastAsia="Arial" w:hAnsi="Arial"/>
                <w:sz w:val="13"/>
                <w:szCs w:val="13"/>
                <w:color w:val="auto"/>
              </w:rPr>
              <w:t>Signature [PLEASE SIGN WITHIN BOX]</w:t>
            </w:r>
          </w:p>
        </w:tc>
        <w:tc>
          <w:tcPr>
            <w:tcW w:w="1760" w:type="dxa"/>
            <w:vAlign w:val="bottom"/>
          </w:tcPr>
          <w:p>
            <w:pPr>
              <w:ind w:left="360"/>
              <w:spacing w:after="0"/>
              <w:rPr>
                <w:sz w:val="20"/>
                <w:szCs w:val="20"/>
                <w:color w:val="auto"/>
              </w:rPr>
            </w:pPr>
            <w:r>
              <w:rPr>
                <w:rFonts w:ascii="Arial" w:cs="Arial" w:eastAsia="Arial" w:hAnsi="Arial"/>
                <w:sz w:val="13"/>
                <w:szCs w:val="13"/>
                <w:color w:val="auto"/>
              </w:rPr>
              <w:t>Date</w:t>
            </w:r>
          </w:p>
        </w:tc>
        <w:tc>
          <w:tcPr>
            <w:tcW w:w="3240" w:type="dxa"/>
            <w:vAlign w:val="bottom"/>
          </w:tcPr>
          <w:p>
            <w:pPr>
              <w:ind w:left="1140"/>
              <w:spacing w:after="0"/>
              <w:rPr>
                <w:sz w:val="20"/>
                <w:szCs w:val="20"/>
                <w:color w:val="auto"/>
              </w:rPr>
            </w:pPr>
            <w:r>
              <w:rPr>
                <w:rFonts w:ascii="Arial" w:cs="Arial" w:eastAsia="Arial" w:hAnsi="Arial"/>
                <w:sz w:val="13"/>
                <w:szCs w:val="13"/>
                <w:color w:val="auto"/>
              </w:rPr>
              <w:t>Signature (Joint Owners)</w:t>
            </w:r>
          </w:p>
        </w:tc>
        <w:tc>
          <w:tcPr>
            <w:tcW w:w="1000" w:type="dxa"/>
            <w:vAlign w:val="bottom"/>
          </w:tcPr>
          <w:p>
            <w:pPr>
              <w:ind w:left="720"/>
              <w:spacing w:after="0"/>
              <w:rPr>
                <w:sz w:val="20"/>
                <w:szCs w:val="20"/>
                <w:color w:val="auto"/>
              </w:rPr>
            </w:pPr>
            <w:r>
              <w:rPr>
                <w:rFonts w:ascii="Arial" w:cs="Arial" w:eastAsia="Arial" w:hAnsi="Arial"/>
                <w:sz w:val="13"/>
                <w:szCs w:val="13"/>
                <w:color w:val="auto"/>
                <w:w w:val="94"/>
              </w:rPr>
              <w:t>Date</w:t>
            </w:r>
          </w:p>
        </w:tc>
      </w:tr>
    </w:tbl>
    <w:p>
      <w:pPr>
        <w:sectPr>
          <w:pgSz w:w="11900" w:h="16838" w:orient="portrait"/>
          <w:cols w:equalWidth="0" w:num="1">
            <w:col w:w="11220"/>
          </w:cols>
          <w:pgMar w:left="240" w:top="459" w:right="43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205740</wp:posOffset>
            </wp:positionV>
            <wp:extent cx="2967355" cy="2228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96735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2019 Annual Meeting of Shareholders</w:t>
      </w:r>
    </w:p>
    <w:p>
      <w:pPr>
        <w:spacing w:after="0" w:line="202"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Tuesday, May 21, 2019 10:00 a.m. Central Time</w:t>
      </w:r>
    </w:p>
    <w:p>
      <w:pPr>
        <w:spacing w:after="0" w:line="188"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Chase Tower</w:t>
      </w:r>
    </w:p>
    <w:p>
      <w:pPr>
        <w:ind w:left="4760"/>
        <w:spacing w:after="0" w:line="225" w:lineRule="auto"/>
        <w:rPr>
          <w:sz w:val="20"/>
          <w:szCs w:val="20"/>
          <w:color w:val="auto"/>
        </w:rPr>
      </w:pPr>
      <w:r>
        <w:rPr>
          <w:rFonts w:ascii="Arial" w:cs="Arial" w:eastAsia="Arial" w:hAnsi="Arial"/>
          <w:sz w:val="20"/>
          <w:szCs w:val="20"/>
          <w:color w:val="auto"/>
        </w:rPr>
        <w:t>21 South Clark Street</w:t>
      </w:r>
    </w:p>
    <w:p>
      <w:pPr>
        <w:ind w:left="4720"/>
        <w:spacing w:after="0"/>
        <w:rPr>
          <w:sz w:val="20"/>
          <w:szCs w:val="20"/>
          <w:color w:val="auto"/>
        </w:rPr>
      </w:pPr>
      <w:r>
        <w:rPr>
          <w:rFonts w:ascii="Arial" w:cs="Arial" w:eastAsia="Arial" w:hAnsi="Arial"/>
          <w:sz w:val="20"/>
          <w:szCs w:val="20"/>
          <w:color w:val="auto"/>
        </w:rPr>
        <w:t>Chicago, Illinois 60603</w:t>
      </w:r>
    </w:p>
    <w:p>
      <w:pPr>
        <w:spacing w:after="0" w:line="183" w:lineRule="exact"/>
        <w:rPr>
          <w:sz w:val="20"/>
          <w:szCs w:val="20"/>
          <w:color w:val="auto"/>
        </w:rPr>
      </w:pPr>
    </w:p>
    <w:p>
      <w:pPr>
        <w:jc w:val="both"/>
        <w:ind w:left="1080" w:right="840"/>
        <w:spacing w:after="0" w:line="271" w:lineRule="auto"/>
        <w:rPr>
          <w:sz w:val="20"/>
          <w:szCs w:val="20"/>
          <w:color w:val="auto"/>
        </w:rPr>
      </w:pPr>
      <w:r>
        <w:rPr>
          <w:rFonts w:ascii="Arial" w:cs="Arial" w:eastAsia="Arial" w:hAnsi="Arial"/>
          <w:sz w:val="18"/>
          <w:szCs w:val="18"/>
          <w:b w:val="1"/>
          <w:bCs w:val="1"/>
          <w:color w:val="auto"/>
        </w:rPr>
        <w:t xml:space="preserve">JPMorgan Chase Tower – </w:t>
      </w:r>
      <w:r>
        <w:rPr>
          <w:rFonts w:ascii="Arial" w:cs="Arial" w:eastAsia="Arial" w:hAnsi="Arial"/>
          <w:sz w:val="18"/>
          <w:szCs w:val="18"/>
          <w:color w:val="auto"/>
        </w:rPr>
        <w:t>Chase Tower is located in Chicago, Illinois at 21 South Clark Street. The meeting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on the 56th Floor.</w:t>
      </w:r>
    </w:p>
    <w:p>
      <w:pPr>
        <w:spacing w:after="0" w:line="154" w:lineRule="exact"/>
        <w:rPr>
          <w:sz w:val="20"/>
          <w:szCs w:val="20"/>
          <w:color w:val="auto"/>
        </w:rPr>
      </w:pPr>
    </w:p>
    <w:p>
      <w:pPr>
        <w:jc w:val="both"/>
        <w:ind w:left="1080" w:right="840"/>
        <w:spacing w:after="0" w:line="247" w:lineRule="auto"/>
        <w:rPr>
          <w:sz w:val="20"/>
          <w:szCs w:val="20"/>
          <w:color w:val="auto"/>
        </w:rPr>
      </w:pPr>
      <w:r>
        <w:rPr>
          <w:rFonts w:ascii="Arial" w:cs="Arial" w:eastAsia="Arial" w:hAnsi="Arial"/>
          <w:sz w:val="18"/>
          <w:szCs w:val="18"/>
          <w:b w:val="1"/>
          <w:bCs w:val="1"/>
          <w:color w:val="auto"/>
        </w:rPr>
        <w:t>If you plan to attend the meeting in person</w:t>
      </w:r>
      <w:r>
        <w:rPr>
          <w:rFonts w:ascii="Arial" w:cs="Arial" w:eastAsia="Arial" w:hAnsi="Arial"/>
          <w:sz w:val="18"/>
          <w:szCs w:val="18"/>
          <w:color w:val="auto"/>
        </w:rPr>
        <w:t>, you will be required to present a valid form of government-issued</w:t>
      </w:r>
      <w:r>
        <w:rPr>
          <w:rFonts w:ascii="Arial" w:cs="Arial" w:eastAsia="Arial" w:hAnsi="Arial"/>
          <w:sz w:val="18"/>
          <w:szCs w:val="18"/>
          <w:b w:val="1"/>
          <w:bCs w:val="1"/>
          <w:color w:val="auto"/>
        </w:rPr>
        <w:t xml:space="preserve"> </w:t>
      </w:r>
      <w:r>
        <w:rPr>
          <w:rFonts w:ascii="Arial" w:cs="Arial" w:eastAsia="Arial" w:hAnsi="Arial"/>
          <w:sz w:val="18"/>
          <w:szCs w:val="18"/>
          <w:color w:val="auto"/>
        </w:rPr>
        <w:t>photo identification, such as a driver’s license or passport, and proof of ownership of our common stock as of our record date March 22, 2019, and this top half of the proxy card. For more information see “Information about the annual shareholder meeting”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Important Notice Regarding the Availability of Proxy Materials for the 2019 Annual Meeting:</w:t>
      </w:r>
    </w:p>
    <w:p>
      <w:pPr>
        <w:spacing w:after="0" w:line="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Notice and Proxy Statement and Annual Report are available at</w:t>
      </w:r>
    </w:p>
    <w:p>
      <w:pPr>
        <w:jc w:val="center"/>
        <w:ind w:right="-259"/>
        <w:spacing w:after="0"/>
        <w:rPr>
          <w:sz w:val="20"/>
          <w:szCs w:val="20"/>
          <w:color w:val="auto"/>
        </w:rPr>
      </w:pPr>
      <w:r>
        <w:rPr>
          <w:rFonts w:ascii="Arial" w:cs="Arial" w:eastAsia="Arial" w:hAnsi="Arial"/>
          <w:sz w:val="18"/>
          <w:szCs w:val="18"/>
          <w:color w:val="auto"/>
        </w:rPr>
        <w:t>jpmorganchase.com/annual-report-proxy</w:t>
      </w:r>
    </w:p>
    <w:p>
      <w:pPr>
        <w:spacing w:after="0" w:line="9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 — — — — — — — — — — — — — — — — — — — — — — — — — — — — — — — — — — — — — — — — — — — — — — —</w:t>
      </w:r>
    </w:p>
    <w:p>
      <w:pPr>
        <w:spacing w:after="0" w:line="1" w:lineRule="exact"/>
        <w:rPr>
          <w:sz w:val="20"/>
          <w:szCs w:val="20"/>
          <w:color w:val="auto"/>
        </w:rPr>
      </w:pPr>
    </w:p>
    <w:p>
      <w:pPr>
        <w:ind w:left="9520"/>
        <w:spacing w:after="0"/>
        <w:rPr>
          <w:sz w:val="20"/>
          <w:szCs w:val="20"/>
          <w:color w:val="auto"/>
        </w:rPr>
      </w:pPr>
      <w:r>
        <w:rPr>
          <w:rFonts w:ascii="Arial" w:cs="Arial" w:eastAsia="Arial" w:hAnsi="Arial"/>
          <w:sz w:val="13"/>
          <w:szCs w:val="13"/>
          <w:color w:val="auto"/>
        </w:rPr>
        <w:t>E61516-P20584-Z74547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43218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7700" cy="432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29"/>
          <w:szCs w:val="29"/>
          <w:b w:val="1"/>
          <w:bCs w:val="1"/>
          <w:color w:val="auto"/>
        </w:rPr>
        <w:t>JPMORGAN CHASE &amp; CO.</w:t>
      </w:r>
    </w:p>
    <w:p>
      <w:pPr>
        <w:spacing w:after="0" w:line="233" w:lineRule="exact"/>
        <w:rPr>
          <w:sz w:val="20"/>
          <w:szCs w:val="20"/>
          <w:color w:val="auto"/>
        </w:rPr>
      </w:pPr>
    </w:p>
    <w:p>
      <w:pPr>
        <w:jc w:val="both"/>
        <w:ind w:left="560" w:right="320"/>
        <w:spacing w:after="0" w:line="258" w:lineRule="auto"/>
        <w:rPr>
          <w:sz w:val="20"/>
          <w:szCs w:val="20"/>
          <w:color w:val="auto"/>
        </w:rPr>
      </w:pPr>
      <w:r>
        <w:rPr>
          <w:rFonts w:ascii="Arial" w:cs="Arial" w:eastAsia="Arial" w:hAnsi="Arial"/>
          <w:sz w:val="20"/>
          <w:szCs w:val="20"/>
          <w:b w:val="1"/>
          <w:bCs w:val="1"/>
          <w:color w:val="auto"/>
        </w:rPr>
        <w:t>This proxy is solicited from you by the Board of Directors for use at the Annual Meeting of Shareholders of JPMorgan Chase &amp; Co. on May 21, 2019.</w:t>
      </w:r>
    </w:p>
    <w:p>
      <w:pPr>
        <w:spacing w:after="0" w:line="289" w:lineRule="exact"/>
        <w:rPr>
          <w:sz w:val="20"/>
          <w:szCs w:val="20"/>
          <w:color w:val="auto"/>
        </w:rPr>
      </w:pPr>
    </w:p>
    <w:p>
      <w:pPr>
        <w:jc w:val="both"/>
        <w:ind w:left="560" w:right="320"/>
        <w:spacing w:after="0" w:line="237" w:lineRule="auto"/>
        <w:rPr>
          <w:sz w:val="20"/>
          <w:szCs w:val="20"/>
          <w:color w:val="auto"/>
        </w:rPr>
      </w:pPr>
      <w:r>
        <w:rPr>
          <w:rFonts w:ascii="Arial" w:cs="Arial" w:eastAsia="Arial" w:hAnsi="Arial"/>
          <w:sz w:val="18"/>
          <w:szCs w:val="18"/>
          <w:color w:val="auto"/>
        </w:rPr>
        <w:t xml:space="preserve">You, the undersigned shareholder, appoint each of Molly Carpenter and Marianne Lake, your attorney-in-fact and proxy, with full power of substitution, to vote on your behalf shares of JPMorgan Chase common stock that you would be entitled to vote at the 2019 Annual Meeting, and any adjournment of the meeting, with all powers that you would have if you were personally present at the meeting. </w:t>
      </w:r>
      <w:r>
        <w:rPr>
          <w:rFonts w:ascii="Arial" w:cs="Arial" w:eastAsia="Arial" w:hAnsi="Arial"/>
          <w:sz w:val="18"/>
          <w:szCs w:val="18"/>
          <w:b w:val="1"/>
          <w:bCs w:val="1"/>
          <w:color w:val="auto"/>
        </w:rPr>
        <w:t>The shares represented by this proxy will be voted as instructed by you on the reverse side of this card</w:t>
      </w:r>
      <w:r>
        <w:rPr>
          <w:rFonts w:ascii="Arial" w:cs="Arial" w:eastAsia="Arial" w:hAnsi="Arial"/>
          <w:sz w:val="18"/>
          <w:szCs w:val="18"/>
          <w:color w:val="auto"/>
        </w:rPr>
        <w:t xml:space="preserve"> </w:t>
      </w:r>
      <w:r>
        <w:rPr>
          <w:rFonts w:ascii="Arial" w:cs="Arial" w:eastAsia="Arial" w:hAnsi="Arial"/>
          <w:sz w:val="18"/>
          <w:szCs w:val="18"/>
          <w:b w:val="1"/>
          <w:bCs w:val="1"/>
          <w:color w:val="auto"/>
        </w:rPr>
        <w:t>with respect to the proposals set forth in the proxy statement, and in the discretion of the proxies on all other matters which may properly come before the 2019 Annual Meeting and any adjournment thereof. If the card is signed but no instructions are given, shares will be voted in accordance with the recommendations of the Board of Directors.</w:t>
      </w:r>
    </w:p>
    <w:p>
      <w:pPr>
        <w:spacing w:after="0" w:line="181" w:lineRule="exact"/>
        <w:rPr>
          <w:sz w:val="20"/>
          <w:szCs w:val="20"/>
          <w:color w:val="auto"/>
        </w:rPr>
      </w:pPr>
    </w:p>
    <w:p>
      <w:pPr>
        <w:jc w:val="both"/>
        <w:ind w:left="560" w:right="320"/>
        <w:spacing w:after="0" w:line="247" w:lineRule="auto"/>
        <w:rPr>
          <w:sz w:val="20"/>
          <w:szCs w:val="20"/>
          <w:color w:val="auto"/>
        </w:rPr>
      </w:pPr>
      <w:r>
        <w:rPr>
          <w:rFonts w:ascii="Arial" w:cs="Arial" w:eastAsia="Arial" w:hAnsi="Arial"/>
          <w:sz w:val="18"/>
          <w:szCs w:val="18"/>
          <w:b w:val="1"/>
          <w:bCs w:val="1"/>
          <w:color w:val="auto"/>
        </w:rPr>
        <w:t xml:space="preserve">Participants in the 401(k) Savings Plan: </w:t>
      </w:r>
      <w:r>
        <w:rPr>
          <w:rFonts w:ascii="Arial" w:cs="Arial" w:eastAsia="Arial" w:hAnsi="Arial"/>
          <w:sz w:val="18"/>
          <w:szCs w:val="18"/>
          <w:color w:val="auto"/>
        </w:rPr>
        <w:t>If you have an interest in JPMorgan Chase common stock through an investment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JPMorgan Chase Common Stock Fund within the 401(k) Savings Plan, your vote will provide voting instructions to the trustee of the plan to vote the proportionate interest as of the record date. If no instructions are given, the trustee will vote unvoted shares in the same proportion as voted shares.</w:t>
      </w:r>
    </w:p>
    <w:p>
      <w:pPr>
        <w:spacing w:after="0" w:line="174" w:lineRule="exact"/>
        <w:rPr>
          <w:sz w:val="20"/>
          <w:szCs w:val="20"/>
          <w:color w:val="auto"/>
        </w:rPr>
      </w:pPr>
    </w:p>
    <w:p>
      <w:pPr>
        <w:jc w:val="both"/>
        <w:ind w:left="560" w:right="340"/>
        <w:spacing w:after="0" w:line="271" w:lineRule="auto"/>
        <w:rPr>
          <w:sz w:val="20"/>
          <w:szCs w:val="20"/>
          <w:color w:val="auto"/>
        </w:rPr>
      </w:pPr>
      <w:r>
        <w:rPr>
          <w:rFonts w:ascii="Arial" w:cs="Arial" w:eastAsia="Arial" w:hAnsi="Arial"/>
          <w:sz w:val="18"/>
          <w:szCs w:val="18"/>
          <w:b w:val="1"/>
          <w:bCs w:val="1"/>
          <w:color w:val="auto"/>
        </w:rPr>
        <w:t xml:space="preserve">Voting Methods: </w:t>
      </w:r>
      <w:r>
        <w:rPr>
          <w:rFonts w:ascii="Arial" w:cs="Arial" w:eastAsia="Arial" w:hAnsi="Arial"/>
          <w:sz w:val="18"/>
          <w:szCs w:val="18"/>
          <w:color w:val="auto"/>
        </w:rPr>
        <w:t>If you wish to vote by mail, please sign your name exactly as it appears on this proxy and mark,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in the enclosed envelope. If you wish to vote by Internet or telephone, please follow the instructions on the reverse side.</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240" w:top="4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
      <w:numFmt w:val="bullet"/>
      <w:start w:val="1"/>
    </w:lvl>
  </w:abstractNum>
  <w:abstractNum w:abstractNumId="1">
    <w:nsid w:val="14FCE74E"/>
    <w:multiLevelType w:val="hybridMultilevel"/>
    <w:lvl w:ilvl="0">
      <w:lvlJc w:val="left"/>
      <w:lvlText w:val="☒"/>
      <w:numFmt w:val="bullet"/>
      <w:start w:val="1"/>
    </w:lvl>
  </w:abstractNum>
  <w:abstractNum w:abstractNumId="2">
    <w:nsid w:val="6A3DD3E8"/>
    <w:multiLevelType w:val="hybridMultilevel"/>
    <w:lvl w:ilvl="0">
      <w:lvlJc w:val="left"/>
      <w:lvlText w:val="☐"/>
      <w:numFmt w:val="bullet"/>
      <w:start w:val="1"/>
    </w:lvl>
  </w:abstractNum>
  <w:abstractNum w:abstractNumId="3">
    <w:nsid w:val="71C91298"/>
    <w:multiLevelType w:val="hybridMultilevel"/>
    <w:lvl w:ilvl="0">
      <w:lvlJc w:val="left"/>
      <w:lvlText w:val="☒"/>
      <w:numFmt w:val="bullet"/>
      <w:start w:val="1"/>
    </w:lvl>
  </w:abstractNum>
  <w:abstractNum w:abstractNumId="4">
    <w:nsid w:val="9DAF632"/>
    <w:multiLevelType w:val="hybridMultilevel"/>
    <w:lvl w:ilvl="0">
      <w:lvlJc w:val="left"/>
      <w:lvlText w:val="☐"/>
      <w:numFmt w:val="bullet"/>
      <w:start w:val="1"/>
    </w:lvl>
    <w:lvl w:ilvl="1">
      <w:lvlJc w:val="left"/>
      <w:lvlText w:val="(%2)"/>
      <w:numFmt w:val="decimal"/>
      <w:start w:val="1"/>
    </w:lvl>
  </w:abstractNum>
  <w:abstractNum w:abstractNumId="5">
    <w:nsid w:val="53299938"/>
    <w:multiLevelType w:val="hybridMultilevel"/>
    <w:lvl w:ilvl="0">
      <w:lvlJc w:val="left"/>
      <w:lvlText w:val="%1."/>
      <w:numFmt w:val="decimal"/>
      <w:start w:val="4"/>
    </w:lvl>
  </w:abstractNum>
  <w:abstractNum w:abstractNumId="6">
    <w:nsid w:val="1FBFE8E0"/>
    <w:multiLevelType w:val="hybridMultilevel"/>
    <w:lvl w:ilvl="0">
      <w:lvlJc w:val="left"/>
      <w:lvlText w:val="✓"/>
      <w:numFmt w:val="bullet"/>
      <w:start w:val="1"/>
    </w:lvl>
  </w:abstractNum>
  <w:abstractNum w:abstractNumId="7">
    <w:nsid w:val="5092CA79"/>
    <w:multiLevelType w:val="hybridMultilevel"/>
    <w:lvl w:ilvl="0">
      <w:lvlJc w:val="left"/>
      <w:lvlText w:val="1"/>
      <w:numFmt w:val="bullet"/>
      <w:start w:val="1"/>
    </w:lvl>
  </w:abstractNum>
  <w:abstractNum w:abstractNumId="8">
    <w:nsid w:val="1D545C4D"/>
    <w:multiLevelType w:val="hybridMultilevel"/>
    <w:lvl w:ilvl="0">
      <w:lvlJc w:val="left"/>
      <w:lvlText w:val="1"/>
      <w:numFmt w:val="bullet"/>
      <w:start w:val="1"/>
    </w:lvl>
  </w:abstractNum>
  <w:abstractNum w:abstractNumId="9">
    <w:nsid w:val="59ADEA3D"/>
    <w:multiLevelType w:val="hybridMultilevel"/>
    <w:lvl w:ilvl="0">
      <w:lvlJc w:val="left"/>
      <w:lvlText w:val=" "/>
      <w:numFmt w:val="bullet"/>
      <w:start w:val="1"/>
    </w:lvl>
  </w:abstractNum>
  <w:abstractNum w:abstractNumId="10">
    <w:nsid w:val="288F1A34"/>
    <w:multiLevelType w:val="hybridMultilevel"/>
    <w:lvl w:ilvl="0">
      <w:lvlJc w:val="left"/>
      <w:lvlText w:val=" "/>
      <w:numFmt w:val="bullet"/>
      <w:start w:val="1"/>
    </w:lvl>
  </w:abstractNum>
  <w:abstractNum w:abstractNumId="11">
    <w:nsid w:val="2A155DBC"/>
    <w:multiLevelType w:val="hybridMultilevel"/>
    <w:lvl w:ilvl="0">
      <w:lvlJc w:val="left"/>
      <w:lvlText w:val="✓"/>
      <w:numFmt w:val="bullet"/>
      <w:start w:val="1"/>
    </w:lvl>
  </w:abstractNum>
  <w:abstractNum w:abstractNumId="12">
    <w:nsid w:val="1D9F6E5F"/>
    <w:multiLevelType w:val="hybridMultilevel"/>
    <w:lvl w:ilvl="0">
      <w:lvlJc w:val="left"/>
      <w:lvlText w:val="✓"/>
      <w:numFmt w:val="bullet"/>
      <w:start w:val="1"/>
    </w:lvl>
  </w:abstractNum>
  <w:abstractNum w:abstractNumId="13">
    <w:nsid w:val="97E1B4E"/>
    <w:multiLevelType w:val="hybridMultilevel"/>
    <w:lvl w:ilvl="0">
      <w:lvlJc w:val="left"/>
      <w:lvlText w:val=" "/>
      <w:numFmt w:val="bullet"/>
      <w:start w:val="1"/>
    </w:lvl>
  </w:abstractNum>
  <w:abstractNum w:abstractNumId="14">
    <w:nsid w:val="51088277"/>
    <w:multiLevelType w:val="hybridMultilevel"/>
    <w:lvl w:ilvl="0">
      <w:lvlJc w:val="left"/>
      <w:lvlText w:val=" "/>
      <w:numFmt w:val="bullet"/>
      <w:start w:val="1"/>
    </w:lvl>
  </w:abstractNum>
  <w:abstractNum w:abstractNumId="15">
    <w:nsid w:val="1CA0C5FA"/>
    <w:multiLevelType w:val="hybridMultilevel"/>
    <w:lvl w:ilvl="0">
      <w:lvlJc w:val="left"/>
      <w:lvlText w:val=" "/>
      <w:numFmt w:val="bullet"/>
      <w:start w:val="1"/>
    </w:lvl>
    <w:lvl w:ilvl="1">
      <w:lvlJc w:val="left"/>
      <w:lvlText w:val="-"/>
      <w:numFmt w:val="bullet"/>
      <w:start w:val="1"/>
    </w:lvl>
  </w:abstractNum>
  <w:abstractNum w:abstractNumId="16">
    <w:nsid w:val="53584BCB"/>
    <w:multiLevelType w:val="hybridMultilevel"/>
    <w:lvl w:ilvl="0">
      <w:lvlJc w:val="left"/>
      <w:lvlText w:val=" "/>
      <w:numFmt w:val="bullet"/>
      <w:start w:val="1"/>
    </w:lvl>
    <w:lvl w:ilvl="1">
      <w:lvlJc w:val="left"/>
      <w:lvlText w:val="-"/>
      <w:numFmt w:val="bullet"/>
      <w:start w:val="1"/>
    </w:lvl>
  </w:abstractNum>
  <w:abstractNum w:abstractNumId="17">
    <w:nsid w:val="415E286C"/>
    <w:multiLevelType w:val="hybridMultilevel"/>
    <w:lvl w:ilvl="0">
      <w:lvlJc w:val="left"/>
      <w:lvlText w:val=" "/>
      <w:numFmt w:val="bullet"/>
      <w:start w:val="1"/>
    </w:lvl>
  </w:abstractNum>
  <w:abstractNum w:abstractNumId="18">
    <w:nsid w:val="7C58FD05"/>
    <w:multiLevelType w:val="hybridMultilevel"/>
    <w:lvl w:ilvl="0">
      <w:lvlJc w:val="left"/>
      <w:lvlText w:val="1"/>
      <w:numFmt w:val="bullet"/>
      <w:start w:val="1"/>
    </w:lvl>
  </w:abstractNum>
  <w:abstractNum w:abstractNumId="19">
    <w:nsid w:val="23D86AAC"/>
    <w:multiLevelType w:val="hybridMultilevel"/>
    <w:lvl w:ilvl="0">
      <w:lvlJc w:val="left"/>
      <w:lvlText w:val="2"/>
      <w:numFmt w:val="bullet"/>
      <w:start w:val="1"/>
    </w:lvl>
  </w:abstractNum>
  <w:abstractNum w:abstractNumId="20">
    <w:nsid w:val="45E6D486"/>
    <w:multiLevelType w:val="hybridMultilevel"/>
    <w:lvl w:ilvl="0">
      <w:lvlJc w:val="left"/>
      <w:lvlText w:val="3"/>
      <w:numFmt w:val="bullet"/>
      <w:start w:val="1"/>
    </w:lvl>
  </w:abstractNum>
  <w:abstractNum w:abstractNumId="21">
    <w:nsid w:val="5C10FE21"/>
    <w:multiLevelType w:val="hybridMultilevel"/>
    <w:lvl w:ilvl="0">
      <w:lvlJc w:val="left"/>
      <w:lvlText w:val="1"/>
      <w:numFmt w:val="bullet"/>
      <w:start w:val="1"/>
    </w:lvl>
  </w:abstractNum>
  <w:abstractNum w:abstractNumId="22">
    <w:nsid w:val="E7FFA2B"/>
    <w:multiLevelType w:val="hybridMultilevel"/>
    <w:lvl w:ilvl="0">
      <w:lvlJc w:val="left"/>
      <w:lvlText w:val="✓"/>
      <w:numFmt w:val="bullet"/>
      <w:start w:val="1"/>
    </w:lvl>
  </w:abstractNum>
  <w:abstractNum w:abstractNumId="23">
    <w:nsid w:val="3C5991AA"/>
    <w:multiLevelType w:val="hybridMultilevel"/>
    <w:lvl w:ilvl="0">
      <w:lvlJc w:val="left"/>
      <w:lvlText w:val=" "/>
      <w:numFmt w:val="bullet"/>
      <w:start w:val="1"/>
    </w:lvl>
  </w:abstractNum>
  <w:abstractNum w:abstractNumId="24">
    <w:nsid w:val="4BD8591A"/>
    <w:multiLevelType w:val="hybridMultilevel"/>
    <w:lvl w:ilvl="0">
      <w:lvlJc w:val="left"/>
      <w:lvlText w:val=" "/>
      <w:numFmt w:val="bullet"/>
      <w:start w:val="1"/>
    </w:lvl>
    <w:lvl w:ilvl="1">
      <w:lvlJc w:val="left"/>
      <w:lvlText w:val="-"/>
      <w:numFmt w:val="bullet"/>
      <w:start w:val="1"/>
    </w:lvl>
  </w:abstractNum>
  <w:abstractNum w:abstractNumId="25">
    <w:nsid w:val="78DF6A55"/>
    <w:multiLevelType w:val="hybridMultilevel"/>
    <w:lvl w:ilvl="0">
      <w:lvlJc w:val="left"/>
      <w:lvlText w:val=" "/>
      <w:numFmt w:val="bullet"/>
      <w:start w:val="1"/>
    </w:lvl>
  </w:abstractNum>
  <w:abstractNum w:abstractNumId="26">
    <w:nsid w:val="39B7AAA2"/>
    <w:multiLevelType w:val="hybridMultilevel"/>
    <w:lvl w:ilvl="0">
      <w:lvlJc w:val="left"/>
      <w:lvlText w:val=" "/>
      <w:numFmt w:val="bullet"/>
      <w:start w:val="1"/>
    </w:lvl>
    <w:lvl w:ilvl="1">
      <w:lvlJc w:val="left"/>
      <w:lvlText w:val="3"/>
      <w:numFmt w:val="bullet"/>
      <w:start w:val="1"/>
    </w:lvl>
  </w:abstractNum>
  <w:abstractNum w:abstractNumId="27">
    <w:nsid w:val="2B0D8DBE"/>
    <w:multiLevelType w:val="hybridMultilevel"/>
    <w:lvl w:ilvl="0">
      <w:lvlJc w:val="left"/>
      <w:lvlText w:val=" "/>
      <w:numFmt w:val="bullet"/>
      <w:start w:val="1"/>
    </w:lvl>
    <w:lvl w:ilvl="1">
      <w:lvlJc w:val="left"/>
      <w:lvlText w:val="2"/>
      <w:numFmt w:val="bullet"/>
      <w:start w:val="1"/>
    </w:lvl>
  </w:abstractNum>
  <w:abstractNum w:abstractNumId="28">
    <w:nsid w:val="6C80EC70"/>
    <w:multiLevelType w:val="hybridMultilevel"/>
    <w:lvl w:ilvl="0">
      <w:lvlJc w:val="left"/>
      <w:lvlText w:val=" "/>
      <w:numFmt w:val="bullet"/>
      <w:start w:val="1"/>
    </w:lvl>
    <w:lvl w:ilvl="1">
      <w:lvlJc w:val="left"/>
      <w:lvlText w:val="4"/>
      <w:numFmt w:val="bullet"/>
      <w:start w:val="1"/>
    </w:lvl>
  </w:abstractNum>
  <w:abstractNum w:abstractNumId="29">
    <w:nsid w:val="379E21B5"/>
    <w:multiLevelType w:val="hybridMultilevel"/>
    <w:lvl w:ilvl="0">
      <w:lvlJc w:val="left"/>
      <w:lvlText w:val=" "/>
      <w:numFmt w:val="bullet"/>
      <w:start w:val="1"/>
    </w:lvl>
    <w:lvl w:ilvl="1">
      <w:lvlJc w:val="left"/>
      <w:lvlText w:val="5"/>
      <w:numFmt w:val="bullet"/>
      <w:start w:val="1"/>
    </w:lvl>
  </w:abstractNum>
  <w:abstractNum w:abstractNumId="30">
    <w:nsid w:val="69E373"/>
    <w:multiLevelType w:val="hybridMultilevel"/>
    <w:lvl w:ilvl="0">
      <w:lvlJc w:val="left"/>
      <w:lvlText w:val=" "/>
      <w:numFmt w:val="bullet"/>
      <w:start w:val="1"/>
    </w:lvl>
  </w:abstractNum>
  <w:abstractNum w:abstractNumId="31">
    <w:nsid w:val="2C27173B"/>
    <w:multiLevelType w:val="hybridMultilevel"/>
    <w:lvl w:ilvl="0">
      <w:lvlJc w:val="left"/>
      <w:lvlText w:val=" "/>
      <w:numFmt w:val="bullet"/>
      <w:start w:val="1"/>
    </w:lvl>
  </w:abstractNum>
  <w:abstractNum w:abstractNumId="32">
    <w:nsid w:val="4C9B0904"/>
    <w:multiLevelType w:val="hybridMultilevel"/>
    <w:lvl w:ilvl="0">
      <w:lvlJc w:val="left"/>
      <w:lvlText w:val=" "/>
      <w:numFmt w:val="bullet"/>
      <w:start w:val="1"/>
    </w:lvl>
  </w:abstractNum>
  <w:abstractNum w:abstractNumId="33">
    <w:nsid w:val="6AA7B75C"/>
    <w:multiLevelType w:val="hybridMultilevel"/>
    <w:lvl w:ilvl="0">
      <w:lvlJc w:val="left"/>
      <w:lvlText w:val=" "/>
      <w:numFmt w:val="bullet"/>
      <w:start w:val="1"/>
    </w:lvl>
  </w:abstractNum>
  <w:abstractNum w:abstractNumId="34">
    <w:nsid w:val="1DF029D3"/>
    <w:multiLevelType w:val="hybridMultilevel"/>
    <w:lvl w:ilvl="0">
      <w:lvlJc w:val="left"/>
      <w:lvlText w:val=" "/>
      <w:numFmt w:val="bullet"/>
      <w:start w:val="1"/>
    </w:lvl>
  </w:abstractNum>
  <w:abstractNum w:abstractNumId="35">
    <w:nsid w:val="5675FF36"/>
    <w:multiLevelType w:val="hybridMultilevel"/>
    <w:lvl w:ilvl="0">
      <w:lvlJc w:val="left"/>
      <w:lvlText w:val=" "/>
      <w:numFmt w:val="bullet"/>
      <w:start w:val="1"/>
    </w:lvl>
  </w:abstractNum>
  <w:abstractNum w:abstractNumId="36">
    <w:nsid w:val="3DD15094"/>
    <w:multiLevelType w:val="hybridMultilevel"/>
    <w:lvl w:ilvl="0">
      <w:lvlJc w:val="left"/>
      <w:lvlText w:val="✓"/>
      <w:numFmt w:val="bullet"/>
      <w:start w:val="1"/>
    </w:lvl>
  </w:abstractNum>
  <w:abstractNum w:abstractNumId="37">
    <w:nsid w:val="3DB012B3"/>
    <w:multiLevelType w:val="hybridMultilevel"/>
    <w:lvl w:ilvl="0">
      <w:lvlJc w:val="left"/>
      <w:lvlText w:val="✓"/>
      <w:numFmt w:val="bullet"/>
      <w:start w:val="1"/>
    </w:lvl>
  </w:abstractNum>
  <w:abstractNum w:abstractNumId="38">
    <w:nsid w:val="2708C9AF"/>
    <w:multiLevelType w:val="hybridMultilevel"/>
    <w:lvl w:ilvl="0">
      <w:lvlJc w:val="left"/>
      <w:lvlText w:val=" "/>
      <w:numFmt w:val="bullet"/>
      <w:start w:val="1"/>
    </w:lvl>
  </w:abstractNum>
  <w:abstractNum w:abstractNumId="39">
    <w:nsid w:val="5B25ACE2"/>
    <w:multiLevelType w:val="hybridMultilevel"/>
    <w:lvl w:ilvl="0">
      <w:lvlJc w:val="left"/>
      <w:lvlText w:val=" "/>
      <w:numFmt w:val="bullet"/>
      <w:start w:val="1"/>
    </w:lvl>
  </w:abstractNum>
  <w:abstractNum w:abstractNumId="40">
    <w:nsid w:val="175DFCF0"/>
    <w:multiLevelType w:val="hybridMultilevel"/>
    <w:lvl w:ilvl="0">
      <w:lvlJc w:val="left"/>
      <w:lvlText w:val=" "/>
      <w:numFmt w:val="bullet"/>
      <w:start w:val="1"/>
    </w:lvl>
    <w:lvl w:ilvl="1">
      <w:lvlJc w:val="left"/>
      <w:lvlText w:val="-"/>
      <w:numFmt w:val="bullet"/>
      <w:start w:val="1"/>
    </w:lvl>
  </w:abstractNum>
  <w:abstractNum w:abstractNumId="41">
    <w:nsid w:val="4F97E3E4"/>
    <w:multiLevelType w:val="hybridMultilevel"/>
    <w:lvl w:ilvl="0">
      <w:lvlJc w:val="left"/>
      <w:lvlText w:val=" "/>
      <w:numFmt w:val="bullet"/>
      <w:start w:val="1"/>
    </w:lvl>
  </w:abstractNum>
  <w:abstractNum w:abstractNumId="42">
    <w:nsid w:val="53B0A9E"/>
    <w:multiLevelType w:val="hybridMultilevel"/>
    <w:lvl w:ilvl="0">
      <w:lvlJc w:val="left"/>
      <w:lvlText w:val="*"/>
      <w:numFmt w:val="bullet"/>
      <w:start w:val="1"/>
    </w:lvl>
  </w:abstractNum>
  <w:abstractNum w:abstractNumId="43">
    <w:nsid w:val="34FD6B4F"/>
    <w:multiLevelType w:val="hybridMultilevel"/>
    <w:lvl w:ilvl="0">
      <w:lvlJc w:val="left"/>
      <w:lvlText w:val=" "/>
      <w:numFmt w:val="bullet"/>
      <w:start w:val="1"/>
    </w:lvl>
  </w:abstractNum>
  <w:abstractNum w:abstractNumId="44">
    <w:nsid w:val="5915FF32"/>
    <w:multiLevelType w:val="hybridMultilevel"/>
    <w:lvl w:ilvl="0">
      <w:lvlJc w:val="left"/>
      <w:lvlText w:val=" "/>
      <w:numFmt w:val="bullet"/>
      <w:start w:val="1"/>
    </w:lvl>
  </w:abstractNum>
  <w:abstractNum w:abstractNumId="45">
    <w:nsid w:val="56438D15"/>
    <w:multiLevelType w:val="hybridMultilevel"/>
    <w:lvl w:ilvl="0">
      <w:lvlJc w:val="left"/>
      <w:lvlText w:val=" "/>
      <w:numFmt w:val="bullet"/>
      <w:start w:val="1"/>
    </w:lvl>
  </w:abstractNum>
  <w:abstractNum w:abstractNumId="46">
    <w:nsid w:val="519E3149"/>
    <w:multiLevelType w:val="hybridMultilevel"/>
    <w:lvl w:ilvl="0">
      <w:lvlJc w:val="left"/>
      <w:lvlText w:val=" "/>
      <w:numFmt w:val="bullet"/>
      <w:start w:val="1"/>
    </w:lvl>
  </w:abstractNum>
  <w:abstractNum w:abstractNumId="47">
    <w:nsid w:val="2C6E4AFD"/>
    <w:multiLevelType w:val="hybridMultilevel"/>
    <w:lvl w:ilvl="0">
      <w:lvlJc w:val="left"/>
      <w:lvlText w:val="1"/>
      <w:numFmt w:val="bullet"/>
      <w:start w:val="1"/>
    </w:lvl>
  </w:abstractNum>
  <w:abstractNum w:abstractNumId="48">
    <w:nsid w:val="17A1B582"/>
    <w:multiLevelType w:val="hybridMultilevel"/>
    <w:lvl w:ilvl="0">
      <w:lvlJc w:val="left"/>
      <w:lvlText w:val="2"/>
      <w:numFmt w:val="bullet"/>
      <w:start w:val="1"/>
    </w:lvl>
  </w:abstractNum>
  <w:abstractNum w:abstractNumId="49">
    <w:nsid w:val="4DF72E4E"/>
    <w:multiLevelType w:val="hybridMultilevel"/>
    <w:lvl w:ilvl="0">
      <w:lvlJc w:val="left"/>
      <w:lvlText w:val="3"/>
      <w:numFmt w:val="bullet"/>
      <w:start w:val="1"/>
    </w:lvl>
  </w:abstractNum>
  <w:abstractNum w:abstractNumId="50">
    <w:nsid w:val="5046B5A9"/>
    <w:multiLevelType w:val="hybridMultilevel"/>
    <w:lvl w:ilvl="0">
      <w:lvlJc w:val="left"/>
      <w:lvlText w:val=" "/>
      <w:numFmt w:val="bullet"/>
      <w:start w:val="1"/>
    </w:lvl>
  </w:abstractNum>
  <w:abstractNum w:abstractNumId="51">
    <w:nsid w:val="5D888A08"/>
    <w:multiLevelType w:val="hybridMultilevel"/>
    <w:lvl w:ilvl="0">
      <w:lvlJc w:val="left"/>
      <w:lvlText w:val=" "/>
      <w:numFmt w:val="bullet"/>
      <w:start w:val="1"/>
    </w:lvl>
  </w:abstractNum>
  <w:abstractNum w:abstractNumId="52">
    <w:nsid w:val="2A082C70"/>
    <w:multiLevelType w:val="hybridMultilevel"/>
    <w:lvl w:ilvl="0">
      <w:lvlJc w:val="left"/>
      <w:lvlText w:val=" "/>
      <w:numFmt w:val="bullet"/>
      <w:start w:val="1"/>
    </w:lvl>
  </w:abstractNum>
  <w:abstractNum w:abstractNumId="53">
    <w:nsid w:val="5EC6AFD4"/>
    <w:multiLevelType w:val="hybridMultilevel"/>
    <w:lvl w:ilvl="0">
      <w:lvlJc w:val="left"/>
      <w:lvlText w:val=" "/>
      <w:numFmt w:val="bullet"/>
      <w:start w:val="1"/>
    </w:lvl>
  </w:abstractNum>
  <w:abstractNum w:abstractNumId="54">
    <w:nsid w:val="19E21BB2"/>
    <w:multiLevelType w:val="hybridMultilevel"/>
    <w:lvl w:ilvl="0">
      <w:lvlJc w:val="left"/>
      <w:lvlText w:val="(%1)"/>
      <w:numFmt w:val="lowerRoman"/>
      <w:start w:val="3"/>
    </w:lvl>
  </w:abstractNum>
  <w:abstractNum w:abstractNumId="55">
    <w:nsid w:val="75E0858A"/>
    <w:multiLevelType w:val="hybridMultilevel"/>
    <w:lvl w:ilvl="0">
      <w:lvlJc w:val="left"/>
      <w:lvlText w:val=" "/>
      <w:numFmt w:val="bullet"/>
      <w:start w:val="1"/>
    </w:lvl>
  </w:abstractNum>
  <w:abstractNum w:abstractNumId="56">
    <w:nsid w:val="57A61A29"/>
    <w:multiLevelType w:val="hybridMultilevel"/>
    <w:lvl w:ilvl="0">
      <w:lvlJc w:val="left"/>
      <w:lvlText w:val="1"/>
      <w:numFmt w:val="bullet"/>
      <w:start w:val="1"/>
    </w:lvl>
  </w:abstractNum>
  <w:abstractNum w:abstractNumId="57">
    <w:nsid w:val="5399C654"/>
    <w:multiLevelType w:val="hybridMultilevel"/>
    <w:lvl w:ilvl="0">
      <w:lvlJc w:val="left"/>
      <w:lvlText w:val="2"/>
      <w:numFmt w:val="bullet"/>
      <w:start w:val="1"/>
    </w:lvl>
  </w:abstractNum>
  <w:abstractNum w:abstractNumId="58">
    <w:nsid w:val="20EE1348"/>
    <w:multiLevelType w:val="hybridMultilevel"/>
    <w:lvl w:ilvl="0">
      <w:lvlJc w:val="left"/>
      <w:lvlText w:val="3"/>
      <w:numFmt w:val="bullet"/>
      <w:start w:val="1"/>
    </w:lvl>
  </w:abstractNum>
  <w:abstractNum w:abstractNumId="59">
    <w:nsid w:val="4427069A"/>
    <w:multiLevelType w:val="hybridMultilevel"/>
    <w:lvl w:ilvl="0">
      <w:lvlJc w:val="left"/>
      <w:lvlText w:val="4"/>
      <w:numFmt w:val="bullet"/>
      <w:start w:val="1"/>
    </w:lvl>
  </w:abstractNum>
  <w:abstractNum w:abstractNumId="60">
    <w:nsid w:val="B37E80A"/>
    <w:multiLevelType w:val="hybridMultilevel"/>
    <w:lvl w:ilvl="0">
      <w:lvlJc w:val="left"/>
      <w:lvlText w:val="1"/>
      <w:numFmt w:val="bullet"/>
      <w:start w:val="1"/>
    </w:lvl>
  </w:abstractNum>
  <w:abstractNum w:abstractNumId="61">
    <w:nsid w:val="2157F6BC"/>
    <w:multiLevelType w:val="hybridMultilevel"/>
    <w:lvl w:ilvl="0">
      <w:lvlJc w:val="left"/>
      <w:lvlText w:val=" "/>
      <w:numFmt w:val="bullet"/>
      <w:start w:val="1"/>
    </w:lvl>
  </w:abstractNum>
  <w:abstractNum w:abstractNumId="62">
    <w:nsid w:val="704E1DD5"/>
    <w:multiLevelType w:val="hybridMultilevel"/>
    <w:lvl w:ilvl="0">
      <w:lvlJc w:val="left"/>
      <w:lvlText w:val=" "/>
      <w:numFmt w:val="bullet"/>
      <w:start w:val="1"/>
    </w:lvl>
    <w:lvl w:ilvl="1">
      <w:lvlJc w:val="left"/>
      <w:lvlText w:val="¡"/>
      <w:numFmt w:val="bullet"/>
      <w:start w:val="1"/>
    </w:lvl>
  </w:abstractNum>
  <w:abstractNum w:abstractNumId="63">
    <w:nsid w:val="57D2F10E"/>
    <w:multiLevelType w:val="hybridMultilevel"/>
    <w:lvl w:ilvl="0">
      <w:lvlJc w:val="left"/>
      <w:lvlText w:val=" "/>
      <w:numFmt w:val="bullet"/>
      <w:start w:val="1"/>
    </w:lvl>
  </w:abstractNum>
  <w:abstractNum w:abstractNumId="64">
    <w:nsid w:val="BFFAE18"/>
    <w:multiLevelType w:val="hybridMultilevel"/>
    <w:lvl w:ilvl="0">
      <w:lvlJc w:val="left"/>
      <w:lvlText w:val=" "/>
      <w:numFmt w:val="bullet"/>
      <w:start w:val="1"/>
    </w:lvl>
  </w:abstractNum>
  <w:abstractNum w:abstractNumId="65">
    <w:nsid w:val="E3E47A8"/>
    <w:multiLevelType w:val="hybridMultilevel"/>
    <w:lvl w:ilvl="0">
      <w:lvlJc w:val="left"/>
      <w:lvlText w:val=" "/>
      <w:numFmt w:val="bullet"/>
      <w:start w:val="1"/>
    </w:lvl>
  </w:abstractNum>
  <w:abstractNum w:abstractNumId="66">
    <w:nsid w:val="2E48F044"/>
    <w:multiLevelType w:val="hybridMultilevel"/>
    <w:lvl w:ilvl="0">
      <w:lvlJc w:val="left"/>
      <w:lvlText w:val=" "/>
      <w:numFmt w:val="bullet"/>
      <w:start w:val="1"/>
    </w:lvl>
  </w:abstractNum>
  <w:abstractNum w:abstractNumId="67">
    <w:nsid w:val="49D0FEAC"/>
    <w:multiLevelType w:val="hybridMultilevel"/>
    <w:lvl w:ilvl="0">
      <w:lvlJc w:val="left"/>
      <w:lvlText w:val="3"/>
      <w:numFmt w:val="bullet"/>
      <w:start w:val="1"/>
    </w:lvl>
  </w:abstractNum>
  <w:abstractNum w:abstractNumId="68">
    <w:nsid w:val="4BEE5A5B"/>
    <w:multiLevelType w:val="hybridMultilevel"/>
    <w:lvl w:ilvl="0">
      <w:lvlJc w:val="left"/>
      <w:lvlText w:val=" "/>
      <w:numFmt w:val="bullet"/>
      <w:start w:val="1"/>
    </w:lvl>
    <w:lvl w:ilvl="1">
      <w:lvlJc w:val="left"/>
      <w:lvlText w:val="5"/>
      <w:numFmt w:val="bullet"/>
      <w:start w:val="1"/>
    </w:lvl>
  </w:abstractNum>
  <w:abstractNum w:abstractNumId="69">
    <w:nsid w:val="5551B9F3"/>
    <w:multiLevelType w:val="hybridMultilevel"/>
    <w:lvl w:ilvl="0">
      <w:lvlJc w:val="left"/>
      <w:lvlText w:val="1"/>
      <w:numFmt w:val="bullet"/>
      <w:start w:val="1"/>
    </w:lvl>
  </w:abstractNum>
  <w:abstractNum w:abstractNumId="70">
    <w:nsid w:val="24F6AB8E"/>
    <w:multiLevelType w:val="hybridMultilevel"/>
    <w:lvl w:ilvl="0">
      <w:lvlJc w:val="left"/>
      <w:lvlText w:val="1"/>
      <w:numFmt w:val="bullet"/>
      <w:start w:val="1"/>
    </w:lvl>
  </w:abstractNum>
  <w:abstractNum w:abstractNumId="71">
    <w:nsid w:val="634C574C"/>
    <w:multiLevelType w:val="hybridMultilevel"/>
    <w:lvl w:ilvl="0">
      <w:lvlJc w:val="left"/>
      <w:lvlText w:val="1"/>
      <w:numFmt w:val="bullet"/>
      <w:start w:val="1"/>
    </w:lvl>
  </w:abstractNum>
  <w:abstractNum w:abstractNumId="72">
    <w:nsid w:val="24E99DD7"/>
    <w:multiLevelType w:val="hybridMultilevel"/>
    <w:lvl w:ilvl="0">
      <w:lvlJc w:val="left"/>
      <w:lvlText w:val="%1."/>
      <w:numFmt w:val="upperLetter"/>
      <w:start w:val="61"/>
    </w:lvl>
  </w:abstractNum>
  <w:abstractNum w:abstractNumId="73">
    <w:nsid w:val="2A31B62D"/>
    <w:multiLevelType w:val="hybridMultilevel"/>
    <w:lvl w:ilvl="0">
      <w:lvlJc w:val="left"/>
      <w:lvlText w:val=" "/>
      <w:numFmt w:val="bullet"/>
      <w:start w:val="1"/>
    </w:lvl>
  </w:abstractNum>
  <w:abstractNum w:abstractNumId="74">
    <w:nsid w:val="1849C29B"/>
    <w:multiLevelType w:val="hybridMultilevel"/>
    <w:lvl w:ilvl="0">
      <w:lvlJc w:val="left"/>
      <w:lvlText w:val=" "/>
      <w:numFmt w:val="bullet"/>
      <w:start w:val="1"/>
    </w:lvl>
  </w:abstractNum>
  <w:abstractNum w:abstractNumId="75">
    <w:nsid w:val="7DFF9D09"/>
    <w:multiLevelType w:val="hybridMultilevel"/>
    <w:lvl w:ilvl="0">
      <w:lvlJc w:val="left"/>
      <w:lvlText w:val=" "/>
      <w:numFmt w:val="bullet"/>
      <w:start w:val="1"/>
    </w:lvl>
  </w:abstractNum>
  <w:abstractNum w:abstractNumId="76">
    <w:nsid w:val="754342"/>
    <w:multiLevelType w:val="hybridMultilevel"/>
    <w:lvl w:ilvl="0">
      <w:lvlJc w:val="left"/>
      <w:lvlText w:val=" "/>
      <w:numFmt w:val="bullet"/>
      <w:start w:val="1"/>
    </w:lvl>
  </w:abstractNum>
  <w:abstractNum w:abstractNumId="77">
    <w:nsid w:val="69E7F3E5"/>
    <w:multiLevelType w:val="hybridMultilevel"/>
    <w:lvl w:ilvl="0">
      <w:lvlJc w:val="left"/>
      <w:lvlText w:val=" "/>
      <w:numFmt w:val="bullet"/>
      <w:start w:val="1"/>
    </w:lvl>
  </w:abstractNum>
  <w:abstractNum w:abstractNumId="78">
    <w:nsid w:val="2A6DE806"/>
    <w:multiLevelType w:val="hybridMultilevel"/>
    <w:lvl w:ilvl="0">
      <w:lvlJc w:val="left"/>
      <w:lvlText w:val="1"/>
      <w:numFmt w:val="bullet"/>
      <w:start w:val="1"/>
    </w:lvl>
  </w:abstractNum>
  <w:abstractNum w:abstractNumId="79">
    <w:nsid w:val="1816F8C4"/>
    <w:multiLevelType w:val="hybridMultilevel"/>
    <w:lvl w:ilvl="0">
      <w:lvlJc w:val="left"/>
      <w:lvlText w:val=" "/>
      <w:numFmt w:val="bullet"/>
      <w:start w:val="1"/>
    </w:lvl>
  </w:abstractNum>
  <w:abstractNum w:abstractNumId="80">
    <w:nsid w:val="37DF2233"/>
    <w:multiLevelType w:val="hybridMultilevel"/>
    <w:lvl w:ilvl="0">
      <w:lvlJc w:val="left"/>
      <w:lvlText w:val=" "/>
      <w:numFmt w:val="bullet"/>
      <w:start w:val="1"/>
    </w:lvl>
  </w:abstractNum>
  <w:abstractNum w:abstractNumId="81">
    <w:nsid w:val="7AB49DAF"/>
    <w:multiLevelType w:val="hybridMultilevel"/>
    <w:lvl w:ilvl="0">
      <w:lvlJc w:val="left"/>
      <w:lvlText w:val=" "/>
      <w:numFmt w:val="bullet"/>
      <w:start w:val="1"/>
    </w:lvl>
  </w:abstractNum>
  <w:abstractNum w:abstractNumId="82">
    <w:nsid w:val="759F82CD"/>
    <w:multiLevelType w:val="hybridMultilevel"/>
    <w:lvl w:ilvl="0">
      <w:lvlJc w:val="left"/>
      <w:lvlText w:val="%1."/>
      <w:numFmt w:val="upperLetter"/>
      <w:start w:val="35"/>
    </w:lvl>
  </w:abstractNum>
  <w:abstractNum w:abstractNumId="83">
    <w:nsid w:val="61E74EA3"/>
    <w:multiLevelType w:val="hybridMultilevel"/>
    <w:lvl w:ilvl="0">
      <w:lvlJc w:val="left"/>
      <w:lvlText w:val="%1."/>
      <w:numFmt w:val="upperLetter"/>
      <w:start w:val="61"/>
    </w:lvl>
  </w:abstractNum>
  <w:abstractNum w:abstractNumId="84">
    <w:nsid w:val="597B4D84"/>
    <w:multiLevelType w:val="hybridMultilevel"/>
    <w:lvl w:ilvl="0">
      <w:lvlJc w:val="left"/>
      <w:lvlText w:val=" "/>
      <w:numFmt w:val="bullet"/>
      <w:start w:val="1"/>
    </w:lvl>
  </w:abstractNum>
  <w:abstractNum w:abstractNumId="85">
    <w:nsid w:val="F819E7F"/>
    <w:multiLevelType w:val="hybridMultilevel"/>
    <w:lvl w:ilvl="0">
      <w:lvlJc w:val="left"/>
      <w:lvlText w:val=" "/>
      <w:numFmt w:val="bullet"/>
      <w:start w:val="1"/>
    </w:lvl>
  </w:abstractNum>
  <w:abstractNum w:abstractNumId="86">
    <w:nsid w:val="57C7D42D"/>
    <w:multiLevelType w:val="hybridMultilevel"/>
    <w:lvl w:ilvl="0">
      <w:lvlJc w:val="left"/>
      <w:lvlText w:val=" "/>
      <w:numFmt w:val="bullet"/>
      <w:start w:val="1"/>
    </w:lvl>
  </w:abstractNum>
  <w:abstractNum w:abstractNumId="87">
    <w:nsid w:val="312167AD"/>
    <w:multiLevelType w:val="hybridMultilevel"/>
    <w:lvl w:ilvl="0">
      <w:lvlJc w:val="left"/>
      <w:lvlText w:val="%"/>
      <w:numFmt w:val="bullet"/>
      <w:start w:val="1"/>
    </w:lvl>
  </w:abstractNum>
  <w:abstractNum w:abstractNumId="88">
    <w:nsid w:val="631B64D4"/>
    <w:multiLevelType w:val="hybridMultilevel"/>
    <w:lvl w:ilvl="0">
      <w:lvlJc w:val="left"/>
      <w:lvlText w:val="1"/>
      <w:numFmt w:val="bullet"/>
      <w:start w:val="1"/>
    </w:lvl>
  </w:abstractNum>
  <w:abstractNum w:abstractNumId="89">
    <w:nsid w:val="78B5E776"/>
    <w:multiLevelType w:val="hybridMultilevel"/>
    <w:lvl w:ilvl="0">
      <w:lvlJc w:val="left"/>
      <w:lvlText w:val="2"/>
      <w:numFmt w:val="bullet"/>
      <w:start w:val="1"/>
    </w:lvl>
  </w:abstractNum>
  <w:abstractNum w:abstractNumId="90">
    <w:nsid w:val="75486E47"/>
    <w:multiLevelType w:val="hybridMultilevel"/>
    <w:lvl w:ilvl="0">
      <w:lvlJc w:val="left"/>
      <w:lvlText w:val="1"/>
      <w:numFmt w:val="bullet"/>
      <w:start w:val="1"/>
    </w:lvl>
  </w:abstractNum>
  <w:abstractNum w:abstractNumId="91">
    <w:nsid w:val="6E534CDE"/>
    <w:multiLevelType w:val="hybridMultilevel"/>
    <w:lvl w:ilvl="0">
      <w:lvlJc w:val="left"/>
      <w:lvlText w:val="2"/>
      <w:numFmt w:val="bullet"/>
      <w:start w:val="1"/>
    </w:lvl>
  </w:abstractNum>
  <w:abstractNum w:abstractNumId="92">
    <w:nsid w:val="1A0DDE32"/>
    <w:multiLevelType w:val="hybridMultilevel"/>
    <w:lvl w:ilvl="0">
      <w:lvlJc w:val="left"/>
      <w:lvlText w:val=" "/>
      <w:numFmt w:val="bullet"/>
      <w:start w:val="1"/>
    </w:lvl>
  </w:abstractNum>
  <w:abstractNum w:abstractNumId="93">
    <w:nsid w:val="65968C1C"/>
    <w:multiLevelType w:val="hybridMultilevel"/>
    <w:lvl w:ilvl="0">
      <w:lvlJc w:val="left"/>
      <w:lvlText w:val=" "/>
      <w:numFmt w:val="bullet"/>
      <w:start w:val="1"/>
    </w:lvl>
  </w:abstractNum>
  <w:abstractNum w:abstractNumId="94">
    <w:nsid w:val="46263DEC"/>
    <w:multiLevelType w:val="hybridMultilevel"/>
    <w:lvl w:ilvl="0">
      <w:lvlJc w:val="left"/>
      <w:lvlText w:val=" "/>
      <w:numFmt w:val="bullet"/>
      <w:start w:val="1"/>
    </w:lvl>
  </w:abstractNum>
  <w:abstractNum w:abstractNumId="95">
    <w:nsid w:val="260D8C4A"/>
    <w:multiLevelType w:val="hybridMultilevel"/>
    <w:lvl w:ilvl="0">
      <w:lvlJc w:val="left"/>
      <w:lvlText w:val="1"/>
      <w:numFmt w:val="bullet"/>
      <w:start w:val="1"/>
    </w:lvl>
  </w:abstractNum>
  <w:abstractNum w:abstractNumId="96">
    <w:nsid w:val="73D4D3C4"/>
    <w:multiLevelType w:val="hybridMultilevel"/>
    <w:lvl w:ilvl="0">
      <w:lvlJc w:val="left"/>
      <w:lvlText w:val=" "/>
      <w:numFmt w:val="bullet"/>
      <w:start w:val="1"/>
    </w:lvl>
  </w:abstractNum>
  <w:abstractNum w:abstractNumId="97">
    <w:nsid w:val="746F2E30"/>
    <w:multiLevelType w:val="hybridMultilevel"/>
    <w:lvl w:ilvl="0">
      <w:lvlJc w:val="left"/>
      <w:lvlText w:val="1"/>
      <w:numFmt w:val="bullet"/>
      <w:start w:val="1"/>
    </w:lvl>
  </w:abstractNum>
  <w:abstractNum w:abstractNumId="98">
    <w:nsid w:val="6FDE8AF6"/>
    <w:multiLevelType w:val="hybridMultilevel"/>
    <w:lvl w:ilvl="0">
      <w:lvlJc w:val="left"/>
      <w:lvlText w:val="2"/>
      <w:numFmt w:val="bullet"/>
      <w:start w:val="1"/>
    </w:lvl>
  </w:abstractNum>
  <w:abstractNum w:abstractNumId="99">
    <w:nsid w:val="3FC32E20"/>
    <w:multiLevelType w:val="hybridMultilevel"/>
    <w:lvl w:ilvl="0">
      <w:lvlJc w:val="left"/>
      <w:lvlText w:val="3"/>
      <w:numFmt w:val="bullet"/>
      <w:start w:val="1"/>
    </w:lvl>
  </w:abstractNum>
  <w:abstractNum w:abstractNumId="100">
    <w:nsid w:val="49C0E823"/>
    <w:multiLevelType w:val="hybridMultilevel"/>
    <w:lvl w:ilvl="0">
      <w:lvlJc w:val="left"/>
      <w:lvlText w:val="%1."/>
      <w:numFmt w:val="decimal"/>
      <w:start w:val="1"/>
    </w:lvl>
  </w:abstractNum>
  <w:abstractNum w:abstractNumId="101">
    <w:nsid w:val="14D53685"/>
    <w:multiLevelType w:val="hybridMultilevel"/>
    <w:lvl w:ilvl="0">
      <w:lvlJc w:val="left"/>
      <w:lvlText w:val=" "/>
      <w:numFmt w:val="bullet"/>
      <w:start w:val="1"/>
    </w:lvl>
  </w:abstractNum>
  <w:abstractNum w:abstractNumId="102">
    <w:nsid w:val="230F856C"/>
    <w:multiLevelType w:val="hybridMultilevel"/>
    <w:lvl w:ilvl="0">
      <w:lvlJc w:val="left"/>
      <w:lvlText w:val="1"/>
      <w:numFmt w:val="bullet"/>
      <w:start w:val="1"/>
    </w:lvl>
  </w:abstractNum>
  <w:abstractNum w:abstractNumId="103">
    <w:nsid w:val="6EAA85FB"/>
    <w:multiLevelType w:val="hybridMultilevel"/>
    <w:lvl w:ilvl="0">
      <w:lvlJc w:val="left"/>
      <w:lvlText w:val="3"/>
      <w:numFmt w:val="bullet"/>
      <w:start w:val="1"/>
    </w:lvl>
  </w:abstractNum>
  <w:abstractNum w:abstractNumId="104">
    <w:nsid w:val="3F06ECB2"/>
    <w:multiLevelType w:val="hybridMultilevel"/>
    <w:lvl w:ilvl="0">
      <w:lvlJc w:val="left"/>
      <w:lvlText w:val=" "/>
      <w:numFmt w:val="bullet"/>
      <w:start w:val="1"/>
    </w:lvl>
  </w:abstractNum>
  <w:abstractNum w:abstractNumId="105">
    <w:nsid w:val="3B594807"/>
    <w:multiLevelType w:val="hybridMultilevel"/>
    <w:lvl w:ilvl="0">
      <w:lvlJc w:val="left"/>
      <w:lvlText w:val=" "/>
      <w:numFmt w:val="bullet"/>
      <w:start w:val="1"/>
    </w:lvl>
  </w:abstractNum>
  <w:abstractNum w:abstractNumId="106">
    <w:nsid w:val="6CAA2304"/>
    <w:multiLevelType w:val="hybridMultilevel"/>
    <w:lvl w:ilvl="0">
      <w:lvlJc w:val="left"/>
      <w:lvlText w:val="1"/>
      <w:numFmt w:val="bullet"/>
      <w:start w:val="1"/>
    </w:lvl>
  </w:abstractNum>
  <w:abstractNum w:abstractNumId="107">
    <w:nsid w:val="3F7C2FF4"/>
    <w:multiLevelType w:val="hybridMultilevel"/>
    <w:lvl w:ilvl="0">
      <w:lvlJc w:val="left"/>
      <w:lvlText w:val="2"/>
      <w:numFmt w:val="bullet"/>
      <w:start w:val="1"/>
    </w:lvl>
  </w:abstractNum>
  <w:abstractNum w:abstractNumId="108">
    <w:nsid w:val="25413BEC"/>
    <w:multiLevelType w:val="hybridMultilevel"/>
    <w:lvl w:ilvl="0">
      <w:lvlJc w:val="left"/>
      <w:lvlText w:val="3"/>
      <w:numFmt w:val="bullet"/>
      <w:start w:val="1"/>
    </w:lvl>
  </w:abstractNum>
  <w:abstractNum w:abstractNumId="109">
    <w:nsid w:val="17180B0B"/>
    <w:multiLevelType w:val="hybridMultilevel"/>
    <w:lvl w:ilvl="0">
      <w:lvlJc w:val="left"/>
      <w:lvlText w:val=" "/>
      <w:numFmt w:val="bullet"/>
      <w:start w:val="1"/>
    </w:lvl>
  </w:abstractNum>
  <w:abstractNum w:abstractNumId="110">
    <w:nsid w:val="579328B9"/>
    <w:multiLevelType w:val="hybridMultilevel"/>
    <w:lvl w:ilvl="0">
      <w:lvlJc w:val="left"/>
      <w:lvlText w:val=" "/>
      <w:numFmt w:val="bullet"/>
      <w:start w:val="1"/>
    </w:lvl>
  </w:abstractNum>
  <w:abstractNum w:abstractNumId="111">
    <w:nsid w:val="5D205E20"/>
    <w:multiLevelType w:val="hybridMultilevel"/>
    <w:lvl w:ilvl="0">
      <w:lvlJc w:val="left"/>
      <w:lvlText w:val="1"/>
      <w:numFmt w:val="bullet"/>
      <w:start w:val="1"/>
    </w:lvl>
  </w:abstractNum>
  <w:abstractNum w:abstractNumId="112">
    <w:nsid w:val="11CCA8BA"/>
    <w:multiLevelType w:val="hybridMultilevel"/>
    <w:lvl w:ilvl="0">
      <w:lvlJc w:val="left"/>
      <w:lvlText w:val=" "/>
      <w:numFmt w:val="bullet"/>
      <w:start w:val="1"/>
    </w:lvl>
  </w:abstractNum>
  <w:abstractNum w:abstractNumId="113">
    <w:nsid w:val="4D32AB86"/>
    <w:multiLevelType w:val="hybridMultilevel"/>
    <w:lvl w:ilvl="0">
      <w:lvlJc w:val="left"/>
      <w:lvlText w:val=" "/>
      <w:numFmt w:val="bullet"/>
      <w:start w:val="1"/>
    </w:lvl>
  </w:abstractNum>
  <w:abstractNum w:abstractNumId="114">
    <w:nsid w:val="3F07ACC3"/>
    <w:multiLevelType w:val="hybridMultilevel"/>
    <w:lvl w:ilvl="0">
      <w:lvlJc w:val="left"/>
      <w:lvlText w:val="1"/>
      <w:numFmt w:val="bullet"/>
      <w:start w:val="1"/>
    </w:lvl>
  </w:abstractNum>
  <w:abstractNum w:abstractNumId="115">
    <w:nsid w:val="6B47F63E"/>
    <w:multiLevelType w:val="hybridMultilevel"/>
    <w:lvl w:ilvl="0">
      <w:lvlJc w:val="left"/>
      <w:lvlText w:val=" "/>
      <w:numFmt w:val="bullet"/>
      <w:start w:val="1"/>
    </w:lvl>
    <w:lvl w:ilvl="1">
      <w:lvlJc w:val="left"/>
      <w:lvlText w:val="¡"/>
      <w:numFmt w:val="bullet"/>
      <w:start w:val="1"/>
    </w:lvl>
  </w:abstractNum>
  <w:abstractNum w:abstractNumId="116">
    <w:nsid w:val="5CB44A05"/>
    <w:multiLevelType w:val="hybridMultilevel"/>
    <w:lvl w:ilvl="0">
      <w:lvlJc w:val="left"/>
      <w:lvlText w:val=" "/>
      <w:numFmt w:val="bullet"/>
      <w:start w:val="1"/>
    </w:lvl>
  </w:abstractNum>
  <w:abstractNum w:abstractNumId="117">
    <w:nsid w:val="16CF80F1"/>
    <w:multiLevelType w:val="hybridMultilevel"/>
    <w:lvl w:ilvl="0">
      <w:lvlJc w:val="left"/>
      <w:lvlText w:val=" "/>
      <w:numFmt w:val="bullet"/>
      <w:start w:val="1"/>
    </w:lvl>
  </w:abstractNum>
  <w:abstractNum w:abstractNumId="118">
    <w:nsid w:val="1C695DEC"/>
    <w:multiLevelType w:val="hybridMultilevel"/>
    <w:lvl w:ilvl="0">
      <w:lvlJc w:val="left"/>
      <w:lvlText w:val=" "/>
      <w:numFmt w:val="bullet"/>
      <w:start w:val="1"/>
    </w:lvl>
  </w:abstractNum>
  <w:abstractNum w:abstractNumId="119">
    <w:nsid w:val="3FCFAED9"/>
    <w:multiLevelType w:val="hybridMultilevel"/>
    <w:lvl w:ilvl="0">
      <w:lvlJc w:val="left"/>
      <w:lvlText w:val="%1."/>
      <w:numFmt w:val="upperLetter"/>
      <w:start w:val="9"/>
    </w:lvl>
  </w:abstractNum>
  <w:abstractNum w:abstractNumId="120">
    <w:nsid w:val="F856867"/>
    <w:multiLevelType w:val="hybridMultilevel"/>
    <w:lvl w:ilvl="0">
      <w:lvlJc w:val="left"/>
      <w:lvlText w:val="%1."/>
      <w:numFmt w:val="upperLetter"/>
      <w:start w:val="35"/>
    </w:lvl>
  </w:abstractNum>
  <w:abstractNum w:abstractNumId="121">
    <w:nsid w:val="11B1CC33"/>
    <w:multiLevelType w:val="hybridMultilevel"/>
    <w:lvl w:ilvl="0">
      <w:lvlJc w:val="left"/>
      <w:lvlText w:val="%1."/>
      <w:numFmt w:val="upperLetter"/>
      <w:start w:val="61"/>
    </w:lvl>
  </w:abstractNum>
  <w:abstractNum w:abstractNumId="122">
    <w:nsid w:val="2E22FBB7"/>
    <w:multiLevelType w:val="hybridMultilevel"/>
    <w:lvl w:ilvl="0">
      <w:lvlJc w:val="left"/>
      <w:lvlText w:val="%1."/>
      <w:numFmt w:val="upperLetter"/>
      <w:start w:val="22"/>
    </w:lvl>
  </w:abstractNum>
  <w:abstractNum w:abstractNumId="123">
    <w:nsid w:val="29934699"/>
    <w:multiLevelType w:val="hybridMultilevel"/>
    <w:lvl w:ilvl="0">
      <w:lvlJc w:val="left"/>
      <w:lvlText w:val="1"/>
      <w:numFmt w:val="bullet"/>
      <w:start w:val="1"/>
    </w:lvl>
  </w:abstractNum>
  <w:abstractNum w:abstractNumId="124">
    <w:nsid w:val="77485850"/>
    <w:multiLevelType w:val="hybridMultilevel"/>
    <w:lvl w:ilvl="0">
      <w:lvlJc w:val="left"/>
      <w:lvlText w:val="2"/>
      <w:numFmt w:val="bullet"/>
      <w:start w:val="1"/>
    </w:lvl>
  </w:abstractNum>
  <w:abstractNum w:abstractNumId="125">
    <w:nsid w:val="744939A3"/>
    <w:multiLevelType w:val="hybridMultilevel"/>
    <w:lvl w:ilvl="0">
      <w:lvlJc w:val="left"/>
      <w:lvlText w:val="1"/>
      <w:numFmt w:val="bullet"/>
      <w:start w:val="1"/>
    </w:lvl>
  </w:abstractNum>
  <w:abstractNum w:abstractNumId="126">
    <w:nsid w:val="4FA0D2E3"/>
    <w:multiLevelType w:val="hybridMultilevel"/>
    <w:lvl w:ilvl="0">
      <w:lvlJc w:val="left"/>
      <w:lvlText w:val="2"/>
      <w:numFmt w:val="bullet"/>
      <w:start w:val="1"/>
    </w:lvl>
  </w:abstractNum>
  <w:abstractNum w:abstractNumId="127">
    <w:nsid w:val="6B1D2C14"/>
    <w:multiLevelType w:val="hybridMultilevel"/>
    <w:lvl w:ilvl="0">
      <w:lvlJc w:val="left"/>
      <w:lvlText w:val="3"/>
      <w:numFmt w:val="bullet"/>
      <w:start w:val="1"/>
    </w:lvl>
  </w:abstractNum>
  <w:abstractNum w:abstractNumId="128">
    <w:nsid w:val="68B867D3"/>
    <w:multiLevelType w:val="hybridMultilevel"/>
    <w:lvl w:ilvl="0">
      <w:lvlJc w:val="left"/>
      <w:lvlText w:val="4"/>
      <w:numFmt w:val="bullet"/>
      <w:start w:val="1"/>
    </w:lvl>
  </w:abstractNum>
  <w:abstractNum w:abstractNumId="129">
    <w:nsid w:val="3F7F5DD9"/>
    <w:multiLevelType w:val="hybridMultilevel"/>
    <w:lvl w:ilvl="0">
      <w:lvlJc w:val="left"/>
      <w:lvlText w:val="5"/>
      <w:numFmt w:val="bullet"/>
      <w:start w:val="1"/>
    </w:lvl>
  </w:abstractNum>
  <w:abstractNum w:abstractNumId="130">
    <w:nsid w:val="2AE05A34"/>
    <w:multiLevelType w:val="hybridMultilevel"/>
    <w:lvl w:ilvl="0">
      <w:lvlJc w:val="left"/>
      <w:lvlText w:val="6"/>
      <w:numFmt w:val="bullet"/>
      <w:start w:val="1"/>
    </w:lvl>
  </w:abstractNum>
  <w:abstractNum w:abstractNumId="131">
    <w:nsid w:val="32794FF7"/>
    <w:multiLevelType w:val="hybridMultilevel"/>
    <w:lvl w:ilvl="0">
      <w:lvlJc w:val="left"/>
      <w:lvlText w:val="7"/>
      <w:numFmt w:val="bullet"/>
      <w:start w:val="1"/>
    </w:lvl>
    <w:lvl w:ilvl="1">
      <w:lvlJc w:val="left"/>
      <w:lvlText w:val="¡"/>
      <w:numFmt w:val="bullet"/>
      <w:start w:val="1"/>
    </w:lvl>
  </w:abstractNum>
  <w:abstractNum w:abstractNumId="132">
    <w:nsid w:val="5454945E"/>
    <w:multiLevelType w:val="hybridMultilevel"/>
    <w:lvl w:ilvl="0">
      <w:lvlJc w:val="left"/>
      <w:lvlText w:val="8"/>
      <w:numFmt w:val="bullet"/>
      <w:start w:val="1"/>
    </w:lvl>
  </w:abstractNum>
  <w:abstractNum w:abstractNumId="133">
    <w:nsid w:val="4DEFDFA0"/>
    <w:multiLevelType w:val="hybridMultilevel"/>
    <w:lvl w:ilvl="0">
      <w:lvlJc w:val="left"/>
      <w:lvlText w:val="9"/>
      <w:numFmt w:val="bullet"/>
      <w:start w:val="1"/>
    </w:lvl>
  </w:abstractNum>
  <w:abstractNum w:abstractNumId="134">
    <w:nsid w:val="2123D5F2"/>
    <w:multiLevelType w:val="hybridMultilevel"/>
    <w:lvl w:ilvl="0">
      <w:lvlJc w:val="left"/>
      <w:lvlText w:val="%1"/>
      <w:numFmt w:val="decimal"/>
      <w:start w:val="10"/>
    </w:lvl>
  </w:abstractNum>
  <w:abstractNum w:abstractNumId="135">
    <w:nsid w:val="135B8110"/>
    <w:multiLevelType w:val="hybridMultilevel"/>
    <w:lvl w:ilvl="0">
      <w:lvlJc w:val="left"/>
      <w:lvlText w:val="1"/>
      <w:numFmt w:val="bullet"/>
      <w:start w:val="1"/>
    </w:lvl>
  </w:abstractNum>
  <w:abstractNum w:abstractNumId="136">
    <w:nsid w:val="94927A8"/>
    <w:multiLevelType w:val="hybridMultilevel"/>
    <w:lvl w:ilvl="0">
      <w:lvlJc w:val="left"/>
      <w:lvlText w:val="2"/>
      <w:numFmt w:val="bullet"/>
      <w:start w:val="1"/>
    </w:lvl>
  </w:abstractNum>
  <w:abstractNum w:abstractNumId="137">
    <w:nsid w:val="DCDF8F6"/>
    <w:multiLevelType w:val="hybridMultilevel"/>
    <w:lvl w:ilvl="0">
      <w:lvlJc w:val="left"/>
      <w:lvlText w:val="(%1)"/>
      <w:numFmt w:val="decimal"/>
      <w:start w:val="2"/>
    </w:lvl>
  </w:abstractNum>
  <w:abstractNum w:abstractNumId="138">
    <w:nsid w:val="52D7B105"/>
    <w:multiLevelType w:val="hybridMultilevel"/>
    <w:lvl w:ilvl="0">
      <w:lvlJc w:val="left"/>
      <w:lvlText w:val="3"/>
      <w:numFmt w:val="bullet"/>
      <w:start w:val="1"/>
    </w:lvl>
  </w:abstractNum>
  <w:abstractNum w:abstractNumId="139">
    <w:nsid w:val="2E8A6394"/>
    <w:multiLevelType w:val="hybridMultilevel"/>
    <w:lvl w:ilvl="0">
      <w:lvlJc w:val="left"/>
      <w:lvlText w:val="4"/>
      <w:numFmt w:val="bullet"/>
      <w:start w:val="1"/>
    </w:lvl>
  </w:abstractNum>
  <w:abstractNum w:abstractNumId="140">
    <w:nsid w:val="24E60401"/>
    <w:multiLevelType w:val="hybridMultilevel"/>
    <w:lvl w:ilvl="0">
      <w:lvlJc w:val="left"/>
      <w:lvlText w:val="1"/>
      <w:numFmt w:val="bullet"/>
      <w:start w:val="1"/>
    </w:lvl>
  </w:abstractNum>
  <w:abstractNum w:abstractNumId="141">
    <w:nsid w:val="2A6AD9BE"/>
    <w:multiLevelType w:val="hybridMultilevel"/>
    <w:lvl w:ilvl="0">
      <w:lvlJc w:val="left"/>
      <w:lvlText w:val="c"/>
      <w:numFmt w:val="bullet"/>
      <w:start w:val="1"/>
    </w:lvl>
  </w:abstractNum>
  <w:abstractNum w:abstractNumId="142">
    <w:nsid w:val="BAAC1B4"/>
    <w:multiLevelType w:val="hybridMultilevel"/>
    <w:lvl w:ilvl="0">
      <w:lvlJc w:val="left"/>
      <w:lvlText w:val="d"/>
      <w:numFmt w:val="bullet"/>
      <w:start w:val="1"/>
    </w:lvl>
  </w:abstractNum>
  <w:abstractNum w:abstractNumId="143">
    <w:nsid w:val="36B2ACBC"/>
    <w:multiLevelType w:val="hybridMultilevel"/>
    <w:lvl w:ilvl="0">
      <w:lvlJc w:val="left"/>
      <w:lvlText w:val="2"/>
      <w:numFmt w:val="bullet"/>
      <w:start w:val="1"/>
    </w:lvl>
  </w:abstractNum>
  <w:abstractNum w:abstractNumId="144">
    <w:nsid w:val="779D8544"/>
    <w:multiLevelType w:val="hybridMultilevel"/>
    <w:lvl w:ilvl="0">
      <w:lvlJc w:val="left"/>
      <w:lvlText w:val="3"/>
      <w:numFmt w:val="bullet"/>
      <w:start w:val="1"/>
    </w:lvl>
  </w:abstractNum>
  <w:abstractNum w:abstractNumId="145">
    <w:nsid w:val="4AB26E78"/>
    <w:multiLevelType w:val="hybridMultilevel"/>
    <w:lvl w:ilvl="0">
      <w:lvlJc w:val="left"/>
      <w:lvlText w:val="4"/>
      <w:numFmt w:val="bullet"/>
      <w:start w:val="1"/>
    </w:lvl>
  </w:abstractNum>
  <w:abstractNum w:abstractNumId="146">
    <w:nsid w:val="21FAA2FA"/>
    <w:multiLevelType w:val="hybridMultilevel"/>
    <w:lvl w:ilvl="0">
      <w:lvlJc w:val="left"/>
      <w:lvlText w:val="5"/>
      <w:numFmt w:val="bullet"/>
      <w:start w:val="1"/>
    </w:lvl>
  </w:abstractNum>
  <w:abstractNum w:abstractNumId="147">
    <w:nsid w:val="5451CF49"/>
    <w:multiLevelType w:val="hybridMultilevel"/>
    <w:lvl w:ilvl="0">
      <w:lvlJc w:val="left"/>
      <w:lvlText w:val="6"/>
      <w:numFmt w:val="bullet"/>
      <w:start w:val="1"/>
    </w:lvl>
  </w:abstractNum>
  <w:abstractNum w:abstractNumId="148">
    <w:nsid w:val="6181EF69"/>
    <w:multiLevelType w:val="hybridMultilevel"/>
    <w:lvl w:ilvl="0">
      <w:lvlJc w:val="left"/>
      <w:lvlText w:val="1"/>
      <w:numFmt w:val="bullet"/>
      <w:start w:val="1"/>
    </w:lvl>
  </w:abstractNum>
  <w:abstractNum w:abstractNumId="149">
    <w:nsid w:val="3E6400E6"/>
    <w:multiLevelType w:val="hybridMultilevel"/>
    <w:lvl w:ilvl="0">
      <w:lvlJc w:val="left"/>
      <w:lvlText w:val="2"/>
      <w:numFmt w:val="bullet"/>
      <w:start w:val="1"/>
    </w:lvl>
  </w:abstractNum>
  <w:abstractNum w:abstractNumId="150">
    <w:nsid w:val="14217E23"/>
    <w:multiLevelType w:val="hybridMultilevel"/>
    <w:lvl w:ilvl="0">
      <w:lvlJc w:val="left"/>
      <w:lvlText w:val=" "/>
      <w:numFmt w:val="bullet"/>
      <w:start w:val="1"/>
    </w:lvl>
  </w:abstractNum>
  <w:abstractNum w:abstractNumId="151">
    <w:nsid w:val="710757D0"/>
    <w:multiLevelType w:val="hybridMultilevel"/>
    <w:lvl w:ilvl="0">
      <w:lvlJc w:val="left"/>
      <w:lvlText w:val="1"/>
      <w:numFmt w:val="bullet"/>
      <w:start w:val="1"/>
    </w:lvl>
  </w:abstractNum>
  <w:abstractNum w:abstractNumId="152">
    <w:nsid w:val="5015CD1A"/>
    <w:multiLevelType w:val="hybridMultilevel"/>
    <w:lvl w:ilvl="0">
      <w:lvlJc w:val="left"/>
      <w:lvlText w:val="1"/>
      <w:numFmt w:val="bullet"/>
      <w:start w:val="1"/>
    </w:lvl>
  </w:abstractNum>
  <w:abstractNum w:abstractNumId="153">
    <w:nsid w:val="424479DA"/>
    <w:multiLevelType w:val="hybridMultilevel"/>
    <w:lvl w:ilvl="0">
      <w:lvlJc w:val="left"/>
      <w:lvlText w:val="2"/>
      <w:numFmt w:val="bullet"/>
      <w:start w:val="1"/>
    </w:lvl>
  </w:abstractNum>
  <w:abstractNum w:abstractNumId="154">
    <w:nsid w:val="1A9A9E69"/>
    <w:multiLevelType w:val="hybridMultilevel"/>
    <w:lvl w:ilvl="0">
      <w:lvlJc w:val="left"/>
      <w:lvlText w:val="3"/>
      <w:numFmt w:val="bullet"/>
      <w:start w:val="1"/>
    </w:lvl>
  </w:abstractNum>
  <w:abstractNum w:abstractNumId="155">
    <w:nsid w:val="475E256A"/>
    <w:multiLevelType w:val="hybridMultilevel"/>
    <w:lvl w:ilvl="0">
      <w:lvlJc w:val="left"/>
      <w:lvlText w:val="4"/>
      <w:numFmt w:val="bullet"/>
      <w:start w:val="1"/>
    </w:lvl>
  </w:abstractNum>
  <w:abstractNum w:abstractNumId="156">
    <w:nsid w:val="368DB37E"/>
    <w:multiLevelType w:val="hybridMultilevel"/>
    <w:lvl w:ilvl="0">
      <w:lvlJc w:val="left"/>
      <w:lvlText w:val="5"/>
      <w:numFmt w:val="bullet"/>
      <w:start w:val="1"/>
    </w:lvl>
  </w:abstractNum>
  <w:abstractNum w:abstractNumId="157">
    <w:nsid w:val="6A3B714C"/>
    <w:multiLevelType w:val="hybridMultilevel"/>
    <w:lvl w:ilvl="0">
      <w:lvlJc w:val="left"/>
      <w:lvlText w:val="6"/>
      <w:numFmt w:val="bullet"/>
      <w:start w:val="1"/>
    </w:lvl>
  </w:abstractNum>
  <w:abstractNum w:abstractNumId="158">
    <w:nsid w:val="327B517E"/>
    <w:multiLevelType w:val="hybridMultilevel"/>
    <w:lvl w:ilvl="0">
      <w:lvlJc w:val="left"/>
      <w:lvlText w:val=" "/>
      <w:numFmt w:val="bullet"/>
      <w:start w:val="1"/>
    </w:lvl>
  </w:abstractNum>
  <w:abstractNum w:abstractNumId="159">
    <w:nsid w:val="1F461B51"/>
    <w:multiLevelType w:val="hybridMultilevel"/>
    <w:lvl w:ilvl="0">
      <w:lvlJc w:val="left"/>
      <w:lvlText w:val="1"/>
      <w:numFmt w:val="bullet"/>
      <w:start w:val="1"/>
    </w:lvl>
  </w:abstractNum>
  <w:abstractNum w:abstractNumId="160">
    <w:nsid w:val="29BACF25"/>
    <w:multiLevelType w:val="hybridMultilevel"/>
    <w:lvl w:ilvl="0">
      <w:lvlJc w:val="left"/>
      <w:lvlText w:val="2"/>
      <w:numFmt w:val="bullet"/>
      <w:start w:val="1"/>
    </w:lvl>
  </w:abstractNum>
  <w:abstractNum w:abstractNumId="161">
    <w:nsid w:val="5D5BABB3"/>
    <w:multiLevelType w:val="hybridMultilevel"/>
    <w:lvl w:ilvl="0">
      <w:lvlJc w:val="left"/>
      <w:lvlText w:val="3"/>
      <w:numFmt w:val="bullet"/>
      <w:start w:val="1"/>
    </w:lvl>
  </w:abstractNum>
  <w:abstractNum w:abstractNumId="162">
    <w:nsid w:val="51BF6B48"/>
    <w:multiLevelType w:val="hybridMultilevel"/>
    <w:lvl w:ilvl="0">
      <w:lvlJc w:val="left"/>
      <w:lvlText w:val="1"/>
      <w:numFmt w:val="bullet"/>
      <w:start w:val="1"/>
    </w:lvl>
  </w:abstractNum>
  <w:abstractNum w:abstractNumId="163">
    <w:nsid w:val="7E0F6384"/>
    <w:multiLevelType w:val="hybridMultilevel"/>
    <w:lvl w:ilvl="0">
      <w:lvlJc w:val="left"/>
      <w:lvlText w:val="2"/>
      <w:numFmt w:val="bullet"/>
      <w:start w:val="1"/>
    </w:lvl>
  </w:abstractNum>
  <w:abstractNum w:abstractNumId="164">
    <w:nsid w:val="2B4B8B53"/>
    <w:multiLevelType w:val="hybridMultilevel"/>
    <w:lvl w:ilvl="0">
      <w:lvlJc w:val="left"/>
      <w:lvlText w:val="3"/>
      <w:numFmt w:val="bullet"/>
      <w:start w:val="1"/>
    </w:lvl>
  </w:abstractNum>
  <w:abstractNum w:abstractNumId="165">
    <w:nsid w:val="72E3413A"/>
    <w:multiLevelType w:val="hybridMultilevel"/>
    <w:lvl w:ilvl="0">
      <w:lvlJc w:val="left"/>
      <w:lvlText w:val="4"/>
      <w:numFmt w:val="bullet"/>
      <w:start w:val="1"/>
    </w:lvl>
  </w:abstractNum>
  <w:abstractNum w:abstractNumId="166">
    <w:nsid w:val="116AE494"/>
    <w:multiLevelType w:val="hybridMultilevel"/>
    <w:lvl w:ilvl="0">
      <w:lvlJc w:val="left"/>
      <w:lvlText w:val="5"/>
      <w:numFmt w:val="bullet"/>
      <w:start w:val="1"/>
    </w:lvl>
  </w:abstractNum>
  <w:abstractNum w:abstractNumId="167">
    <w:nsid w:val="3494B2FB"/>
    <w:multiLevelType w:val="hybridMultilevel"/>
    <w:lvl w:ilvl="0">
      <w:lvlJc w:val="left"/>
      <w:lvlText w:val="1"/>
      <w:numFmt w:val="bullet"/>
      <w:start w:val="1"/>
    </w:lvl>
  </w:abstractNum>
  <w:abstractNum w:abstractNumId="168">
    <w:nsid w:val="B13A31"/>
    <w:multiLevelType w:val="hybridMultilevel"/>
    <w:lvl w:ilvl="0">
      <w:lvlJc w:val="left"/>
      <w:lvlText w:val="2"/>
      <w:numFmt w:val="bullet"/>
      <w:start w:val="1"/>
    </w:lvl>
  </w:abstractNum>
  <w:abstractNum w:abstractNumId="169">
    <w:nsid w:val="64429599"/>
    <w:multiLevelType w:val="hybridMultilevel"/>
    <w:lvl w:ilvl="0">
      <w:lvlJc w:val="left"/>
      <w:lvlText w:val=" "/>
      <w:numFmt w:val="bullet"/>
      <w:start w:val="1"/>
    </w:lvl>
  </w:abstractNum>
  <w:abstractNum w:abstractNumId="170">
    <w:nsid w:val="631F1690"/>
    <w:multiLevelType w:val="hybridMultilevel"/>
    <w:lvl w:ilvl="0">
      <w:lvlJc w:val="left"/>
      <w:lvlText w:val=" "/>
      <w:numFmt w:val="bullet"/>
      <w:start w:val="1"/>
    </w:lvl>
  </w:abstractNum>
  <w:abstractNum w:abstractNumId="171">
    <w:nsid w:val="25973E32"/>
    <w:multiLevelType w:val="hybridMultilevel"/>
    <w:lvl w:ilvl="0">
      <w:lvlJc w:val="left"/>
      <w:lvlText w:val=" "/>
      <w:numFmt w:val="bullet"/>
      <w:start w:val="1"/>
    </w:lvl>
  </w:abstractNum>
  <w:abstractNum w:abstractNumId="172">
    <w:nsid w:val="EAD6F57"/>
    <w:multiLevelType w:val="hybridMultilevel"/>
    <w:lvl w:ilvl="0">
      <w:lvlJc w:val="left"/>
      <w:lvlText w:val="1"/>
      <w:numFmt w:val="bullet"/>
      <w:start w:val="1"/>
    </w:lvl>
  </w:abstractNum>
  <w:abstractNum w:abstractNumId="173">
    <w:nsid w:val="6EC9D844"/>
    <w:multiLevelType w:val="hybridMultilevel"/>
    <w:lvl w:ilvl="0">
      <w:lvlJc w:val="left"/>
      <w:lvlText w:val=" "/>
      <w:numFmt w:val="bullet"/>
      <w:start w:val="1"/>
    </w:lvl>
  </w:abstractNum>
  <w:abstractNum w:abstractNumId="174">
    <w:nsid w:val="5C49EAEE"/>
    <w:multiLevelType w:val="hybridMultilevel"/>
    <w:lvl w:ilvl="0">
      <w:lvlJc w:val="left"/>
      <w:lvlText w:val=" "/>
      <w:numFmt w:val="bullet"/>
      <w:start w:val="1"/>
    </w:lvl>
  </w:abstractNum>
  <w:abstractNum w:abstractNumId="175">
    <w:nsid w:val="64AF49B"/>
    <w:multiLevelType w:val="hybridMultilevel"/>
    <w:lvl w:ilvl="0">
      <w:lvlJc w:val="left"/>
      <w:lvlText w:val=" "/>
      <w:numFmt w:val="bullet"/>
      <w:start w:val="1"/>
    </w:lvl>
  </w:abstractNum>
  <w:abstractNum w:abstractNumId="176">
    <w:nsid w:val="397C46BC"/>
    <w:multiLevelType w:val="hybridMultilevel"/>
    <w:lvl w:ilvl="0">
      <w:lvlJc w:val="left"/>
      <w:lvlText w:val="1"/>
      <w:numFmt w:val="bullet"/>
      <w:start w:val="1"/>
    </w:lvl>
  </w:abstractNum>
  <w:abstractNum w:abstractNumId="177">
    <w:nsid w:val="7E448DE9"/>
    <w:multiLevelType w:val="hybridMultilevel"/>
    <w:lvl w:ilvl="0">
      <w:lvlJc w:val="left"/>
      <w:lvlText w:val=" "/>
      <w:numFmt w:val="bullet"/>
      <w:start w:val="1"/>
    </w:lvl>
  </w:abstractNum>
  <w:abstractNum w:abstractNumId="178">
    <w:nsid w:val="5A9CC3E5"/>
    <w:multiLevelType w:val="hybridMultilevel"/>
    <w:lvl w:ilvl="0">
      <w:lvlJc w:val="left"/>
      <w:lvlText w:val="(%1)"/>
      <w:numFmt w:val="lowerRoman"/>
      <w:start w:val="1"/>
    </w:lvl>
  </w:abstractNum>
  <w:abstractNum w:abstractNumId="179">
    <w:nsid w:val="1AFE3625"/>
    <w:multiLevelType w:val="hybridMultilevel"/>
    <w:lvl w:ilvl="0">
      <w:lvlJc w:val="left"/>
      <w:lvlText w:val="\endash "/>
      <w:numFmt w:val="bullet"/>
      <w:start w:val="1"/>
    </w:lvl>
  </w:abstractNum>
  <w:abstractNum w:abstractNumId="180">
    <w:nsid w:val="3CA88ECF"/>
    <w:multiLevelType w:val="hybridMultilevel"/>
    <w:lvl w:ilvl="0">
      <w:lvlJc w:val="left"/>
      <w:lvlText w:val=" "/>
      <w:numFmt w:val="bullet"/>
      <w:start w:val="1"/>
    </w:lvl>
  </w:abstractNum>
  <w:abstractNum w:abstractNumId="181">
    <w:nsid w:val="6EBE4208"/>
    <w:multiLevelType w:val="hybridMultilevel"/>
    <w:lvl w:ilvl="0">
      <w:lvlJc w:val="left"/>
      <w:lvlText w:val=" "/>
      <w:numFmt w:val="bullet"/>
      <w:start w:val="1"/>
    </w:lvl>
  </w:abstractNum>
  <w:abstractNum w:abstractNumId="182">
    <w:nsid w:val="C058DF5"/>
    <w:multiLevelType w:val="hybridMultilevel"/>
    <w:lvl w:ilvl="0">
      <w:lvlJc w:val="left"/>
      <w:lvlText w:val=" "/>
      <w:numFmt w:val="bullet"/>
      <w:start w:val="1"/>
    </w:lvl>
  </w:abstractNum>
  <w:abstractNum w:abstractNumId="183">
    <w:nsid w:val="CBE5BE9"/>
    <w:multiLevelType w:val="hybridMultilevel"/>
    <w:lvl w:ilvl="0">
      <w:lvlJc w:val="left"/>
      <w:lvlText w:val="(%1)"/>
      <w:numFmt w:val="decimal"/>
      <w:start w:val="866"/>
    </w:lvl>
  </w:abstractNum>
  <w:abstractNum w:abstractNumId="184">
    <w:nsid w:val="3102BBE2"/>
    <w:multiLevelType w:val="hybridMultilevel"/>
    <w:lvl w:ilvl="0">
      <w:lvlJc w:val="left"/>
      <w:lvlText w:val=" "/>
      <w:numFmt w:val="bullet"/>
      <w:start w:val="1"/>
    </w:lvl>
  </w:abstractNum>
  <w:abstractNum w:abstractNumId="185">
    <w:nsid w:val="26A02C5E"/>
    <w:multiLevelType w:val="hybridMultilevel"/>
    <w:lvl w:ilvl="0">
      <w:lvlJc w:val="left"/>
      <w:lvlText w:val=" "/>
      <w:numFmt w:val="bullet"/>
      <w:start w:val="1"/>
    </w:lvl>
  </w:abstractNum>
  <w:abstractNum w:abstractNumId="186">
    <w:nsid w:val="541C8153"/>
    <w:multiLevelType w:val="hybridMultilevel"/>
    <w:lvl w:ilvl="0">
      <w:lvlJc w:val="left"/>
      <w:lvlText w:val=" "/>
      <w:numFmt w:val="bullet"/>
      <w:start w:val="1"/>
    </w:lvl>
  </w:abstractNum>
  <w:abstractNum w:abstractNumId="187">
    <w:nsid w:val="67906F60"/>
    <w:multiLevelType w:val="hybridMultilevel"/>
    <w:lvl w:ilvl="0">
      <w:lvlJc w:val="left"/>
      <w:lvlText w:val="1"/>
      <w:numFmt w:val="bullet"/>
      <w:start w:val="1"/>
    </w:lvl>
  </w:abstractNum>
  <w:abstractNum w:abstractNumId="188">
    <w:nsid w:val="10DB9DAA"/>
    <w:multiLevelType w:val="hybridMultilevel"/>
    <w:lvl w:ilvl="0">
      <w:lvlJc w:val="left"/>
      <w:lvlText w:val="2"/>
      <w:numFmt w:val="bullet"/>
      <w:start w:val="1"/>
    </w:lvl>
  </w:abstractNum>
  <w:abstractNum w:abstractNumId="189">
    <w:nsid w:val="697D2D2"/>
    <w:multiLevelType w:val="hybridMultilevel"/>
    <w:lvl w:ilvl="0">
      <w:lvlJc w:val="left"/>
      <w:lvlText w:val="3"/>
      <w:numFmt w:val="bullet"/>
      <w:start w:val="1"/>
    </w:lvl>
  </w:abstractNum>
  <w:abstractNum w:abstractNumId="190">
    <w:nsid w:val="6D68AB2"/>
    <w:multiLevelType w:val="hybridMultilevel"/>
    <w:lvl w:ilvl="0">
      <w:lvlJc w:val="left"/>
      <w:lvlText w:val="4"/>
      <w:numFmt w:val="bullet"/>
      <w:start w:val="1"/>
    </w:lvl>
  </w:abstractNum>
  <w:abstractNum w:abstractNumId="191">
    <w:nsid w:val="3A966CD0"/>
    <w:multiLevelType w:val="hybridMultilevel"/>
    <w:lvl w:ilvl="0">
      <w:lvlJc w:val="left"/>
      <w:lvlText w:val=" "/>
      <w:numFmt w:val="bullet"/>
      <w:start w:val="1"/>
    </w:lvl>
  </w:abstractNum>
  <w:abstractNum w:abstractNumId="192">
    <w:nsid w:val="63F37E85"/>
    <w:multiLevelType w:val="hybridMultilevel"/>
    <w:lvl w:ilvl="0">
      <w:lvlJc w:val="left"/>
      <w:lvlText w:val="%1."/>
      <w:numFmt w:val="decimal"/>
      <w:start w:val="1"/>
    </w:lvl>
  </w:abstractNum>
  <w:abstractNum w:abstractNumId="193">
    <w:nsid w:val="5895F5FA"/>
    <w:multiLevelType w:val="hybridMultilevel"/>
    <w:lvl w:ilvl="0">
      <w:lvlJc w:val="left"/>
      <w:lvlText w:val="%1"/>
      <w:numFmt w:val="decimal"/>
      <w:start w:val="1"/>
    </w:lvl>
    <w:lvl w:ilvl="1">
      <w:lvlJc w:val="left"/>
      <w:lvlText w:val="(%2)"/>
      <w:numFmt w:val="lowerLetter"/>
      <w:start w:val="1"/>
    </w:lvl>
  </w:abstractNum>
  <w:abstractNum w:abstractNumId="194">
    <w:nsid w:val="38A5D054"/>
    <w:multiLevelType w:val="hybridMultilevel"/>
    <w:lvl w:ilvl="0">
      <w:lvlJc w:val="left"/>
      <w:lvlText w:val="%1."/>
      <w:numFmt w:val="decimal"/>
      <w:start w:val="3"/>
    </w:lvl>
    <w:lvl w:ilvl="1">
      <w:lvlJc w:val="left"/>
      <w:lvlText w:val="%2"/>
      <w:numFmt w:val="lowerLetter"/>
      <w:start w:val="1"/>
    </w:lvl>
  </w:abstractNum>
  <w:abstractNum w:abstractNumId="195">
    <w:nsid w:val="F3F09D8"/>
    <w:multiLevelType w:val="hybridMultilevel"/>
    <w:lvl w:ilvl="0">
      <w:lvlJc w:val="left"/>
      <w:lvlText w:val="%1."/>
      <w:numFmt w:val="decimal"/>
      <w:start w:val="1"/>
    </w:lvl>
  </w:abstractNum>
  <w:abstractNum w:abstractNumId="196">
    <w:nsid w:val="4B793735"/>
    <w:multiLevelType w:val="hybridMultilevel"/>
    <w:lvl w:ilvl="0">
      <w:lvlJc w:val="left"/>
      <w:lvlText w:val=" "/>
      <w:numFmt w:val="bullet"/>
      <w:start w:val="1"/>
    </w:lvl>
  </w:abstractNum>
  <w:abstractNum w:abstractNumId="197">
    <w:nsid w:val="4A10B4E8"/>
    <w:multiLevelType w:val="hybridMultilevel"/>
    <w:lvl w:ilvl="0">
      <w:lvlJc w:val="left"/>
      <w:lvlText w:val="-"/>
      <w:numFmt w:val="bullet"/>
      <w:start w:val="1"/>
    </w:lvl>
    <w:lvl w:ilvl="1">
      <w:lvlJc w:val="left"/>
      <w:lvlText w:val="¡"/>
      <w:numFmt w:val="bullet"/>
      <w:start w:val="1"/>
    </w:lvl>
  </w:abstractNum>
  <w:abstractNum w:abstractNumId="198">
    <w:nsid w:val="43D3BCD4"/>
    <w:multiLevelType w:val="hybridMultilevel"/>
    <w:lvl w:ilvl="0">
      <w:lvlJc w:val="left"/>
      <w:lvlText w:val="\endash "/>
      <w:numFmt w:val="bullet"/>
      <w:start w:val="1"/>
    </w:lvl>
  </w:abstractNum>
  <w:abstractNum w:abstractNumId="199">
    <w:nsid w:val="4C2A7166"/>
    <w:multiLevelType w:val="hybridMultilevel"/>
    <w:lvl w:ilvl="0">
      <w:lvlJc w:val="left"/>
      <w:lvlText w:val="\endash "/>
      <w:numFmt w:val="bullet"/>
      <w:start w:val="1"/>
    </w:lvl>
  </w:abstractNum>
  <w:abstractNum w:abstractNumId="200">
    <w:nsid w:val="2E534A82"/>
    <w:multiLevelType w:val="hybridMultilevel"/>
    <w:lvl w:ilvl="0">
      <w:lvlJc w:val="left"/>
      <w:lvlText w:val="\endash "/>
      <w:numFmt w:val="bullet"/>
      <w:start w:val="1"/>
    </w:lvl>
  </w:abstractNum>
  <w:abstractNum w:abstractNumId="201">
    <w:nsid w:val="26F2D364"/>
    <w:multiLevelType w:val="hybridMultilevel"/>
    <w:lvl w:ilvl="0">
      <w:lvlJc w:val="left"/>
      <w:lvlText w:val=" "/>
      <w:numFmt w:val="bullet"/>
      <w:start w:val="1"/>
    </w:lvl>
  </w:abstractNum>
  <w:abstractNum w:abstractNumId="202">
    <w:nsid w:val="71C1AF98"/>
    <w:multiLevelType w:val="hybridMultilevel"/>
    <w:lvl w:ilvl="0">
      <w:lvlJc w:val="left"/>
      <w:lvlText w:val="-"/>
      <w:numFmt w:val="bullet"/>
      <w:start w:val="1"/>
    </w:lvl>
    <w:lvl w:ilvl="1">
      <w:lvlJc w:val="left"/>
      <w:lvlText w:val="¡"/>
      <w:numFmt w:val="bullet"/>
      <w:start w:val="1"/>
    </w:lvl>
  </w:abstractNum>
  <w:abstractNum w:abstractNumId="203">
    <w:nsid w:val="3D00B9D9"/>
    <w:multiLevelType w:val="hybridMultilevel"/>
    <w:lvl w:ilvl="0">
      <w:lvlJc w:val="left"/>
      <w:lvlText w:val="©"/>
      <w:numFmt w:val="bullet"/>
      <w:start w:val="1"/>
    </w:lvl>
  </w:abstractNum>
  <w:abstractNum w:abstractNumId="204">
    <w:nsid w:val="15BCABA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2019-12-03T15:11:57Z</dcterms:created>
  <dcterms:modified xsi:type="dcterms:W3CDTF">2019-12-03T15:11:57Z</dcterms:modified>
</cp:coreProperties>
</file>