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133350</wp:posOffset>
            </wp:positionV>
            <wp:extent cx="1106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39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FORM 8-K</w:t>
      </w:r>
    </w:p>
    <w:p>
      <w:pPr>
        <w:spacing w:after="0" w:line="21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CURRENT REPORT PURSUANT TO SECTION 13 OR 15(d) OF</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6, 2004</w:t>
      </w: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24"/>
          <w:szCs w:val="24"/>
          <w:b w:val="1"/>
          <w:bCs w:val="1"/>
          <w:color w:val="auto"/>
        </w:rPr>
        <w:t>J.P. MORGAN CHASE &amp; CO.</w:t>
      </w:r>
    </w:p>
    <w:p>
      <w:pPr>
        <w:spacing w:after="0" w:line="4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206" w:lineRule="exact"/>
        <w:rPr>
          <w:sz w:val="24"/>
          <w:szCs w:val="24"/>
          <w:color w:val="auto"/>
        </w:rPr>
      </w:pPr>
    </w:p>
    <w:tbl>
      <w:tblPr>
        <w:tblLayout w:type="fixed"/>
        <w:tblInd w:w="1420" w:type="dxa"/>
        <w:tblCellMar>
          <w:top w:w="0" w:type="dxa"/>
          <w:left w:w="0" w:type="dxa"/>
          <w:bottom w:w="0" w:type="dxa"/>
          <w:right w:w="0" w:type="dxa"/>
        </w:tblCellMar>
      </w:tblPr>
      <w:tr>
        <w:trPr>
          <w:trHeight w:val="222"/>
        </w:trPr>
        <w:tc>
          <w:tcPr>
            <w:tcW w:w="2620" w:type="dxa"/>
            <w:vAlign w:val="bottom"/>
          </w:tcPr>
          <w:p>
            <w:pPr>
              <w:jc w:val="center"/>
              <w:ind w:right="612"/>
              <w:spacing w:after="0"/>
              <w:rPr>
                <w:sz w:val="20"/>
                <w:szCs w:val="20"/>
                <w:color w:val="auto"/>
              </w:rPr>
            </w:pPr>
            <w:r>
              <w:rPr>
                <w:rFonts w:ascii="Arial" w:cs="Arial" w:eastAsia="Arial" w:hAnsi="Arial"/>
                <w:sz w:val="18"/>
                <w:szCs w:val="18"/>
                <w:b w:val="1"/>
                <w:bCs w:val="1"/>
                <w:color w:val="auto"/>
                <w:w w:val="96"/>
              </w:rPr>
              <w:t>DELAWARE</w:t>
            </w:r>
          </w:p>
        </w:tc>
        <w:tc>
          <w:tcPr>
            <w:tcW w:w="3500" w:type="dxa"/>
            <w:vAlign w:val="bottom"/>
          </w:tcPr>
          <w:p>
            <w:pPr>
              <w:jc w:val="right"/>
              <w:ind w:right="1492"/>
              <w:spacing w:after="0"/>
              <w:rPr>
                <w:sz w:val="20"/>
                <w:szCs w:val="20"/>
                <w:color w:val="auto"/>
              </w:rPr>
            </w:pPr>
            <w:r>
              <w:rPr>
                <w:rFonts w:ascii="Arial" w:cs="Arial" w:eastAsia="Arial" w:hAnsi="Arial"/>
                <w:sz w:val="18"/>
                <w:szCs w:val="18"/>
                <w:b w:val="1"/>
                <w:bCs w:val="1"/>
                <w:color w:val="auto"/>
              </w:rPr>
              <w:t>1-5805</w:t>
            </w:r>
          </w:p>
        </w:tc>
        <w:tc>
          <w:tcPr>
            <w:tcW w:w="2160" w:type="dxa"/>
            <w:vAlign w:val="bottom"/>
          </w:tcPr>
          <w:p>
            <w:pPr>
              <w:jc w:val="right"/>
              <w:ind w:right="132"/>
              <w:spacing w:after="0"/>
              <w:rPr>
                <w:sz w:val="20"/>
                <w:szCs w:val="20"/>
                <w:color w:val="auto"/>
              </w:rPr>
            </w:pPr>
            <w:r>
              <w:rPr>
                <w:rFonts w:ascii="Arial" w:cs="Arial" w:eastAsia="Arial" w:hAnsi="Arial"/>
                <w:sz w:val="18"/>
                <w:szCs w:val="18"/>
                <w:b w:val="1"/>
                <w:bCs w:val="1"/>
                <w:color w:val="auto"/>
              </w:rPr>
              <w:t>13-2624428</w:t>
            </w:r>
          </w:p>
        </w:tc>
      </w:tr>
      <w:tr>
        <w:trPr>
          <w:trHeight w:val="216"/>
        </w:trPr>
        <w:tc>
          <w:tcPr>
            <w:tcW w:w="2620" w:type="dxa"/>
            <w:vAlign w:val="bottom"/>
          </w:tcPr>
          <w:p>
            <w:pPr>
              <w:jc w:val="center"/>
              <w:ind w:right="612"/>
              <w:spacing w:after="0"/>
              <w:rPr>
                <w:sz w:val="20"/>
                <w:szCs w:val="20"/>
                <w:color w:val="auto"/>
              </w:rPr>
            </w:pPr>
            <w:r>
              <w:rPr>
                <w:rFonts w:ascii="Arial" w:cs="Arial" w:eastAsia="Arial" w:hAnsi="Arial"/>
                <w:sz w:val="18"/>
                <w:szCs w:val="18"/>
                <w:color w:val="auto"/>
                <w:w w:val="89"/>
              </w:rPr>
              <w:t>(State or Other Jurisdiction</w:t>
            </w:r>
          </w:p>
        </w:tc>
        <w:tc>
          <w:tcPr>
            <w:tcW w:w="3500" w:type="dxa"/>
            <w:vAlign w:val="bottom"/>
          </w:tcPr>
          <w:p>
            <w:pPr>
              <w:jc w:val="center"/>
              <w:ind w:right="72"/>
              <w:spacing w:after="0"/>
              <w:rPr>
                <w:sz w:val="20"/>
                <w:szCs w:val="20"/>
                <w:color w:val="auto"/>
              </w:rPr>
            </w:pPr>
            <w:r>
              <w:rPr>
                <w:rFonts w:ascii="Arial" w:cs="Arial" w:eastAsia="Arial" w:hAnsi="Arial"/>
                <w:sz w:val="18"/>
                <w:szCs w:val="18"/>
                <w:color w:val="auto"/>
                <w:w w:val="90"/>
              </w:rPr>
              <w:t>(Commission File Number)</w:t>
            </w:r>
          </w:p>
        </w:tc>
        <w:tc>
          <w:tcPr>
            <w:tcW w:w="2160" w:type="dxa"/>
            <w:vAlign w:val="bottom"/>
          </w:tcPr>
          <w:p>
            <w:pPr>
              <w:jc w:val="center"/>
              <w:ind w:left="772"/>
              <w:spacing w:after="0"/>
              <w:rPr>
                <w:sz w:val="20"/>
                <w:szCs w:val="20"/>
                <w:color w:val="auto"/>
              </w:rPr>
            </w:pPr>
            <w:r>
              <w:rPr>
                <w:rFonts w:ascii="Arial" w:cs="Arial" w:eastAsia="Arial" w:hAnsi="Arial"/>
                <w:sz w:val="18"/>
                <w:szCs w:val="18"/>
                <w:color w:val="auto"/>
                <w:w w:val="89"/>
              </w:rPr>
              <w:t>(I.R.S. Employer</w:t>
            </w:r>
          </w:p>
        </w:tc>
      </w:tr>
      <w:tr>
        <w:trPr>
          <w:trHeight w:val="222"/>
        </w:trPr>
        <w:tc>
          <w:tcPr>
            <w:tcW w:w="2620" w:type="dxa"/>
            <w:vAlign w:val="bottom"/>
          </w:tcPr>
          <w:p>
            <w:pPr>
              <w:jc w:val="center"/>
              <w:ind w:right="612"/>
              <w:spacing w:after="0"/>
              <w:rPr>
                <w:sz w:val="20"/>
                <w:szCs w:val="20"/>
                <w:color w:val="auto"/>
              </w:rPr>
            </w:pPr>
            <w:r>
              <w:rPr>
                <w:rFonts w:ascii="Arial" w:cs="Arial" w:eastAsia="Arial" w:hAnsi="Arial"/>
                <w:sz w:val="18"/>
                <w:szCs w:val="18"/>
                <w:color w:val="auto"/>
                <w:w w:val="91"/>
              </w:rPr>
              <w:t>of Incorporation)</w:t>
            </w:r>
          </w:p>
        </w:tc>
        <w:tc>
          <w:tcPr>
            <w:tcW w:w="3500" w:type="dxa"/>
            <w:vAlign w:val="bottom"/>
          </w:tcPr>
          <w:p>
            <w:pPr>
              <w:spacing w:after="0"/>
              <w:rPr>
                <w:sz w:val="19"/>
                <w:szCs w:val="19"/>
                <w:color w:val="auto"/>
              </w:rPr>
            </w:pPr>
          </w:p>
        </w:tc>
        <w:tc>
          <w:tcPr>
            <w:tcW w:w="2160" w:type="dxa"/>
            <w:vAlign w:val="bottom"/>
          </w:tcPr>
          <w:p>
            <w:pPr>
              <w:jc w:val="center"/>
              <w:ind w:left="772"/>
              <w:spacing w:after="0"/>
              <w:rPr>
                <w:sz w:val="20"/>
                <w:szCs w:val="20"/>
                <w:color w:val="auto"/>
              </w:rPr>
            </w:pPr>
            <w:r>
              <w:rPr>
                <w:rFonts w:ascii="Arial" w:cs="Arial" w:eastAsia="Arial" w:hAnsi="Arial"/>
                <w:sz w:val="18"/>
                <w:szCs w:val="18"/>
                <w:color w:val="auto"/>
                <w:w w:val="92"/>
              </w:rPr>
              <w:t>Identification No.)</w:t>
            </w:r>
          </w:p>
        </w:tc>
      </w:tr>
      <w:tr>
        <w:trPr>
          <w:trHeight w:val="459"/>
        </w:trPr>
        <w:tc>
          <w:tcPr>
            <w:tcW w:w="2620" w:type="dxa"/>
            <w:vAlign w:val="bottom"/>
          </w:tcPr>
          <w:p>
            <w:pPr>
              <w:jc w:val="center"/>
              <w:ind w:right="612"/>
              <w:spacing w:after="0"/>
              <w:rPr>
                <w:sz w:val="20"/>
                <w:szCs w:val="20"/>
                <w:color w:val="auto"/>
              </w:rPr>
            </w:pPr>
            <w:r>
              <w:rPr>
                <w:rFonts w:ascii="Arial" w:cs="Arial" w:eastAsia="Arial" w:hAnsi="Arial"/>
                <w:sz w:val="18"/>
                <w:szCs w:val="18"/>
                <w:b w:val="1"/>
                <w:bCs w:val="1"/>
                <w:color w:val="auto"/>
                <w:w w:val="88"/>
              </w:rPr>
              <w:t>270 Park Avenue,</w:t>
            </w:r>
          </w:p>
        </w:tc>
        <w:tc>
          <w:tcPr>
            <w:tcW w:w="35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43"/>
        </w:trPr>
        <w:tc>
          <w:tcPr>
            <w:tcW w:w="2620" w:type="dxa"/>
            <w:vAlign w:val="bottom"/>
          </w:tcPr>
          <w:p>
            <w:pPr>
              <w:jc w:val="center"/>
              <w:ind w:right="612"/>
              <w:spacing w:after="0"/>
              <w:rPr>
                <w:sz w:val="20"/>
                <w:szCs w:val="20"/>
                <w:color w:val="auto"/>
              </w:rPr>
            </w:pPr>
            <w:r>
              <w:rPr>
                <w:rFonts w:ascii="Arial" w:cs="Arial" w:eastAsia="Arial" w:hAnsi="Arial"/>
                <w:sz w:val="18"/>
                <w:szCs w:val="18"/>
                <w:b w:val="1"/>
                <w:bCs w:val="1"/>
                <w:color w:val="auto"/>
                <w:w w:val="92"/>
              </w:rPr>
              <w:t>New York, NY</w:t>
            </w:r>
          </w:p>
        </w:tc>
        <w:tc>
          <w:tcPr>
            <w:tcW w:w="3500" w:type="dxa"/>
            <w:vAlign w:val="bottom"/>
          </w:tcPr>
          <w:p>
            <w:pPr>
              <w:spacing w:after="0"/>
              <w:rPr>
                <w:sz w:val="21"/>
                <w:szCs w:val="21"/>
                <w:color w:val="auto"/>
              </w:rPr>
            </w:pPr>
          </w:p>
        </w:tc>
        <w:tc>
          <w:tcPr>
            <w:tcW w:w="2160" w:type="dxa"/>
            <w:vAlign w:val="bottom"/>
          </w:tcPr>
          <w:p>
            <w:pPr>
              <w:jc w:val="right"/>
              <w:ind w:right="352"/>
              <w:spacing w:after="0"/>
              <w:rPr>
                <w:sz w:val="20"/>
                <w:szCs w:val="20"/>
                <w:color w:val="auto"/>
              </w:rPr>
            </w:pPr>
            <w:r>
              <w:rPr>
                <w:rFonts w:ascii="Arial" w:cs="Arial" w:eastAsia="Arial" w:hAnsi="Arial"/>
                <w:sz w:val="18"/>
                <w:szCs w:val="18"/>
                <w:b w:val="1"/>
                <w:bCs w:val="1"/>
                <w:color w:val="auto"/>
              </w:rPr>
              <w:t>10017</w:t>
            </w:r>
          </w:p>
        </w:tc>
      </w:tr>
      <w:tr>
        <w:trPr>
          <w:trHeight w:val="237"/>
        </w:trPr>
        <w:tc>
          <w:tcPr>
            <w:tcW w:w="2620" w:type="dxa"/>
            <w:vAlign w:val="bottom"/>
          </w:tcPr>
          <w:p>
            <w:pPr>
              <w:jc w:val="center"/>
              <w:ind w:right="632"/>
              <w:spacing w:after="0"/>
              <w:rPr>
                <w:sz w:val="20"/>
                <w:szCs w:val="20"/>
                <w:color w:val="auto"/>
              </w:rPr>
            </w:pPr>
            <w:r>
              <w:rPr>
                <w:rFonts w:ascii="Arial" w:cs="Arial" w:eastAsia="Arial" w:hAnsi="Arial"/>
                <w:sz w:val="18"/>
                <w:szCs w:val="18"/>
                <w:color w:val="auto"/>
                <w:w w:val="90"/>
              </w:rPr>
              <w:t>(Address of Principal</w:t>
            </w:r>
          </w:p>
        </w:tc>
        <w:tc>
          <w:tcPr>
            <w:tcW w:w="3500" w:type="dxa"/>
            <w:vAlign w:val="bottom"/>
          </w:tcPr>
          <w:p>
            <w:pPr>
              <w:spacing w:after="0"/>
              <w:rPr>
                <w:sz w:val="20"/>
                <w:szCs w:val="20"/>
                <w:color w:val="auto"/>
              </w:rPr>
            </w:pPr>
          </w:p>
        </w:tc>
        <w:tc>
          <w:tcPr>
            <w:tcW w:w="2160" w:type="dxa"/>
            <w:vAlign w:val="bottom"/>
          </w:tcPr>
          <w:p>
            <w:pPr>
              <w:jc w:val="center"/>
              <w:ind w:left="772"/>
              <w:spacing w:after="0"/>
              <w:rPr>
                <w:sz w:val="20"/>
                <w:szCs w:val="20"/>
                <w:color w:val="auto"/>
              </w:rPr>
            </w:pPr>
            <w:r>
              <w:rPr>
                <w:rFonts w:ascii="Arial" w:cs="Arial" w:eastAsia="Arial" w:hAnsi="Arial"/>
                <w:sz w:val="18"/>
                <w:szCs w:val="18"/>
                <w:color w:val="auto"/>
                <w:w w:val="91"/>
              </w:rPr>
              <w:t>(Zip Code)</w:t>
            </w:r>
          </w:p>
        </w:tc>
      </w:tr>
      <w:tr>
        <w:trPr>
          <w:trHeight w:val="222"/>
        </w:trPr>
        <w:tc>
          <w:tcPr>
            <w:tcW w:w="2620" w:type="dxa"/>
            <w:vAlign w:val="bottom"/>
          </w:tcPr>
          <w:p>
            <w:pPr>
              <w:jc w:val="center"/>
              <w:ind w:right="612"/>
              <w:spacing w:after="0"/>
              <w:rPr>
                <w:sz w:val="20"/>
                <w:szCs w:val="20"/>
                <w:color w:val="auto"/>
              </w:rPr>
            </w:pPr>
            <w:r>
              <w:rPr>
                <w:rFonts w:ascii="Arial" w:cs="Arial" w:eastAsia="Arial" w:hAnsi="Arial"/>
                <w:sz w:val="18"/>
                <w:szCs w:val="18"/>
                <w:color w:val="auto"/>
                <w:w w:val="90"/>
              </w:rPr>
              <w:t>Executive Offices)</w:t>
            </w:r>
          </w:p>
        </w:tc>
        <w:tc>
          <w:tcPr>
            <w:tcW w:w="3500" w:type="dxa"/>
            <w:vAlign w:val="bottom"/>
          </w:tcPr>
          <w:p>
            <w:pPr>
              <w:spacing w:after="0"/>
              <w:rPr>
                <w:sz w:val="19"/>
                <w:szCs w:val="19"/>
                <w:color w:val="auto"/>
              </w:rPr>
            </w:pPr>
          </w:p>
        </w:tc>
        <w:tc>
          <w:tcPr>
            <w:tcW w:w="2160" w:type="dxa"/>
            <w:vAlign w:val="bottom"/>
          </w:tcPr>
          <w:p>
            <w:pPr>
              <w:spacing w:after="0"/>
              <w:rPr>
                <w:sz w:val="19"/>
                <w:szCs w:val="19"/>
                <w:color w:val="auto"/>
              </w:rPr>
            </w:pPr>
          </w:p>
        </w:tc>
      </w:tr>
    </w:tbl>
    <w:p>
      <w:pPr>
        <w:spacing w:after="0" w:line="200" w:lineRule="exact"/>
        <w:rPr>
          <w:sz w:val="24"/>
          <w:szCs w:val="24"/>
          <w:color w:val="auto"/>
        </w:rPr>
      </w:pPr>
    </w:p>
    <w:p>
      <w:pPr>
        <w:spacing w:after="0" w:line="24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270-6000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527685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7. Financial Statements and Exhibits</w:t>
      </w:r>
    </w:p>
    <w:p>
      <w:pPr>
        <w:spacing w:after="0" w:line="231" w:lineRule="exact"/>
        <w:rPr>
          <w:sz w:val="24"/>
          <w:szCs w:val="24"/>
          <w:color w:val="auto"/>
        </w:rPr>
      </w:pPr>
    </w:p>
    <w:p>
      <w:pPr>
        <w:ind w:left="280"/>
        <w:spacing w:after="0"/>
        <w:rPr>
          <w:sz w:val="20"/>
          <w:szCs w:val="20"/>
          <w:color w:val="auto"/>
        </w:rPr>
      </w:pPr>
      <w:r>
        <w:rPr>
          <w:rFonts w:ascii="Arial" w:cs="Arial" w:eastAsia="Arial" w:hAnsi="Arial"/>
          <w:sz w:val="18"/>
          <w:szCs w:val="18"/>
          <w:color w:val="auto"/>
        </w:rPr>
        <w:t>(c) Exhibits</w:t>
      </w:r>
    </w:p>
    <w:p>
      <w:pPr>
        <w:spacing w:after="0" w:line="225" w:lineRule="exact"/>
        <w:rPr>
          <w:sz w:val="24"/>
          <w:szCs w:val="24"/>
          <w:color w:val="auto"/>
        </w:rPr>
      </w:pPr>
    </w:p>
    <w:p>
      <w:pPr>
        <w:ind w:right="760" w:firstLine="524"/>
        <w:spacing w:after="0" w:line="268" w:lineRule="auto"/>
        <w:rPr>
          <w:sz w:val="20"/>
          <w:szCs w:val="20"/>
          <w:color w:val="auto"/>
        </w:rPr>
      </w:pPr>
      <w:r>
        <w:rPr>
          <w:rFonts w:ascii="Arial" w:cs="Arial" w:eastAsia="Arial" w:hAnsi="Arial"/>
          <w:sz w:val="18"/>
          <w:szCs w:val="18"/>
          <w:color w:val="auto"/>
        </w:rPr>
        <w:t>The following Exhibit is incorporated by reference into the Registration Statement on Form S-3 (333-52826) of J.P. Morgan Chase &amp; Co. (the “Registrant”) as exhibit thereto and is filed as part of this Current Report.</w:t>
      </w:r>
    </w:p>
    <w:p>
      <w:pPr>
        <w:spacing w:after="0" w:line="199" w:lineRule="exact"/>
        <w:rPr>
          <w:sz w:val="24"/>
          <w:szCs w:val="24"/>
          <w:color w:val="auto"/>
        </w:rPr>
      </w:pPr>
    </w:p>
    <w:p>
      <w:pPr>
        <w:ind w:left="2080" w:hanging="1076"/>
        <w:spacing w:after="0"/>
        <w:tabs>
          <w:tab w:leader="none" w:pos="2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Tax Opinion of Davis Polk &amp; Wardwell</w:t>
      </w:r>
    </w:p>
    <w:p>
      <w:pPr>
        <w:spacing w:after="0" w:line="23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523875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58" w:lineRule="exact"/>
        <w:rPr>
          <w:sz w:val="24"/>
          <w:szCs w:val="24"/>
          <w:color w:val="auto"/>
        </w:rPr>
      </w:pPr>
    </w:p>
    <w:p>
      <w:pPr>
        <w:ind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J.P. MORGAN CHASE &amp; CO.</w:t>
      </w:r>
    </w:p>
    <w:p>
      <w:pPr>
        <w:spacing w:after="0" w:line="1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4"/>
          <w:szCs w:val="24"/>
          <w:color w:val="auto"/>
        </w:rPr>
      </w:pPr>
    </w:p>
    <w:p>
      <w:pPr>
        <w:spacing w:after="0" w:line="262"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By: /s/ Anthony Horan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3855720</wp:posOffset>
            </wp:positionH>
            <wp:positionV relativeFrom="paragraph">
              <wp:posOffset>80010</wp:posOffset>
            </wp:positionV>
            <wp:extent cx="2058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219" w:lineRule="exact"/>
        <w:rPr>
          <w:sz w:val="24"/>
          <w:szCs w:val="24"/>
          <w:color w:val="auto"/>
        </w:rPr>
      </w:pPr>
    </w:p>
    <w:p>
      <w:pPr>
        <w:ind w:left="6080"/>
        <w:spacing w:after="0"/>
        <w:rPr>
          <w:sz w:val="20"/>
          <w:szCs w:val="20"/>
          <w:color w:val="auto"/>
        </w:rPr>
      </w:pPr>
      <w:r>
        <w:rPr>
          <w:rFonts w:ascii="Arial" w:cs="Arial" w:eastAsia="Arial" w:hAnsi="Arial"/>
          <w:sz w:val="18"/>
          <w:szCs w:val="18"/>
          <w:color w:val="auto"/>
        </w:rPr>
        <w:t>Name: Anthony Horan</w:t>
      </w:r>
    </w:p>
    <w:p>
      <w:pPr>
        <w:spacing w:after="0" w:line="15" w:lineRule="exact"/>
        <w:rPr>
          <w:sz w:val="24"/>
          <w:szCs w:val="24"/>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tab/>
        <w:t>Corporate Secretary</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Dated: July 7, 2004</w:t>
      </w:r>
    </w:p>
    <w:p>
      <w:pPr>
        <w:sectPr>
          <w:pgSz w:w="11900" w:h="16838" w:orient="portrait"/>
          <w:cols w:equalWidth="0" w:num="1">
            <w:col w:w="11260"/>
          </w:cols>
          <w:pgMar w:left="240" w:top="1138" w:right="399" w:bottom="391" w:gutter="0" w:footer="0" w:header="0"/>
        </w:sectPr>
      </w:pPr>
    </w:p>
    <w:bookmarkStart w:id="1" w:name="page2"/>
    <w:bookmarkEnd w:id="1"/>
    <w:p>
      <w:pPr>
        <w:jc w:val="center"/>
        <w:ind w:right="-2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329565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219"/>
          </w:cols>
          <w:pgMar w:left="12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337" w:lineRule="exact"/>
        <w:rPr>
          <w:sz w:val="20"/>
          <w:szCs w:val="20"/>
          <w:color w:val="auto"/>
        </w:rPr>
      </w:pPr>
    </w:p>
    <w:p>
      <w:pPr>
        <w:spacing w:after="0"/>
        <w:tabs>
          <w:tab w:leader="none" w:pos="152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52139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83" w:lineRule="exact"/>
        <w:rPr>
          <w:sz w:val="20"/>
          <w:szCs w:val="20"/>
          <w:color w:val="auto"/>
        </w:rPr>
      </w:pPr>
    </w:p>
    <w:p>
      <w:pPr>
        <w:ind w:left="1540" w:hanging="1016"/>
        <w:spacing w:after="0"/>
        <w:tabs>
          <w:tab w:leader="none" w:pos="1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Tax Opinion of Davis Polk &amp; Wardwell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146050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219"/>
          </w:cols>
          <w:pgMar w:left="1240" w:top="131" w:right="1440" w:bottom="1440" w:gutter="0" w:footer="0" w:header="0"/>
          <w:type w:val="continuous"/>
        </w:sectPr>
      </w:pPr>
    </w:p>
    <w:bookmarkStart w:id="2" w:name="page3"/>
    <w:bookmarkEnd w:id="2"/>
    <w:p>
      <w:pPr>
        <w:jc w:val="center"/>
        <w:ind w:right="20"/>
        <w:spacing w:after="0"/>
        <w:rPr>
          <w:sz w:val="20"/>
          <w:szCs w:val="20"/>
          <w:color w:val="auto"/>
        </w:rPr>
      </w:pPr>
      <w:r>
        <w:rPr>
          <w:rFonts w:ascii="Arial" w:cs="Arial" w:eastAsia="Arial" w:hAnsi="Arial"/>
          <w:sz w:val="22"/>
          <w:szCs w:val="22"/>
          <w:color w:val="auto"/>
        </w:rPr>
        <w:t>DAVIS POLK &amp; WARDWELL</w:t>
      </w:r>
    </w:p>
    <w:p>
      <w:pPr>
        <w:jc w:val="center"/>
        <w:ind w:right="20"/>
        <w:spacing w:after="0" w:line="238" w:lineRule="auto"/>
        <w:rPr>
          <w:sz w:val="20"/>
          <w:szCs w:val="20"/>
          <w:color w:val="auto"/>
        </w:rPr>
      </w:pPr>
      <w:r>
        <w:rPr>
          <w:rFonts w:ascii="Arial" w:cs="Arial" w:eastAsia="Arial" w:hAnsi="Arial"/>
          <w:sz w:val="22"/>
          <w:szCs w:val="22"/>
          <w:color w:val="auto"/>
        </w:rPr>
        <w:t>450 LEXINGTON AVENUE</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NEW YORK, NEW YORK 10017</w:t>
      </w:r>
    </w:p>
    <w:p>
      <w:pPr>
        <w:spacing w:after="0" w:line="188" w:lineRule="exact"/>
        <w:rPr>
          <w:sz w:val="20"/>
          <w:szCs w:val="20"/>
          <w:color w:val="auto"/>
        </w:rPr>
      </w:pPr>
    </w:p>
    <w:p>
      <w:pPr>
        <w:ind w:left="8000"/>
        <w:spacing w:after="0"/>
        <w:rPr>
          <w:sz w:val="20"/>
          <w:szCs w:val="20"/>
          <w:color w:val="auto"/>
        </w:rPr>
      </w:pPr>
      <w:r>
        <w:rPr>
          <w:rFonts w:ascii="Arial" w:cs="Arial" w:eastAsia="Arial" w:hAnsi="Arial"/>
          <w:sz w:val="22"/>
          <w:szCs w:val="22"/>
          <w:color w:val="auto"/>
        </w:rPr>
        <w:t>July 6, 2004</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J.P. Morgan Chase &amp; Co.</w:t>
      </w:r>
    </w:p>
    <w:p>
      <w:pPr>
        <w:spacing w:after="0" w:line="238" w:lineRule="auto"/>
        <w:rPr>
          <w:sz w:val="20"/>
          <w:szCs w:val="20"/>
          <w:color w:val="auto"/>
        </w:rPr>
      </w:pPr>
      <w:r>
        <w:rPr>
          <w:rFonts w:ascii="Arial" w:cs="Arial" w:eastAsia="Arial" w:hAnsi="Arial"/>
          <w:sz w:val="22"/>
          <w:szCs w:val="22"/>
          <w:color w:val="auto"/>
        </w:rPr>
        <w:t>270 Park Avenue</w:t>
      </w:r>
    </w:p>
    <w:p>
      <w:pPr>
        <w:spacing w:after="0"/>
        <w:rPr>
          <w:sz w:val="20"/>
          <w:szCs w:val="20"/>
          <w:color w:val="auto"/>
        </w:rPr>
      </w:pPr>
      <w:r>
        <w:rPr>
          <w:rFonts w:ascii="Arial" w:cs="Arial" w:eastAsia="Arial" w:hAnsi="Arial"/>
          <w:sz w:val="22"/>
          <w:szCs w:val="22"/>
          <w:color w:val="auto"/>
        </w:rPr>
        <w:t>New York, New York 10017</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ind w:firstLine="594"/>
        <w:spacing w:after="0" w:line="247" w:lineRule="auto"/>
        <w:rPr>
          <w:sz w:val="20"/>
          <w:szCs w:val="20"/>
          <w:color w:val="auto"/>
        </w:rPr>
      </w:pPr>
      <w:r>
        <w:rPr>
          <w:rFonts w:ascii="Arial" w:cs="Arial" w:eastAsia="Arial" w:hAnsi="Arial"/>
          <w:sz w:val="21"/>
          <w:szCs w:val="21"/>
          <w:color w:val="auto"/>
        </w:rPr>
        <w:t>We have acted as special tax counsel to J.P. Morgan Chase &amp; Co., a corporation incorporated under the laws of Delaware (the “Company”), in connection with the preparation and filing of a preliminary Pricing Supplement (No. 3) dated July 2, 2004 (the “Pricing Supplement”) to a prospectus supplement dated May 7, 2004 (the “Prospectus Supplement”) for the Company’s Global Medium-Term Notes, Series E, Global Warrants, Series E and Global Units, Series E, relating to a prospectus dated June 20, 2001 (the “Prospectus”) contained in the Company’s Registration Statement on Form S-3 (Registration Statement No. 333-52826) (the “Registration Statement”). This opinion is being furnished in accordance with the requirements of Section 601(b)(8) of Regulation S-K of the Securities Act of 1933, as amended (the “Act”).</w:t>
      </w:r>
    </w:p>
    <w:p>
      <w:pPr>
        <w:spacing w:after="0" w:line="178" w:lineRule="exact"/>
        <w:rPr>
          <w:sz w:val="20"/>
          <w:szCs w:val="20"/>
          <w:color w:val="auto"/>
        </w:rPr>
      </w:pPr>
    </w:p>
    <w:p>
      <w:pPr>
        <w:ind w:right="740" w:firstLine="594"/>
        <w:spacing w:after="0" w:line="238" w:lineRule="auto"/>
        <w:rPr>
          <w:sz w:val="20"/>
          <w:szCs w:val="20"/>
          <w:color w:val="auto"/>
        </w:rPr>
      </w:pPr>
      <w:r>
        <w:rPr>
          <w:rFonts w:ascii="Arial" w:cs="Arial" w:eastAsia="Arial" w:hAnsi="Arial"/>
          <w:sz w:val="22"/>
          <w:szCs w:val="22"/>
          <w:color w:val="auto"/>
        </w:rPr>
        <w:t>In our opinion, the discussion under the heading “Certain U.S. Federal Income Tax Consequences” in the Pricing Supplement, subject to the conditions and limitations described therein, sets forth the material U.S. federal income tax considerations applicable generally to holders of the securities offered pursuant to the Pricing Supplement as a result of the ownership and disposition of such securities.</w:t>
      </w:r>
    </w:p>
    <w:p>
      <w:pPr>
        <w:spacing w:after="0" w:line="185" w:lineRule="exact"/>
        <w:rPr>
          <w:sz w:val="20"/>
          <w:szCs w:val="20"/>
          <w:color w:val="auto"/>
        </w:rPr>
      </w:pPr>
    </w:p>
    <w:p>
      <w:pPr>
        <w:ind w:right="180" w:firstLine="594"/>
        <w:spacing w:after="0"/>
        <w:rPr>
          <w:sz w:val="20"/>
          <w:szCs w:val="20"/>
          <w:color w:val="auto"/>
        </w:rPr>
      </w:pPr>
      <w:r>
        <w:rPr>
          <w:rFonts w:ascii="Arial" w:cs="Arial" w:eastAsia="Arial" w:hAnsi="Arial"/>
          <w:sz w:val="22"/>
          <w:szCs w:val="22"/>
          <w:color w:val="auto"/>
        </w:rPr>
        <w:t>We hereby consent to the filing of this opinion as an exhibit to the Registration Statement and to the references to us under the heading “United States Federal Taxation” in the Pricing Supplement. By such consent we do not concede that we are an “Expert” for the purposes of the Act.</w:t>
      </w:r>
    </w:p>
    <w:p>
      <w:pPr>
        <w:spacing w:after="0" w:line="186"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 Davis Polk &amp; Wardwell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76200</wp:posOffset>
            </wp:positionV>
            <wp:extent cx="21951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00"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Davis Polk &amp; Wardwell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588645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380"/>
      </w:cols>
      <w:pgMar w:left="240" w:top="11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8"/>
      <w:numFmt w:val="bullet"/>
      <w:start w:val="1"/>
    </w:lvl>
  </w:abstractNum>
  <w:abstractNum w:abstractNumId="1">
    <w:nsid w:val="66334873"/>
    <w:multiLevelType w:val="hybridMultilevel"/>
    <w:lvl w:ilvl="0">
      <w:lvlJc w:val="left"/>
      <w:lvlText w:val="8"/>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2019-12-12T09:01:47Z</dcterms:created>
  <dcterms:modified xsi:type="dcterms:W3CDTF">2019-12-12T09:01:47Z</dcterms:modified>
</cp:coreProperties>
</file>