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6236-01_fwp.htm"/>
      <w:bookmarkStart w:id="1" w:name="ksea030623601_fwp"/>
      <w:bookmarkStart w:id="2" w:name="ea0306236-01_fwp.htm"/>
      <w:bookmarkStart w:id="3" w:name="ksea030623601_fwp"/>
      <w:bookmarkEnd w:id="2"/>
      <w:bookmarkEnd w:id="3"/>
    </w:p>
    <w:tbl>
      <w:tblPr>
        <w:tblW w:w="10205" w:type="dxa"/>
        <w:jc w:val="left"/>
        <w:tblInd w:w="0" w:type="dxa"/>
        <w:tblLayout w:type="fixed"/>
        <w:tblCellMar>
          <w:top w:w="0" w:type="dxa"/>
          <w:left w:w="0" w:type="dxa"/>
          <w:bottom w:w="0" w:type="dxa"/>
          <w:right w:w="0" w:type="dxa"/>
        </w:tblCellMar>
      </w:tblPr>
      <w:tblGrid>
        <w:gridCol w:w="6948"/>
        <w:gridCol w:w="3257"/>
      </w:tblGrid>
      <w:tr>
        <w:trPr/>
        <w:tc>
          <w:tcPr>
            <w:tcW w:w="6948"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57" w:type="dxa"/>
            <w:tcBorders/>
            <w:vAlign w:val="center"/>
          </w:tcPr>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spacing w:before="0" w:after="283"/>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tc>
      </w:tr>
    </w:tbl>
    <w:tbl>
      <w:tblPr>
        <w:tblW w:w="2340" w:type="dxa"/>
        <w:jc w:val="left"/>
        <w:tblInd w:w="0" w:type="dxa"/>
        <w:tblLayout w:type="fixed"/>
        <w:tblCellMar>
          <w:top w:w="0" w:type="dxa"/>
          <w:left w:w="0" w:type="dxa"/>
          <w:bottom w:w="0" w:type="dxa"/>
          <w:right w:w="0" w:type="dxa"/>
        </w:tblCellMar>
      </w:tblPr>
      <w:tblGrid>
        <w:gridCol w:w="75"/>
        <w:gridCol w:w="2265"/>
      </w:tblGrid>
      <w:tr>
        <w:trPr/>
        <w:tc>
          <w:tcPr>
            <w:tcW w:w="75" w:type="dxa"/>
            <w:tcBorders/>
            <w:vAlign w:val="center"/>
          </w:tcPr>
          <w:p>
            <w:pPr>
              <w:pStyle w:val="TableContents"/>
              <w:bidi w:val="0"/>
              <w:spacing w:before="0" w:after="283"/>
              <w:jc w:val="left"/>
              <w:rPr>
                <w:caps w:val="false"/>
                <w:smallCaps w:val="false"/>
                <w:color w:val="688FCF"/>
              </w:rPr>
            </w:pPr>
            <w:r>
              <w:rPr>
                <w:caps w:val="false"/>
                <w:smallCaps w:val="false"/>
                <w:color w:val="688FCF"/>
              </w:rPr>
              <w:t> </w:t>
            </w:r>
          </w:p>
        </w:tc>
        <w:tc>
          <w:tcPr>
            <w:tcW w:w="226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4287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048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Intel Corporation due September 27, 2029</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22, 2026 to Preliminary Pricing Supplement dated September 21,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9116695"/>
                <wp:effectExtent l="0" t="0" r="0" b="0"/>
                <wp:wrapSquare wrapText="right"/>
                <wp:docPr id="2" name="Frame1"/>
                <a:graphic xmlns:a="http://schemas.openxmlformats.org/drawingml/2006/main">
                  <a:graphicData uri="http://schemas.microsoft.com/office/word/2010/wordprocessingShape">
                    <wps:wsp>
                      <wps:cNvSpPr txBox="1"/>
                      <wps:spPr>
                        <a:xfrm>
                          <a:off x="0" y="0"/>
                          <a:ext cx="3110230" cy="911669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Intel Corporation (Bloomberg ticker: INTC)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22,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25,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27,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w:t>
                                  </w:r>
                                  <w:r>
                                    <w:rPr>
                                      <w:rFonts w:ascii="Georgia;Times;Serif" w:hAnsi="Georgia;Times;Serif"/>
                                      <w:b w:val="false"/>
                                      <w:i w:val="false"/>
                                      <w:caps w:val="false"/>
                                      <w:smallCaps w:val="false"/>
                                      <w:sz w:val="15"/>
                                    </w:rPr>
                                    <w:t>least 18.30%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June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22</w:t>
                                  </w:r>
                                  <w:r>
                                    <w:rPr>
                                      <w:rFonts w:ascii="Georgia;Times;Serif" w:hAnsi="Georgia;Times;Serif"/>
                                      <w:b w:val="false"/>
                                      <w:i w:val="false"/>
                                      <w:caps w:val="false"/>
                                      <w:smallCaps w:val="false"/>
                                      <w:position w:val="5"/>
                                      <w:sz w:val="12"/>
                                      <w:sz w:val="15"/>
                                    </w:rPr>
                                    <w:t>nd</w:t>
                                  </w:r>
                                  <w:r>
                                    <w:rPr>
                                      <w:rFonts w:ascii="Georgia;Times;Serif" w:hAnsi="Georgia;Times;Serif"/>
                                      <w:b w:val="false"/>
                                      <w:i w:val="false"/>
                                      <w:caps w:val="false"/>
                                      <w:smallCaps w:val="false"/>
                                      <w:sz w:val="15"/>
                                    </w:rPr>
                                    <w:t xml:space="preserve"> day of each March, June, September and December, commencing December 2026 and ending September 2029,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September 2029 calculation day will be September 24, 2029.  We refer to September 24,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1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Intel Corporation (Bloomberg ticker: INTC)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22,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25,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27,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w:t>
                            </w:r>
                            <w:r>
                              <w:rPr>
                                <w:rFonts w:ascii="Georgia;Times;Serif" w:hAnsi="Georgia;Times;Serif"/>
                                <w:b w:val="false"/>
                                <w:i w:val="false"/>
                                <w:caps w:val="false"/>
                                <w:smallCaps w:val="false"/>
                                <w:sz w:val="15"/>
                              </w:rPr>
                              <w:t>least 18.30%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June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22</w:t>
                            </w:r>
                            <w:r>
                              <w:rPr>
                                <w:rFonts w:ascii="Georgia;Times;Serif" w:hAnsi="Georgia;Times;Serif"/>
                                <w:b w:val="false"/>
                                <w:i w:val="false"/>
                                <w:caps w:val="false"/>
                                <w:smallCaps w:val="false"/>
                                <w:position w:val="5"/>
                                <w:sz w:val="12"/>
                                <w:sz w:val="15"/>
                              </w:rPr>
                              <w:t>nd</w:t>
                            </w:r>
                            <w:r>
                              <w:rPr>
                                <w:rFonts w:ascii="Georgia;Times;Serif" w:hAnsi="Georgia;Times;Serif"/>
                                <w:b w:val="false"/>
                                <w:i w:val="false"/>
                                <w:caps w:val="false"/>
                                <w:smallCaps w:val="false"/>
                                <w:sz w:val="15"/>
                              </w:rPr>
                              <w:t xml:space="preserve"> day of each March, June, September and December, commencing December 2026 and ending September 2029,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September 2029 calculation day will be September 24, 2029.  We refer to September 24,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10230" cy="9953625"/>
                <wp:effectExtent l="0" t="0" r="0" b="0"/>
                <wp:wrapSquare wrapText="left"/>
                <wp:docPr id="3" name="Frame2"/>
                <a:graphic xmlns:a="http://schemas.openxmlformats.org/drawingml/2006/main">
                  <a:graphicData uri="http://schemas.microsoft.com/office/word/2010/wordprocessingShape">
                    <wps:wsp>
                      <wps:cNvSpPr txBox="1"/>
                      <wps:spPr>
                        <a:xfrm>
                          <a:off x="0" y="0"/>
                          <a:ext cx="3110230" cy="995362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50%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46661PZ26</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0"/>
                              <w:ind w:left="8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419475" cy="22574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419475" cy="2257425"/>
                                          </a:xfrm>
                                          <a:prstGeom prst="rect">
                                            <a:avLst/>
                                          </a:prstGeom>
                                        </pic:spPr>
                                      </pic:pic>
                                    </a:graphicData>
                                  </a:graphic>
                                </wp:inline>
                              </w:drawing>
                            </w:r>
                          </w:p>
                          <w:p>
                            <w:pPr>
                              <w:pStyle w:val="TextBody"/>
                              <w:bidi w:val="0"/>
                              <w:ind w:left="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50%, and possibly all, of the principal amount of your securities at maturity.</w:t>
                            </w:r>
                          </w:p>
                          <w:p>
                            <w:pPr>
                              <w:pStyle w:val="TextBody"/>
                              <w:bidi w:val="0"/>
                              <w:ind w:left="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$956.80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283"/>
                              <w:ind w:left="1150" w:right="1150" w:hanging="0"/>
                              <w:jc w:val="left"/>
                              <w:rPr/>
                            </w:pPr>
                            <w:r>
                              <w:rPr>
                                <w:rFonts w:ascii="Georgia;Times;Serif" w:hAnsi="Georgia;Times;Serif"/>
                                <w:b w:val="false"/>
                                <w:i w:val="false"/>
                                <w:caps w:val="false"/>
                                <w:smallCaps w:val="false"/>
                                <w:sz w:val="14"/>
                              </w:rPr>
                              <w:t xml:space="preserve">Preliminary Pricing Supplement: </w:t>
                              <w:br/>
                            </w:r>
                            <w:hyperlink r:id="rId4">
                              <w:r>
                                <w:rPr>
                                  <w:rStyle w:val="InternetLink"/>
                                  <w:rFonts w:ascii="Georgia;Times;Serif" w:hAnsi="Georgia;Times;Serif"/>
                                  <w:b w:val="false"/>
                                  <w:i w:val="false"/>
                                  <w:caps w:val="false"/>
                                  <w:smallCaps w:val="false"/>
                                  <w:sz w:val="14"/>
                                </w:rPr>
                                <w:t>http://www.sec.gov/Archives/edgar/data/19617/000121390026101992/</w:t>
                                <w:br/>
                                <w:t>ea0306152-01_424b2.htm</w:t>
                              </w:r>
                            </w:hyperlink>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3.7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50%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46661PZ26</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0"/>
                        <w:ind w:left="8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419475" cy="22574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419475" cy="2257425"/>
                                    </a:xfrm>
                                    <a:prstGeom prst="rect">
                                      <a:avLst/>
                                    </a:prstGeom>
                                  </pic:spPr>
                                </pic:pic>
                              </a:graphicData>
                            </a:graphic>
                          </wp:inline>
                        </w:drawing>
                      </w:r>
                    </w:p>
                    <w:p>
                      <w:pPr>
                        <w:pStyle w:val="TextBody"/>
                        <w:bidi w:val="0"/>
                        <w:ind w:left="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50%, and possibly all, of the principal amount of your securities at maturity.</w:t>
                      </w:r>
                    </w:p>
                    <w:p>
                      <w:pPr>
                        <w:pStyle w:val="TextBody"/>
                        <w:bidi w:val="0"/>
                        <w:ind w:left="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$956.80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283"/>
                        <w:ind w:left="1150" w:right="1150" w:hanging="0"/>
                        <w:jc w:val="left"/>
                        <w:rPr/>
                      </w:pPr>
                      <w:r>
                        <w:rPr>
                          <w:rFonts w:ascii="Georgia;Times;Serif" w:hAnsi="Georgia;Times;Serif"/>
                          <w:b w:val="false"/>
                          <w:i w:val="false"/>
                          <w:caps w:val="false"/>
                          <w:smallCaps w:val="false"/>
                          <w:sz w:val="14"/>
                        </w:rPr>
                        <w:t xml:space="preserve">Preliminary Pricing Supplement: </w:t>
                        <w:br/>
                      </w:r>
                      <w:hyperlink r:id="rId6">
                        <w:r>
                          <w:rPr>
                            <w:rStyle w:val="InternetLink"/>
                            <w:rFonts w:ascii="Georgia;Times;Serif" w:hAnsi="Georgia;Times;Serif"/>
                            <w:b w:val="false"/>
                            <w:i w:val="false"/>
                            <w:caps w:val="false"/>
                            <w:smallCaps w:val="false"/>
                            <w:sz w:val="14"/>
                          </w:rPr>
                          <w:t>http://www.sec.gov/Archives/edgar/data/19617/000121390026101992/</w:t>
                          <w:br/>
                          <w:t>ea0306152-01_424b2.htm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0"/>
        <w:gridCol w:w="5795"/>
      </w:tblGrid>
      <w:tr>
        <w:trPr/>
        <w:tc>
          <w:tcPr>
            <w:tcW w:w="4410"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50%,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95"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the Underlying Stock and Therefore the Securities Are Subject to the Risks Associated with the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2800" w:after="120"/>
        <w:ind w:left="2800" w:right="280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ind w:left="0" w:right="0" w:hanging="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1992/ea0306152-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1992/ea0306152-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1659</Words>
  <Characters>8962</Characters>
  <CharactersWithSpaces>10649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