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186055</wp:posOffset>
            </wp:positionV>
            <wp:extent cx="2777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205740</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December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226060</wp:posOffset>
            </wp:positionV>
            <wp:extent cx="2777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JPMorgan Chase &amp; Co.</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182880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tbl>
      <w:tblPr>
        <w:tblLayout w:type="fixed"/>
        <w:tblInd w:w="2460" w:type="dxa"/>
        <w:tblCellMar>
          <w:top w:w="0" w:type="dxa"/>
          <w:left w:w="0" w:type="dxa"/>
          <w:bottom w:w="0" w:type="dxa"/>
          <w:right w:w="0" w:type="dxa"/>
        </w:tblCellMar>
      </w:tblPr>
      <w:tr>
        <w:trPr>
          <w:trHeight w:val="168"/>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Delaware</w:t>
            </w:r>
          </w:p>
        </w:tc>
        <w:tc>
          <w:tcPr>
            <w:tcW w:w="2000" w:type="dxa"/>
            <w:vAlign w:val="bottom"/>
          </w:tcPr>
          <w:p>
            <w:pPr>
              <w:jc w:val="right"/>
              <w:ind w:right="857"/>
              <w:spacing w:after="0"/>
              <w:rPr>
                <w:sz w:val="20"/>
                <w:szCs w:val="20"/>
                <w:color w:val="auto"/>
              </w:rPr>
            </w:pPr>
            <w:r>
              <w:rPr>
                <w:rFonts w:ascii="Arial" w:cs="Arial" w:eastAsia="Arial" w:hAnsi="Arial"/>
                <w:sz w:val="13"/>
                <w:szCs w:val="13"/>
                <w:b w:val="1"/>
                <w:bCs w:val="1"/>
                <w:color w:val="auto"/>
              </w:rPr>
              <w:t>1-5805</w:t>
            </w:r>
          </w:p>
        </w:tc>
        <w:tc>
          <w:tcPr>
            <w:tcW w:w="1380" w:type="dxa"/>
            <w:vAlign w:val="bottom"/>
          </w:tcPr>
          <w:p>
            <w:pPr>
              <w:jc w:val="right"/>
              <w:ind w:right="117"/>
              <w:spacing w:after="0"/>
              <w:rPr>
                <w:sz w:val="20"/>
                <w:szCs w:val="20"/>
                <w:color w:val="auto"/>
              </w:rPr>
            </w:pPr>
            <w:r>
              <w:rPr>
                <w:rFonts w:ascii="Arial" w:cs="Arial" w:eastAsia="Arial" w:hAnsi="Arial"/>
                <w:sz w:val="13"/>
                <w:szCs w:val="13"/>
                <w:b w:val="1"/>
                <w:bCs w:val="1"/>
                <w:color w:val="auto"/>
              </w:rPr>
              <w:t>13-2624428</w:t>
            </w:r>
          </w:p>
        </w:tc>
      </w:tr>
      <w:tr>
        <w:trPr>
          <w:trHeight w:val="137"/>
        </w:trPr>
        <w:tc>
          <w:tcPr>
            <w:tcW w:w="2440" w:type="dxa"/>
            <w:vAlign w:val="bottom"/>
          </w:tcPr>
          <w:p>
            <w:pPr>
              <w:jc w:val="center"/>
              <w:ind w:right="17"/>
              <w:spacing w:after="0" w:line="138" w:lineRule="exact"/>
              <w:rPr>
                <w:sz w:val="20"/>
                <w:szCs w:val="20"/>
                <w:color w:val="auto"/>
              </w:rPr>
            </w:pPr>
            <w:r>
              <w:rPr>
                <w:rFonts w:ascii="Arial" w:cs="Arial" w:eastAsia="Arial" w:hAnsi="Arial"/>
                <w:sz w:val="13"/>
                <w:szCs w:val="13"/>
                <w:b w:val="1"/>
                <w:bCs w:val="1"/>
                <w:color w:val="auto"/>
                <w:w w:val="96"/>
              </w:rPr>
              <w:t>(State or other jurisdiction of</w:t>
            </w:r>
          </w:p>
        </w:tc>
        <w:tc>
          <w:tcPr>
            <w:tcW w:w="2000" w:type="dxa"/>
            <w:vAlign w:val="bottom"/>
          </w:tcPr>
          <w:p>
            <w:pPr>
              <w:jc w:val="center"/>
              <w:ind w:right="177"/>
              <w:spacing w:after="0" w:line="138" w:lineRule="exact"/>
              <w:rPr>
                <w:sz w:val="20"/>
                <w:szCs w:val="20"/>
                <w:color w:val="auto"/>
              </w:rPr>
            </w:pPr>
            <w:r>
              <w:rPr>
                <w:rFonts w:ascii="Arial" w:cs="Arial" w:eastAsia="Arial" w:hAnsi="Arial"/>
                <w:sz w:val="13"/>
                <w:szCs w:val="13"/>
                <w:b w:val="1"/>
                <w:bCs w:val="1"/>
                <w:color w:val="auto"/>
                <w:w w:val="96"/>
              </w:rPr>
              <w:t>(Commission File Number)</w:t>
            </w:r>
          </w:p>
        </w:tc>
        <w:tc>
          <w:tcPr>
            <w:tcW w:w="1380" w:type="dxa"/>
            <w:vAlign w:val="bottom"/>
          </w:tcPr>
          <w:p>
            <w:pPr>
              <w:jc w:val="center"/>
              <w:ind w:left="277"/>
              <w:spacing w:after="0" w:line="138" w:lineRule="exact"/>
              <w:rPr>
                <w:sz w:val="20"/>
                <w:szCs w:val="20"/>
                <w:color w:val="auto"/>
              </w:rPr>
            </w:pPr>
            <w:r>
              <w:rPr>
                <w:rFonts w:ascii="Arial" w:cs="Arial" w:eastAsia="Arial" w:hAnsi="Arial"/>
                <w:sz w:val="13"/>
                <w:szCs w:val="13"/>
                <w:b w:val="1"/>
                <w:bCs w:val="1"/>
                <w:color w:val="auto"/>
                <w:w w:val="97"/>
              </w:rPr>
              <w:t>(I.R.S. employer</w:t>
            </w:r>
          </w:p>
        </w:tc>
      </w:tr>
      <w:tr>
        <w:trPr>
          <w:trHeight w:val="168"/>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incorporation or organization)</w:t>
            </w:r>
          </w:p>
        </w:tc>
        <w:tc>
          <w:tcPr>
            <w:tcW w:w="2000" w:type="dxa"/>
            <w:vAlign w:val="bottom"/>
          </w:tcPr>
          <w:p>
            <w:pPr>
              <w:spacing w:after="0"/>
              <w:rPr>
                <w:sz w:val="14"/>
                <w:szCs w:val="14"/>
                <w:color w:val="auto"/>
              </w:rPr>
            </w:pPr>
          </w:p>
        </w:tc>
        <w:tc>
          <w:tcPr>
            <w:tcW w:w="1380" w:type="dxa"/>
            <w:vAlign w:val="bottom"/>
          </w:tcPr>
          <w:p>
            <w:pPr>
              <w:jc w:val="center"/>
              <w:ind w:left="277"/>
              <w:spacing w:after="0"/>
              <w:rPr>
                <w:sz w:val="20"/>
                <w:szCs w:val="20"/>
                <w:color w:val="auto"/>
              </w:rPr>
            </w:pPr>
            <w:r>
              <w:rPr>
                <w:rFonts w:ascii="Arial" w:cs="Arial" w:eastAsia="Arial" w:hAnsi="Arial"/>
                <w:sz w:val="13"/>
                <w:szCs w:val="13"/>
                <w:b w:val="1"/>
                <w:bCs w:val="1"/>
                <w:color w:val="auto"/>
                <w:w w:val="95"/>
              </w:rPr>
              <w:t>identification no.)</w:t>
            </w:r>
          </w:p>
        </w:tc>
      </w:tr>
      <w:tr>
        <w:trPr>
          <w:trHeight w:val="329"/>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383 Madison Avenue,</w:t>
            </w: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5"/>
        </w:trPr>
        <w:tc>
          <w:tcPr>
            <w:tcW w:w="2440" w:type="dxa"/>
            <w:vAlign w:val="bottom"/>
          </w:tcPr>
          <w:p>
            <w:pPr>
              <w:ind w:left="560"/>
              <w:spacing w:after="0"/>
              <w:rPr>
                <w:sz w:val="20"/>
                <w:szCs w:val="20"/>
                <w:color w:val="auto"/>
              </w:rPr>
            </w:pPr>
            <w:r>
              <w:rPr>
                <w:rFonts w:ascii="Arial" w:cs="Arial" w:eastAsia="Arial" w:hAnsi="Arial"/>
                <w:sz w:val="13"/>
                <w:szCs w:val="13"/>
                <w:b w:val="1"/>
                <w:bCs w:val="1"/>
                <w:color w:val="auto"/>
              </w:rPr>
              <w:t>New York, New York</w:t>
            </w:r>
          </w:p>
        </w:tc>
        <w:tc>
          <w:tcPr>
            <w:tcW w:w="2000" w:type="dxa"/>
            <w:vAlign w:val="bottom"/>
          </w:tcPr>
          <w:p>
            <w:pPr>
              <w:spacing w:after="0"/>
              <w:rPr>
                <w:sz w:val="15"/>
                <w:szCs w:val="15"/>
                <w:color w:val="auto"/>
              </w:rPr>
            </w:pPr>
          </w:p>
        </w:tc>
        <w:tc>
          <w:tcPr>
            <w:tcW w:w="1380" w:type="dxa"/>
            <w:vAlign w:val="bottom"/>
          </w:tcPr>
          <w:p>
            <w:pPr>
              <w:jc w:val="right"/>
              <w:ind w:right="277"/>
              <w:spacing w:after="0"/>
              <w:rPr>
                <w:sz w:val="20"/>
                <w:szCs w:val="20"/>
                <w:color w:val="auto"/>
              </w:rPr>
            </w:pPr>
            <w:r>
              <w:rPr>
                <w:rFonts w:ascii="Arial" w:cs="Arial" w:eastAsia="Arial" w:hAnsi="Arial"/>
                <w:sz w:val="13"/>
                <w:szCs w:val="13"/>
                <w:b w:val="1"/>
                <w:bCs w:val="1"/>
                <w:color w:val="auto"/>
              </w:rPr>
              <w:t>10179</w:t>
            </w:r>
          </w:p>
        </w:tc>
      </w:tr>
      <w:tr>
        <w:trPr>
          <w:trHeight w:val="216"/>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000" w:type="dxa"/>
            <w:vAlign w:val="bottom"/>
          </w:tcPr>
          <w:p>
            <w:pPr>
              <w:spacing w:after="0"/>
              <w:rPr>
                <w:sz w:val="18"/>
                <w:szCs w:val="18"/>
                <w:color w:val="auto"/>
              </w:rPr>
            </w:pPr>
          </w:p>
        </w:tc>
        <w:tc>
          <w:tcPr>
            <w:tcW w:w="1380" w:type="dxa"/>
            <w:vAlign w:val="bottom"/>
          </w:tcPr>
          <w:p>
            <w:pPr>
              <w:jc w:val="center"/>
              <w:ind w:left="297"/>
              <w:spacing w:after="0"/>
              <w:rPr>
                <w:sz w:val="20"/>
                <w:szCs w:val="20"/>
                <w:color w:val="auto"/>
              </w:rPr>
            </w:pPr>
            <w:r>
              <w:rPr>
                <w:rFonts w:ascii="Arial" w:cs="Arial" w:eastAsia="Arial" w:hAnsi="Arial"/>
                <w:sz w:val="13"/>
                <w:szCs w:val="13"/>
                <w:b w:val="1"/>
                <w:bCs w:val="1"/>
                <w:color w:val="auto"/>
                <w:w w:val="96"/>
              </w:rPr>
              <w:t>(Zip Code)</w:t>
            </w:r>
          </w:p>
        </w:tc>
      </w:tr>
    </w:tbl>
    <w:p>
      <w:pPr>
        <w:spacing w:after="0" w:line="15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 (212) 270-6000</w:t>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Check the appropriate box below if the Form 8-K filing is intended to simultaneously satisfy the filing obligation of the registrant under any of the following provisions:</w:t>
      </w:r>
    </w:p>
    <w:p>
      <w:pPr>
        <w:spacing w:after="0" w:line="1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Written communications pursuant to Rule 425 under the Securities Act (17 CFR 230.425)</w:t>
      </w:r>
    </w:p>
    <w:p>
      <w:pPr>
        <w:spacing w:after="0" w:line="134"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Soliciting material pursuant to Rule 14a-12 under the Exchange Act (17 CFR 240.14a-12)</w:t>
      </w:r>
    </w:p>
    <w:p>
      <w:pPr>
        <w:spacing w:after="0" w:line="242"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14d-2(b) under the Exchange Act (17 CFR 240.14d-2(b))</w:t>
      </w:r>
    </w:p>
    <w:p>
      <w:pPr>
        <w:spacing w:after="0" w:line="134"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13e-4(c) under the Exchange Act (17 CFR 240.13e-4(c))</w:t>
      </w:r>
    </w:p>
    <w:p>
      <w:pPr>
        <w:spacing w:after="0" w:line="170"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21" w:lineRule="exact"/>
        <w:rPr>
          <w:sz w:val="24"/>
          <w:szCs w:val="24"/>
          <w:color w:val="auto"/>
        </w:rPr>
      </w:pPr>
    </w:p>
    <w:tbl>
      <w:tblPr>
        <w:tblLayout w:type="fixed"/>
        <w:tblInd w:w="100" w:type="dxa"/>
        <w:tblCellMar>
          <w:top w:w="0" w:type="dxa"/>
          <w:left w:w="0" w:type="dxa"/>
          <w:bottom w:w="0" w:type="dxa"/>
          <w:right w:w="0" w:type="dxa"/>
        </w:tblCellMar>
      </w:tblPr>
      <w:tr>
        <w:trPr>
          <w:trHeight w:val="149"/>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Title of each class</w:t>
            </w: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Trading Symbol(s)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80"/>
        </w:trPr>
        <w:tc>
          <w:tcPr>
            <w:tcW w:w="5860" w:type="dxa"/>
            <w:vAlign w:val="bottom"/>
            <w:gridSpan w:val="2"/>
          </w:tcPr>
          <w:p>
            <w:pPr>
              <w:spacing w:after="0"/>
              <w:rPr>
                <w:sz w:val="20"/>
                <w:szCs w:val="20"/>
                <w:color w:val="auto"/>
              </w:rPr>
            </w:pPr>
            <w:r>
              <w:rPr>
                <w:rFonts w:ascii="Arial" w:cs="Arial" w:eastAsia="Arial" w:hAnsi="Arial"/>
                <w:sz w:val="13"/>
                <w:szCs w:val="13"/>
                <w:b w:val="1"/>
                <w:bCs w:val="1"/>
                <w:color w:val="auto"/>
              </w:rPr>
              <w:t>Common stock</w:t>
            </w:r>
          </w:p>
        </w:tc>
        <w:tc>
          <w:tcPr>
            <w:tcW w:w="1740" w:type="dxa"/>
            <w:vAlign w:val="bottom"/>
            <w:gridSpan w:val="3"/>
          </w:tcPr>
          <w:p>
            <w:pPr>
              <w:ind w:left="100"/>
              <w:spacing w:after="0"/>
              <w:rPr>
                <w:sz w:val="20"/>
                <w:szCs w:val="20"/>
                <w:color w:val="auto"/>
              </w:rPr>
            </w:pPr>
            <w:r>
              <w:rPr>
                <w:rFonts w:ascii="Arial" w:cs="Arial" w:eastAsia="Arial" w:hAnsi="Arial"/>
                <w:sz w:val="13"/>
                <w:szCs w:val="13"/>
                <w:b w:val="1"/>
                <w:bCs w:val="1"/>
                <w:color w:val="auto"/>
              </w:rPr>
              <w:t>JPM</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The New York Stock Exchange</w:t>
            </w:r>
          </w:p>
        </w:tc>
      </w:tr>
      <w:tr>
        <w:trPr>
          <w:trHeight w:val="138"/>
        </w:trPr>
        <w:tc>
          <w:tcPr>
            <w:tcW w:w="58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6.10% Non-</w:t>
            </w:r>
          </w:p>
        </w:tc>
        <w:tc>
          <w:tcPr>
            <w:tcW w:w="1740" w:type="dxa"/>
            <w:vAlign w:val="bottom"/>
            <w:gridSpan w:val="3"/>
          </w:tcPr>
          <w:p>
            <w:pPr>
              <w:ind w:left="100"/>
              <w:spacing w:after="0" w:line="138" w:lineRule="exact"/>
              <w:rPr>
                <w:sz w:val="20"/>
                <w:szCs w:val="20"/>
                <w:color w:val="auto"/>
              </w:rPr>
            </w:pPr>
            <w:r>
              <w:rPr>
                <w:rFonts w:ascii="Arial" w:cs="Arial" w:eastAsia="Arial" w:hAnsi="Arial"/>
                <w:sz w:val="13"/>
                <w:szCs w:val="13"/>
                <w:b w:val="1"/>
                <w:bCs w:val="1"/>
                <w:color w:val="auto"/>
              </w:rPr>
              <w:t>JPM PR G</w:t>
            </w:r>
          </w:p>
        </w:tc>
        <w:tc>
          <w:tcPr>
            <w:tcW w:w="3200" w:type="dxa"/>
            <w:vAlign w:val="bottom"/>
            <w:gridSpan w:val="2"/>
          </w:tcPr>
          <w:p>
            <w:pPr>
              <w:ind w:left="540"/>
              <w:spacing w:after="0" w:line="138"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AA</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86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6.15% Non-</w:t>
            </w:r>
          </w:p>
        </w:tc>
        <w:tc>
          <w:tcPr>
            <w:tcW w:w="1740" w:type="dxa"/>
            <w:vAlign w:val="bottom"/>
            <w:gridSpan w:val="3"/>
          </w:tcPr>
          <w:p>
            <w:pPr>
              <w:ind w:left="100"/>
              <w:spacing w:after="0" w:line="130" w:lineRule="exact"/>
              <w:rPr>
                <w:sz w:val="20"/>
                <w:szCs w:val="20"/>
                <w:color w:val="auto"/>
              </w:rPr>
            </w:pPr>
            <w:r>
              <w:rPr>
                <w:rFonts w:ascii="Arial" w:cs="Arial" w:eastAsia="Arial" w:hAnsi="Arial"/>
                <w:sz w:val="13"/>
                <w:szCs w:val="13"/>
                <w:b w:val="1"/>
                <w:bCs w:val="1"/>
                <w:color w:val="auto"/>
              </w:rPr>
              <w:t>JPM PR H</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BB</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86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5.75% Non-</w:t>
            </w:r>
          </w:p>
        </w:tc>
        <w:tc>
          <w:tcPr>
            <w:tcW w:w="1740" w:type="dxa"/>
            <w:vAlign w:val="bottom"/>
            <w:gridSpan w:val="3"/>
          </w:tcPr>
          <w:p>
            <w:pPr>
              <w:ind w:left="100"/>
              <w:spacing w:after="0" w:line="130" w:lineRule="exact"/>
              <w:rPr>
                <w:sz w:val="20"/>
                <w:szCs w:val="20"/>
                <w:color w:val="auto"/>
              </w:rPr>
            </w:pPr>
            <w:r>
              <w:rPr>
                <w:rFonts w:ascii="Arial" w:cs="Arial" w:eastAsia="Arial" w:hAnsi="Arial"/>
                <w:sz w:val="13"/>
                <w:szCs w:val="13"/>
                <w:b w:val="1"/>
                <w:bCs w:val="1"/>
                <w:color w:val="auto"/>
              </w:rPr>
              <w:t>JPM PR D</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DD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86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6.00% Non-</w:t>
            </w:r>
          </w:p>
        </w:tc>
        <w:tc>
          <w:tcPr>
            <w:tcW w:w="1740" w:type="dxa"/>
            <w:vAlign w:val="bottom"/>
            <w:gridSpan w:val="3"/>
          </w:tcPr>
          <w:p>
            <w:pPr>
              <w:ind w:left="100"/>
              <w:spacing w:after="0" w:line="130" w:lineRule="exact"/>
              <w:rPr>
                <w:sz w:val="20"/>
                <w:szCs w:val="20"/>
                <w:color w:val="auto"/>
              </w:rPr>
            </w:pPr>
            <w:r>
              <w:rPr>
                <w:rFonts w:ascii="Arial" w:cs="Arial" w:eastAsia="Arial" w:hAnsi="Arial"/>
                <w:sz w:val="13"/>
                <w:szCs w:val="13"/>
                <w:b w:val="1"/>
                <w:bCs w:val="1"/>
                <w:color w:val="auto"/>
              </w:rPr>
              <w:t>JPM PR C</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EE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86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4.75% Non-</w:t>
            </w:r>
          </w:p>
        </w:tc>
        <w:tc>
          <w:tcPr>
            <w:tcW w:w="1740" w:type="dxa"/>
            <w:vAlign w:val="bottom"/>
            <w:gridSpan w:val="3"/>
          </w:tcPr>
          <w:p>
            <w:pPr>
              <w:ind w:left="100"/>
              <w:spacing w:after="0" w:line="130" w:lineRule="exact"/>
              <w:rPr>
                <w:sz w:val="20"/>
                <w:szCs w:val="20"/>
                <w:color w:val="auto"/>
              </w:rPr>
            </w:pPr>
            <w:r>
              <w:rPr>
                <w:rFonts w:ascii="Arial" w:cs="Arial" w:eastAsia="Arial" w:hAnsi="Arial"/>
                <w:sz w:val="13"/>
                <w:szCs w:val="13"/>
                <w:b w:val="1"/>
                <w:bCs w:val="1"/>
                <w:color w:val="auto"/>
              </w:rPr>
              <w:t>JPM PR J</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GG</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8"/>
        </w:trPr>
        <w:tc>
          <w:tcPr>
            <w:tcW w:w="5860" w:type="dxa"/>
            <w:vAlign w:val="bottom"/>
            <w:gridSpan w:val="2"/>
          </w:tcPr>
          <w:p>
            <w:pPr>
              <w:spacing w:after="0"/>
              <w:rPr>
                <w:sz w:val="20"/>
                <w:szCs w:val="20"/>
                <w:color w:val="auto"/>
              </w:rPr>
            </w:pPr>
            <w:r>
              <w:rPr>
                <w:rFonts w:ascii="Arial" w:cs="Arial" w:eastAsia="Arial" w:hAnsi="Arial"/>
                <w:sz w:val="13"/>
                <w:szCs w:val="13"/>
                <w:b w:val="1"/>
                <w:bCs w:val="1"/>
                <w:color w:val="auto"/>
              </w:rPr>
              <w:t>Alerian MLP Index ETNs due May 24, 2024</w:t>
            </w:r>
          </w:p>
        </w:tc>
        <w:tc>
          <w:tcPr>
            <w:tcW w:w="1740" w:type="dxa"/>
            <w:vAlign w:val="bottom"/>
            <w:gridSpan w:val="3"/>
          </w:tcPr>
          <w:p>
            <w:pPr>
              <w:ind w:left="100"/>
              <w:spacing w:after="0"/>
              <w:rPr>
                <w:sz w:val="20"/>
                <w:szCs w:val="20"/>
                <w:color w:val="auto"/>
              </w:rPr>
            </w:pPr>
            <w:r>
              <w:rPr>
                <w:rFonts w:ascii="Arial" w:cs="Arial" w:eastAsia="Arial" w:hAnsi="Arial"/>
                <w:sz w:val="13"/>
                <w:szCs w:val="13"/>
                <w:b w:val="1"/>
                <w:bCs w:val="1"/>
                <w:color w:val="auto"/>
              </w:rPr>
              <w:t>AMJ</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NYSE Arca, Inc.</w:t>
            </w:r>
          </w:p>
        </w:tc>
      </w:tr>
      <w:tr>
        <w:trPr>
          <w:trHeight w:val="138"/>
        </w:trPr>
        <w:tc>
          <w:tcPr>
            <w:tcW w:w="58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98"/>
              </w:rPr>
              <w:t>Guarantee of Callable Step-Up Fixed Rate Notes due April 26, 2028 of JPMorgan Chase Financial</w:t>
            </w:r>
          </w:p>
        </w:tc>
        <w:tc>
          <w:tcPr>
            <w:tcW w:w="1740" w:type="dxa"/>
            <w:vAlign w:val="bottom"/>
            <w:gridSpan w:val="3"/>
          </w:tcPr>
          <w:p>
            <w:pPr>
              <w:ind w:left="100"/>
              <w:spacing w:after="0" w:line="138" w:lineRule="exact"/>
              <w:rPr>
                <w:sz w:val="20"/>
                <w:szCs w:val="20"/>
                <w:color w:val="auto"/>
              </w:rPr>
            </w:pPr>
            <w:r>
              <w:rPr>
                <w:rFonts w:ascii="Arial" w:cs="Arial" w:eastAsia="Arial" w:hAnsi="Arial"/>
                <w:sz w:val="13"/>
                <w:szCs w:val="13"/>
                <w:b w:val="1"/>
                <w:bCs w:val="1"/>
                <w:color w:val="auto"/>
              </w:rPr>
              <w:t>JPM/28</w:t>
            </w:r>
          </w:p>
        </w:tc>
        <w:tc>
          <w:tcPr>
            <w:tcW w:w="3200" w:type="dxa"/>
            <w:vAlign w:val="bottom"/>
            <w:gridSpan w:val="2"/>
          </w:tcPr>
          <w:p>
            <w:pPr>
              <w:ind w:left="540"/>
              <w:spacing w:after="0" w:line="138" w:lineRule="exact"/>
              <w:rPr>
                <w:sz w:val="20"/>
                <w:szCs w:val="20"/>
                <w:color w:val="auto"/>
              </w:rPr>
            </w:pPr>
            <w:r>
              <w:rPr>
                <w:rFonts w:ascii="Arial" w:cs="Arial" w:eastAsia="Arial" w:hAnsi="Arial"/>
                <w:sz w:val="13"/>
                <w:szCs w:val="13"/>
                <w:b w:val="1"/>
                <w:bCs w:val="1"/>
                <w:color w:val="auto"/>
              </w:rPr>
              <w:t>The New York Stock Exchange</w:t>
            </w:r>
          </w:p>
        </w:tc>
      </w:tr>
      <w:tr>
        <w:trPr>
          <w:trHeight w:val="168"/>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Company LLC</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bl>
    <w:p>
      <w:pPr>
        <w:spacing w:after="0" w:line="147"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2" w:lineRule="exact"/>
        <w:rPr>
          <w:sz w:val="24"/>
          <w:szCs w:val="24"/>
          <w:color w:val="auto"/>
        </w:rPr>
      </w:pPr>
    </w:p>
    <w:p>
      <w:pPr>
        <w:ind w:right="12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94" w:right="519" w:bottom="1440" w:gutter="0" w:footer="0" w:header="0"/>
        </w:sectPr>
      </w:pPr>
    </w:p>
    <w:bookmarkStart w:id="1" w:name="page2"/>
    <w:bookmarkEnd w:id="1"/>
    <w:p>
      <w:pPr>
        <w:ind w:right="400"/>
        <w:spacing w:after="0" w:line="27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Compensation Arrangements of Certain Officers.</w:t>
      </w:r>
    </w:p>
    <w:p>
      <w:pPr>
        <w:spacing w:after="0" w:line="25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December 15, 2020 Lee R. Raymond notified the Company of his intention to resign as a member of the Board of Directors, effective December 31, 2020. Mr. Raymond’s resignation is not the result of any disagreement with the Company.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28"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w:t>
      </w:r>
    </w:p>
    <w:p>
      <w:pPr>
        <w:sectPr>
          <w:pgSz w:w="11900" w:h="16838" w:orient="portrait"/>
          <w:cols w:equalWidth="0" w:num="1">
            <w:col w:w="10840"/>
          </w:cols>
          <w:pgMar w:left="320" w:top="886" w:right="739" w:bottom="1440" w:gutter="0" w:footer="0" w:header="0"/>
        </w:sectPr>
      </w:pPr>
    </w:p>
    <w:p>
      <w:pPr>
        <w:spacing w:after="0" w:line="392"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27305</wp:posOffset>
            </wp:positionV>
            <wp:extent cx="942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101</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5366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187" w:lineRule="exact"/>
        <w:rPr>
          <w:sz w:val="20"/>
          <w:szCs w:val="20"/>
          <w:color w:val="auto"/>
        </w:rPr>
      </w:pPr>
    </w:p>
    <w:p>
      <w:pPr>
        <w:ind w:right="580"/>
        <w:spacing w:after="0" w:line="227" w:lineRule="auto"/>
        <w:rPr>
          <w:sz w:val="20"/>
          <w:szCs w:val="20"/>
          <w:color w:val="auto"/>
        </w:rPr>
      </w:pPr>
      <w:r>
        <w:rPr>
          <w:rFonts w:ascii="Arial" w:cs="Arial" w:eastAsia="Arial" w:hAnsi="Arial"/>
          <w:sz w:val="18"/>
          <w:szCs w:val="18"/>
          <w:color w:val="auto"/>
        </w:rPr>
        <w:t>Pursuant to Rule 406 of Regulation S-T, the cover page is formatted in Inline XBRL (Inline eXtensible Business Reporting Language).</w:t>
      </w:r>
    </w:p>
    <w:p>
      <w:pPr>
        <w:spacing w:after="0" w:line="13" w:lineRule="exact"/>
        <w:rPr>
          <w:sz w:val="20"/>
          <w:szCs w:val="20"/>
          <w:color w:val="auto"/>
        </w:rPr>
      </w:pPr>
    </w:p>
    <w:p>
      <w:pPr>
        <w:ind w:right="540"/>
        <w:spacing w:after="0" w:line="227" w:lineRule="auto"/>
        <w:rPr>
          <w:sz w:val="20"/>
          <w:szCs w:val="20"/>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sz w:val="20"/>
          <w:szCs w:val="20"/>
          <w:color w:val="auto"/>
        </w:rPr>
      </w:pPr>
    </w:p>
    <w:p>
      <w:pPr>
        <w:sectPr>
          <w:pgSz w:w="11900" w:h="16838" w:orient="portrait"/>
          <w:cols w:equalWidth="0" w:num="2">
            <w:col w:w="1780" w:space="460"/>
            <w:col w:w="8600"/>
          </w:cols>
          <w:pgMar w:left="320" w:top="886"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886" w:right="7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36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580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JPMorgan Chase &amp; Co.</w:t>
            </w:r>
          </w:p>
        </w:tc>
      </w:tr>
      <w:tr>
        <w:trPr>
          <w:trHeight w:val="223"/>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9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Molly Carpenter</w:t>
            </w:r>
          </w:p>
        </w:tc>
      </w:tr>
      <w:tr>
        <w:trPr>
          <w:trHeight w:val="223"/>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Molly Carpenter</w:t>
            </w:r>
          </w:p>
        </w:tc>
      </w:tr>
      <w:tr>
        <w:trPr>
          <w:trHeight w:val="230"/>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Dated:</w:t>
        <w:tab/>
        <w:t>December 18,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1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2020-12-18T07:28:55Z</dcterms:created>
  <dcterms:modified xsi:type="dcterms:W3CDTF">2020-12-18T07:28:55Z</dcterms:modified>
</cp:coreProperties>
</file>