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-5715</wp:posOffset>
            </wp:positionV>
            <wp:extent cx="156845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580" w:space="720"/>
            <w:col w:w="2940"/>
          </w:cols>
          <w:pgMar w:left="320" w:top="239" w:right="339" w:bottom="360" w:gutter="0" w:footer="0" w:header="0"/>
        </w:sectPr>
      </w:pPr>
    </w:p>
    <w:p>
      <w:pPr>
        <w:spacing w:after="0" w:line="82"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Securities—Auto-Callable with Contingent Coupon with Memory Feature and Contingent Downside</w:t>
      </w:r>
    </w:p>
    <w:p>
      <w:pPr>
        <w:spacing w:after="0" w:line="24" w:lineRule="exact"/>
        <w:rPr>
          <w:sz w:val="24"/>
          <w:szCs w:val="24"/>
          <w:color w:val="auto"/>
        </w:rPr>
      </w:pPr>
    </w:p>
    <w:p>
      <w:pPr>
        <w:ind w:left="100" w:right="280"/>
        <w:spacing w:after="0" w:line="244" w:lineRule="auto"/>
        <w:rPr>
          <w:sz w:val="20"/>
          <w:szCs w:val="20"/>
          <w:color w:val="auto"/>
        </w:rPr>
      </w:pPr>
      <w:r>
        <w:rPr>
          <w:rFonts w:ascii="Verdana" w:cs="Verdana" w:eastAsia="Verdana" w:hAnsi="Verdana"/>
          <w:sz w:val="18"/>
          <w:szCs w:val="18"/>
          <w:color w:val="FFFFFF"/>
        </w:rPr>
        <w:t>Principal at Risk Securities Linked to the Lowest Performing of the Common Stock of Netflix, Inc., the Common Stock of ServiceNow, Inc. and the Common Stock of Salesforce, Inc. due July 3, 2028</w:t>
      </w:r>
    </w:p>
    <w:p>
      <w:pPr>
        <w:spacing w:after="0" w:line="1"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Fact Sheet dated June 12, 2026 to Preliminary Pricing Supplement dated June 12, 2026</w:t>
      </w:r>
    </w:p>
    <w:p>
      <w:pPr>
        <w:spacing w:after="0" w:line="10" w:lineRule="exact"/>
        <w:rPr>
          <w:sz w:val="24"/>
          <w:szCs w:val="24"/>
          <w:color w:val="auto"/>
        </w:rPr>
      </w:pPr>
    </w:p>
    <w:p>
      <w:pPr>
        <w:ind w:left="80"/>
        <w:spacing w:after="0"/>
        <w:tabs>
          <w:tab w:leader="none" w:pos="580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36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1960" w:type="dxa"/>
            <w:vAlign w:val="bottom"/>
            <w:tcBorders>
              <w:top w:val="single" w:sz="8" w:color="auto"/>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Issuer:</w:t>
            </w:r>
          </w:p>
        </w:tc>
        <w:tc>
          <w:tcPr>
            <w:tcW w:w="80" w:type="dxa"/>
            <w:vAlign w:val="bottom"/>
            <w:tcBorders>
              <w:top w:val="single" w:sz="8" w:color="auto"/>
            </w:tcBorders>
          </w:tcPr>
          <w:p>
            <w:pPr>
              <w:spacing w:after="0"/>
              <w:rPr>
                <w:sz w:val="13"/>
                <w:szCs w:val="13"/>
                <w:color w:val="auto"/>
              </w:rPr>
            </w:pPr>
          </w:p>
        </w:tc>
        <w:tc>
          <w:tcPr>
            <w:tcW w:w="3460" w:type="dxa"/>
            <w:vAlign w:val="bottom"/>
            <w:tcBorders>
              <w:top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JPMorgan Chase Financial Company LLC, a direct,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wholly owned finance subsidiary of JPMorgan Chase</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&amp; Co.</w:t>
            </w:r>
          </w:p>
        </w:tc>
      </w:tr>
      <w:tr>
        <w:trPr>
          <w:trHeight w:val="156"/>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line="156" w:lineRule="exact"/>
              <w:rPr>
                <w:sz w:val="20"/>
                <w:szCs w:val="20"/>
                <w:color w:val="auto"/>
              </w:rPr>
            </w:pPr>
            <w:r>
              <w:rPr>
                <w:rFonts w:ascii="Georgia" w:cs="Georgia" w:eastAsia="Georgia" w:hAnsi="Georgia"/>
                <w:sz w:val="14"/>
                <w:szCs w:val="14"/>
                <w:color w:val="auto"/>
              </w:rPr>
              <w:t>JPMorgan Chase &amp; Co.</w:t>
            </w:r>
          </w:p>
        </w:tc>
      </w:tr>
      <w:tr>
        <w:trPr>
          <w:trHeight w:val="158"/>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Underlying Stocks:</w:t>
            </w: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The common stock of Netflix, Inc. (Bloomberg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ticker: NFLX), the common stock of ServiceNow,</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Inc. (Bloomberg ticker: NOW) and the common</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stock of Salesforce, Inc. (Bloomberg ticker: CRM)</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June 30, 2026</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July 6, 2026</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July 3, 2028</w:t>
            </w:r>
          </w:p>
        </w:tc>
      </w:tr>
      <w:tr>
        <w:trPr>
          <w:trHeight w:val="156"/>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On each contingent coupon payment date, you will</w:t>
            </w:r>
          </w:p>
        </w:tc>
      </w:tr>
      <w:tr>
        <w:trPr>
          <w:trHeight w:val="16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Payment:</w:t>
            </w: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receive a contingent coupon payment at a per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annum rate equal to the contingent coupon rate if,</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b w:val="1"/>
                <w:bCs w:val="1"/>
                <w:color w:val="auto"/>
              </w:rPr>
              <w:t>and only if</w:t>
            </w:r>
            <w:r>
              <w:rPr>
                <w:rFonts w:ascii="Georgia" w:cs="Georgia" w:eastAsia="Georgia" w:hAnsi="Georgia"/>
                <w:sz w:val="14"/>
                <w:szCs w:val="14"/>
                <w:color w:val="auto"/>
              </w:rPr>
              <w:t>, the stock closing price of the lowest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performing Underlying Stock on the related</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calculation day is greater than or equal to its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threshold price. In addition, if the stock closing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price of the lowest performing Underlying Stock on</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one or more calculation days is less than its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threshold price and, on a subsequent calculation</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day, the stock closing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Underlying Stock is greater than or equal to its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threshold price, on the contingent coupon payment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date related to that subsequent calculation day, you</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will receive the contingent coupon payment due for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 xml:space="preserve">that subsequent calculation day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all previously</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unpaid contingent coupon payments (without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interest on amounts previously unpaid). Each</w:t>
            </w:r>
          </w:p>
        </w:tc>
      </w:tr>
      <w:tr>
        <w:trPr>
          <w:trHeight w:val="145"/>
        </w:trPr>
        <w:tc>
          <w:tcPr>
            <w:tcW w:w="19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right w:val="single" w:sz="8" w:color="auto"/>
            </w:tcBorders>
            <w:gridSpan w:val="6"/>
          </w:tcPr>
          <w:p>
            <w:pPr>
              <w:spacing w:after="0" w:line="146" w:lineRule="exact"/>
              <w:rPr>
                <w:sz w:val="20"/>
                <w:szCs w:val="20"/>
                <w:color w:val="auto"/>
              </w:rPr>
            </w:pPr>
            <w:r>
              <w:rPr>
                <w:rFonts w:ascii="Georgia" w:cs="Georgia" w:eastAsia="Georgia" w:hAnsi="Georgia"/>
                <w:sz w:val="14"/>
                <w:szCs w:val="14"/>
                <w:color w:val="auto"/>
              </w:rPr>
              <w:t>“contingent coupon payment,” if any, will be</w:t>
            </w: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59"/>
        </w:trPr>
        <w:tc>
          <w:tcPr>
            <w:tcW w:w="196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calculated per security as follows:</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jc w:val="center"/>
              <w:ind w:right="160"/>
              <w:spacing w:after="0"/>
              <w:rPr>
                <w:sz w:val="20"/>
                <w:szCs w:val="20"/>
                <w:color w:val="auto"/>
              </w:rPr>
            </w:pPr>
            <w:r>
              <w:rPr>
                <w:rFonts w:ascii="Georgia" w:cs="Georgia" w:eastAsia="Georgia" w:hAnsi="Georgia"/>
                <w:sz w:val="14"/>
                <w:szCs w:val="14"/>
                <w:color w:val="auto"/>
              </w:rPr>
              <w:t>($1,000 × contingent coupon rate) / 12.</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Monthly, on the third business day following each</w:t>
            </w:r>
          </w:p>
        </w:tc>
      </w:tr>
      <w:tr>
        <w:trPr>
          <w:trHeight w:val="172"/>
        </w:trPr>
        <w:tc>
          <w:tcPr>
            <w:tcW w:w="1960" w:type="dxa"/>
            <w:vAlign w:val="bottom"/>
            <w:tcBorders>
              <w:left w:val="single" w:sz="8" w:color="auto"/>
              <w:right w:val="single" w:sz="8" w:color="auto"/>
            </w:tcBorders>
          </w:tcPr>
          <w:p>
            <w:pPr>
              <w:ind w:left="120"/>
              <w:spacing w:after="0" w:line="173" w:lineRule="exact"/>
              <w:rPr>
                <w:sz w:val="20"/>
                <w:szCs w:val="20"/>
                <w:color w:val="auto"/>
              </w:rPr>
            </w:pPr>
            <w:r>
              <w:rPr>
                <w:rFonts w:ascii="Georgia" w:cs="Georgia" w:eastAsia="Georgia" w:hAnsi="Georgia"/>
                <w:sz w:val="13"/>
                <w:szCs w:val="13"/>
                <w:color w:val="auto"/>
              </w:rPr>
              <w:t>Payment Dates</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provided</w:t>
            </w:r>
            <w:r>
              <w:rPr>
                <w:rFonts w:ascii="Georgia" w:cs="Georgia" w:eastAsia="Georgia" w:hAnsi="Georgia"/>
                <w:sz w:val="14"/>
                <w:szCs w:val="14"/>
                <w:color w:val="auto"/>
              </w:rPr>
              <w:t xml:space="preserve"> that the contingent</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line="152" w:lineRule="exact"/>
              <w:rPr>
                <w:sz w:val="20"/>
                <w:szCs w:val="20"/>
                <w:color w:val="auto"/>
              </w:rPr>
            </w:pPr>
            <w:r>
              <w:rPr>
                <w:rFonts w:ascii="Georgia" w:cs="Georgia" w:eastAsia="Georgia" w:hAnsi="Georgia"/>
                <w:sz w:val="14"/>
                <w:szCs w:val="14"/>
                <w:color w:val="auto"/>
              </w:rPr>
              <w:t>coupon payment date with respect to the final</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calculation day will be the stated maturity date</w:t>
            </w:r>
          </w:p>
        </w:tc>
      </w:tr>
      <w:tr>
        <w:trPr>
          <w:trHeight w:val="17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 Rate:</w:t>
            </w: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At least 24.25% per annum (to be provided in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pricing supplement)</w:t>
            </w: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If the stock closing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Underlying Stock on any of the calculation days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from December 2026 to May 2028, inclusive,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greater than or equal to its starting price,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securities will be automatically called, and on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related call settlement date you will be entitled to</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receive a cash payment per security in U.S. dollars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 xml:space="preserve">equal to the principal amount per security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final contingent coupon payment and any previously</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rPr>
                <w:sz w:val="20"/>
                <w:szCs w:val="20"/>
                <w:color w:val="auto"/>
              </w:rPr>
            </w:pPr>
            <w:r>
              <w:rPr>
                <w:rFonts w:ascii="Georgia" w:cs="Georgia" w:eastAsia="Georgia" w:hAnsi="Georgia"/>
                <w:sz w:val="14"/>
                <w:szCs w:val="14"/>
                <w:color w:val="auto"/>
              </w:rPr>
              <w:t>unpaid contingent coupon payments.</w:t>
            </w:r>
          </w:p>
        </w:tc>
      </w:tr>
      <w:tr>
        <w:trPr>
          <w:trHeight w:val="186"/>
        </w:trPr>
        <w:tc>
          <w:tcPr>
            <w:tcW w:w="1960" w:type="dxa"/>
            <w:vAlign w:val="bottom"/>
            <w:tcBorders>
              <w:left w:val="single" w:sz="8" w:color="auto"/>
              <w:right w:val="single" w:sz="8" w:color="auto"/>
            </w:tcBorders>
          </w:tcPr>
          <w:p>
            <w:pPr>
              <w:ind w:left="120"/>
              <w:spacing w:after="0" w:line="185"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6"/>
                <w:szCs w:val="16"/>
                <w:color w:val="auto"/>
              </w:rPr>
            </w:pPr>
          </w:p>
        </w:tc>
        <w:tc>
          <w:tcPr>
            <w:tcW w:w="3460" w:type="dxa"/>
            <w:vAlign w:val="bottom"/>
            <w:tcBorders>
              <w:right w:val="single" w:sz="8" w:color="auto"/>
            </w:tcBorders>
            <w:gridSpan w:val="6"/>
          </w:tcPr>
          <w:p>
            <w:pPr>
              <w:spacing w:after="0" w:line="185" w:lineRule="exact"/>
              <w:rPr>
                <w:sz w:val="20"/>
                <w:szCs w:val="20"/>
                <w:color w:val="auto"/>
              </w:rPr>
            </w:pPr>
            <w:r>
              <w:rPr>
                <w:rFonts w:ascii="Georgia" w:cs="Georgia" w:eastAsia="Georgia" w:hAnsi="Georgia"/>
                <w:sz w:val="13"/>
                <w:szCs w:val="13"/>
                <w:color w:val="auto"/>
              </w:rPr>
              <w:t>Monthly, on the 28</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month,</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commencing July 2026 and ending June 2028. We</w:t>
            </w:r>
          </w:p>
        </w:tc>
      </w:tr>
      <w:tr>
        <w:trPr>
          <w:trHeight w:val="153"/>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line="146" w:lineRule="exact"/>
              <w:rPr>
                <w:sz w:val="20"/>
                <w:szCs w:val="20"/>
                <w:color w:val="auto"/>
              </w:rPr>
            </w:pPr>
            <w:r>
              <w:rPr>
                <w:rFonts w:ascii="Georgia" w:cs="Georgia" w:eastAsia="Georgia" w:hAnsi="Georgia"/>
                <w:sz w:val="14"/>
                <w:szCs w:val="14"/>
                <w:color w:val="auto"/>
              </w:rPr>
              <w:t>refer to June 28, 2028 as the “final calculation day.”</w:t>
            </w:r>
          </w:p>
        </w:tc>
      </w:tr>
      <w:tr>
        <w:trPr>
          <w:trHeight w:val="175"/>
        </w:trPr>
        <w:tc>
          <w:tcPr>
            <w:tcW w:w="1960" w:type="dxa"/>
            <w:vAlign w:val="bottom"/>
            <w:tcBorders>
              <w:left w:val="single" w:sz="8" w:color="auto"/>
              <w:right w:val="single" w:sz="8" w:color="auto"/>
            </w:tcBorders>
          </w:tcPr>
          <w:p>
            <w:pPr>
              <w:ind w:left="120"/>
              <w:spacing w:after="0" w:line="176"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5"/>
                <w:szCs w:val="15"/>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Three business days after the applicable calculation</w:t>
            </w:r>
          </w:p>
        </w:tc>
      </w:tr>
      <w:tr>
        <w:trPr>
          <w:trHeight w:val="148"/>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gridSpan w:val="6"/>
          </w:tcPr>
          <w:p>
            <w:pPr>
              <w:spacing w:after="0" w:line="149" w:lineRule="exact"/>
              <w:rPr>
                <w:sz w:val="20"/>
                <w:szCs w:val="20"/>
                <w:color w:val="auto"/>
              </w:rPr>
            </w:pPr>
            <w:r>
              <w:rPr>
                <w:rFonts w:ascii="Georgia" w:cs="Georgia" w:eastAsia="Georgia" w:hAnsi="Georgia"/>
                <w:sz w:val="14"/>
                <w:szCs w:val="14"/>
                <w:color w:val="auto"/>
              </w:rPr>
              <w:t>day</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 Amount</w:t>
            </w:r>
          </w:p>
        </w:tc>
        <w:tc>
          <w:tcPr>
            <w:tcW w:w="80" w:type="dxa"/>
            <w:vAlign w:val="bottom"/>
          </w:tcPr>
          <w:p>
            <w:pPr>
              <w:spacing w:after="0"/>
              <w:rPr>
                <w:sz w:val="13"/>
                <w:szCs w:val="13"/>
                <w:color w:val="auto"/>
              </w:rPr>
            </w:pPr>
          </w:p>
        </w:tc>
        <w:tc>
          <w:tcPr>
            <w:tcW w:w="3460" w:type="dxa"/>
            <w:vAlign w:val="bottom"/>
            <w:tcBorders>
              <w:right w:val="single" w:sz="8" w:color="auto"/>
            </w:tcBorders>
            <w:gridSpan w:val="6"/>
          </w:tcPr>
          <w:p>
            <w:pPr>
              <w:spacing w:after="0"/>
              <w:rPr>
                <w:sz w:val="20"/>
                <w:szCs w:val="20"/>
                <w:color w:val="auto"/>
              </w:rPr>
            </w:pPr>
            <w:r>
              <w:rPr>
                <w:rFonts w:ascii="Georgia" w:cs="Georgia" w:eastAsia="Georgia" w:hAnsi="Georgia"/>
                <w:sz w:val="14"/>
                <w:szCs w:val="14"/>
                <w:color w:val="auto"/>
              </w:rPr>
              <w:t>If the securities are not automatically called:</w:t>
            </w:r>
          </w:p>
        </w:tc>
      </w:tr>
      <w:tr>
        <w:trPr>
          <w:trHeight w:val="176"/>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(per security):</w:t>
            </w:r>
          </w:p>
        </w:tc>
        <w:tc>
          <w:tcPr>
            <w:tcW w:w="3540" w:type="dxa"/>
            <w:vAlign w:val="bottom"/>
            <w:tcBorders>
              <w:right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 xml:space="preserve">· </w:t>
            </w:r>
            <w:r>
              <w:rPr>
                <w:rFonts w:ascii="Georgia" w:cs="Georgia" w:eastAsia="Georgia" w:hAnsi="Georgia"/>
                <w:sz w:val="14"/>
                <w:szCs w:val="14"/>
                <w:color w:val="auto"/>
              </w:rPr>
              <w:t>If the ending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greater than or equal to its threshold price: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$1,000; or</w:t>
            </w:r>
          </w:p>
        </w:tc>
      </w:tr>
      <w:tr>
        <w:trPr>
          <w:trHeight w:val="230"/>
        </w:trPr>
        <w:tc>
          <w:tcPr>
            <w:tcW w:w="1960" w:type="dxa"/>
            <w:vAlign w:val="bottom"/>
            <w:tcBorders>
              <w:left w:val="single" w:sz="8" w:color="auto"/>
              <w:right w:val="single" w:sz="8" w:color="auto"/>
            </w:tcBorders>
          </w:tcPr>
          <w:p>
            <w:pPr>
              <w:spacing w:after="0"/>
              <w:rPr>
                <w:sz w:val="19"/>
                <w:szCs w:val="19"/>
                <w:color w:val="auto"/>
              </w:rPr>
            </w:pPr>
          </w:p>
        </w:tc>
        <w:tc>
          <w:tcPr>
            <w:tcW w:w="3540" w:type="dxa"/>
            <w:vAlign w:val="bottom"/>
            <w:tcBorders>
              <w:right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 xml:space="preserve">· </w:t>
            </w:r>
            <w:r>
              <w:rPr>
                <w:rFonts w:ascii="Georgia" w:cs="Georgia" w:eastAsia="Georgia" w:hAnsi="Georgia"/>
                <w:sz w:val="14"/>
                <w:szCs w:val="14"/>
                <w:color w:val="auto"/>
              </w:rPr>
              <w:t>If the ending price of the lowest performing</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less than its threshold price:</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Borders>
              <w:right w:val="single" w:sz="8" w:color="auto"/>
            </w:tcBorders>
            <w:gridSpan w:val="5"/>
          </w:tcPr>
          <w:p>
            <w:pPr>
              <w:jc w:val="center"/>
              <w:ind w:right="160"/>
              <w:spacing w:after="0"/>
              <w:rPr>
                <w:sz w:val="20"/>
                <w:szCs w:val="20"/>
                <w:color w:val="auto"/>
              </w:rPr>
            </w:pPr>
            <w:r>
              <w:rPr>
                <w:rFonts w:ascii="Georgia" w:cs="Georgia" w:eastAsia="Georgia" w:hAnsi="Georgia"/>
                <w:sz w:val="14"/>
                <w:szCs w:val="14"/>
                <w:color w:val="auto"/>
              </w:rPr>
              <w:t>$1,000 + ($1,000 × stock return of the lowest</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Borders>
              <w:right w:val="single" w:sz="8" w:color="auto"/>
            </w:tcBorders>
            <w:gridSpan w:val="5"/>
          </w:tcPr>
          <w:p>
            <w:pPr>
              <w:jc w:val="center"/>
              <w:ind w:right="160"/>
              <w:spacing w:after="0"/>
              <w:rPr>
                <w:sz w:val="20"/>
                <w:szCs w:val="20"/>
                <w:color w:val="auto"/>
              </w:rPr>
            </w:pPr>
            <w:r>
              <w:rPr>
                <w:rFonts w:ascii="Georgia" w:cs="Georgia" w:eastAsia="Georgia" w:hAnsi="Georgia"/>
                <w:sz w:val="14"/>
                <w:szCs w:val="14"/>
                <w:color w:val="auto"/>
              </w:rPr>
              <w:t>performing Underlying Stock on the final</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40" w:type="dxa"/>
            <w:vAlign w:val="bottom"/>
            <w:tcBorders>
              <w:right w:val="single" w:sz="8" w:color="auto"/>
            </w:tcBorders>
            <w:gridSpan w:val="4"/>
          </w:tcPr>
          <w:p>
            <w:pPr>
              <w:jc w:val="center"/>
              <w:ind w:right="1220"/>
              <w:spacing w:after="0"/>
              <w:rPr>
                <w:sz w:val="20"/>
                <w:szCs w:val="20"/>
                <w:color w:val="auto"/>
              </w:rPr>
            </w:pPr>
            <w:r>
              <w:rPr>
                <w:rFonts w:ascii="Georgia" w:cs="Georgia" w:eastAsia="Georgia" w:hAnsi="Georgia"/>
                <w:sz w:val="14"/>
                <w:szCs w:val="14"/>
                <w:color w:val="auto"/>
              </w:rPr>
              <w:t>calculation day)</w:t>
            </w:r>
          </w:p>
        </w:tc>
      </w:tr>
      <w:tr>
        <w:trPr>
          <w:trHeight w:val="38"/>
        </w:trPr>
        <w:tc>
          <w:tcPr>
            <w:tcW w:w="19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r>
      <w:tr>
        <w:trPr>
          <w:trHeight w:val="142"/>
        </w:trPr>
        <w:tc>
          <w:tcPr>
            <w:tcW w:w="196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Lowest Performing</w:t>
            </w:r>
          </w:p>
        </w:tc>
        <w:tc>
          <w:tcPr>
            <w:tcW w:w="80" w:type="dxa"/>
            <w:vAlign w:val="bottom"/>
          </w:tcPr>
          <w:p>
            <w:pPr>
              <w:spacing w:after="0"/>
              <w:rPr>
                <w:sz w:val="12"/>
                <w:szCs w:val="12"/>
                <w:color w:val="auto"/>
              </w:rPr>
            </w:pPr>
          </w:p>
        </w:tc>
        <w:tc>
          <w:tcPr>
            <w:tcW w:w="3460" w:type="dxa"/>
            <w:vAlign w:val="bottom"/>
            <w:tcBorders>
              <w:right w:val="single" w:sz="8" w:color="auto"/>
            </w:tcBorders>
            <w:gridSpan w:val="6"/>
          </w:tcPr>
          <w:p>
            <w:pPr>
              <w:spacing w:after="0" w:line="142" w:lineRule="exact"/>
              <w:rPr>
                <w:sz w:val="20"/>
                <w:szCs w:val="20"/>
                <w:color w:val="auto"/>
              </w:rPr>
            </w:pPr>
            <w:r>
              <w:rPr>
                <w:rFonts w:ascii="Georgia" w:cs="Georgia" w:eastAsia="Georgia" w:hAnsi="Georgia"/>
                <w:sz w:val="14"/>
                <w:szCs w:val="14"/>
                <w:color w:val="auto"/>
              </w:rPr>
              <w:t>For any calculation day, the “lowest performing</w:t>
            </w: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42"/>
        </w:trPr>
        <w:tc>
          <w:tcPr>
            <w:tcW w:w="196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Underlying Stock:</w:t>
            </w:r>
          </w:p>
        </w:tc>
        <w:tc>
          <w:tcPr>
            <w:tcW w:w="80" w:type="dxa"/>
            <w:vAlign w:val="bottom"/>
          </w:tcPr>
          <w:p>
            <w:pPr>
              <w:spacing w:after="0"/>
              <w:rPr>
                <w:sz w:val="12"/>
                <w:szCs w:val="12"/>
                <w:color w:val="auto"/>
              </w:rPr>
            </w:pPr>
          </w:p>
        </w:tc>
        <w:tc>
          <w:tcPr>
            <w:tcW w:w="3460" w:type="dxa"/>
            <w:vAlign w:val="bottom"/>
            <w:tcBorders>
              <w:right w:val="single" w:sz="8" w:color="auto"/>
            </w:tcBorders>
            <w:gridSpan w:val="6"/>
          </w:tcPr>
          <w:p>
            <w:pPr>
              <w:spacing w:after="0" w:line="142" w:lineRule="exact"/>
              <w:rPr>
                <w:sz w:val="20"/>
                <w:szCs w:val="20"/>
                <w:color w:val="auto"/>
              </w:rPr>
            </w:pPr>
            <w:r>
              <w:rPr>
                <w:rFonts w:ascii="Georgia" w:cs="Georgia" w:eastAsia="Georgia" w:hAnsi="Georgia"/>
                <w:sz w:val="14"/>
                <w:szCs w:val="14"/>
                <w:color w:val="auto"/>
              </w:rPr>
              <w:t>Underlying Stock” will be the Underlying Stock with</w:t>
            </w: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340" w:type="dxa"/>
            <w:vAlign w:val="bottom"/>
            <w:tcBorders>
              <w:right w:val="single" w:sz="8" w:color="auto"/>
            </w:tcBorders>
            <w:gridSpan w:val="4"/>
          </w:tcPr>
          <w:p>
            <w:pPr>
              <w:spacing w:after="0" w:line="20" w:lineRule="exact"/>
              <w:rPr>
                <w:sz w:val="1"/>
                <w:szCs w:val="1"/>
                <w:color w:val="auto"/>
              </w:rPr>
            </w:pPr>
          </w:p>
        </w:tc>
      </w:tr>
      <w:tr>
        <w:trPr>
          <w:trHeight w:val="155"/>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gridSpan w:val="6"/>
          </w:tcPr>
          <w:p>
            <w:pPr>
              <w:spacing w:after="0" w:line="156" w:lineRule="exact"/>
              <w:rPr>
                <w:sz w:val="20"/>
                <w:szCs w:val="20"/>
                <w:color w:val="auto"/>
              </w:rPr>
            </w:pPr>
            <w:r>
              <w:rPr>
                <w:rFonts w:ascii="Georgia" w:cs="Georgia" w:eastAsia="Georgia" w:hAnsi="Georgia"/>
                <w:sz w:val="14"/>
                <w:szCs w:val="14"/>
                <w:color w:val="auto"/>
              </w:rPr>
              <w:t>the lowest stock return on that calculation day.</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59"/>
        </w:trPr>
        <w:tc>
          <w:tcPr>
            <w:tcW w:w="1940" w:type="dxa"/>
            <w:vAlign w:val="bottom"/>
            <w:tcBorders>
              <w:top w:val="single" w:sz="8" w:color="auto"/>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Starting Price:</w:t>
            </w:r>
          </w:p>
        </w:tc>
        <w:tc>
          <w:tcPr>
            <w:tcW w:w="3560" w:type="dxa"/>
            <w:vAlign w:val="bottom"/>
            <w:tcBorders>
              <w:top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For each Underlying Stock, its stock closing price on</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the pricing date</w:t>
            </w:r>
          </w:p>
        </w:tc>
      </w:tr>
      <w:tr>
        <w:trPr>
          <w:trHeight w:val="158"/>
        </w:trPr>
        <w:tc>
          <w:tcPr>
            <w:tcW w:w="194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Ending Price:</w:t>
            </w: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For each Underlying Stock, its stock closing price on</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the final calculation day</w:t>
            </w:r>
          </w:p>
        </w:tc>
      </w:tr>
      <w:tr>
        <w:trPr>
          <w:trHeight w:val="158"/>
        </w:trPr>
        <w:tc>
          <w:tcPr>
            <w:tcW w:w="194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Stock Return:</w:t>
            </w: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For each Underlying Stock on any calculation day,</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(stock closing price on that calculation day –</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starting price) / starting price</w:t>
            </w:r>
          </w:p>
        </w:tc>
      </w:tr>
      <w:tr>
        <w:trPr>
          <w:trHeight w:val="155"/>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Threshold Price:</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For each Underlying Stock, 60% of its starting price</w:t>
            </w:r>
          </w:p>
        </w:tc>
      </w:tr>
      <w:tr>
        <w:trPr>
          <w:trHeight w:val="149"/>
        </w:trPr>
        <w:tc>
          <w:tcPr>
            <w:tcW w:w="194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Calculation Agent:</w:t>
            </w:r>
          </w:p>
        </w:tc>
        <w:tc>
          <w:tcPr>
            <w:tcW w:w="356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4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Denominations:</w:t>
            </w: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CUSIP:</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46661CW93</w:t>
            </w:r>
          </w:p>
        </w:tc>
      </w:tr>
      <w:tr>
        <w:trPr>
          <w:trHeight w:val="158"/>
        </w:trPr>
        <w:tc>
          <w:tcPr>
            <w:tcW w:w="194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Fees and Commissions:</w:t>
            </w: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Up to 2.325% for Wells Fargo Securities, LLC</w:t>
            </w:r>
          </w:p>
        </w:tc>
      </w:tr>
      <w:tr>
        <w:trPr>
          <w:trHeight w:val="146"/>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line="146" w:lineRule="exact"/>
              <w:rPr>
                <w:sz w:val="20"/>
                <w:szCs w:val="20"/>
                <w:color w:val="auto"/>
              </w:rPr>
            </w:pPr>
            <w:r>
              <w:rPr>
                <w:rFonts w:ascii="Georgia" w:cs="Georgia" w:eastAsia="Georgia" w:hAnsi="Georgia"/>
                <w:sz w:val="14"/>
                <w:szCs w:val="14"/>
                <w:color w:val="auto"/>
              </w:rPr>
              <w:t>(“WFS”); WFS has advised us that dealers, including</w:t>
            </w: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r>
      <w:tr>
        <w:trPr>
          <w:trHeight w:val="142"/>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1.75% of</w:t>
            </w: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r>
      <w:tr>
        <w:trPr>
          <w:trHeight w:val="159"/>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WFS’s fee, and WFA may also receive a distribution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expense fee of 0.075%. In addition, in respect of</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certain securities sold in this offering, JPMS may</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pay a fee of up to 0.20% to selected dealers in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consideration for marketing and other services in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connection with the distribution of the securities to</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other dealers.</w:t>
            </w:r>
          </w:p>
        </w:tc>
      </w:tr>
      <w:tr>
        <w:trPr>
          <w:trHeight w:val="155"/>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187"/>
        </w:trPr>
        <w:tc>
          <w:tcPr>
            <w:tcW w:w="1940" w:type="dxa"/>
            <w:vAlign w:val="bottom"/>
            <w:tcBorders>
              <w:left w:val="single" w:sz="8" w:color="auto"/>
            </w:tcBorders>
          </w:tcPr>
          <w:p>
            <w:pPr>
              <w:ind w:left="100"/>
              <w:spacing w:after="0" w:line="187"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3"/>
                <w:szCs w:val="13"/>
                <w:color w:val="auto"/>
              </w:rPr>
              <w:t xml:space="preserve"> Subject to change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184"/>
        </w:trPr>
        <w:tc>
          <w:tcPr>
            <w:tcW w:w="1940" w:type="dxa"/>
            <w:vAlign w:val="bottom"/>
            <w:tcBorders>
              <w:left w:val="single" w:sz="8" w:color="auto"/>
              <w:bottom w:val="single" w:sz="8" w:color="auto"/>
            </w:tcBorders>
          </w:tcPr>
          <w:p>
            <w:pPr>
              <w:ind w:left="10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r>
    </w:tbl>
    <w:p>
      <w:pPr>
        <w:spacing w:after="0" w:line="35" w:lineRule="exact"/>
        <w:rPr>
          <w:sz w:val="24"/>
          <w:szCs w:val="24"/>
          <w:color w:val="auto"/>
        </w:rPr>
      </w:pPr>
    </w:p>
    <w:p>
      <w:pPr>
        <w:ind w:left="40" w:right="4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354965</wp:posOffset>
            </wp:positionH>
            <wp:positionV relativeFrom="paragraph">
              <wp:posOffset>5715</wp:posOffset>
            </wp:positionV>
            <wp:extent cx="2786380" cy="191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6380" cy="1911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20" w:right="22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spacing w:after="0" w:line="25" w:lineRule="exact"/>
        <w:rPr>
          <w:sz w:val="24"/>
          <w:szCs w:val="24"/>
          <w:color w:val="auto"/>
        </w:rPr>
      </w:pPr>
    </w:p>
    <w:p>
      <w:pPr>
        <w:ind w:left="120" w:right="20"/>
        <w:spacing w:after="0" w:line="245" w:lineRule="auto"/>
        <w:rPr>
          <w:sz w:val="20"/>
          <w:szCs w:val="20"/>
          <w:color w:val="auto"/>
        </w:rPr>
      </w:pPr>
      <w:r>
        <w:rPr>
          <w:rFonts w:ascii="Georgia" w:cs="Georgia" w:eastAsia="Georgia" w:hAnsi="Georgia"/>
          <w:sz w:val="14"/>
          <w:szCs w:val="14"/>
          <w:b w:val="1"/>
          <w:bCs w:val="1"/>
          <w:color w:val="auto"/>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spacing w:after="0" w:line="39" w:lineRule="exact"/>
        <w:rPr>
          <w:sz w:val="24"/>
          <w:szCs w:val="24"/>
          <w:color w:val="auto"/>
        </w:rPr>
      </w:pPr>
    </w:p>
    <w:p>
      <w:pPr>
        <w:ind w:left="120" w:right="12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38" w:lineRule="exact"/>
        <w:rPr>
          <w:sz w:val="24"/>
          <w:szCs w:val="24"/>
          <w:color w:val="auto"/>
        </w:rPr>
      </w:pPr>
    </w:p>
    <w:p>
      <w:pPr>
        <w:ind w:left="120" w:right="8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$949.20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spacing w:after="0" w:line="25" w:lineRule="exact"/>
        <w:rPr>
          <w:sz w:val="24"/>
          <w:szCs w:val="24"/>
          <w:color w:val="auto"/>
        </w:rPr>
      </w:pPr>
    </w:p>
    <w:p>
      <w:pPr>
        <w:ind w:left="120"/>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ind w:left="120"/>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http://www.sec.gov/Archives/edgar/data/19617/000121390026068380/</w:t>
        </w:r>
      </w:hyperlink>
    </w:p>
    <w:p>
      <w:pPr>
        <w:spacing w:after="0" w:line="3" w:lineRule="exact"/>
        <w:rPr>
          <w:sz w:val="24"/>
          <w:szCs w:val="24"/>
          <w:color w:val="auto"/>
        </w:rPr>
      </w:pPr>
    </w:p>
    <w:p>
      <w:pPr>
        <w:ind w:left="120"/>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ea0294692-01_424b2.htm</w:t>
        </w:r>
      </w:hyperlink>
    </w:p>
    <w:p>
      <w:pPr>
        <w:spacing w:after="0" w:line="43" w:lineRule="exact"/>
        <w:rPr>
          <w:sz w:val="24"/>
          <w:szCs w:val="24"/>
          <w:color w:val="auto"/>
        </w:rPr>
      </w:pPr>
    </w:p>
    <w:p>
      <w:pPr>
        <w:sectPr>
          <w:pgSz w:w="11900" w:h="16838" w:orient="portrait"/>
          <w:cols w:equalWidth="0" w:num="2">
            <w:col w:w="5500" w:space="240"/>
            <w:col w:w="5500"/>
          </w:cols>
          <w:pgMar w:left="320" w:top="239" w:right="339" w:bottom="360"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0"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ectPr>
          <w:pgSz w:w="11900" w:h="16838" w:orient="portrait"/>
          <w:cols w:equalWidth="0" w:num="1">
            <w:col w:w="11240"/>
          </w:cols>
          <w:pgMar w:left="320" w:top="239" w:right="339" w:bottom="36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460" w:right="80" w:hanging="355"/>
        <w:spacing w:after="0" w:line="248"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40%, and Possibly All, of the Principal Amount of Your Securities at Maturity.</w:t>
      </w:r>
    </w:p>
    <w:p>
      <w:pPr>
        <w:spacing w:after="0" w:line="42" w:lineRule="exact"/>
        <w:rPr>
          <w:rFonts w:ascii="Arial" w:cs="Arial" w:eastAsia="Arial" w:hAnsi="Arial"/>
          <w:sz w:val="16"/>
          <w:szCs w:val="16"/>
          <w:b w:val="1"/>
          <w:bCs w:val="1"/>
          <w:color w:val="auto"/>
        </w:rPr>
      </w:pPr>
    </w:p>
    <w:p>
      <w:pPr>
        <w:ind w:left="460" w:right="32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55" w:lineRule="exact"/>
        <w:rPr>
          <w:rFonts w:ascii="Arial" w:cs="Arial" w:eastAsia="Arial" w:hAnsi="Arial"/>
          <w:sz w:val="16"/>
          <w:szCs w:val="16"/>
          <w:b w:val="1"/>
          <w:bCs w:val="1"/>
          <w:color w:val="auto"/>
        </w:rPr>
      </w:pPr>
    </w:p>
    <w:p>
      <w:pPr>
        <w:ind w:left="460" w:right="40" w:hanging="355"/>
        <w:spacing w:after="0" w:line="247"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Any Underlying Stock.</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Arial" w:cs="Arial" w:eastAsia="Arial" w:hAnsi="Arial"/>
          <w:sz w:val="16"/>
          <w:szCs w:val="16"/>
          <w:b w:val="1"/>
          <w:bCs w:val="1"/>
          <w:color w:val="auto"/>
        </w:rPr>
      </w:pPr>
    </w:p>
    <w:p>
      <w:pPr>
        <w:ind w:left="460" w:right="18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55" w:lineRule="exact"/>
        <w:rPr>
          <w:rFonts w:ascii="Arial" w:cs="Arial" w:eastAsia="Arial" w:hAnsi="Arial"/>
          <w:sz w:val="16"/>
          <w:szCs w:val="16"/>
          <w:b w:val="1"/>
          <w:bCs w:val="1"/>
          <w:color w:val="auto"/>
        </w:rPr>
      </w:pPr>
    </w:p>
    <w:p>
      <w:pPr>
        <w:ind w:left="460" w:right="64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60" w:right="18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42" w:lineRule="exact"/>
        <w:rPr>
          <w:rFonts w:ascii="Arial" w:cs="Arial" w:eastAsia="Arial" w:hAnsi="Arial"/>
          <w:sz w:val="16"/>
          <w:szCs w:val="16"/>
          <w:b w:val="1"/>
          <w:bCs w:val="1"/>
          <w:color w:val="auto"/>
        </w:rPr>
      </w:pPr>
    </w:p>
    <w:p>
      <w:pPr>
        <w:ind w:left="460" w:right="12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Your Maturity Payment Amount Will Be Determined by the Lowest Performing Underlying Stock.</w:t>
      </w:r>
    </w:p>
    <w:p>
      <w:pPr>
        <w:spacing w:after="0" w:line="55" w:lineRule="exact"/>
        <w:rPr>
          <w:rFonts w:ascii="Arial" w:cs="Arial" w:eastAsia="Arial" w:hAnsi="Arial"/>
          <w:sz w:val="16"/>
          <w:szCs w:val="16"/>
          <w:b w:val="1"/>
          <w:bCs w:val="1"/>
          <w:color w:val="auto"/>
        </w:rPr>
      </w:pPr>
    </w:p>
    <w:p>
      <w:pPr>
        <w:ind w:left="46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Risks Resulting from the Relationship Among the Underlying Stocks.</w:t>
      </w:r>
    </w:p>
    <w:p>
      <w:pPr>
        <w:spacing w:after="0" w:line="55" w:lineRule="exact"/>
        <w:rPr>
          <w:rFonts w:ascii="Arial" w:cs="Arial" w:eastAsia="Arial" w:hAnsi="Arial"/>
          <w:sz w:val="16"/>
          <w:szCs w:val="16"/>
          <w:b w:val="1"/>
          <w:bCs w:val="1"/>
          <w:color w:val="auto"/>
        </w:rPr>
      </w:pPr>
    </w:p>
    <w:p>
      <w:pPr>
        <w:ind w:left="460" w:right="60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Higher Contingent Coupon Rates Are Associated with Greater Risk.</w:t>
      </w:r>
    </w:p>
    <w:p>
      <w:pPr>
        <w:spacing w:after="0" w:line="42" w:lineRule="exact"/>
        <w:rPr>
          <w:rFonts w:ascii="Arial" w:cs="Arial" w:eastAsia="Arial" w:hAnsi="Arial"/>
          <w:sz w:val="16"/>
          <w:szCs w:val="16"/>
          <w:b w:val="1"/>
          <w:bCs w:val="1"/>
          <w:color w:val="auto"/>
        </w:rPr>
      </w:pPr>
    </w:p>
    <w:p>
      <w:pPr>
        <w:ind w:left="460" w:right="6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Dividend Payments or Voting Rights</w:t>
      </w:r>
    </w:p>
    <w:p>
      <w:pPr>
        <w:spacing w:after="0" w:line="44"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60" w:lineRule="exact"/>
        <w:rPr>
          <w:rFonts w:ascii="Arial" w:cs="Arial" w:eastAsia="Arial" w:hAnsi="Arial"/>
          <w:sz w:val="16"/>
          <w:szCs w:val="16"/>
          <w:b w:val="1"/>
          <w:bCs w:val="1"/>
          <w:color w:val="auto"/>
        </w:rPr>
      </w:pPr>
    </w:p>
    <w:p>
      <w:pPr>
        <w:ind w:left="460" w:right="20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55" w:lineRule="exact"/>
        <w:rPr>
          <w:rFonts w:ascii="Arial" w:cs="Arial" w:eastAsia="Arial" w:hAnsi="Arial"/>
          <w:sz w:val="16"/>
          <w:szCs w:val="16"/>
          <w:b w:val="1"/>
          <w:bCs w:val="1"/>
          <w:color w:val="auto"/>
        </w:rPr>
      </w:pPr>
    </w:p>
    <w:p>
      <w:pPr>
        <w:ind w:left="46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39"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jc w:val="both"/>
        <w:ind w:left="460" w:right="240" w:hanging="355"/>
        <w:spacing w:after="0" w:line="246" w:lineRule="auto"/>
        <w:tabs>
          <w:tab w:leader="none" w:pos="454"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59" w:right="180" w:hanging="359"/>
        <w:spacing w:after="0" w:line="247"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42" w:lineRule="exact"/>
        <w:rPr>
          <w:rFonts w:ascii="Arial" w:cs="Arial" w:eastAsia="Arial" w:hAnsi="Arial"/>
          <w:sz w:val="16"/>
          <w:szCs w:val="16"/>
          <w:b w:val="1"/>
          <w:bCs w:val="1"/>
          <w:color w:val="auto"/>
        </w:rPr>
      </w:pPr>
    </w:p>
    <w:p>
      <w:pPr>
        <w:ind w:left="359" w:right="900" w:hanging="359"/>
        <w:spacing w:after="0" w:line="246"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55" w:lineRule="exact"/>
        <w:rPr>
          <w:rFonts w:ascii="Arial" w:cs="Arial" w:eastAsia="Arial" w:hAnsi="Arial"/>
          <w:sz w:val="16"/>
          <w:szCs w:val="16"/>
          <w:b w:val="1"/>
          <w:bCs w:val="1"/>
          <w:color w:val="auto"/>
        </w:rPr>
      </w:pPr>
    </w:p>
    <w:p>
      <w:pPr>
        <w:ind w:left="359" w:right="240" w:hanging="359"/>
        <w:spacing w:after="0" w:line="248"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55" w:lineRule="exact"/>
        <w:rPr>
          <w:rFonts w:ascii="Arial" w:cs="Arial" w:eastAsia="Arial" w:hAnsi="Arial"/>
          <w:sz w:val="16"/>
          <w:szCs w:val="16"/>
          <w:b w:val="1"/>
          <w:bCs w:val="1"/>
          <w:color w:val="auto"/>
        </w:rPr>
      </w:pPr>
    </w:p>
    <w:p>
      <w:pPr>
        <w:ind w:left="359" w:right="480" w:hanging="359"/>
        <w:spacing w:after="0" w:line="246"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359" w:right="80" w:hanging="359"/>
        <w:spacing w:after="0" w:line="246"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3" w:lineRule="exact"/>
        <w:rPr>
          <w:rFonts w:ascii="Arial" w:cs="Arial" w:eastAsia="Arial" w:hAnsi="Arial"/>
          <w:sz w:val="16"/>
          <w:szCs w:val="16"/>
          <w:b w:val="1"/>
          <w:bCs w:val="1"/>
          <w:color w:val="auto"/>
        </w:rPr>
      </w:pPr>
    </w:p>
    <w:p>
      <w:pPr>
        <w:ind w:left="339" w:hanging="339"/>
        <w:spacing w:after="0"/>
        <w:tabs>
          <w:tab w:leader="none" w:pos="339"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Affiliation with Any Underlying Stock Issuer</w:t>
      </w:r>
    </w:p>
    <w:p>
      <w:pPr>
        <w:spacing w:after="0" w:line="60" w:lineRule="exact"/>
        <w:rPr>
          <w:rFonts w:ascii="Arial" w:cs="Arial" w:eastAsia="Arial" w:hAnsi="Arial"/>
          <w:sz w:val="16"/>
          <w:szCs w:val="16"/>
          <w:b w:val="1"/>
          <w:bCs w:val="1"/>
          <w:color w:val="auto"/>
        </w:rPr>
      </w:pPr>
    </w:p>
    <w:p>
      <w:pPr>
        <w:ind w:left="359" w:right="860" w:hanging="359"/>
        <w:spacing w:after="0" w:line="246"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Anti-Dilution Protection Is Limited and May Be Discretionary.</w:t>
      </w:r>
    </w:p>
    <w:p>
      <w:pPr>
        <w:spacing w:after="0" w:line="42" w:lineRule="exact"/>
        <w:rPr>
          <w:rFonts w:ascii="Arial" w:cs="Arial" w:eastAsia="Arial" w:hAnsi="Arial"/>
          <w:sz w:val="16"/>
          <w:szCs w:val="16"/>
          <w:b w:val="1"/>
          <w:bCs w:val="1"/>
          <w:color w:val="auto"/>
        </w:rPr>
      </w:pPr>
    </w:p>
    <w:p>
      <w:pPr>
        <w:ind w:left="359" w:right="280" w:hanging="359"/>
        <w:spacing w:after="0" w:line="248" w:lineRule="auto"/>
        <w:tabs>
          <w:tab w:leader="none" w:pos="353"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3102" w:lineRule="exact"/>
        <w:rPr>
          <w:sz w:val="20"/>
          <w:szCs w:val="20"/>
          <w:color w:val="auto"/>
        </w:rPr>
      </w:pPr>
    </w:p>
    <w:p>
      <w:pPr>
        <w:sectPr>
          <w:pgSz w:w="11900" w:h="16838" w:orient="portrait"/>
          <w:cols w:equalWidth="0" w:num="2">
            <w:col w:w="5500" w:space="221"/>
            <w:col w:w="5499"/>
          </w:cols>
          <w:pgMar w:left="320" w:top="543" w:right="359" w:bottom="1440" w:gutter="0" w:footer="0" w:header="0"/>
          <w:type w:val="continuous"/>
        </w:sectPr>
      </w:pPr>
    </w:p>
    <w:p>
      <w:pPr>
        <w:spacing w:after="0" w:line="139"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s://www.sec.gov/Archives/edgar/data/19617/000121390026068380/ea0294692-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2026-06-15T05:36:37Z</dcterms:created>
  <dcterms:modified xsi:type="dcterms:W3CDTF">2026-06-15T05:36:37Z</dcterms:modified>
</cp:coreProperties>
</file>