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5104-01_fwp.htm"/>
      <w:bookmarkStart w:id="1" w:name="ksea0305104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Russell 2000 ® Index, Dow Jones Industrial Average ® and S&amp;P 500 ® Index Pricing Date: September 25, 2026 Final Review Date: September 25, 2031 Maturity Date: September 30, 2031 Review Dates: Semiannual Contingent Interest Rate: At least 7.50%* per annum, payable semiannually at a rate of at least 3.75%*, if applicable Interest Barrier/ Trigger Value: With respect to each Index, an amount that represents 70.00% of its Initial Value CUSIP: 46661MV50 Preliminary Pricing Supplement: http://sp.jpmorgan.com/document/cusip/46661MV50/doctype/Product_Termsheet/document.pdf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Payment at Maturity If the Final Value of each Index is greater than or equal to its Trigger Value, you will receive a cash payment at maturity, for each $1,000 principal amount note, equal to (a) $1,000 plus (b) the Contingent Interest Payment applicable to the final Review Date. If the Final Value of any Index is less than its Trigger Value, your payment at maturity per $1,000 principal amount note wil l b e calculated as follows: $1,000 + ($1,000 î Least Performing Index Return) If the Final Value of any Index is less than its Trigger Value, you will lose more than 30.00% of your principal amount at ma tur 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5y RTY/INDU/SPX Contingent Interest Notes North America Structured Investments Payment at Maturity ( assuming 7.50% per annum Contingent Interest Rate) Least Performing Index Return $1,037.50 60.00% $1,037.50 40.00% $1,037.50 20.00% $1,037.50 10.00% $1,037.50 5.00% $1,037.50 0.00% $1,037.50 - 5.00% $1,037.50 - 20.00% $1,037.50 - 30.00% $699.90 - 30.01% $600.00 - 40.00% $400.00 - 60.00% $200.00 - 80.00% $0.00 - 100.00% This table does not demonstrate how your interest payments can vary over the term of your notes. Contingent Interest *If the closing level of each Index on any Review Date is greater than or equal to its Interest Barrier, you will receive on the applicable Interest Payment Date for each $1,000 principal amount note a Contingent Interest Payment equal to at least $37.50 (equivalent to a Contingent Interest Rate of at least 7.50% per annum, payable at a rate of at least 3.75% semiannually). The hypothetical payments on the notes shown above apply only if you hold the notes for their entire term.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Least Performing Index. • The benefit provided by the Trigger Value may terminate on the final Review Date. • No dividend payments or voting rights. • JPMorgan Chase &amp; Co. is currently one of the companies that make up the Dow Jones Industrial Average ® and the S&amp;P 500 ® Index.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RTY/INDU/SPX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1458</Words>
  <Characters>7346</Characters>
  <CharactersWithSpaces>8805</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