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Washington, D.C. 20549</w:t>
      </w:r>
    </w:p>
    <w:p>
      <w:pPr>
        <w:spacing w:after="0" w:line="3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 PURSUANT TO SECTION 13 OR 15(d) OF</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21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15, 2004</w:t>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740"/>
        <w:spacing w:after="0"/>
        <w:rPr>
          <w:sz w:val="20"/>
          <w:szCs w:val="20"/>
          <w:color w:val="auto"/>
        </w:rPr>
      </w:pPr>
      <w:r>
        <w:rPr>
          <w:rFonts w:ascii="Arial" w:cs="Arial" w:eastAsia="Arial" w:hAnsi="Arial"/>
          <w:sz w:val="32"/>
          <w:szCs w:val="32"/>
          <w:b w:val="1"/>
          <w:bCs w:val="1"/>
          <w:color w:val="auto"/>
        </w:rPr>
        <w:t>J.P. MORGAN CHASE &amp; CO.</w:t>
      </w:r>
    </w:p>
    <w:p>
      <w:pPr>
        <w:spacing w:after="0" w:line="4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380" w:type="dxa"/>
        <w:tblCellMar>
          <w:top w:w="0" w:type="dxa"/>
          <w:left w:w="0" w:type="dxa"/>
          <w:bottom w:w="0" w:type="dxa"/>
          <w:right w:w="0" w:type="dxa"/>
        </w:tblCellMar>
      </w:tblPr>
      <w:tr>
        <w:trPr>
          <w:trHeight w:val="228"/>
        </w:trPr>
        <w:tc>
          <w:tcPr>
            <w:tcW w:w="2440" w:type="dxa"/>
            <w:vAlign w:val="bottom"/>
          </w:tcPr>
          <w:p>
            <w:pPr>
              <w:jc w:val="center"/>
              <w:ind w:right="432"/>
              <w:spacing w:after="0"/>
              <w:rPr>
                <w:sz w:val="20"/>
                <w:szCs w:val="20"/>
                <w:color w:val="auto"/>
              </w:rPr>
            </w:pPr>
            <w:r>
              <w:rPr>
                <w:rFonts w:ascii="Arial" w:cs="Arial" w:eastAsia="Arial" w:hAnsi="Arial"/>
                <w:sz w:val="18"/>
                <w:szCs w:val="18"/>
                <w:b w:val="1"/>
                <w:bCs w:val="1"/>
                <w:color w:val="auto"/>
                <w:w w:val="96"/>
              </w:rPr>
              <w:t>DELAWARE</w:t>
            </w:r>
          </w:p>
        </w:tc>
        <w:tc>
          <w:tcPr>
            <w:tcW w:w="3140" w:type="dxa"/>
            <w:vAlign w:val="bottom"/>
          </w:tcPr>
          <w:p>
            <w:pPr>
              <w:jc w:val="right"/>
              <w:ind w:right="1292"/>
              <w:spacing w:after="0"/>
              <w:rPr>
                <w:sz w:val="20"/>
                <w:szCs w:val="20"/>
                <w:color w:val="auto"/>
              </w:rPr>
            </w:pPr>
            <w:r>
              <w:rPr>
                <w:rFonts w:ascii="Arial" w:cs="Arial" w:eastAsia="Arial" w:hAnsi="Arial"/>
                <w:sz w:val="18"/>
                <w:szCs w:val="18"/>
                <w:b w:val="1"/>
                <w:bCs w:val="1"/>
                <w:color w:val="auto"/>
              </w:rPr>
              <w:t>1-5805</w:t>
            </w:r>
          </w:p>
        </w:tc>
        <w:tc>
          <w:tcPr>
            <w:tcW w:w="1980" w:type="dxa"/>
            <w:vAlign w:val="bottom"/>
          </w:tcPr>
          <w:p>
            <w:pPr>
              <w:jc w:val="right"/>
              <w:ind w:right="132"/>
              <w:spacing w:after="0"/>
              <w:rPr>
                <w:sz w:val="20"/>
                <w:szCs w:val="20"/>
                <w:color w:val="auto"/>
              </w:rPr>
            </w:pPr>
            <w:r>
              <w:rPr>
                <w:rFonts w:ascii="Arial" w:cs="Arial" w:eastAsia="Arial" w:hAnsi="Arial"/>
                <w:sz w:val="18"/>
                <w:szCs w:val="18"/>
                <w:b w:val="1"/>
                <w:bCs w:val="1"/>
                <w:color w:val="auto"/>
              </w:rPr>
              <w:t>13-2624428</w:t>
            </w:r>
          </w:p>
        </w:tc>
        <w:tc>
          <w:tcPr>
            <w:tcW w:w="0" w:type="dxa"/>
            <w:vAlign w:val="bottom"/>
          </w:tcPr>
          <w:p>
            <w:pPr>
              <w:spacing w:after="0"/>
              <w:rPr>
                <w:sz w:val="1"/>
                <w:szCs w:val="1"/>
                <w:color w:val="auto"/>
              </w:rPr>
            </w:pPr>
          </w:p>
        </w:tc>
      </w:tr>
      <w:tr>
        <w:trPr>
          <w:trHeight w:val="399"/>
        </w:trPr>
        <w:tc>
          <w:tcPr>
            <w:tcW w:w="2440" w:type="dxa"/>
            <w:vAlign w:val="bottom"/>
          </w:tcPr>
          <w:p>
            <w:pPr>
              <w:jc w:val="center"/>
              <w:ind w:right="452"/>
              <w:spacing w:after="0"/>
              <w:rPr>
                <w:sz w:val="20"/>
                <w:szCs w:val="20"/>
                <w:color w:val="auto"/>
              </w:rPr>
            </w:pPr>
            <w:r>
              <w:rPr>
                <w:rFonts w:ascii="Arial" w:cs="Arial" w:eastAsia="Arial" w:hAnsi="Arial"/>
                <w:sz w:val="18"/>
                <w:szCs w:val="18"/>
                <w:color w:val="auto"/>
                <w:w w:val="88"/>
              </w:rPr>
              <w:t>(State or Other Jurisdiction</w:t>
            </w:r>
          </w:p>
        </w:tc>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(Commission File Number)</w:t>
            </w:r>
          </w:p>
        </w:tc>
        <w:tc>
          <w:tcPr>
            <w:tcW w:w="1980" w:type="dxa"/>
            <w:vAlign w:val="bottom"/>
          </w:tcPr>
          <w:p>
            <w:pPr>
              <w:jc w:val="center"/>
              <w:ind w:left="61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440" w:type="dxa"/>
            <w:vAlign w:val="bottom"/>
          </w:tcPr>
          <w:p>
            <w:pPr>
              <w:jc w:val="center"/>
              <w:ind w:right="432"/>
              <w:spacing w:after="0"/>
              <w:rPr>
                <w:sz w:val="20"/>
                <w:szCs w:val="20"/>
                <w:color w:val="auto"/>
              </w:rPr>
            </w:pPr>
            <w:r>
              <w:rPr>
                <w:rFonts w:ascii="Arial" w:cs="Arial" w:eastAsia="Arial" w:hAnsi="Arial"/>
                <w:sz w:val="18"/>
                <w:szCs w:val="18"/>
                <w:color w:val="auto"/>
                <w:w w:val="91"/>
              </w:rPr>
              <w:t>of Incorporation)</w:t>
            </w:r>
          </w:p>
        </w:tc>
        <w:tc>
          <w:tcPr>
            <w:tcW w:w="3140" w:type="dxa"/>
            <w:vAlign w:val="bottom"/>
          </w:tcPr>
          <w:p>
            <w:pPr>
              <w:spacing w:after="0"/>
              <w:rPr>
                <w:sz w:val="19"/>
                <w:szCs w:val="19"/>
                <w:color w:val="auto"/>
              </w:rPr>
            </w:pPr>
          </w:p>
        </w:tc>
        <w:tc>
          <w:tcPr>
            <w:tcW w:w="1980" w:type="dxa"/>
            <w:vAlign w:val="bottom"/>
            <w:vMerge w:val="restart"/>
          </w:tcPr>
          <w:p>
            <w:pPr>
              <w:jc w:val="center"/>
              <w:ind w:left="592"/>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2440" w:type="dxa"/>
            <w:vAlign w:val="bottom"/>
          </w:tcPr>
          <w:p>
            <w:pPr>
              <w:jc w:val="center"/>
              <w:ind w:right="432"/>
              <w:spacing w:after="0"/>
              <w:rPr>
                <w:sz w:val="20"/>
                <w:szCs w:val="20"/>
                <w:color w:val="auto"/>
              </w:rPr>
            </w:pPr>
            <w:r>
              <w:rPr>
                <w:rFonts w:ascii="Arial" w:cs="Arial" w:eastAsia="Arial" w:hAnsi="Arial"/>
                <w:sz w:val="18"/>
                <w:szCs w:val="18"/>
                <w:b w:val="1"/>
                <w:bCs w:val="1"/>
                <w:color w:val="auto"/>
                <w:w w:val="88"/>
              </w:rPr>
              <w:t>270 Park Avenue,</w:t>
            </w:r>
          </w:p>
        </w:tc>
        <w:tc>
          <w:tcPr>
            <w:tcW w:w="3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40" w:type="dxa"/>
            <w:vAlign w:val="bottom"/>
          </w:tcPr>
          <w:p>
            <w:pPr>
              <w:jc w:val="center"/>
              <w:ind w:right="432"/>
              <w:spacing w:after="0"/>
              <w:rPr>
                <w:sz w:val="20"/>
                <w:szCs w:val="20"/>
                <w:color w:val="auto"/>
              </w:rPr>
            </w:pPr>
            <w:r>
              <w:rPr>
                <w:rFonts w:ascii="Arial" w:cs="Arial" w:eastAsia="Arial" w:hAnsi="Arial"/>
                <w:sz w:val="18"/>
                <w:szCs w:val="18"/>
                <w:b w:val="1"/>
                <w:bCs w:val="1"/>
                <w:color w:val="auto"/>
                <w:w w:val="92"/>
              </w:rPr>
              <w:t>New York, NY</w:t>
            </w:r>
          </w:p>
        </w:tc>
        <w:tc>
          <w:tcPr>
            <w:tcW w:w="3140" w:type="dxa"/>
            <w:vAlign w:val="bottom"/>
          </w:tcPr>
          <w:p>
            <w:pPr>
              <w:spacing w:after="0"/>
              <w:rPr>
                <w:sz w:val="24"/>
                <w:szCs w:val="24"/>
                <w:color w:val="auto"/>
              </w:rPr>
            </w:pPr>
          </w:p>
        </w:tc>
        <w:tc>
          <w:tcPr>
            <w:tcW w:w="1980" w:type="dxa"/>
            <w:vAlign w:val="bottom"/>
          </w:tcPr>
          <w:p>
            <w:pPr>
              <w:jc w:val="right"/>
              <w:ind w:right="332"/>
              <w:spacing w:after="0"/>
              <w:rPr>
                <w:sz w:val="20"/>
                <w:szCs w:val="20"/>
                <w:color w:val="auto"/>
              </w:rPr>
            </w:pPr>
            <w:r>
              <w:rPr>
                <w:rFonts w:ascii="Arial" w:cs="Arial" w:eastAsia="Arial" w:hAnsi="Arial"/>
                <w:sz w:val="18"/>
                <w:szCs w:val="18"/>
                <w:b w:val="1"/>
                <w:bCs w:val="1"/>
                <w:color w:val="auto"/>
              </w:rPr>
              <w:t>10017</w:t>
            </w:r>
          </w:p>
        </w:tc>
        <w:tc>
          <w:tcPr>
            <w:tcW w:w="0" w:type="dxa"/>
            <w:vAlign w:val="bottom"/>
          </w:tcPr>
          <w:p>
            <w:pPr>
              <w:spacing w:after="0"/>
              <w:rPr>
                <w:sz w:val="1"/>
                <w:szCs w:val="1"/>
                <w:color w:val="auto"/>
              </w:rPr>
            </w:pPr>
          </w:p>
        </w:tc>
      </w:tr>
      <w:tr>
        <w:trPr>
          <w:trHeight w:val="405"/>
        </w:trPr>
        <w:tc>
          <w:tcPr>
            <w:tcW w:w="2440" w:type="dxa"/>
            <w:vAlign w:val="bottom"/>
          </w:tcPr>
          <w:p>
            <w:pPr>
              <w:jc w:val="center"/>
              <w:ind w:right="412"/>
              <w:spacing w:after="0"/>
              <w:rPr>
                <w:sz w:val="20"/>
                <w:szCs w:val="20"/>
                <w:color w:val="auto"/>
              </w:rPr>
            </w:pPr>
            <w:r>
              <w:rPr>
                <w:rFonts w:ascii="Arial" w:cs="Arial" w:eastAsia="Arial" w:hAnsi="Arial"/>
                <w:sz w:val="18"/>
                <w:szCs w:val="18"/>
                <w:color w:val="auto"/>
                <w:w w:val="90"/>
              </w:rPr>
              <w:t>(Address of Principal</w:t>
            </w:r>
          </w:p>
        </w:tc>
        <w:tc>
          <w:tcPr>
            <w:tcW w:w="3140" w:type="dxa"/>
            <w:vAlign w:val="bottom"/>
          </w:tcPr>
          <w:p>
            <w:pPr>
              <w:spacing w:after="0"/>
              <w:rPr>
                <w:sz w:val="24"/>
                <w:szCs w:val="24"/>
                <w:color w:val="auto"/>
              </w:rPr>
            </w:pPr>
          </w:p>
        </w:tc>
        <w:tc>
          <w:tcPr>
            <w:tcW w:w="1980" w:type="dxa"/>
            <w:vAlign w:val="bottom"/>
          </w:tcPr>
          <w:p>
            <w:pPr>
              <w:jc w:val="center"/>
              <w:ind w:left="59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2"/>
        </w:trPr>
        <w:tc>
          <w:tcPr>
            <w:tcW w:w="2440" w:type="dxa"/>
            <w:vAlign w:val="bottom"/>
          </w:tcPr>
          <w:p>
            <w:pPr>
              <w:jc w:val="center"/>
              <w:ind w:right="432"/>
              <w:spacing w:after="0"/>
              <w:rPr>
                <w:sz w:val="20"/>
                <w:szCs w:val="20"/>
                <w:color w:val="auto"/>
              </w:rPr>
            </w:pPr>
            <w:r>
              <w:rPr>
                <w:rFonts w:ascii="Arial" w:cs="Arial" w:eastAsia="Arial" w:hAnsi="Arial"/>
                <w:sz w:val="18"/>
                <w:szCs w:val="18"/>
                <w:color w:val="auto"/>
                <w:w w:val="90"/>
              </w:rPr>
              <w:t>Executive Offices)</w:t>
            </w:r>
          </w:p>
        </w:tc>
        <w:tc>
          <w:tcPr>
            <w:tcW w:w="3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270-6000</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One June 14, 2004, J.P. Morgan Chase &amp; co. announced that Board of Governors of the Federal Reserve System has approved their proposed merger. Attached as an exhibit is a copy of the press release with respect to the forgoing.</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191" w:lineRule="exact"/>
        <w:rPr>
          <w:sz w:val="24"/>
          <w:szCs w:val="24"/>
          <w:color w:val="auto"/>
        </w:rPr>
      </w:pPr>
    </w:p>
    <w:p>
      <w:pPr>
        <w:ind w:left="540" w:hanging="15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8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 following is furnished as an exhibit to this report.</w:t>
      </w:r>
    </w:p>
    <w:p>
      <w:pPr>
        <w:spacing w:after="0" w:line="279" w:lineRule="exact"/>
        <w:rPr>
          <w:sz w:val="24"/>
          <w:szCs w:val="24"/>
          <w:color w:val="auto"/>
        </w:rPr>
      </w:pPr>
    </w:p>
    <w:p>
      <w:pPr>
        <w:ind w:left="100"/>
        <w:spacing w:after="0"/>
        <w:tabs>
          <w:tab w:leader="none" w:pos="1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14, 2004</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91"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4614545</wp:posOffset>
            </wp:positionH>
            <wp:positionV relativeFrom="paragraph">
              <wp:posOffset>110490</wp:posOffset>
            </wp:positionV>
            <wp:extent cx="2649855" cy="1471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49855" cy="1471930"/>
                    </a:xfrm>
                    <a:prstGeom prst="rect">
                      <a:avLst/>
                    </a:prstGeom>
                    <a:noFill/>
                  </pic:spPr>
                </pic:pic>
              </a:graphicData>
            </a:graphic>
          </wp:anchor>
        </w:drawing>
      </w:r>
    </w:p>
    <w:p>
      <w:pPr>
        <w:spacing w:after="0" w:line="301" w:lineRule="exact"/>
        <w:rPr>
          <w:sz w:val="24"/>
          <w:szCs w:val="24"/>
          <w:color w:val="auto"/>
        </w:rPr>
      </w:pPr>
    </w:p>
    <w:p>
      <w:pPr>
        <w:ind w:left="7420"/>
        <w:spacing w:after="0"/>
        <w:rPr>
          <w:sz w:val="20"/>
          <w:szCs w:val="20"/>
          <w:color w:val="auto"/>
        </w:rPr>
      </w:pPr>
      <w:r>
        <w:rPr>
          <w:rFonts w:ascii="Arial" w:cs="Arial" w:eastAsia="Arial" w:hAnsi="Arial"/>
          <w:sz w:val="18"/>
          <w:szCs w:val="18"/>
          <w:color w:val="auto"/>
        </w:rPr>
        <w:t>J.P. MORGAN CHASE &amp; CO.</w:t>
      </w:r>
    </w:p>
    <w:p>
      <w:pPr>
        <w:spacing w:after="0" w:line="15" w:lineRule="exact"/>
        <w:rPr>
          <w:sz w:val="24"/>
          <w:szCs w:val="24"/>
          <w:color w:val="auto"/>
        </w:rPr>
      </w:pPr>
    </w:p>
    <w:p>
      <w:pPr>
        <w:ind w:left="7420"/>
        <w:spacing w:after="0"/>
        <w:rPr>
          <w:sz w:val="20"/>
          <w:szCs w:val="20"/>
          <w:color w:val="auto"/>
        </w:rPr>
      </w:pPr>
      <w:r>
        <w:rPr>
          <w:rFonts w:ascii="Arial" w:cs="Arial" w:eastAsia="Arial" w:hAnsi="Arial"/>
          <w:sz w:val="18"/>
          <w:szCs w:val="18"/>
          <w:color w:val="auto"/>
        </w:rPr>
        <w:t>(Registrant)</w:t>
      </w:r>
    </w:p>
    <w:p>
      <w:pPr>
        <w:spacing w:after="0" w:line="75" w:lineRule="exact"/>
        <w:rPr>
          <w:sz w:val="24"/>
          <w:szCs w:val="24"/>
          <w:color w:val="auto"/>
        </w:rPr>
      </w:pPr>
    </w:p>
    <w:p>
      <w:pPr>
        <w:ind w:left="7300"/>
        <w:spacing w:after="0"/>
        <w:rPr>
          <w:sz w:val="20"/>
          <w:szCs w:val="20"/>
          <w:color w:val="auto"/>
        </w:rPr>
      </w:pPr>
      <w:r>
        <w:rPr>
          <w:sz w:val="1"/>
          <w:szCs w:val="1"/>
          <w:color w:val="auto"/>
        </w:rPr>
        <w:drawing>
          <wp:inline distT="0" distB="0" distL="0" distR="0">
            <wp:extent cx="34290" cy="3168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18"/>
          <w:szCs w:val="18"/>
          <w:color w:val="auto"/>
        </w:rPr>
        <w:t xml:space="preserve"> By: </w:t>
      </w:r>
      <w:r>
        <w:rPr>
          <w:sz w:val="1"/>
          <w:szCs w:val="1"/>
          <w:color w:val="auto"/>
        </w:rPr>
        <w:drawing>
          <wp:inline distT="0" distB="0" distL="0" distR="0">
            <wp:extent cx="51435" cy="316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p>
    <w:p>
      <w:pPr>
        <w:spacing w:after="0" w:line="200" w:lineRule="exact"/>
        <w:rPr>
          <w:sz w:val="24"/>
          <w:szCs w:val="24"/>
          <w:color w:val="auto"/>
        </w:rPr>
      </w:pPr>
    </w:p>
    <w:p>
      <w:pPr>
        <w:spacing w:after="0" w:line="208" w:lineRule="exact"/>
        <w:rPr>
          <w:sz w:val="24"/>
          <w:szCs w:val="24"/>
          <w:color w:val="auto"/>
        </w:rPr>
      </w:pPr>
    </w:p>
    <w:p>
      <w:pPr>
        <w:ind w:left="7760"/>
        <w:spacing w:after="0"/>
        <w:rPr>
          <w:sz w:val="20"/>
          <w:szCs w:val="20"/>
          <w:color w:val="auto"/>
        </w:rPr>
      </w:pPr>
      <w:r>
        <w:rPr>
          <w:sz w:val="1"/>
          <w:szCs w:val="1"/>
          <w:color w:val="auto"/>
        </w:rPr>
        <w:drawing>
          <wp:inline distT="0" distB="0" distL="0" distR="0">
            <wp:extent cx="51435" cy="3168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18"/>
          <w:szCs w:val="18"/>
          <w:color w:val="auto"/>
        </w:rPr>
        <w:t xml:space="preserve"> Name:     </w:t>
      </w:r>
      <w:r>
        <w:rPr>
          <w:sz w:val="1"/>
          <w:szCs w:val="1"/>
          <w:color w:val="auto"/>
        </w:rPr>
        <w:drawing>
          <wp:inline distT="0" distB="0" distL="0" distR="0">
            <wp:extent cx="51435" cy="3168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 cy="316865"/>
                    </a:xfrm>
                    <a:prstGeom prst="rect">
                      <a:avLst/>
                    </a:prstGeom>
                    <a:noFill/>
                    <a:ln>
                      <a:noFill/>
                    </a:ln>
                  </pic:spPr>
                </pic:pic>
              </a:graphicData>
            </a:graphic>
          </wp:inline>
        </w:drawing>
      </w:r>
      <w:r>
        <w:rPr>
          <w:rFonts w:ascii="Arial" w:cs="Arial" w:eastAsia="Arial" w:hAnsi="Arial"/>
          <w:sz w:val="18"/>
          <w:szCs w:val="18"/>
          <w:color w:val="auto"/>
        </w:rPr>
        <w:t xml:space="preserve"> Anthony Horan</w:t>
      </w:r>
    </w:p>
    <w:p>
      <w:pPr>
        <w:sectPr>
          <w:pgSz w:w="11900" w:h="16838" w:orient="portrait"/>
          <w:cols w:equalWidth="0" w:num="1">
            <w:col w:w="11360"/>
          </w:cols>
          <w:pgMar w:left="240" w:top="206" w:right="29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4766945</wp:posOffset>
            </wp:positionH>
            <wp:positionV relativeFrom="page">
              <wp:posOffset>88900</wp:posOffset>
            </wp:positionV>
            <wp:extent cx="2649855" cy="252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9855" cy="252730"/>
                    </a:xfrm>
                    <a:prstGeom prst="rect">
                      <a:avLst/>
                    </a:prstGeom>
                    <a:noFill/>
                  </pic:spPr>
                </pic:pic>
              </a:graphicData>
            </a:graphic>
          </wp:anchor>
        </w:drawing>
        <w:t>Dated: June 15, 2004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725" w:right="239" w:bottom="1440" w:gutter="0" w:footer="0" w:header="0"/>
        </w:sectPr>
      </w:pPr>
    </w:p>
    <w:p>
      <w:pPr>
        <w:spacing w:after="0" w:line="281"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Exhibit Number</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11" w:lineRule="exact"/>
        <w:rPr>
          <w:sz w:val="20"/>
          <w:szCs w:val="20"/>
          <w:color w:val="auto"/>
        </w:rPr>
      </w:pPr>
    </w:p>
    <w:p>
      <w:pPr>
        <w:sectPr>
          <w:pgSz w:w="11900" w:h="16838" w:orient="portrait"/>
          <w:cols w:equalWidth="0" w:num="2">
            <w:col w:w="4220" w:space="720"/>
            <w:col w:w="6480"/>
          </w:cols>
          <w:pgMar w:left="240" w:top="725" w:right="239" w:bottom="1440" w:gutter="0" w:footer="0" w:header="0"/>
          <w:type w:val="continuous"/>
        </w:sectPr>
      </w:pPr>
    </w:p>
    <w:p>
      <w:pPr>
        <w:spacing w:after="0" w:line="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dated June 14, 2004</w:t>
      </w:r>
    </w:p>
    <w:p>
      <w:pPr>
        <w:spacing w:after="0" w:line="200" w:lineRule="exact"/>
        <w:rPr>
          <w:sz w:val="20"/>
          <w:szCs w:val="20"/>
          <w:color w:val="auto"/>
        </w:rPr>
      </w:pPr>
    </w:p>
    <w:p>
      <w:pPr>
        <w:sectPr>
          <w:pgSz w:w="11900" w:h="16838" w:orient="portrait"/>
          <w:cols w:equalWidth="0" w:num="2">
            <w:col w:w="1280" w:space="720"/>
            <w:col w:w="9420"/>
          </w:cols>
          <w:pgMar w:left="240" w:top="725" w:right="2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[LOGO]</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J.P. Morgan Chase &amp; Co.</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270 Park Avenue</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NYSE: symbol: JPM</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www.jpmorganchase.com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News release: IMMEDIATE RELEASE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JPMORGAN CHASE AND BANK ONE SET JULY 1 TO MERGE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RESERVE APPROVES MERGER</w:t>
      </w:r>
    </w:p>
    <w:p>
      <w:pPr>
        <w:spacing w:after="0" w:line="200" w:lineRule="exact"/>
        <w:rPr>
          <w:sz w:val="20"/>
          <w:szCs w:val="20"/>
          <w:color w:val="auto"/>
        </w:rPr>
      </w:pPr>
    </w:p>
    <w:p>
      <w:pPr>
        <w:spacing w:after="0" w:line="3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New York and Chicago, June 14, 2004 </w:t>
      </w:r>
      <w:r>
        <w:rPr>
          <w:rFonts w:ascii="Arial" w:cs="Arial" w:eastAsia="Arial" w:hAnsi="Arial"/>
          <w:sz w:val="18"/>
          <w:szCs w:val="18"/>
          <w:color w:val="auto"/>
        </w:rPr>
        <w:t>- J.P. Morgan Chase &amp; Co. (NYSE:JPM) and Bank One Corporation (NYSE:ONE) today announced that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Governors of the Federal Reserve System has approved their proposed merger. This completes the regulatory approvals necessary to consummate their merger. The companies have set 12:01 a.m. on July 1, 2004 as the effective time of their merger.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each company had previously approved the merger on May 25, 2004.</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merger agreement provides that Bank One stockholders will receive 1.32 shares of JPMorgan Chase common stock for each share of Bank One common stock they own. Following the closing, JPMorgan Chase stock will continue to trade on the New York Stock Exchange under the ticker symbol JPM. Bank One stock will no longer trade beginning July 1, 2004.</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 One Corporation (</w:t>
      </w:r>
      <w:r>
        <w:rPr>
          <w:rFonts w:ascii="Arial" w:cs="Arial" w:eastAsia="Arial" w:hAnsi="Arial"/>
          <w:sz w:val="18"/>
          <w:szCs w:val="18"/>
          <w:u w:val="single" w:color="auto"/>
          <w:color w:val="0000FF"/>
        </w:rPr>
        <w:t>www.bankone.com)</w:t>
      </w:r>
      <w:r>
        <w:rPr>
          <w:rFonts w:ascii="Arial" w:cs="Arial" w:eastAsia="Arial" w:hAnsi="Arial"/>
          <w:sz w:val="18"/>
          <w:szCs w:val="18"/>
          <w:color w:val="auto"/>
        </w:rPr>
        <w:t xml:space="preserve"> is the nation's sixth-largest bank holding company, with assets of $320 billion. Bank One currently has more than 51 million credit cards issued, nearly 7 million retail households, and approximately 20,000 middle market customers. It also manages $188 billion of clients' investment assets.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J.P. Morgan Chase &amp; Co. (</w:t>
      </w:r>
      <w:r>
        <w:rPr>
          <w:rFonts w:ascii="Arial" w:cs="Arial" w:eastAsia="Arial" w:hAnsi="Arial"/>
          <w:sz w:val="21"/>
          <w:szCs w:val="21"/>
          <w:u w:val="single" w:color="auto"/>
          <w:color w:val="0000FF"/>
        </w:rPr>
        <w:t>www.jpmorganchase.com)</w:t>
      </w:r>
      <w:r>
        <w:rPr>
          <w:rFonts w:ascii="Arial" w:cs="Arial" w:eastAsia="Arial" w:hAnsi="Arial"/>
          <w:sz w:val="21"/>
          <w:szCs w:val="21"/>
          <w:color w:val="auto"/>
        </w:rPr>
        <w:t xml:space="preserve"> is a leading global financial services firm with assets of $801 billion and operations in more than 50 countries. The firm is a leader in investment banking, financial services for consumers and businesses, financial transaction processing, investment management, private banking and private equity. A component of the Dow Jones Industrial Average, JPMorgan Chase is headquartered in New York and serves more than 30 million consumers nationwide, and many of the world's most prominent corporate, institutional and government clients.</w:t>
      </w:r>
    </w:p>
    <w:p>
      <w:pPr>
        <w:spacing w:after="0" w:line="179" w:lineRule="exact"/>
        <w:rPr>
          <w:sz w:val="20"/>
          <w:szCs w:val="20"/>
          <w:color w:val="auto"/>
        </w:rPr>
      </w:pPr>
    </w:p>
    <w:p>
      <w:pPr>
        <w:jc w:val="center"/>
        <w:ind w:left="540"/>
        <w:spacing w:after="0"/>
        <w:rPr>
          <w:sz w:val="20"/>
          <w:szCs w:val="20"/>
          <w:color w:val="auto"/>
        </w:rPr>
      </w:pPr>
      <w:r>
        <w:rPr>
          <w:rFonts w:ascii="Arial" w:cs="Arial" w:eastAsia="Arial" w:hAnsi="Arial"/>
          <w:sz w:val="22"/>
          <w:szCs w:val="22"/>
          <w:color w:val="auto"/>
        </w:rPr>
        <w:t># # #</w:t>
      </w:r>
    </w:p>
    <w:sectPr>
      <w:pgSz w:w="11900" w:h="16838" w:orient="portrait"/>
      <w:cols w:equalWidth="0" w:num="1">
        <w:col w:w="11420"/>
      </w:cols>
      <w:pgMar w:left="240" w:top="7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2019-12-19T19:46:22Z</dcterms:created>
  <dcterms:modified xsi:type="dcterms:W3CDTF">2019-12-19T19:46:22Z</dcterms:modified>
</cp:coreProperties>
</file>