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b w:val="1"/>
          <w:bCs w:val="1"/>
          <w:color w:val="808080"/>
        </w:rPr>
        <w:t>JPMorgan Chase Financial Company LLC</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3"/>
          <w:szCs w:val="13"/>
          <w:color w:val="808080"/>
        </w:rPr>
        <w:t>Free Writing Prospectus Filed Pursuant to Rule 433</w:t>
      </w:r>
    </w:p>
    <w:p>
      <w:pPr>
        <w:jc w:val="right"/>
        <w:spacing w:after="0" w:line="233" w:lineRule="auto"/>
        <w:rPr>
          <w:sz w:val="20"/>
          <w:szCs w:val="20"/>
          <w:color w:val="auto"/>
        </w:rPr>
      </w:pPr>
      <w:r>
        <w:rPr>
          <w:rFonts w:ascii="Arial" w:cs="Arial" w:eastAsia="Arial" w:hAnsi="Arial"/>
          <w:sz w:val="13"/>
          <w:szCs w:val="13"/>
          <w:color w:val="808080"/>
        </w:rPr>
        <w:t>Registration Statement Nos. 333-293684 and 333-293684-01</w:t>
      </w:r>
    </w:p>
    <w:p>
      <w:pPr>
        <w:jc w:val="right"/>
        <w:spacing w:after="0" w:line="221" w:lineRule="auto"/>
        <w:rPr>
          <w:sz w:val="20"/>
          <w:szCs w:val="20"/>
          <w:color w:val="auto"/>
        </w:rPr>
      </w:pPr>
      <w:r>
        <w:rPr>
          <w:rFonts w:ascii="Arial" w:cs="Arial" w:eastAsia="Arial" w:hAnsi="Arial"/>
          <w:sz w:val="13"/>
          <w:szCs w:val="13"/>
          <w:color w:val="808080"/>
        </w:rPr>
        <w:t>Dated October 29, 2026</w:t>
      </w:r>
    </w:p>
    <w:p>
      <w:pPr>
        <w:spacing w:after="0"/>
        <w:rPr>
          <w:sz w:val="20"/>
          <w:szCs w:val="20"/>
          <w:color w:val="auto"/>
        </w:rPr>
      </w:pPr>
      <w:r>
        <w:rPr>
          <w:rFonts w:ascii="Arial" w:cs="Arial" w:eastAsia="Arial" w:hAnsi="Arial"/>
          <w:sz w:val="26"/>
          <w:szCs w:val="26"/>
          <w:color w:val="296DC1"/>
        </w:rPr>
        <w:t>6y SX5E/TPX Basket Trigger PLUS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462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6" w:lineRule="exact"/>
        <w:rPr>
          <w:sz w:val="24"/>
          <w:szCs w:val="24"/>
          <w:color w:val="auto"/>
        </w:rPr>
      </w:pPr>
    </w:p>
    <w:p>
      <w:pPr>
        <w:ind w:left="60" w:right="260"/>
        <w:spacing w:after="0" w:line="253" w:lineRule="auto"/>
        <w:rPr>
          <w:sz w:val="20"/>
          <w:szCs w:val="20"/>
          <w:color w:val="auto"/>
        </w:rPr>
      </w:pPr>
      <w:r>
        <w:rPr>
          <w:rFonts w:ascii="Arial" w:cs="Arial" w:eastAsia="Arial" w:hAnsi="Arial"/>
          <w:sz w:val="15"/>
          <w:szCs w:val="15"/>
          <w:b w:val="1"/>
          <w:bCs w:val="1"/>
          <w:i w:val="1"/>
          <w:iCs w:val="1"/>
          <w:color w:val="auto"/>
        </w:rPr>
        <w:t>This document provides a summary of the terms of the Trigger PLUS.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7202805" cy="161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2805" cy="161925"/>
                    </a:xfrm>
                    <a:prstGeom prst="rect">
                      <a:avLst/>
                    </a:prstGeom>
                    <a:noFill/>
                  </pic:spPr>
                </pic:pic>
              </a:graphicData>
            </a:graphic>
          </wp:anchor>
        </w:drawing>
      </w:r>
    </w:p>
    <w:p>
      <w:pPr>
        <w:sectPr>
          <w:pgSz w:w="11900" w:h="16838" w:orient="portrait"/>
          <w:cols w:equalWidth="0" w:num="1">
            <w:col w:w="11260"/>
          </w:cols>
          <w:pgMar w:left="320" w:top="211" w:right="319" w:bottom="1440" w:gutter="0" w:footer="0" w:header="0"/>
        </w:sectPr>
      </w:pPr>
    </w:p>
    <w:p>
      <w:pPr>
        <w:spacing w:after="0" w:line="39" w:lineRule="exact"/>
        <w:rPr>
          <w:sz w:val="24"/>
          <w:szCs w:val="24"/>
          <w:color w:val="auto"/>
        </w:rPr>
      </w:pPr>
    </w:p>
    <w:p>
      <w:pPr>
        <w:ind w:left="80"/>
        <w:spacing w:after="0"/>
        <w:rPr>
          <w:sz w:val="20"/>
          <w:szCs w:val="20"/>
          <w:color w:val="auto"/>
        </w:rPr>
      </w:pPr>
      <w:r>
        <w:rPr>
          <w:rFonts w:ascii="Arial" w:cs="Arial" w:eastAsia="Arial" w:hAnsi="Arial"/>
          <w:sz w:val="13"/>
          <w:szCs w:val="13"/>
          <w:b w:val="1"/>
          <w:bCs w:val="1"/>
          <w:color w:val="FFFFFF"/>
        </w:rPr>
        <w:t>SUMMARY TERMS</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58"/>
        </w:trPr>
        <w:tc>
          <w:tcPr>
            <w:tcW w:w="1020" w:type="dxa"/>
            <w:vAlign w:val="bottom"/>
          </w:tcPr>
          <w:p>
            <w:pPr>
              <w:ind w:left="80"/>
              <w:spacing w:after="0"/>
              <w:rPr>
                <w:sz w:val="20"/>
                <w:szCs w:val="20"/>
                <w:color w:val="auto"/>
              </w:rPr>
            </w:pPr>
            <w:r>
              <w:rPr>
                <w:rFonts w:ascii="Arial" w:cs="Arial" w:eastAsia="Arial" w:hAnsi="Arial"/>
                <w:sz w:val="11"/>
                <w:szCs w:val="11"/>
                <w:b w:val="1"/>
                <w:bCs w:val="1"/>
                <w:color w:val="296DC1"/>
              </w:rPr>
              <w:t>Issuer:</w:t>
            </w:r>
          </w:p>
        </w:tc>
        <w:tc>
          <w:tcPr>
            <w:tcW w:w="4480" w:type="dxa"/>
            <w:vAlign w:val="bottom"/>
            <w:gridSpan w:val="3"/>
          </w:tcPr>
          <w:p>
            <w:pPr>
              <w:ind w:left="380"/>
              <w:spacing w:after="0"/>
              <w:rPr>
                <w:sz w:val="20"/>
                <w:szCs w:val="20"/>
                <w:color w:val="auto"/>
              </w:rPr>
            </w:pPr>
            <w:r>
              <w:rPr>
                <w:rFonts w:ascii="Arial" w:cs="Arial" w:eastAsia="Arial" w:hAnsi="Arial"/>
                <w:sz w:val="11"/>
                <w:szCs w:val="11"/>
                <w:color w:val="auto"/>
              </w:rPr>
              <w:t>JPMorgan Chase Financial Company LLC (“JPMorgan Financial”)</w:t>
            </w:r>
          </w:p>
        </w:tc>
        <w:tc>
          <w:tcPr>
            <w:tcW w:w="0" w:type="dxa"/>
            <w:vAlign w:val="bottom"/>
          </w:tcPr>
          <w:p>
            <w:pPr>
              <w:spacing w:after="0"/>
              <w:rPr>
                <w:sz w:val="1"/>
                <w:szCs w:val="1"/>
                <w:color w:val="auto"/>
              </w:rPr>
            </w:pPr>
          </w:p>
        </w:tc>
      </w:tr>
      <w:tr>
        <w:trPr>
          <w:trHeight w:val="173"/>
        </w:trPr>
        <w:tc>
          <w:tcPr>
            <w:tcW w:w="1020" w:type="dxa"/>
            <w:vAlign w:val="bottom"/>
            <w:shd w:val="clear" w:color="auto" w:fill="DCEBF4"/>
          </w:tcPr>
          <w:p>
            <w:pPr>
              <w:ind w:left="80"/>
              <w:spacing w:after="0"/>
              <w:rPr>
                <w:sz w:val="20"/>
                <w:szCs w:val="20"/>
                <w:color w:val="auto"/>
              </w:rPr>
            </w:pPr>
            <w:r>
              <w:rPr>
                <w:rFonts w:ascii="Arial" w:cs="Arial" w:eastAsia="Arial" w:hAnsi="Arial"/>
                <w:sz w:val="11"/>
                <w:szCs w:val="11"/>
                <w:b w:val="1"/>
                <w:bCs w:val="1"/>
                <w:color w:val="296DC1"/>
              </w:rPr>
              <w:t>Guarantor:</w:t>
            </w:r>
          </w:p>
        </w:tc>
        <w:tc>
          <w:tcPr>
            <w:tcW w:w="1940" w:type="dxa"/>
            <w:vAlign w:val="bottom"/>
            <w:shd w:val="clear" w:color="auto" w:fill="DCEBF4"/>
          </w:tcPr>
          <w:p>
            <w:pPr>
              <w:ind w:left="380"/>
              <w:spacing w:after="0"/>
              <w:rPr>
                <w:sz w:val="20"/>
                <w:szCs w:val="20"/>
                <w:color w:val="auto"/>
              </w:rPr>
            </w:pPr>
            <w:r>
              <w:rPr>
                <w:rFonts w:ascii="Arial" w:cs="Arial" w:eastAsia="Arial" w:hAnsi="Arial"/>
                <w:sz w:val="11"/>
                <w:szCs w:val="11"/>
                <w:color w:val="auto"/>
              </w:rPr>
              <w:t>JPMorgan Chase &amp; Co.</w:t>
            </w:r>
          </w:p>
        </w:tc>
        <w:tc>
          <w:tcPr>
            <w:tcW w:w="1040" w:type="dxa"/>
            <w:vAlign w:val="bottom"/>
            <w:shd w:val="clear" w:color="auto" w:fill="DCEBF4"/>
          </w:tcPr>
          <w:p>
            <w:pPr>
              <w:spacing w:after="0"/>
              <w:rPr>
                <w:sz w:val="15"/>
                <w:szCs w:val="15"/>
                <w:color w:val="auto"/>
              </w:rPr>
            </w:pPr>
          </w:p>
        </w:tc>
        <w:tc>
          <w:tcPr>
            <w:tcW w:w="1500" w:type="dxa"/>
            <w:vAlign w:val="bottom"/>
            <w:shd w:val="clear" w:color="auto" w:fill="DCEBF4"/>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020" w:type="dxa"/>
            <w:vAlign w:val="bottom"/>
            <w:vMerge w:val="restart"/>
          </w:tcPr>
          <w:p>
            <w:pPr>
              <w:ind w:left="80"/>
              <w:spacing w:after="0"/>
              <w:rPr>
                <w:sz w:val="20"/>
                <w:szCs w:val="20"/>
                <w:color w:val="auto"/>
              </w:rPr>
            </w:pPr>
            <w:r>
              <w:rPr>
                <w:rFonts w:ascii="Arial" w:cs="Arial" w:eastAsia="Arial" w:hAnsi="Arial"/>
                <w:sz w:val="11"/>
                <w:szCs w:val="11"/>
                <w:b w:val="1"/>
                <w:bCs w:val="1"/>
                <w:color w:val="296DC1"/>
              </w:rPr>
              <w:t>Basket:</w:t>
            </w:r>
          </w:p>
        </w:tc>
        <w:tc>
          <w:tcPr>
            <w:tcW w:w="1940" w:type="dxa"/>
            <w:vAlign w:val="bottom"/>
          </w:tcPr>
          <w:p>
            <w:pPr>
              <w:ind w:left="340"/>
              <w:spacing w:after="0"/>
              <w:rPr>
                <w:sz w:val="20"/>
                <w:szCs w:val="20"/>
                <w:color w:val="auto"/>
              </w:rPr>
            </w:pPr>
            <w:r>
              <w:rPr>
                <w:rFonts w:ascii="Arial" w:cs="Arial" w:eastAsia="Arial" w:hAnsi="Arial"/>
                <w:sz w:val="11"/>
                <w:szCs w:val="11"/>
                <w:b w:val="1"/>
                <w:bCs w:val="1"/>
                <w:color w:val="296DC1"/>
              </w:rPr>
              <w:t>Underlying indices</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296DC1"/>
              </w:rPr>
              <w:t>Bloomberg</w:t>
            </w:r>
          </w:p>
        </w:tc>
        <w:tc>
          <w:tcPr>
            <w:tcW w:w="1500" w:type="dxa"/>
            <w:vAlign w:val="bottom"/>
          </w:tcPr>
          <w:p>
            <w:pPr>
              <w:ind w:left="360"/>
              <w:spacing w:after="0"/>
              <w:rPr>
                <w:sz w:val="20"/>
                <w:szCs w:val="20"/>
                <w:color w:val="auto"/>
              </w:rPr>
            </w:pPr>
            <w:r>
              <w:rPr>
                <w:rFonts w:ascii="Arial" w:cs="Arial" w:eastAsia="Arial" w:hAnsi="Arial"/>
                <w:sz w:val="11"/>
                <w:szCs w:val="11"/>
                <w:b w:val="1"/>
                <w:bCs w:val="1"/>
                <w:color w:val="296DC1"/>
              </w:rPr>
              <w:t>Basket</w:t>
            </w: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1940" w:type="dxa"/>
            <w:vAlign w:val="bottom"/>
          </w:tcPr>
          <w:p>
            <w:pPr>
              <w:spacing w:after="0"/>
              <w:rPr>
                <w:sz w:val="10"/>
                <w:szCs w:val="10"/>
                <w:color w:val="auto"/>
              </w:rPr>
            </w:pPr>
          </w:p>
        </w:tc>
        <w:tc>
          <w:tcPr>
            <w:tcW w:w="1040" w:type="dxa"/>
            <w:vAlign w:val="bottom"/>
          </w:tcPr>
          <w:p>
            <w:pPr>
              <w:ind w:left="80"/>
              <w:spacing w:after="0" w:line="122" w:lineRule="exact"/>
              <w:rPr>
                <w:sz w:val="20"/>
                <w:szCs w:val="20"/>
                <w:color w:val="auto"/>
              </w:rPr>
            </w:pPr>
            <w:r>
              <w:rPr>
                <w:rFonts w:ascii="Arial" w:cs="Arial" w:eastAsia="Arial" w:hAnsi="Arial"/>
                <w:sz w:val="11"/>
                <w:szCs w:val="11"/>
                <w:b w:val="1"/>
                <w:bCs w:val="1"/>
                <w:color w:val="296DC1"/>
              </w:rPr>
              <w:t>ticker</w:t>
            </w:r>
          </w:p>
        </w:tc>
        <w:tc>
          <w:tcPr>
            <w:tcW w:w="1500" w:type="dxa"/>
            <w:vAlign w:val="bottom"/>
          </w:tcPr>
          <w:p>
            <w:pPr>
              <w:ind w:left="360"/>
              <w:spacing w:after="0" w:line="122" w:lineRule="exact"/>
              <w:rPr>
                <w:sz w:val="20"/>
                <w:szCs w:val="20"/>
                <w:color w:val="auto"/>
              </w:rPr>
            </w:pPr>
            <w:r>
              <w:rPr>
                <w:rFonts w:ascii="Arial" w:cs="Arial" w:eastAsia="Arial" w:hAnsi="Arial"/>
                <w:sz w:val="11"/>
                <w:szCs w:val="11"/>
                <w:b w:val="1"/>
                <w:bCs w:val="1"/>
                <w:color w:val="296DC1"/>
              </w:rPr>
              <w:t>weighting</w:t>
            </w:r>
          </w:p>
        </w:tc>
        <w:tc>
          <w:tcPr>
            <w:tcW w:w="0" w:type="dxa"/>
            <w:vAlign w:val="bottom"/>
          </w:tcPr>
          <w:p>
            <w:pPr>
              <w:spacing w:after="0"/>
              <w:rPr>
                <w:sz w:val="1"/>
                <w:szCs w:val="1"/>
                <w:color w:val="auto"/>
              </w:rPr>
            </w:pPr>
          </w:p>
        </w:tc>
      </w:tr>
      <w:tr>
        <w:trPr>
          <w:trHeight w:val="154"/>
        </w:trPr>
        <w:tc>
          <w:tcPr>
            <w:tcW w:w="10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40" w:type="dxa"/>
            <w:vAlign w:val="bottom"/>
          </w:tcPr>
          <w:p>
            <w:pPr>
              <w:ind w:left="80"/>
              <w:spacing w:after="0"/>
              <w:rPr>
                <w:sz w:val="20"/>
                <w:szCs w:val="20"/>
                <w:color w:val="auto"/>
              </w:rPr>
            </w:pPr>
            <w:r>
              <w:rPr>
                <w:rFonts w:ascii="Arial" w:cs="Arial" w:eastAsia="Arial" w:hAnsi="Arial"/>
                <w:sz w:val="11"/>
                <w:szCs w:val="11"/>
                <w:b w:val="1"/>
                <w:bCs w:val="1"/>
                <w:color w:val="296DC1"/>
              </w:rPr>
              <w:t>symbol</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1940" w:type="dxa"/>
            <w:vAlign w:val="bottom"/>
          </w:tcPr>
          <w:p>
            <w:pPr>
              <w:ind w:left="340"/>
              <w:spacing w:after="0" w:line="173" w:lineRule="exact"/>
              <w:rPr>
                <w:sz w:val="20"/>
                <w:szCs w:val="20"/>
                <w:color w:val="auto"/>
              </w:rPr>
            </w:pPr>
            <w:r>
              <w:rPr>
                <w:rFonts w:ascii="Arial" w:cs="Arial" w:eastAsia="Arial" w:hAnsi="Arial"/>
                <w:sz w:val="11"/>
                <w:szCs w:val="11"/>
                <w:color w:val="auto"/>
              </w:rPr>
              <w:t>EURO STOXX 50</w:t>
            </w:r>
            <w:r>
              <w:rPr>
                <w:rFonts w:ascii="Arial" w:cs="Arial" w:eastAsia="Arial" w:hAnsi="Arial"/>
                <w:sz w:val="18"/>
                <w:szCs w:val="18"/>
                <w:color w:val="auto"/>
                <w:vertAlign w:val="superscript"/>
              </w:rPr>
              <w:t>®</w:t>
            </w:r>
            <w:r>
              <w:rPr>
                <w:rFonts w:ascii="Arial" w:cs="Arial" w:eastAsia="Arial" w:hAnsi="Arial"/>
                <w:sz w:val="11"/>
                <w:szCs w:val="11"/>
                <w:color w:val="auto"/>
              </w:rPr>
              <w:t xml:space="preserve"> Index (the</w:t>
            </w:r>
          </w:p>
        </w:tc>
        <w:tc>
          <w:tcPr>
            <w:tcW w:w="1040" w:type="dxa"/>
            <w:vAlign w:val="bottom"/>
          </w:tcPr>
          <w:p>
            <w:pPr>
              <w:ind w:left="80"/>
              <w:spacing w:after="0"/>
              <w:rPr>
                <w:sz w:val="20"/>
                <w:szCs w:val="20"/>
                <w:color w:val="auto"/>
              </w:rPr>
            </w:pPr>
            <w:r>
              <w:rPr>
                <w:rFonts w:ascii="Arial" w:cs="Arial" w:eastAsia="Arial" w:hAnsi="Arial"/>
                <w:sz w:val="11"/>
                <w:szCs w:val="11"/>
                <w:color w:val="auto"/>
              </w:rPr>
              <w:t>SX5E</w:t>
            </w:r>
          </w:p>
        </w:tc>
        <w:tc>
          <w:tcPr>
            <w:tcW w:w="1500" w:type="dxa"/>
            <w:vAlign w:val="bottom"/>
          </w:tcPr>
          <w:p>
            <w:pPr>
              <w:ind w:left="360"/>
              <w:spacing w:after="0"/>
              <w:rPr>
                <w:sz w:val="20"/>
                <w:szCs w:val="20"/>
                <w:color w:val="auto"/>
              </w:rPr>
            </w:pPr>
            <w:r>
              <w:rPr>
                <w:rFonts w:ascii="Arial" w:cs="Arial" w:eastAsia="Arial" w:hAnsi="Arial"/>
                <w:sz w:val="11"/>
                <w:szCs w:val="11"/>
                <w:color w:val="auto"/>
              </w:rPr>
              <w:t>50.00%</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940" w:type="dxa"/>
            <w:vAlign w:val="bottom"/>
          </w:tcPr>
          <w:p>
            <w:pPr>
              <w:ind w:left="340"/>
              <w:spacing w:after="0"/>
              <w:rPr>
                <w:sz w:val="20"/>
                <w:szCs w:val="20"/>
                <w:color w:val="auto"/>
              </w:rPr>
            </w:pPr>
            <w:r>
              <w:rPr>
                <w:rFonts w:ascii="Arial" w:cs="Arial" w:eastAsia="Arial" w:hAnsi="Arial"/>
                <w:sz w:val="11"/>
                <w:szCs w:val="11"/>
                <w:color w:val="auto"/>
              </w:rPr>
              <w:t>“SX5E Index”)</w:t>
            </w:r>
          </w:p>
        </w:tc>
        <w:tc>
          <w:tcPr>
            <w:tcW w:w="1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940" w:type="dxa"/>
            <w:vAlign w:val="bottom"/>
          </w:tcPr>
          <w:p>
            <w:pPr>
              <w:ind w:left="340"/>
              <w:spacing w:after="0" w:line="179" w:lineRule="exact"/>
              <w:rPr>
                <w:sz w:val="20"/>
                <w:szCs w:val="20"/>
                <w:color w:val="auto"/>
              </w:rPr>
            </w:pPr>
            <w:r>
              <w:rPr>
                <w:rFonts w:ascii="Arial" w:cs="Arial" w:eastAsia="Arial" w:hAnsi="Arial"/>
                <w:sz w:val="11"/>
                <w:szCs w:val="11"/>
                <w:color w:val="auto"/>
              </w:rPr>
              <w:t>TOPIX</w:t>
            </w:r>
            <w:r>
              <w:rPr>
                <w:rFonts w:ascii="Arial" w:cs="Arial" w:eastAsia="Arial" w:hAnsi="Arial"/>
                <w:sz w:val="18"/>
                <w:szCs w:val="18"/>
                <w:color w:val="auto"/>
                <w:vertAlign w:val="superscript"/>
              </w:rPr>
              <w:t>®</w:t>
            </w:r>
            <w:r>
              <w:rPr>
                <w:rFonts w:ascii="Arial" w:cs="Arial" w:eastAsia="Arial" w:hAnsi="Arial"/>
                <w:sz w:val="11"/>
                <w:szCs w:val="11"/>
                <w:color w:val="auto"/>
              </w:rPr>
              <w:t xml:space="preserve"> Index (the “TPX</w:t>
            </w:r>
          </w:p>
        </w:tc>
        <w:tc>
          <w:tcPr>
            <w:tcW w:w="1040" w:type="dxa"/>
            <w:vAlign w:val="bottom"/>
          </w:tcPr>
          <w:p>
            <w:pPr>
              <w:ind w:left="80"/>
              <w:spacing w:after="0"/>
              <w:rPr>
                <w:sz w:val="20"/>
                <w:szCs w:val="20"/>
                <w:color w:val="auto"/>
              </w:rPr>
            </w:pPr>
            <w:r>
              <w:rPr>
                <w:rFonts w:ascii="Arial" w:cs="Arial" w:eastAsia="Arial" w:hAnsi="Arial"/>
                <w:sz w:val="11"/>
                <w:szCs w:val="11"/>
                <w:color w:val="auto"/>
              </w:rPr>
              <w:t>TPX</w:t>
            </w:r>
          </w:p>
        </w:tc>
        <w:tc>
          <w:tcPr>
            <w:tcW w:w="1500" w:type="dxa"/>
            <w:vAlign w:val="bottom"/>
          </w:tcPr>
          <w:p>
            <w:pPr>
              <w:ind w:left="360"/>
              <w:spacing w:after="0"/>
              <w:rPr>
                <w:sz w:val="20"/>
                <w:szCs w:val="20"/>
                <w:color w:val="auto"/>
              </w:rPr>
            </w:pPr>
            <w:r>
              <w:rPr>
                <w:rFonts w:ascii="Arial" w:cs="Arial" w:eastAsia="Arial" w:hAnsi="Arial"/>
                <w:sz w:val="11"/>
                <w:szCs w:val="11"/>
                <w:color w:val="auto"/>
              </w:rPr>
              <w:t>50.00%</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940" w:type="dxa"/>
            <w:vAlign w:val="bottom"/>
          </w:tcPr>
          <w:p>
            <w:pPr>
              <w:ind w:left="340"/>
              <w:spacing w:after="0"/>
              <w:rPr>
                <w:sz w:val="20"/>
                <w:szCs w:val="20"/>
                <w:color w:val="auto"/>
              </w:rPr>
            </w:pPr>
            <w:r>
              <w:rPr>
                <w:rFonts w:ascii="Arial" w:cs="Arial" w:eastAsia="Arial" w:hAnsi="Arial"/>
                <w:sz w:val="11"/>
                <w:szCs w:val="11"/>
                <w:color w:val="auto"/>
              </w:rPr>
              <w:t>Index”)</w:t>
            </w:r>
          </w:p>
        </w:tc>
        <w:tc>
          <w:tcPr>
            <w:tcW w:w="1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1360" w:right="2500"/>
        <w:spacing w:after="0" w:line="271" w:lineRule="auto"/>
        <w:rPr>
          <w:sz w:val="20"/>
          <w:szCs w:val="20"/>
          <w:color w:val="auto"/>
        </w:rPr>
      </w:pPr>
      <w:r>
        <w:rPr>
          <w:rFonts w:ascii="Arial" w:cs="Arial" w:eastAsia="Arial" w:hAnsi="Arial"/>
          <w:sz w:val="11"/>
          <w:szCs w:val="11"/>
          <w:color w:val="auto"/>
        </w:rPr>
        <w:t>We refer to the SX5E Index and the TPX Index as the underlying indices.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-1270</wp:posOffset>
            </wp:positionV>
            <wp:extent cx="3496310" cy="1162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96310" cy="1162685"/>
                    </a:xfrm>
                    <a:prstGeom prst="rect">
                      <a:avLst/>
                    </a:prstGeom>
                    <a:noFill/>
                  </pic:spPr>
                </pic:pic>
              </a:graphicData>
            </a:graphic>
          </wp:anchor>
        </w:drawing>
      </w:r>
    </w:p>
    <w:p>
      <w:pPr>
        <w:ind w:left="1360" w:right="2480" w:hanging="1284"/>
        <w:spacing w:after="0" w:line="271" w:lineRule="auto"/>
        <w:tabs>
          <w:tab w:leader="none" w:pos="1340" w:val="left"/>
        </w:tabs>
        <w:rPr>
          <w:sz w:val="20"/>
          <w:szCs w:val="20"/>
          <w:color w:val="auto"/>
        </w:rPr>
      </w:pPr>
      <w:r>
        <w:rPr>
          <w:rFonts w:ascii="Arial" w:cs="Arial" w:eastAsia="Arial" w:hAnsi="Arial"/>
          <w:sz w:val="11"/>
          <w:szCs w:val="11"/>
          <w:b w:val="1"/>
          <w:bCs w:val="1"/>
          <w:color w:val="296DC1"/>
        </w:rPr>
        <w:t>Payment at maturity:</w:t>
      </w:r>
      <w:r>
        <w:rPr>
          <w:sz w:val="20"/>
          <w:szCs w:val="20"/>
          <w:color w:val="auto"/>
        </w:rPr>
        <w:tab/>
      </w:r>
      <w:r>
        <w:rPr>
          <w:rFonts w:ascii="Arial" w:cs="Arial" w:eastAsia="Arial" w:hAnsi="Arial"/>
          <w:sz w:val="11"/>
          <w:szCs w:val="11"/>
          <w:color w:val="auto"/>
        </w:rPr>
        <w:t xml:space="preserve">If the final basket value is </w:t>
      </w:r>
      <w:r>
        <w:rPr>
          <w:rFonts w:ascii="Arial" w:cs="Arial" w:eastAsia="Arial" w:hAnsi="Arial"/>
          <w:sz w:val="11"/>
          <w:szCs w:val="11"/>
          <w:i w:val="1"/>
          <w:iCs w:val="1"/>
          <w:color w:val="auto"/>
        </w:rPr>
        <w:t>greater than</w:t>
      </w:r>
      <w:r>
        <w:rPr>
          <w:rFonts w:ascii="Arial" w:cs="Arial" w:eastAsia="Arial" w:hAnsi="Arial"/>
          <w:sz w:val="11"/>
          <w:szCs w:val="11"/>
          <w:color w:val="auto"/>
        </w:rPr>
        <w:t xml:space="preserve"> the initial basket value, for each $1,000 stated principal amount Trigger PLUS:</w:t>
      </w:r>
    </w:p>
    <w:p>
      <w:pPr>
        <w:spacing w:after="0" w:line="5" w:lineRule="exact"/>
        <w:rPr>
          <w:sz w:val="24"/>
          <w:szCs w:val="24"/>
          <w:color w:val="auto"/>
        </w:rPr>
      </w:pPr>
    </w:p>
    <w:p>
      <w:pPr>
        <w:ind w:left="1560"/>
        <w:spacing w:after="0"/>
        <w:rPr>
          <w:sz w:val="20"/>
          <w:szCs w:val="20"/>
          <w:color w:val="auto"/>
        </w:rPr>
      </w:pPr>
      <w:r>
        <w:rPr>
          <w:rFonts w:ascii="Arial" w:cs="Arial" w:eastAsia="Arial" w:hAnsi="Arial"/>
          <w:sz w:val="11"/>
          <w:szCs w:val="11"/>
          <w:color w:val="auto"/>
        </w:rPr>
        <w:t>$1,000 + leveraged upside payment</w:t>
      </w:r>
    </w:p>
    <w:p>
      <w:pPr>
        <w:spacing w:after="0" w:line="22" w:lineRule="exact"/>
        <w:rPr>
          <w:sz w:val="24"/>
          <w:szCs w:val="24"/>
          <w:color w:val="auto"/>
        </w:rPr>
      </w:pPr>
    </w:p>
    <w:p>
      <w:pPr>
        <w:ind w:left="1360" w:right="2560"/>
        <w:spacing w:after="0" w:line="248" w:lineRule="auto"/>
        <w:rPr>
          <w:sz w:val="20"/>
          <w:szCs w:val="20"/>
          <w:color w:val="auto"/>
        </w:rPr>
      </w:pPr>
      <w:r>
        <w:rPr>
          <w:rFonts w:ascii="Arial" w:cs="Arial" w:eastAsia="Arial" w:hAnsi="Arial"/>
          <w:sz w:val="11"/>
          <w:szCs w:val="11"/>
          <w:color w:val="auto"/>
        </w:rPr>
        <w:t xml:space="preserve">If the final basket value is </w:t>
      </w:r>
      <w:r>
        <w:rPr>
          <w:rFonts w:ascii="Arial" w:cs="Arial" w:eastAsia="Arial" w:hAnsi="Arial"/>
          <w:sz w:val="11"/>
          <w:szCs w:val="11"/>
          <w:i w:val="1"/>
          <w:iCs w:val="1"/>
          <w:color w:val="auto"/>
        </w:rPr>
        <w:t>less than or equal to</w:t>
      </w:r>
      <w:r>
        <w:rPr>
          <w:rFonts w:ascii="Arial" w:cs="Arial" w:eastAsia="Arial" w:hAnsi="Arial"/>
          <w:sz w:val="11"/>
          <w:szCs w:val="11"/>
          <w:color w:val="auto"/>
        </w:rPr>
        <w:t xml:space="preserve"> the initial basket value but is </w:t>
      </w:r>
      <w:r>
        <w:rPr>
          <w:rFonts w:ascii="Arial" w:cs="Arial" w:eastAsia="Arial" w:hAnsi="Arial"/>
          <w:sz w:val="11"/>
          <w:szCs w:val="11"/>
          <w:i w:val="1"/>
          <w:iCs w:val="1"/>
          <w:color w:val="auto"/>
        </w:rPr>
        <w:t>greater than or equal to</w:t>
      </w:r>
      <w:r>
        <w:rPr>
          <w:rFonts w:ascii="Arial" w:cs="Arial" w:eastAsia="Arial" w:hAnsi="Arial"/>
          <w:sz w:val="11"/>
          <w:szCs w:val="11"/>
          <w:color w:val="auto"/>
        </w:rPr>
        <w:t xml:space="preserve"> the trigger level, for each $1,000 stated principal amount Trigger PLUS:</w:t>
      </w:r>
    </w:p>
    <w:p>
      <w:pPr>
        <w:spacing w:after="0" w:line="5" w:lineRule="exact"/>
        <w:rPr>
          <w:sz w:val="24"/>
          <w:szCs w:val="24"/>
          <w:color w:val="auto"/>
        </w:rPr>
      </w:pPr>
    </w:p>
    <w:p>
      <w:pPr>
        <w:ind w:left="1560"/>
        <w:spacing w:after="0"/>
        <w:rPr>
          <w:sz w:val="20"/>
          <w:szCs w:val="20"/>
          <w:color w:val="auto"/>
        </w:rPr>
      </w:pPr>
      <w:r>
        <w:rPr>
          <w:rFonts w:ascii="Arial" w:cs="Arial" w:eastAsia="Arial" w:hAnsi="Arial"/>
          <w:sz w:val="11"/>
          <w:szCs w:val="11"/>
          <w:color w:val="auto"/>
        </w:rPr>
        <w:t>$1,000</w:t>
      </w:r>
    </w:p>
    <w:p>
      <w:pPr>
        <w:spacing w:after="0" w:line="31" w:lineRule="exact"/>
        <w:rPr>
          <w:sz w:val="24"/>
          <w:szCs w:val="24"/>
          <w:color w:val="auto"/>
        </w:rPr>
      </w:pPr>
    </w:p>
    <w:p>
      <w:pPr>
        <w:ind w:left="1360" w:right="2320"/>
        <w:spacing w:after="0" w:line="255" w:lineRule="auto"/>
        <w:rPr>
          <w:sz w:val="20"/>
          <w:szCs w:val="20"/>
          <w:color w:val="auto"/>
        </w:rPr>
      </w:pPr>
      <w:r>
        <w:rPr>
          <w:rFonts w:ascii="Arial" w:cs="Arial" w:eastAsia="Arial" w:hAnsi="Arial"/>
          <w:sz w:val="11"/>
          <w:szCs w:val="11"/>
          <w:color w:val="auto"/>
        </w:rPr>
        <w:t xml:space="preserve">If the final basket value is </w:t>
      </w:r>
      <w:r>
        <w:rPr>
          <w:rFonts w:ascii="Arial" w:cs="Arial" w:eastAsia="Arial" w:hAnsi="Arial"/>
          <w:sz w:val="11"/>
          <w:szCs w:val="11"/>
          <w:i w:val="1"/>
          <w:iCs w:val="1"/>
          <w:color w:val="auto"/>
        </w:rPr>
        <w:t>less than</w:t>
      </w:r>
      <w:r>
        <w:rPr>
          <w:rFonts w:ascii="Arial" w:cs="Arial" w:eastAsia="Arial" w:hAnsi="Arial"/>
          <w:sz w:val="11"/>
          <w:szCs w:val="11"/>
          <w:color w:val="auto"/>
        </w:rPr>
        <w:t xml:space="preserve"> the trigger level, for each $1,000 stated principal amount Trigger PLUS:</w:t>
      </w:r>
    </w:p>
    <w:p>
      <w:pPr>
        <w:spacing w:after="0" w:line="1" w:lineRule="exact"/>
        <w:rPr>
          <w:sz w:val="24"/>
          <w:szCs w:val="24"/>
          <w:color w:val="auto"/>
        </w:rPr>
      </w:pPr>
    </w:p>
    <w:p>
      <w:pPr>
        <w:ind w:left="1560"/>
        <w:spacing w:after="0"/>
        <w:rPr>
          <w:sz w:val="20"/>
          <w:szCs w:val="20"/>
          <w:color w:val="auto"/>
        </w:rPr>
      </w:pPr>
      <w:r>
        <w:rPr>
          <w:rFonts w:ascii="Arial" w:cs="Arial" w:eastAsia="Arial" w:hAnsi="Arial"/>
          <w:sz w:val="11"/>
          <w:szCs w:val="11"/>
          <w:color w:val="auto"/>
        </w:rPr>
        <w:t>$1,000 × basket performance factor</w:t>
      </w:r>
    </w:p>
    <w:p>
      <w:pPr>
        <w:spacing w:after="0" w:line="28" w:lineRule="exact"/>
        <w:rPr>
          <w:sz w:val="24"/>
          <w:szCs w:val="24"/>
          <w:color w:val="auto"/>
        </w:rPr>
      </w:pPr>
    </w:p>
    <w:p>
      <w:pPr>
        <w:jc w:val="both"/>
        <w:ind w:left="1360" w:right="2380"/>
        <w:spacing w:after="0" w:line="250" w:lineRule="auto"/>
        <w:rPr>
          <w:sz w:val="20"/>
          <w:szCs w:val="20"/>
          <w:color w:val="auto"/>
        </w:rPr>
      </w:pPr>
      <w:r>
        <w:rPr>
          <w:rFonts w:ascii="Arial" w:cs="Arial" w:eastAsia="Arial" w:hAnsi="Arial"/>
          <w:sz w:val="11"/>
          <w:szCs w:val="11"/>
          <w:i w:val="1"/>
          <w:iCs w:val="1"/>
          <w:color w:val="auto"/>
        </w:rPr>
        <w:t>This amount will be less than the stated principal amount of $1,000 per Trigger PLUS and will represent a loss of more than 20%, and possibly all, of your investment.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3"/>
          <w:szCs w:val="13"/>
          <w:b w:val="1"/>
          <w:bCs w:val="1"/>
          <w:color w:val="296DC1"/>
        </w:rPr>
        <w:t>Trigger PLUS Payoff Diagram*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-1324610</wp:posOffset>
            </wp:positionH>
            <wp:positionV relativeFrom="paragraph">
              <wp:posOffset>39370</wp:posOffset>
            </wp:positionV>
            <wp:extent cx="3560445" cy="22332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0445" cy="2233295"/>
                    </a:xfrm>
                    <a:prstGeom prst="rect">
                      <a:avLst/>
                    </a:prstGeom>
                    <a:noFill/>
                  </pic:spPr>
                </pic:pic>
              </a:graphicData>
            </a:graphic>
          </wp:anchor>
        </w:drawing>
      </w:r>
    </w:p>
    <w:p>
      <w:pPr>
        <w:spacing w:after="0" w:line="3586" w:lineRule="exact"/>
        <w:rPr>
          <w:sz w:val="24"/>
          <w:szCs w:val="24"/>
          <w:color w:val="auto"/>
        </w:rPr>
      </w:pPr>
    </w:p>
    <w:p>
      <w:pPr>
        <w:sectPr>
          <w:pgSz w:w="11900" w:h="16838" w:orient="portrait"/>
          <w:cols w:equalWidth="0" w:num="2">
            <w:col w:w="7100" w:space="720"/>
            <w:col w:w="3440"/>
          </w:cols>
          <w:pgMar w:left="320" w:top="211" w:right="319" w:bottom="1440" w:gutter="0" w:footer="0" w:header="0"/>
          <w:type w:val="continuous"/>
        </w:sectPr>
      </w:pPr>
    </w:p>
    <w:p>
      <w:pPr>
        <w:spacing w:after="0" w:line="1" w:lineRule="exact"/>
        <w:rPr>
          <w:sz w:val="24"/>
          <w:szCs w:val="24"/>
          <w:color w:val="auto"/>
        </w:rPr>
      </w:pPr>
    </w:p>
    <w:p>
      <w:pPr>
        <w:ind w:left="80" w:right="140"/>
        <w:spacing w:after="0" w:line="276" w:lineRule="auto"/>
        <w:rPr>
          <w:sz w:val="20"/>
          <w:szCs w:val="20"/>
          <w:color w:val="auto"/>
        </w:rPr>
      </w:pPr>
      <w:r>
        <w:rPr>
          <w:rFonts w:ascii="Arial" w:cs="Arial" w:eastAsia="Arial" w:hAnsi="Arial"/>
          <w:sz w:val="11"/>
          <w:szCs w:val="11"/>
          <w:b w:val="1"/>
          <w:bCs w:val="1"/>
          <w:color w:val="296DC1"/>
        </w:rPr>
        <w:t>Leveraged upside payment:</w:t>
      </w:r>
    </w:p>
    <w:p>
      <w:pPr>
        <w:ind w:left="80" w:right="280"/>
        <w:spacing w:after="0" w:line="276" w:lineRule="auto"/>
        <w:rPr>
          <w:sz w:val="20"/>
          <w:szCs w:val="20"/>
          <w:color w:val="auto"/>
        </w:rPr>
      </w:pPr>
      <w:r>
        <w:rPr>
          <w:rFonts w:ascii="Arial" w:cs="Arial" w:eastAsia="Arial" w:hAnsi="Arial"/>
          <w:sz w:val="11"/>
          <w:szCs w:val="11"/>
          <w:b w:val="1"/>
          <w:bCs w:val="1"/>
          <w:color w:val="296DC1"/>
        </w:rPr>
        <w:t>Basket percent increase:</w:t>
      </w:r>
    </w:p>
    <w:p>
      <w:pPr>
        <w:ind w:left="80"/>
        <w:spacing w:after="0"/>
        <w:rPr>
          <w:sz w:val="20"/>
          <w:szCs w:val="20"/>
          <w:color w:val="auto"/>
        </w:rPr>
      </w:pPr>
      <w:r>
        <w:rPr>
          <w:rFonts w:ascii="Arial" w:cs="Arial" w:eastAsia="Arial" w:hAnsi="Arial"/>
          <w:sz w:val="11"/>
          <w:szCs w:val="11"/>
          <w:b w:val="1"/>
          <w:bCs w:val="1"/>
          <w:color w:val="296DC1"/>
        </w:rPr>
        <w:t>Initial basket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815975" cy="107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5975" cy="107950"/>
                    </a:xfrm>
                    <a:prstGeom prst="rect">
                      <a:avLst/>
                    </a:prstGeom>
                    <a:noFill/>
                  </pic:spPr>
                </pic:pic>
              </a:graphicData>
            </a:graphic>
          </wp:anchor>
        </w:drawing>
      </w:r>
    </w:p>
    <w:p>
      <w:pPr>
        <w:spacing w:after="0" w:line="23" w:lineRule="exact"/>
        <w:rPr>
          <w:sz w:val="24"/>
          <w:szCs w:val="24"/>
          <w:color w:val="auto"/>
        </w:rPr>
      </w:pPr>
    </w:p>
    <w:p>
      <w:pPr>
        <w:ind w:left="80"/>
        <w:spacing w:after="0"/>
        <w:rPr>
          <w:sz w:val="20"/>
          <w:szCs w:val="20"/>
          <w:color w:val="auto"/>
        </w:rPr>
      </w:pPr>
      <w:r>
        <w:rPr>
          <w:rFonts w:ascii="Arial" w:cs="Arial" w:eastAsia="Arial" w:hAnsi="Arial"/>
          <w:sz w:val="11"/>
          <w:szCs w:val="11"/>
          <w:b w:val="1"/>
          <w:bCs w:val="1"/>
          <w:color w:val="296DC1"/>
        </w:rPr>
        <w:t>Final basket value:</w:t>
      </w:r>
    </w:p>
    <w:p>
      <w:pPr>
        <w:spacing w:after="0" w:line="104" w:lineRule="exact"/>
        <w:rPr>
          <w:sz w:val="24"/>
          <w:szCs w:val="24"/>
          <w:color w:val="auto"/>
        </w:rPr>
      </w:pPr>
    </w:p>
    <w:p>
      <w:pPr>
        <w:ind w:left="80"/>
        <w:spacing w:after="0"/>
        <w:rPr>
          <w:sz w:val="20"/>
          <w:szCs w:val="20"/>
          <w:color w:val="auto"/>
        </w:rPr>
      </w:pPr>
      <w:r>
        <w:rPr>
          <w:rFonts w:ascii="Arial" w:cs="Arial" w:eastAsia="Arial" w:hAnsi="Arial"/>
          <w:sz w:val="11"/>
          <w:szCs w:val="11"/>
          <w:b w:val="1"/>
          <w:bCs w:val="1"/>
          <w:color w:val="296DC1"/>
        </w:rPr>
        <w:t>Initial index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815975" cy="184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15975" cy="184785"/>
                    </a:xfrm>
                    <a:prstGeom prst="rect">
                      <a:avLst/>
                    </a:prstGeom>
                    <a:noFill/>
                  </pic:spPr>
                </pic:pic>
              </a:graphicData>
            </a:graphic>
          </wp:anchor>
        </w:drawing>
      </w:r>
    </w:p>
    <w:p>
      <w:pPr>
        <w:spacing w:after="0" w:line="145" w:lineRule="exact"/>
        <w:rPr>
          <w:sz w:val="24"/>
          <w:szCs w:val="24"/>
          <w:color w:val="auto"/>
        </w:rPr>
      </w:pPr>
    </w:p>
    <w:p>
      <w:pPr>
        <w:ind w:left="80"/>
        <w:spacing w:after="0"/>
        <w:rPr>
          <w:sz w:val="20"/>
          <w:szCs w:val="20"/>
          <w:color w:val="auto"/>
        </w:rPr>
      </w:pPr>
      <w:r>
        <w:rPr>
          <w:rFonts w:ascii="Arial" w:cs="Arial" w:eastAsia="Arial" w:hAnsi="Arial"/>
          <w:sz w:val="11"/>
          <w:szCs w:val="11"/>
          <w:b w:val="1"/>
          <w:bCs w:val="1"/>
          <w:color w:val="296DC1"/>
        </w:rPr>
        <w:t>Final index value:</w:t>
      </w:r>
    </w:p>
    <w:p>
      <w:pPr>
        <w:spacing w:after="0" w:line="104" w:lineRule="exact"/>
        <w:rPr>
          <w:sz w:val="24"/>
          <w:szCs w:val="24"/>
          <w:color w:val="auto"/>
        </w:rPr>
      </w:pPr>
    </w:p>
    <w:p>
      <w:pPr>
        <w:ind w:left="80"/>
        <w:spacing w:after="0"/>
        <w:rPr>
          <w:sz w:val="20"/>
          <w:szCs w:val="20"/>
          <w:color w:val="auto"/>
        </w:rPr>
      </w:pPr>
      <w:r>
        <w:rPr>
          <w:rFonts w:ascii="Arial" w:cs="Arial" w:eastAsia="Arial" w:hAnsi="Arial"/>
          <w:sz w:val="11"/>
          <w:szCs w:val="11"/>
          <w:b w:val="1"/>
          <w:bCs w:val="1"/>
          <w:color w:val="296DC1"/>
        </w:rPr>
        <w:t>Trigger level: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815975" cy="107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5975" cy="107950"/>
                    </a:xfrm>
                    <a:prstGeom prst="rect">
                      <a:avLst/>
                    </a:prstGeom>
                    <a:noFill/>
                  </pic:spPr>
                </pic:pic>
              </a:graphicData>
            </a:graphic>
          </wp:anchor>
        </w:drawing>
      </w:r>
    </w:p>
    <w:p>
      <w:pPr>
        <w:spacing w:after="0" w:line="23" w:lineRule="exact"/>
        <w:rPr>
          <w:sz w:val="24"/>
          <w:szCs w:val="24"/>
          <w:color w:val="auto"/>
        </w:rPr>
      </w:pPr>
    </w:p>
    <w:p>
      <w:pPr>
        <w:ind w:left="80"/>
        <w:spacing w:after="0"/>
        <w:rPr>
          <w:sz w:val="20"/>
          <w:szCs w:val="20"/>
          <w:color w:val="auto"/>
        </w:rPr>
      </w:pPr>
      <w:r>
        <w:rPr>
          <w:rFonts w:ascii="Arial" w:cs="Arial" w:eastAsia="Arial" w:hAnsi="Arial"/>
          <w:sz w:val="11"/>
          <w:szCs w:val="11"/>
          <w:b w:val="1"/>
          <w:bCs w:val="1"/>
          <w:color w:val="296DC1"/>
        </w:rPr>
        <w:t>Leverage factor:</w:t>
      </w:r>
    </w:p>
    <w:p>
      <w:pPr>
        <w:spacing w:after="0" w:line="43" w:lineRule="exact"/>
        <w:rPr>
          <w:sz w:val="24"/>
          <w:szCs w:val="24"/>
          <w:color w:val="auto"/>
        </w:rPr>
      </w:pPr>
    </w:p>
    <w:p>
      <w:pPr>
        <w:ind w:left="80"/>
        <w:spacing w:after="0" w:line="276" w:lineRule="auto"/>
        <w:rPr>
          <w:sz w:val="20"/>
          <w:szCs w:val="20"/>
          <w:color w:val="auto"/>
        </w:rPr>
      </w:pPr>
      <w:r>
        <w:rPr>
          <w:rFonts w:ascii="Arial" w:cs="Arial" w:eastAsia="Arial" w:hAnsi="Arial"/>
          <w:sz w:val="11"/>
          <w:szCs w:val="11"/>
          <w:b w:val="1"/>
          <w:bCs w:val="1"/>
          <w:color w:val="296DC1"/>
        </w:rPr>
        <w:t>Basket performance factor:</w:t>
      </w:r>
    </w:p>
    <w:p>
      <w:pPr>
        <w:ind w:left="80" w:right="240"/>
        <w:spacing w:after="0" w:line="276" w:lineRule="auto"/>
        <w:rPr>
          <w:sz w:val="20"/>
          <w:szCs w:val="20"/>
          <w:color w:val="auto"/>
        </w:rPr>
      </w:pPr>
      <w:r>
        <w:rPr>
          <w:rFonts w:ascii="Arial" w:cs="Arial" w:eastAsia="Arial" w:hAnsi="Arial"/>
          <w:sz w:val="11"/>
          <w:szCs w:val="11"/>
          <w:b w:val="1"/>
          <w:bCs w:val="1"/>
          <w:color w:val="296DC1"/>
        </w:rPr>
        <w:t>Stated principal amount:</w:t>
      </w:r>
    </w:p>
    <w:p>
      <w:pPr>
        <w:ind w:left="80"/>
        <w:spacing w:after="0"/>
        <w:rPr>
          <w:sz w:val="20"/>
          <w:szCs w:val="20"/>
          <w:color w:val="auto"/>
        </w:rPr>
      </w:pPr>
      <w:r>
        <w:rPr>
          <w:rFonts w:ascii="Arial" w:cs="Arial" w:eastAsia="Arial" w:hAnsi="Arial"/>
          <w:sz w:val="11"/>
          <w:szCs w:val="11"/>
          <w:b w:val="1"/>
          <w:bCs w:val="1"/>
          <w:color w:val="296DC1"/>
        </w:rPr>
        <w:t>Issue price:</w:t>
      </w:r>
    </w:p>
    <w:p>
      <w:pPr>
        <w:spacing w:after="0" w:line="43" w:lineRule="exact"/>
        <w:rPr>
          <w:sz w:val="24"/>
          <w:szCs w:val="24"/>
          <w:color w:val="auto"/>
        </w:rPr>
      </w:pPr>
    </w:p>
    <w:p>
      <w:pPr>
        <w:ind w:left="80"/>
        <w:spacing w:after="0"/>
        <w:rPr>
          <w:sz w:val="20"/>
          <w:szCs w:val="20"/>
          <w:color w:val="auto"/>
        </w:rPr>
      </w:pPr>
      <w:r>
        <w:rPr>
          <w:rFonts w:ascii="Arial" w:cs="Arial" w:eastAsia="Arial" w:hAnsi="Arial"/>
          <w:sz w:val="11"/>
          <w:szCs w:val="11"/>
          <w:b w:val="1"/>
          <w:bCs w:val="1"/>
          <w:color w:val="296DC1"/>
        </w:rPr>
        <w:t>Pricing date:</w:t>
      </w:r>
    </w:p>
    <w:p>
      <w:pPr>
        <w:spacing w:after="0" w:line="43" w:lineRule="exact"/>
        <w:rPr>
          <w:sz w:val="24"/>
          <w:szCs w:val="24"/>
          <w:color w:val="auto"/>
        </w:rPr>
      </w:pPr>
    </w:p>
    <w:p>
      <w:pPr>
        <w:ind w:left="80" w:right="80"/>
        <w:spacing w:after="0" w:line="282" w:lineRule="auto"/>
        <w:rPr>
          <w:sz w:val="20"/>
          <w:szCs w:val="20"/>
          <w:color w:val="auto"/>
        </w:rPr>
      </w:pPr>
      <w:r>
        <w:rPr>
          <w:rFonts w:ascii="Arial" w:cs="Arial" w:eastAsia="Arial" w:hAnsi="Arial"/>
          <w:sz w:val="11"/>
          <w:szCs w:val="11"/>
          <w:b w:val="1"/>
          <w:bCs w:val="1"/>
          <w:color w:val="296DC1"/>
        </w:rPr>
        <w:t>Original issue date (settlement date):</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1"/>
          <w:szCs w:val="11"/>
          <w:b w:val="1"/>
          <w:bCs w:val="1"/>
          <w:color w:val="296DC1"/>
        </w:rPr>
        <w:t>Valuation date</w:t>
      </w:r>
      <w:r>
        <w:rPr>
          <w:rFonts w:ascii="Arial" w:cs="Arial" w:eastAsia="Arial" w:hAnsi="Arial"/>
          <w:sz w:val="18"/>
          <w:szCs w:val="18"/>
          <w:b w:val="1"/>
          <w:bCs w:val="1"/>
          <w:color w:val="296DC1"/>
          <w:vertAlign w:val="superscript"/>
        </w:rPr>
        <w:t>†</w:t>
      </w:r>
      <w:r>
        <w:rPr>
          <w:rFonts w:ascii="Arial" w:cs="Arial" w:eastAsia="Arial" w:hAnsi="Arial"/>
          <w:sz w:val="11"/>
          <w:szCs w:val="11"/>
          <w:b w:val="1"/>
          <w:bCs w:val="1"/>
          <w:color w:val="296DC1"/>
        </w:rPr>
        <w:t>:</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1"/>
          <w:szCs w:val="11"/>
          <w:b w:val="1"/>
          <w:bCs w:val="1"/>
          <w:color w:val="296DC1"/>
        </w:rPr>
        <w:t>Maturity date</w:t>
      </w:r>
      <w:r>
        <w:rPr>
          <w:rFonts w:ascii="Arial" w:cs="Arial" w:eastAsia="Arial" w:hAnsi="Arial"/>
          <w:sz w:val="18"/>
          <w:szCs w:val="18"/>
          <w:b w:val="1"/>
          <w:bCs w:val="1"/>
          <w:color w:val="296DC1"/>
          <w:vertAlign w:val="superscript"/>
        </w:rPr>
        <w:t>†</w:t>
      </w:r>
      <w:r>
        <w:rPr>
          <w:rFonts w:ascii="Arial" w:cs="Arial" w:eastAsia="Arial" w:hAnsi="Arial"/>
          <w:sz w:val="11"/>
          <w:szCs w:val="11"/>
          <w:b w:val="1"/>
          <w:bCs w:val="1"/>
          <w:color w:val="296DC1"/>
        </w:rPr>
        <w:t>:</w:t>
      </w:r>
    </w:p>
    <w:p>
      <w:pPr>
        <w:ind w:left="80"/>
        <w:spacing w:after="0"/>
        <w:rPr>
          <w:sz w:val="20"/>
          <w:szCs w:val="20"/>
          <w:color w:val="auto"/>
        </w:rPr>
      </w:pPr>
      <w:r>
        <w:rPr>
          <w:rFonts w:ascii="Arial" w:cs="Arial" w:eastAsia="Arial" w:hAnsi="Arial"/>
          <w:sz w:val="11"/>
          <w:szCs w:val="11"/>
          <w:b w:val="1"/>
          <w:bCs w:val="1"/>
          <w:color w:val="296DC1"/>
        </w:rPr>
        <w:t>CUSIP / ISIN:</w:t>
      </w:r>
    </w:p>
    <w:p>
      <w:pPr>
        <w:spacing w:after="0" w:line="33" w:lineRule="exact"/>
        <w:rPr>
          <w:sz w:val="24"/>
          <w:szCs w:val="24"/>
          <w:color w:val="auto"/>
        </w:rPr>
      </w:pPr>
    </w:p>
    <w:p>
      <w:pPr>
        <w:ind w:left="80" w:right="80"/>
        <w:spacing w:after="0" w:line="261" w:lineRule="auto"/>
        <w:rPr>
          <w:sz w:val="20"/>
          <w:szCs w:val="20"/>
          <w:color w:val="auto"/>
        </w:rPr>
      </w:pPr>
      <w:r>
        <w:rPr>
          <w:rFonts w:ascii="Arial" w:cs="Arial" w:eastAsia="Arial" w:hAnsi="Arial"/>
          <w:sz w:val="11"/>
          <w:szCs w:val="11"/>
          <w:b w:val="1"/>
          <w:bCs w:val="1"/>
          <w:color w:val="296DC1"/>
        </w:rPr>
        <w:t>Preliminary pricing supplement: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1"/>
          <w:szCs w:val="11"/>
          <w:color w:val="auto"/>
        </w:rPr>
        <w:t>$1,000 × leverage factor × basket percent increase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-864870</wp:posOffset>
            </wp:positionH>
            <wp:positionV relativeFrom="paragraph">
              <wp:posOffset>60325</wp:posOffset>
            </wp:positionV>
            <wp:extent cx="3496310" cy="184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96310" cy="184785"/>
                    </a:xfrm>
                    <a:prstGeom prst="rect">
                      <a:avLst/>
                    </a:prstGeom>
                    <a:noFill/>
                  </pic:spPr>
                </pic:pic>
              </a:graphicData>
            </a:graphic>
          </wp:anchor>
        </w:drawing>
      </w:r>
    </w:p>
    <w:p>
      <w:pPr>
        <w:spacing w:after="0" w:line="145" w:lineRule="exact"/>
        <w:rPr>
          <w:sz w:val="24"/>
          <w:szCs w:val="24"/>
          <w:color w:val="auto"/>
        </w:rPr>
      </w:pPr>
    </w:p>
    <w:p>
      <w:pPr>
        <w:spacing w:after="0"/>
        <w:rPr>
          <w:sz w:val="20"/>
          <w:szCs w:val="20"/>
          <w:color w:val="auto"/>
        </w:rPr>
      </w:pPr>
      <w:r>
        <w:rPr>
          <w:rFonts w:ascii="Arial" w:cs="Arial" w:eastAsia="Arial" w:hAnsi="Arial"/>
          <w:sz w:val="11"/>
          <w:szCs w:val="11"/>
          <w:color w:val="auto"/>
        </w:rPr>
        <w:t>(final basket value – initial basket value) / initial basket value</w:t>
      </w:r>
    </w:p>
    <w:p>
      <w:pPr>
        <w:spacing w:after="0" w:line="104" w:lineRule="exact"/>
        <w:rPr>
          <w:sz w:val="24"/>
          <w:szCs w:val="24"/>
          <w:color w:val="auto"/>
        </w:rPr>
      </w:pPr>
    </w:p>
    <w:p>
      <w:pPr>
        <w:spacing w:after="0"/>
        <w:rPr>
          <w:sz w:val="20"/>
          <w:szCs w:val="20"/>
          <w:color w:val="auto"/>
        </w:rPr>
      </w:pPr>
      <w:r>
        <w:rPr>
          <w:rFonts w:ascii="Arial" w:cs="Arial" w:eastAsia="Arial" w:hAnsi="Arial"/>
          <w:sz w:val="11"/>
          <w:szCs w:val="11"/>
          <w:color w:val="auto"/>
        </w:rPr>
        <w:t>Set equal to 100 on the pricing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wp:posOffset>
            </wp:positionH>
            <wp:positionV relativeFrom="paragraph">
              <wp:posOffset>21590</wp:posOffset>
            </wp:positionV>
            <wp:extent cx="2679700" cy="107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79700" cy="107950"/>
                    </a:xfrm>
                    <a:prstGeom prst="rect">
                      <a:avLst/>
                    </a:prstGeom>
                    <a:noFill/>
                  </pic:spPr>
                </pic:pic>
              </a:graphicData>
            </a:graphic>
          </wp:anchor>
        </w:drawing>
      </w:r>
    </w:p>
    <w:p>
      <w:pPr>
        <w:spacing w:after="0" w:line="23" w:lineRule="exact"/>
        <w:rPr>
          <w:sz w:val="24"/>
          <w:szCs w:val="24"/>
          <w:color w:val="auto"/>
        </w:rPr>
      </w:pPr>
    </w:p>
    <w:p>
      <w:pPr>
        <w:spacing w:after="0"/>
        <w:rPr>
          <w:sz w:val="20"/>
          <w:szCs w:val="20"/>
          <w:color w:val="auto"/>
        </w:rPr>
      </w:pPr>
      <w:r>
        <w:rPr>
          <w:rFonts w:ascii="Arial" w:cs="Arial" w:eastAsia="Arial" w:hAnsi="Arial"/>
          <w:sz w:val="11"/>
          <w:szCs w:val="11"/>
          <w:color w:val="auto"/>
        </w:rPr>
        <w:t>The basket closing value on the valuation date</w:t>
      </w:r>
    </w:p>
    <w:p>
      <w:pPr>
        <w:spacing w:after="0" w:line="43" w:lineRule="exact"/>
        <w:rPr>
          <w:sz w:val="24"/>
          <w:szCs w:val="24"/>
          <w:color w:val="auto"/>
        </w:rPr>
      </w:pPr>
    </w:p>
    <w:p>
      <w:pPr>
        <w:ind w:right="560"/>
        <w:spacing w:after="0" w:line="271" w:lineRule="auto"/>
        <w:rPr>
          <w:sz w:val="20"/>
          <w:szCs w:val="20"/>
          <w:color w:val="auto"/>
        </w:rPr>
      </w:pPr>
      <w:r>
        <w:rPr>
          <w:rFonts w:ascii="Arial" w:cs="Arial" w:eastAsia="Arial" w:hAnsi="Arial"/>
          <w:sz w:val="11"/>
          <w:szCs w:val="11"/>
          <w:color w:val="auto"/>
        </w:rPr>
        <w:t>With respect to each underlying index, the closing level of that underlying index on the pricing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wp:posOffset>
            </wp:positionH>
            <wp:positionV relativeFrom="paragraph">
              <wp:posOffset>-1270</wp:posOffset>
            </wp:positionV>
            <wp:extent cx="2679700" cy="184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79700" cy="184785"/>
                    </a:xfrm>
                    <a:prstGeom prst="rect">
                      <a:avLst/>
                    </a:prstGeom>
                    <a:noFill/>
                  </pic:spPr>
                </pic:pic>
              </a:graphicData>
            </a:graphic>
          </wp:anchor>
        </w:drawing>
      </w:r>
    </w:p>
    <w:p>
      <w:pPr>
        <w:ind w:right="560"/>
        <w:spacing w:after="0" w:line="271" w:lineRule="auto"/>
        <w:rPr>
          <w:sz w:val="20"/>
          <w:szCs w:val="20"/>
          <w:color w:val="auto"/>
        </w:rPr>
      </w:pPr>
      <w:r>
        <w:rPr>
          <w:rFonts w:ascii="Arial" w:cs="Arial" w:eastAsia="Arial" w:hAnsi="Arial"/>
          <w:sz w:val="11"/>
          <w:szCs w:val="11"/>
          <w:color w:val="auto"/>
        </w:rPr>
        <w:t>With respect to each underlying index, the closing level of that underlying index on the valuation date</w:t>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80, which is 80% of the initial basket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wp:posOffset>
            </wp:positionH>
            <wp:positionV relativeFrom="paragraph">
              <wp:posOffset>21590</wp:posOffset>
            </wp:positionV>
            <wp:extent cx="2679700" cy="107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79700" cy="107950"/>
                    </a:xfrm>
                    <a:prstGeom prst="rect">
                      <a:avLst/>
                    </a:prstGeom>
                    <a:noFill/>
                  </pic:spPr>
                </pic:pic>
              </a:graphicData>
            </a:graphic>
          </wp:anchor>
        </w:drawing>
      </w:r>
    </w:p>
    <w:p>
      <w:pPr>
        <w:spacing w:after="0" w:line="23" w:lineRule="exact"/>
        <w:rPr>
          <w:sz w:val="24"/>
          <w:szCs w:val="24"/>
          <w:color w:val="auto"/>
        </w:rPr>
      </w:pPr>
    </w:p>
    <w:p>
      <w:pPr>
        <w:spacing w:after="0"/>
        <w:rPr>
          <w:sz w:val="20"/>
          <w:szCs w:val="20"/>
          <w:color w:val="auto"/>
        </w:rPr>
      </w:pPr>
      <w:r>
        <w:rPr>
          <w:rFonts w:ascii="Arial" w:cs="Arial" w:eastAsia="Arial" w:hAnsi="Arial"/>
          <w:sz w:val="11"/>
          <w:szCs w:val="11"/>
          <w:color w:val="auto"/>
        </w:rPr>
        <w:t>At least 198.15%</w:t>
      </w:r>
    </w:p>
    <w:p>
      <w:pPr>
        <w:spacing w:after="0" w:line="104" w:lineRule="exact"/>
        <w:rPr>
          <w:sz w:val="24"/>
          <w:szCs w:val="24"/>
          <w:color w:val="auto"/>
        </w:rPr>
      </w:pPr>
    </w:p>
    <w:p>
      <w:pPr>
        <w:spacing w:after="0"/>
        <w:rPr>
          <w:sz w:val="20"/>
          <w:szCs w:val="20"/>
          <w:color w:val="auto"/>
        </w:rPr>
      </w:pPr>
      <w:r>
        <w:rPr>
          <w:rFonts w:ascii="Arial" w:cs="Arial" w:eastAsia="Arial" w:hAnsi="Arial"/>
          <w:sz w:val="11"/>
          <w:szCs w:val="11"/>
          <w:color w:val="auto"/>
        </w:rPr>
        <w:t>final basket value / initial basket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-864870</wp:posOffset>
            </wp:positionH>
            <wp:positionV relativeFrom="paragraph">
              <wp:posOffset>60325</wp:posOffset>
            </wp:positionV>
            <wp:extent cx="3496310" cy="184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6310" cy="184785"/>
                    </a:xfrm>
                    <a:prstGeom prst="rect">
                      <a:avLst/>
                    </a:prstGeom>
                    <a:noFill/>
                  </pic:spPr>
                </pic:pic>
              </a:graphicData>
            </a:graphic>
          </wp:anchor>
        </w:drawing>
      </w:r>
    </w:p>
    <w:p>
      <w:pPr>
        <w:spacing w:after="0" w:line="145" w:lineRule="exact"/>
        <w:rPr>
          <w:sz w:val="24"/>
          <w:szCs w:val="24"/>
          <w:color w:val="auto"/>
        </w:rPr>
      </w:pPr>
    </w:p>
    <w:p>
      <w:pPr>
        <w:spacing w:after="0"/>
        <w:rPr>
          <w:sz w:val="20"/>
          <w:szCs w:val="20"/>
          <w:color w:val="auto"/>
        </w:rPr>
      </w:pPr>
      <w:r>
        <w:rPr>
          <w:rFonts w:ascii="Arial" w:cs="Arial" w:eastAsia="Arial" w:hAnsi="Arial"/>
          <w:sz w:val="11"/>
          <w:szCs w:val="11"/>
          <w:color w:val="auto"/>
        </w:rPr>
        <w:t>$1,000 per Trigger PLUS</w:t>
      </w:r>
    </w:p>
    <w:p>
      <w:pPr>
        <w:spacing w:after="0" w:line="104" w:lineRule="exact"/>
        <w:rPr>
          <w:sz w:val="24"/>
          <w:szCs w:val="24"/>
          <w:color w:val="auto"/>
        </w:rPr>
      </w:pPr>
    </w:p>
    <w:p>
      <w:pPr>
        <w:spacing w:after="0"/>
        <w:rPr>
          <w:sz w:val="20"/>
          <w:szCs w:val="20"/>
          <w:color w:val="auto"/>
        </w:rPr>
      </w:pPr>
      <w:r>
        <w:rPr>
          <w:rFonts w:ascii="Arial" w:cs="Arial" w:eastAsia="Arial" w:hAnsi="Arial"/>
          <w:sz w:val="11"/>
          <w:szCs w:val="11"/>
          <w:color w:val="auto"/>
        </w:rPr>
        <w:t>$1,000 per Trigger PLUS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-864870</wp:posOffset>
            </wp:positionH>
            <wp:positionV relativeFrom="paragraph">
              <wp:posOffset>21590</wp:posOffset>
            </wp:positionV>
            <wp:extent cx="3496310" cy="107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96310" cy="107950"/>
                    </a:xfrm>
                    <a:prstGeom prst="rect">
                      <a:avLst/>
                    </a:prstGeom>
                    <a:noFill/>
                  </pic:spPr>
                </pic:pic>
              </a:graphicData>
            </a:graphic>
          </wp:anchor>
        </w:drawing>
      </w:r>
    </w:p>
    <w:p>
      <w:pPr>
        <w:spacing w:after="0" w:line="23" w:lineRule="exact"/>
        <w:rPr>
          <w:sz w:val="24"/>
          <w:szCs w:val="24"/>
          <w:color w:val="auto"/>
        </w:rPr>
      </w:pPr>
    </w:p>
    <w:p>
      <w:pPr>
        <w:spacing w:after="0"/>
        <w:rPr>
          <w:sz w:val="20"/>
          <w:szCs w:val="20"/>
          <w:color w:val="auto"/>
        </w:rPr>
      </w:pPr>
      <w:r>
        <w:rPr>
          <w:rFonts w:ascii="Arial" w:cs="Arial" w:eastAsia="Arial" w:hAnsi="Arial"/>
          <w:sz w:val="11"/>
          <w:szCs w:val="11"/>
          <w:color w:val="auto"/>
        </w:rPr>
        <w:t>Expected to be November 4, 2026</w:t>
      </w:r>
    </w:p>
    <w:p>
      <w:pPr>
        <w:spacing w:after="0" w:line="104" w:lineRule="exact"/>
        <w:rPr>
          <w:sz w:val="24"/>
          <w:szCs w:val="24"/>
          <w:color w:val="auto"/>
        </w:rPr>
      </w:pPr>
    </w:p>
    <w:p>
      <w:pPr>
        <w:spacing w:after="0"/>
        <w:rPr>
          <w:sz w:val="20"/>
          <w:szCs w:val="20"/>
          <w:color w:val="auto"/>
        </w:rPr>
      </w:pPr>
      <w:r>
        <w:rPr>
          <w:rFonts w:ascii="Arial" w:cs="Arial" w:eastAsia="Arial" w:hAnsi="Arial"/>
          <w:sz w:val="11"/>
          <w:szCs w:val="11"/>
          <w:color w:val="auto"/>
        </w:rPr>
        <w:t>3 business days after the pricing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-864870</wp:posOffset>
            </wp:positionH>
            <wp:positionV relativeFrom="paragraph">
              <wp:posOffset>60325</wp:posOffset>
            </wp:positionV>
            <wp:extent cx="3496310" cy="130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96310" cy="130810"/>
                    </a:xfrm>
                    <a:prstGeom prst="rect">
                      <a:avLst/>
                    </a:prstGeom>
                    <a:noFill/>
                  </pic:spPr>
                </pic:pic>
              </a:graphicData>
            </a:graphic>
          </wp:anchor>
        </w:drawing>
      </w:r>
    </w:p>
    <w:p>
      <w:pPr>
        <w:spacing w:after="0" w:line="96" w:lineRule="exact"/>
        <w:rPr>
          <w:sz w:val="24"/>
          <w:szCs w:val="24"/>
          <w:color w:val="auto"/>
        </w:rPr>
      </w:pPr>
    </w:p>
    <w:p>
      <w:pPr>
        <w:spacing w:after="0"/>
        <w:rPr>
          <w:sz w:val="20"/>
          <w:szCs w:val="20"/>
          <w:color w:val="auto"/>
        </w:rPr>
      </w:pPr>
      <w:r>
        <w:rPr>
          <w:rFonts w:ascii="Arial" w:cs="Arial" w:eastAsia="Arial" w:hAnsi="Arial"/>
          <w:sz w:val="11"/>
          <w:szCs w:val="11"/>
          <w:color w:val="auto"/>
        </w:rPr>
        <w:t>November 4, 2032</w:t>
      </w:r>
    </w:p>
    <w:p>
      <w:pPr>
        <w:spacing w:after="0" w:line="80" w:lineRule="exact"/>
        <w:rPr>
          <w:sz w:val="24"/>
          <w:szCs w:val="24"/>
          <w:color w:val="auto"/>
        </w:rPr>
      </w:pPr>
    </w:p>
    <w:p>
      <w:pPr>
        <w:spacing w:after="0"/>
        <w:rPr>
          <w:sz w:val="20"/>
          <w:szCs w:val="20"/>
          <w:color w:val="auto"/>
        </w:rPr>
      </w:pPr>
      <w:r>
        <w:rPr>
          <w:rFonts w:ascii="Arial" w:cs="Arial" w:eastAsia="Arial" w:hAnsi="Arial"/>
          <w:sz w:val="11"/>
          <w:szCs w:val="11"/>
          <w:color w:val="auto"/>
        </w:rPr>
        <w:t>November 9, 2032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-864870</wp:posOffset>
            </wp:positionH>
            <wp:positionV relativeFrom="paragraph">
              <wp:posOffset>37465</wp:posOffset>
            </wp:positionV>
            <wp:extent cx="3496310" cy="107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96310" cy="107950"/>
                    </a:xfrm>
                    <a:prstGeom prst="rect">
                      <a:avLst/>
                    </a:prstGeom>
                    <a:noFill/>
                  </pic:spPr>
                </pic:pic>
              </a:graphicData>
            </a:graphic>
          </wp:anchor>
        </w:drawing>
      </w:r>
    </w:p>
    <w:p>
      <w:pPr>
        <w:spacing w:after="0" w:line="48" w:lineRule="exact"/>
        <w:rPr>
          <w:sz w:val="24"/>
          <w:szCs w:val="24"/>
          <w:color w:val="auto"/>
        </w:rPr>
      </w:pPr>
    </w:p>
    <w:p>
      <w:pPr>
        <w:spacing w:after="0"/>
        <w:rPr>
          <w:sz w:val="20"/>
          <w:szCs w:val="20"/>
          <w:color w:val="auto"/>
        </w:rPr>
      </w:pPr>
      <w:r>
        <w:rPr>
          <w:rFonts w:ascii="Arial" w:cs="Arial" w:eastAsia="Arial" w:hAnsi="Arial"/>
          <w:sz w:val="11"/>
          <w:szCs w:val="11"/>
          <w:color w:val="auto"/>
        </w:rPr>
        <w:t>46661QF26 / US46661QF265</w:t>
      </w:r>
    </w:p>
    <w:p>
      <w:pPr>
        <w:spacing w:after="0" w:line="43" w:lineRule="exact"/>
        <w:rPr>
          <w:sz w:val="24"/>
          <w:szCs w:val="24"/>
          <w:color w:val="auto"/>
        </w:rPr>
      </w:pPr>
    </w:p>
    <w:p>
      <w:pPr>
        <w:ind w:right="140"/>
        <w:spacing w:after="0" w:line="261" w:lineRule="auto"/>
        <w:rPr>
          <w:rFonts w:ascii="Arial" w:cs="Arial" w:eastAsia="Arial" w:hAnsi="Arial"/>
          <w:sz w:val="11"/>
          <w:szCs w:val="11"/>
          <w:u w:val="single" w:color="auto"/>
          <w:color w:val="0000EE"/>
        </w:rPr>
      </w:pPr>
      <w:hyperlink r:id="rId23">
        <w:r>
          <w:rPr>
            <w:rFonts w:ascii="Arial" w:cs="Arial" w:eastAsia="Arial" w:hAnsi="Arial"/>
            <w:sz w:val="11"/>
            <w:szCs w:val="11"/>
            <w:u w:val="single" w:color="auto"/>
            <w:color w:val="0000EE"/>
          </w:rPr>
          <w:t>http://www.sec.gov/Archives/edgar/data/19617/000121390026114359/</w:t>
        </w:r>
      </w:hyperlink>
      <w:r>
        <w:rPr>
          <w:rFonts w:ascii="Arial" w:cs="Arial" w:eastAsia="Arial" w:hAnsi="Arial"/>
          <w:sz w:val="11"/>
          <w:szCs w:val="11"/>
          <w:u w:val="single" w:color="auto"/>
          <w:color w:val="0000EE"/>
        </w:rPr>
        <w:t xml:space="preserve"> </w:t>
      </w:r>
      <w:hyperlink r:id="rId23">
        <w:r>
          <w:rPr>
            <w:rFonts w:ascii="Arial" w:cs="Arial" w:eastAsia="Arial" w:hAnsi="Arial"/>
            <w:sz w:val="11"/>
            <w:szCs w:val="11"/>
            <w:u w:val="single" w:color="auto"/>
            <w:color w:val="0000EE"/>
          </w:rPr>
          <w:t>ea0310325-01_424b2.htm</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Borders>
              <w:bottom w:val="single" w:sz="8" w:color="296DC1"/>
            </w:tcBorders>
            <w:shd w:val="clear" w:color="auto" w:fill="296DC1"/>
          </w:tcPr>
          <w:p>
            <w:pPr>
              <w:ind w:left="940"/>
              <w:spacing w:after="0"/>
              <w:rPr>
                <w:sz w:val="20"/>
                <w:szCs w:val="20"/>
                <w:color w:val="auto"/>
              </w:rPr>
            </w:pPr>
            <w:r>
              <w:rPr>
                <w:rFonts w:ascii="Arial" w:cs="Arial" w:eastAsia="Arial" w:hAnsi="Arial"/>
                <w:sz w:val="13"/>
                <w:szCs w:val="13"/>
                <w:b w:val="1"/>
                <w:bCs w:val="1"/>
                <w:color w:val="FFFFFF"/>
              </w:rPr>
              <w:t>Change in Basket</w:t>
            </w:r>
          </w:p>
        </w:tc>
        <w:tc>
          <w:tcPr>
            <w:tcW w:w="2800" w:type="dxa"/>
            <w:vAlign w:val="bottom"/>
            <w:tcBorders>
              <w:bottom w:val="single" w:sz="8" w:color="296DC1"/>
            </w:tcBorders>
            <w:shd w:val="clear" w:color="auto" w:fill="296DC1"/>
          </w:tcPr>
          <w:p>
            <w:pPr>
              <w:ind w:left="660"/>
              <w:spacing w:after="0"/>
              <w:rPr>
                <w:sz w:val="20"/>
                <w:szCs w:val="20"/>
                <w:color w:val="auto"/>
              </w:rPr>
            </w:pPr>
            <w:r>
              <w:rPr>
                <w:rFonts w:ascii="Arial" w:cs="Arial" w:eastAsia="Arial" w:hAnsi="Arial"/>
                <w:sz w:val="13"/>
                <w:szCs w:val="13"/>
                <w:b w:val="1"/>
                <w:bCs w:val="1"/>
                <w:color w:val="FFFFFF"/>
              </w:rPr>
              <w:t>Return on the Trigger PLUS*</w:t>
            </w:r>
          </w:p>
        </w:tc>
      </w:tr>
      <w:tr>
        <w:trPr>
          <w:trHeight w:val="146"/>
        </w:trPr>
        <w:tc>
          <w:tcPr>
            <w:tcW w:w="2700" w:type="dxa"/>
            <w:vAlign w:val="bottom"/>
            <w:shd w:val="clear" w:color="auto" w:fill="D9D9D9"/>
          </w:tcPr>
          <w:p>
            <w:pPr>
              <w:jc w:val="center"/>
              <w:ind w:left="195"/>
              <w:spacing w:after="0" w:line="146" w:lineRule="exact"/>
              <w:rPr>
                <w:sz w:val="20"/>
                <w:szCs w:val="20"/>
                <w:color w:val="auto"/>
              </w:rPr>
            </w:pPr>
            <w:r>
              <w:rPr>
                <w:rFonts w:ascii="Arial" w:cs="Arial" w:eastAsia="Arial" w:hAnsi="Arial"/>
                <w:sz w:val="13"/>
                <w:szCs w:val="13"/>
                <w:color w:val="auto"/>
                <w:w w:val="99"/>
              </w:rPr>
              <w:t>50.00%</w:t>
            </w:r>
          </w:p>
        </w:tc>
        <w:tc>
          <w:tcPr>
            <w:tcW w:w="2800" w:type="dxa"/>
            <w:vAlign w:val="bottom"/>
            <w:shd w:val="clear" w:color="auto" w:fill="D9D9D9"/>
          </w:tcPr>
          <w:p>
            <w:pPr>
              <w:jc w:val="center"/>
              <w:ind w:left="235"/>
              <w:spacing w:after="0" w:line="146" w:lineRule="exact"/>
              <w:rPr>
                <w:sz w:val="20"/>
                <w:szCs w:val="20"/>
                <w:color w:val="auto"/>
              </w:rPr>
            </w:pPr>
            <w:r>
              <w:rPr>
                <w:rFonts w:ascii="Arial" w:cs="Arial" w:eastAsia="Arial" w:hAnsi="Arial"/>
                <w:sz w:val="13"/>
                <w:szCs w:val="13"/>
                <w:color w:val="auto"/>
                <w:w w:val="98"/>
              </w:rPr>
              <w:t>99.0750%</w:t>
            </w:r>
          </w:p>
        </w:tc>
      </w:tr>
      <w:tr>
        <w:trPr>
          <w:trHeight w:val="146"/>
        </w:trPr>
        <w:tc>
          <w:tcPr>
            <w:tcW w:w="2700" w:type="dxa"/>
            <w:vAlign w:val="bottom"/>
          </w:tcPr>
          <w:p>
            <w:pPr>
              <w:jc w:val="center"/>
              <w:ind w:left="195"/>
              <w:spacing w:after="0" w:line="146" w:lineRule="exact"/>
              <w:rPr>
                <w:sz w:val="20"/>
                <w:szCs w:val="20"/>
                <w:color w:val="auto"/>
              </w:rPr>
            </w:pPr>
            <w:r>
              <w:rPr>
                <w:rFonts w:ascii="Arial" w:cs="Arial" w:eastAsia="Arial" w:hAnsi="Arial"/>
                <w:sz w:val="13"/>
                <w:szCs w:val="13"/>
                <w:color w:val="auto"/>
                <w:w w:val="99"/>
              </w:rPr>
              <w:t>40.00%</w:t>
            </w:r>
          </w:p>
        </w:tc>
        <w:tc>
          <w:tcPr>
            <w:tcW w:w="2800" w:type="dxa"/>
            <w:vAlign w:val="bottom"/>
          </w:tcPr>
          <w:p>
            <w:pPr>
              <w:jc w:val="center"/>
              <w:ind w:left="235"/>
              <w:spacing w:after="0" w:line="146" w:lineRule="exact"/>
              <w:rPr>
                <w:sz w:val="20"/>
                <w:szCs w:val="20"/>
                <w:color w:val="auto"/>
              </w:rPr>
            </w:pPr>
            <w:r>
              <w:rPr>
                <w:rFonts w:ascii="Arial" w:cs="Arial" w:eastAsia="Arial" w:hAnsi="Arial"/>
                <w:sz w:val="13"/>
                <w:szCs w:val="13"/>
                <w:color w:val="auto"/>
                <w:w w:val="98"/>
              </w:rPr>
              <w:t>79.2600%</w:t>
            </w:r>
          </w:p>
        </w:tc>
      </w:tr>
      <w:tr>
        <w:trPr>
          <w:trHeight w:val="146"/>
        </w:trPr>
        <w:tc>
          <w:tcPr>
            <w:tcW w:w="2700" w:type="dxa"/>
            <w:vAlign w:val="bottom"/>
            <w:shd w:val="clear" w:color="auto" w:fill="D9D9D9"/>
          </w:tcPr>
          <w:p>
            <w:pPr>
              <w:jc w:val="center"/>
              <w:ind w:left="195"/>
              <w:spacing w:after="0" w:line="146" w:lineRule="exact"/>
              <w:rPr>
                <w:sz w:val="20"/>
                <w:szCs w:val="20"/>
                <w:color w:val="auto"/>
              </w:rPr>
            </w:pPr>
            <w:r>
              <w:rPr>
                <w:rFonts w:ascii="Arial" w:cs="Arial" w:eastAsia="Arial" w:hAnsi="Arial"/>
                <w:sz w:val="13"/>
                <w:szCs w:val="13"/>
                <w:color w:val="auto"/>
                <w:w w:val="99"/>
              </w:rPr>
              <w:t>30.00%</w:t>
            </w:r>
          </w:p>
        </w:tc>
        <w:tc>
          <w:tcPr>
            <w:tcW w:w="2800" w:type="dxa"/>
            <w:vAlign w:val="bottom"/>
            <w:shd w:val="clear" w:color="auto" w:fill="D9D9D9"/>
          </w:tcPr>
          <w:p>
            <w:pPr>
              <w:jc w:val="center"/>
              <w:ind w:left="235"/>
              <w:spacing w:after="0" w:line="146" w:lineRule="exact"/>
              <w:rPr>
                <w:sz w:val="20"/>
                <w:szCs w:val="20"/>
                <w:color w:val="auto"/>
              </w:rPr>
            </w:pPr>
            <w:r>
              <w:rPr>
                <w:rFonts w:ascii="Arial" w:cs="Arial" w:eastAsia="Arial" w:hAnsi="Arial"/>
                <w:sz w:val="13"/>
                <w:szCs w:val="13"/>
                <w:color w:val="auto"/>
                <w:w w:val="98"/>
              </w:rPr>
              <w:t>59.4450%</w:t>
            </w:r>
          </w:p>
        </w:tc>
      </w:tr>
      <w:tr>
        <w:trPr>
          <w:trHeight w:val="146"/>
        </w:trPr>
        <w:tc>
          <w:tcPr>
            <w:tcW w:w="2700" w:type="dxa"/>
            <w:vAlign w:val="bottom"/>
          </w:tcPr>
          <w:p>
            <w:pPr>
              <w:jc w:val="center"/>
              <w:ind w:left="195"/>
              <w:spacing w:after="0" w:line="146" w:lineRule="exact"/>
              <w:rPr>
                <w:sz w:val="20"/>
                <w:szCs w:val="20"/>
                <w:color w:val="auto"/>
              </w:rPr>
            </w:pPr>
            <w:r>
              <w:rPr>
                <w:rFonts w:ascii="Arial" w:cs="Arial" w:eastAsia="Arial" w:hAnsi="Arial"/>
                <w:sz w:val="13"/>
                <w:szCs w:val="13"/>
                <w:color w:val="auto"/>
                <w:w w:val="99"/>
              </w:rPr>
              <w:t>20.00%</w:t>
            </w:r>
          </w:p>
        </w:tc>
        <w:tc>
          <w:tcPr>
            <w:tcW w:w="2800" w:type="dxa"/>
            <w:vAlign w:val="bottom"/>
          </w:tcPr>
          <w:p>
            <w:pPr>
              <w:jc w:val="center"/>
              <w:ind w:left="235"/>
              <w:spacing w:after="0" w:line="146" w:lineRule="exact"/>
              <w:rPr>
                <w:sz w:val="20"/>
                <w:szCs w:val="20"/>
                <w:color w:val="auto"/>
              </w:rPr>
            </w:pPr>
            <w:r>
              <w:rPr>
                <w:rFonts w:ascii="Arial" w:cs="Arial" w:eastAsia="Arial" w:hAnsi="Arial"/>
                <w:sz w:val="13"/>
                <w:szCs w:val="13"/>
                <w:color w:val="auto"/>
                <w:w w:val="98"/>
              </w:rPr>
              <w:t>39.6300%</w:t>
            </w:r>
          </w:p>
        </w:tc>
      </w:tr>
      <w:tr>
        <w:trPr>
          <w:trHeight w:val="146"/>
        </w:trPr>
        <w:tc>
          <w:tcPr>
            <w:tcW w:w="2700" w:type="dxa"/>
            <w:vAlign w:val="bottom"/>
            <w:shd w:val="clear" w:color="auto" w:fill="D9D9D9"/>
          </w:tcPr>
          <w:p>
            <w:pPr>
              <w:jc w:val="center"/>
              <w:ind w:left="195"/>
              <w:spacing w:after="0" w:line="146" w:lineRule="exact"/>
              <w:rPr>
                <w:sz w:val="20"/>
                <w:szCs w:val="20"/>
                <w:color w:val="auto"/>
              </w:rPr>
            </w:pPr>
            <w:r>
              <w:rPr>
                <w:rFonts w:ascii="Arial" w:cs="Arial" w:eastAsia="Arial" w:hAnsi="Arial"/>
                <w:sz w:val="13"/>
                <w:szCs w:val="13"/>
                <w:color w:val="auto"/>
                <w:w w:val="99"/>
              </w:rPr>
              <w:t>10.00%</w:t>
            </w:r>
          </w:p>
        </w:tc>
        <w:tc>
          <w:tcPr>
            <w:tcW w:w="2800" w:type="dxa"/>
            <w:vAlign w:val="bottom"/>
            <w:shd w:val="clear" w:color="auto" w:fill="D9D9D9"/>
          </w:tcPr>
          <w:p>
            <w:pPr>
              <w:jc w:val="center"/>
              <w:ind w:left="235"/>
              <w:spacing w:after="0" w:line="146" w:lineRule="exact"/>
              <w:rPr>
                <w:sz w:val="20"/>
                <w:szCs w:val="20"/>
                <w:color w:val="auto"/>
              </w:rPr>
            </w:pPr>
            <w:r>
              <w:rPr>
                <w:rFonts w:ascii="Arial" w:cs="Arial" w:eastAsia="Arial" w:hAnsi="Arial"/>
                <w:sz w:val="13"/>
                <w:szCs w:val="13"/>
                <w:color w:val="auto"/>
                <w:w w:val="98"/>
              </w:rPr>
              <w:t>19.8150%</w:t>
            </w:r>
          </w:p>
        </w:tc>
      </w:tr>
      <w:tr>
        <w:trPr>
          <w:trHeight w:val="146"/>
        </w:trPr>
        <w:tc>
          <w:tcPr>
            <w:tcW w:w="2700" w:type="dxa"/>
            <w:vAlign w:val="bottom"/>
          </w:tcPr>
          <w:p>
            <w:pPr>
              <w:jc w:val="center"/>
              <w:ind w:left="215"/>
              <w:spacing w:after="0" w:line="146" w:lineRule="exact"/>
              <w:rPr>
                <w:sz w:val="20"/>
                <w:szCs w:val="20"/>
                <w:color w:val="auto"/>
              </w:rPr>
            </w:pPr>
            <w:r>
              <w:rPr>
                <w:rFonts w:ascii="Arial" w:cs="Arial" w:eastAsia="Arial" w:hAnsi="Arial"/>
                <w:sz w:val="13"/>
                <w:szCs w:val="13"/>
                <w:color w:val="auto"/>
              </w:rPr>
              <w:t>5.00%</w:t>
            </w:r>
          </w:p>
        </w:tc>
        <w:tc>
          <w:tcPr>
            <w:tcW w:w="2800" w:type="dxa"/>
            <w:vAlign w:val="bottom"/>
          </w:tcPr>
          <w:p>
            <w:pPr>
              <w:jc w:val="center"/>
              <w:ind w:left="215"/>
              <w:spacing w:after="0" w:line="146" w:lineRule="exact"/>
              <w:rPr>
                <w:sz w:val="20"/>
                <w:szCs w:val="20"/>
                <w:color w:val="auto"/>
              </w:rPr>
            </w:pPr>
            <w:r>
              <w:rPr>
                <w:rFonts w:ascii="Arial" w:cs="Arial" w:eastAsia="Arial" w:hAnsi="Arial"/>
                <w:sz w:val="13"/>
                <w:szCs w:val="13"/>
                <w:color w:val="auto"/>
              </w:rPr>
              <w:t>9.9075%</w:t>
            </w:r>
          </w:p>
        </w:tc>
      </w:tr>
      <w:tr>
        <w:trPr>
          <w:trHeight w:val="146"/>
        </w:trPr>
        <w:tc>
          <w:tcPr>
            <w:tcW w:w="2700" w:type="dxa"/>
            <w:vAlign w:val="bottom"/>
            <w:shd w:val="clear" w:color="auto" w:fill="D9D9D9"/>
          </w:tcPr>
          <w:p>
            <w:pPr>
              <w:jc w:val="center"/>
              <w:ind w:left="215"/>
              <w:spacing w:after="0" w:line="146" w:lineRule="exact"/>
              <w:rPr>
                <w:sz w:val="20"/>
                <w:szCs w:val="20"/>
                <w:color w:val="auto"/>
              </w:rPr>
            </w:pPr>
            <w:r>
              <w:rPr>
                <w:rFonts w:ascii="Arial" w:cs="Arial" w:eastAsia="Arial" w:hAnsi="Arial"/>
                <w:sz w:val="13"/>
                <w:szCs w:val="13"/>
                <w:color w:val="auto"/>
              </w:rPr>
              <w:t>1.00%</w:t>
            </w:r>
          </w:p>
        </w:tc>
        <w:tc>
          <w:tcPr>
            <w:tcW w:w="2800" w:type="dxa"/>
            <w:vAlign w:val="bottom"/>
            <w:shd w:val="clear" w:color="auto" w:fill="D9D9D9"/>
          </w:tcPr>
          <w:p>
            <w:pPr>
              <w:jc w:val="center"/>
              <w:ind w:left="215"/>
              <w:spacing w:after="0" w:line="146" w:lineRule="exact"/>
              <w:rPr>
                <w:sz w:val="20"/>
                <w:szCs w:val="20"/>
                <w:color w:val="auto"/>
              </w:rPr>
            </w:pPr>
            <w:r>
              <w:rPr>
                <w:rFonts w:ascii="Arial" w:cs="Arial" w:eastAsia="Arial" w:hAnsi="Arial"/>
                <w:sz w:val="13"/>
                <w:szCs w:val="13"/>
                <w:color w:val="auto"/>
              </w:rPr>
              <w:t>1.9815%</w:t>
            </w:r>
          </w:p>
        </w:tc>
      </w:tr>
      <w:tr>
        <w:trPr>
          <w:trHeight w:val="146"/>
        </w:trPr>
        <w:tc>
          <w:tcPr>
            <w:tcW w:w="2700" w:type="dxa"/>
            <w:vAlign w:val="bottom"/>
          </w:tcPr>
          <w:p>
            <w:pPr>
              <w:jc w:val="center"/>
              <w:ind w:left="215"/>
              <w:spacing w:after="0" w:line="146" w:lineRule="exact"/>
              <w:rPr>
                <w:sz w:val="20"/>
                <w:szCs w:val="20"/>
                <w:color w:val="auto"/>
              </w:rPr>
            </w:pPr>
            <w:r>
              <w:rPr>
                <w:rFonts w:ascii="Arial" w:cs="Arial" w:eastAsia="Arial" w:hAnsi="Arial"/>
                <w:sz w:val="13"/>
                <w:szCs w:val="13"/>
                <w:color w:val="auto"/>
              </w:rPr>
              <w:t>0.00%</w:t>
            </w:r>
          </w:p>
        </w:tc>
        <w:tc>
          <w:tcPr>
            <w:tcW w:w="2800" w:type="dxa"/>
            <w:vAlign w:val="bottom"/>
          </w:tcPr>
          <w:p>
            <w:pPr>
              <w:jc w:val="center"/>
              <w:ind w:left="215"/>
              <w:spacing w:after="0" w:line="146" w:lineRule="exact"/>
              <w:rPr>
                <w:sz w:val="20"/>
                <w:szCs w:val="20"/>
                <w:color w:val="auto"/>
              </w:rPr>
            </w:pPr>
            <w:r>
              <w:rPr>
                <w:rFonts w:ascii="Arial" w:cs="Arial" w:eastAsia="Arial" w:hAnsi="Arial"/>
                <w:sz w:val="13"/>
                <w:szCs w:val="13"/>
                <w:color w:val="auto"/>
              </w:rPr>
              <w:t>0.0000%</w:t>
            </w:r>
          </w:p>
        </w:tc>
      </w:tr>
      <w:tr>
        <w:trPr>
          <w:trHeight w:val="146"/>
        </w:trPr>
        <w:tc>
          <w:tcPr>
            <w:tcW w:w="2700" w:type="dxa"/>
            <w:vAlign w:val="bottom"/>
            <w:shd w:val="clear" w:color="auto" w:fill="D9D9D9"/>
          </w:tcPr>
          <w:p>
            <w:pPr>
              <w:jc w:val="center"/>
              <w:ind w:left="195"/>
              <w:spacing w:after="0" w:line="146" w:lineRule="exact"/>
              <w:rPr>
                <w:sz w:val="20"/>
                <w:szCs w:val="20"/>
                <w:color w:val="auto"/>
              </w:rPr>
            </w:pPr>
            <w:r>
              <w:rPr>
                <w:rFonts w:ascii="Arial" w:cs="Arial" w:eastAsia="Arial" w:hAnsi="Arial"/>
                <w:sz w:val="13"/>
                <w:szCs w:val="13"/>
                <w:color w:val="auto"/>
                <w:w w:val="99"/>
              </w:rPr>
              <w:t>-10.00%</w:t>
            </w:r>
          </w:p>
        </w:tc>
        <w:tc>
          <w:tcPr>
            <w:tcW w:w="2800" w:type="dxa"/>
            <w:vAlign w:val="bottom"/>
            <w:shd w:val="clear" w:color="auto" w:fill="D9D9D9"/>
          </w:tcPr>
          <w:p>
            <w:pPr>
              <w:jc w:val="center"/>
              <w:ind w:left="215"/>
              <w:spacing w:after="0" w:line="146" w:lineRule="exact"/>
              <w:rPr>
                <w:sz w:val="20"/>
                <w:szCs w:val="20"/>
                <w:color w:val="auto"/>
              </w:rPr>
            </w:pPr>
            <w:r>
              <w:rPr>
                <w:rFonts w:ascii="Arial" w:cs="Arial" w:eastAsia="Arial" w:hAnsi="Arial"/>
                <w:sz w:val="13"/>
                <w:szCs w:val="13"/>
                <w:color w:val="auto"/>
              </w:rPr>
              <w:t>0.0000%</w:t>
            </w:r>
          </w:p>
        </w:tc>
      </w:tr>
      <w:tr>
        <w:trPr>
          <w:trHeight w:val="146"/>
        </w:trPr>
        <w:tc>
          <w:tcPr>
            <w:tcW w:w="2700" w:type="dxa"/>
            <w:vAlign w:val="bottom"/>
          </w:tcPr>
          <w:p>
            <w:pPr>
              <w:jc w:val="center"/>
              <w:ind w:left="195"/>
              <w:spacing w:after="0" w:line="146" w:lineRule="exact"/>
              <w:rPr>
                <w:sz w:val="20"/>
                <w:szCs w:val="20"/>
                <w:color w:val="auto"/>
              </w:rPr>
            </w:pPr>
            <w:r>
              <w:rPr>
                <w:rFonts w:ascii="Arial" w:cs="Arial" w:eastAsia="Arial" w:hAnsi="Arial"/>
                <w:sz w:val="13"/>
                <w:szCs w:val="13"/>
                <w:color w:val="auto"/>
                <w:w w:val="99"/>
              </w:rPr>
              <w:t>-20.00%</w:t>
            </w:r>
          </w:p>
        </w:tc>
        <w:tc>
          <w:tcPr>
            <w:tcW w:w="2800" w:type="dxa"/>
            <w:vAlign w:val="bottom"/>
          </w:tcPr>
          <w:p>
            <w:pPr>
              <w:jc w:val="center"/>
              <w:ind w:left="215"/>
              <w:spacing w:after="0" w:line="146" w:lineRule="exact"/>
              <w:rPr>
                <w:sz w:val="20"/>
                <w:szCs w:val="20"/>
                <w:color w:val="auto"/>
              </w:rPr>
            </w:pPr>
            <w:r>
              <w:rPr>
                <w:rFonts w:ascii="Arial" w:cs="Arial" w:eastAsia="Arial" w:hAnsi="Arial"/>
                <w:sz w:val="13"/>
                <w:szCs w:val="13"/>
                <w:color w:val="auto"/>
              </w:rPr>
              <w:t>0.0000%</w:t>
            </w:r>
          </w:p>
        </w:tc>
      </w:tr>
      <w:tr>
        <w:trPr>
          <w:trHeight w:val="146"/>
        </w:trPr>
        <w:tc>
          <w:tcPr>
            <w:tcW w:w="2700" w:type="dxa"/>
            <w:vAlign w:val="bottom"/>
            <w:shd w:val="clear" w:color="auto" w:fill="D9D9D9"/>
          </w:tcPr>
          <w:p>
            <w:pPr>
              <w:jc w:val="center"/>
              <w:ind w:left="195"/>
              <w:spacing w:after="0" w:line="146" w:lineRule="exact"/>
              <w:rPr>
                <w:sz w:val="20"/>
                <w:szCs w:val="20"/>
                <w:color w:val="auto"/>
              </w:rPr>
            </w:pPr>
            <w:r>
              <w:rPr>
                <w:rFonts w:ascii="Arial" w:cs="Arial" w:eastAsia="Arial" w:hAnsi="Arial"/>
                <w:sz w:val="13"/>
                <w:szCs w:val="13"/>
                <w:color w:val="auto"/>
                <w:w w:val="99"/>
              </w:rPr>
              <w:t>-20.01%</w:t>
            </w:r>
          </w:p>
        </w:tc>
        <w:tc>
          <w:tcPr>
            <w:tcW w:w="2800" w:type="dxa"/>
            <w:vAlign w:val="bottom"/>
            <w:shd w:val="clear" w:color="auto" w:fill="D9D9D9"/>
          </w:tcPr>
          <w:p>
            <w:pPr>
              <w:jc w:val="center"/>
              <w:ind w:left="215"/>
              <w:spacing w:after="0" w:line="146" w:lineRule="exact"/>
              <w:rPr>
                <w:sz w:val="20"/>
                <w:szCs w:val="20"/>
                <w:color w:val="auto"/>
              </w:rPr>
            </w:pPr>
            <w:r>
              <w:rPr>
                <w:rFonts w:ascii="Arial" w:cs="Arial" w:eastAsia="Arial" w:hAnsi="Arial"/>
                <w:sz w:val="13"/>
                <w:szCs w:val="13"/>
                <w:color w:val="auto"/>
              </w:rPr>
              <w:t>-20.0100%</w:t>
            </w:r>
          </w:p>
        </w:tc>
      </w:tr>
      <w:tr>
        <w:trPr>
          <w:trHeight w:val="146"/>
        </w:trPr>
        <w:tc>
          <w:tcPr>
            <w:tcW w:w="2700" w:type="dxa"/>
            <w:vAlign w:val="bottom"/>
          </w:tcPr>
          <w:p>
            <w:pPr>
              <w:jc w:val="center"/>
              <w:ind w:left="195"/>
              <w:spacing w:after="0" w:line="146" w:lineRule="exact"/>
              <w:rPr>
                <w:sz w:val="20"/>
                <w:szCs w:val="20"/>
                <w:color w:val="auto"/>
              </w:rPr>
            </w:pPr>
            <w:r>
              <w:rPr>
                <w:rFonts w:ascii="Arial" w:cs="Arial" w:eastAsia="Arial" w:hAnsi="Arial"/>
                <w:sz w:val="13"/>
                <w:szCs w:val="13"/>
                <w:color w:val="auto"/>
                <w:w w:val="99"/>
              </w:rPr>
              <w:t>-30.00%</w:t>
            </w:r>
          </w:p>
        </w:tc>
        <w:tc>
          <w:tcPr>
            <w:tcW w:w="2800" w:type="dxa"/>
            <w:vAlign w:val="bottom"/>
          </w:tcPr>
          <w:p>
            <w:pPr>
              <w:jc w:val="center"/>
              <w:ind w:left="215"/>
              <w:spacing w:after="0" w:line="146" w:lineRule="exact"/>
              <w:rPr>
                <w:sz w:val="20"/>
                <w:szCs w:val="20"/>
                <w:color w:val="auto"/>
              </w:rPr>
            </w:pPr>
            <w:r>
              <w:rPr>
                <w:rFonts w:ascii="Arial" w:cs="Arial" w:eastAsia="Arial" w:hAnsi="Arial"/>
                <w:sz w:val="13"/>
                <w:szCs w:val="13"/>
                <w:color w:val="auto"/>
              </w:rPr>
              <w:t>-30.0000%</w:t>
            </w:r>
          </w:p>
        </w:tc>
      </w:tr>
      <w:tr>
        <w:trPr>
          <w:trHeight w:val="146"/>
        </w:trPr>
        <w:tc>
          <w:tcPr>
            <w:tcW w:w="2700" w:type="dxa"/>
            <w:vAlign w:val="bottom"/>
            <w:shd w:val="clear" w:color="auto" w:fill="D9D9D9"/>
          </w:tcPr>
          <w:p>
            <w:pPr>
              <w:jc w:val="center"/>
              <w:ind w:left="195"/>
              <w:spacing w:after="0" w:line="146" w:lineRule="exact"/>
              <w:rPr>
                <w:sz w:val="20"/>
                <w:szCs w:val="20"/>
                <w:color w:val="auto"/>
              </w:rPr>
            </w:pPr>
            <w:r>
              <w:rPr>
                <w:rFonts w:ascii="Arial" w:cs="Arial" w:eastAsia="Arial" w:hAnsi="Arial"/>
                <w:sz w:val="13"/>
                <w:szCs w:val="13"/>
                <w:color w:val="auto"/>
                <w:w w:val="99"/>
              </w:rPr>
              <w:t>-40.00%</w:t>
            </w:r>
          </w:p>
        </w:tc>
        <w:tc>
          <w:tcPr>
            <w:tcW w:w="2800" w:type="dxa"/>
            <w:vAlign w:val="bottom"/>
            <w:shd w:val="clear" w:color="auto" w:fill="D9D9D9"/>
          </w:tcPr>
          <w:p>
            <w:pPr>
              <w:jc w:val="center"/>
              <w:ind w:left="215"/>
              <w:spacing w:after="0" w:line="146" w:lineRule="exact"/>
              <w:rPr>
                <w:sz w:val="20"/>
                <w:szCs w:val="20"/>
                <w:color w:val="auto"/>
              </w:rPr>
            </w:pPr>
            <w:r>
              <w:rPr>
                <w:rFonts w:ascii="Arial" w:cs="Arial" w:eastAsia="Arial" w:hAnsi="Arial"/>
                <w:sz w:val="13"/>
                <w:szCs w:val="13"/>
                <w:color w:val="auto"/>
              </w:rPr>
              <w:t>-40.0000%</w:t>
            </w:r>
          </w:p>
        </w:tc>
      </w:tr>
      <w:tr>
        <w:trPr>
          <w:trHeight w:val="146"/>
        </w:trPr>
        <w:tc>
          <w:tcPr>
            <w:tcW w:w="2700" w:type="dxa"/>
            <w:vAlign w:val="bottom"/>
          </w:tcPr>
          <w:p>
            <w:pPr>
              <w:jc w:val="center"/>
              <w:ind w:left="195"/>
              <w:spacing w:after="0" w:line="146" w:lineRule="exact"/>
              <w:rPr>
                <w:sz w:val="20"/>
                <w:szCs w:val="20"/>
                <w:color w:val="auto"/>
              </w:rPr>
            </w:pPr>
            <w:r>
              <w:rPr>
                <w:rFonts w:ascii="Arial" w:cs="Arial" w:eastAsia="Arial" w:hAnsi="Arial"/>
                <w:sz w:val="13"/>
                <w:szCs w:val="13"/>
                <w:color w:val="auto"/>
                <w:w w:val="99"/>
              </w:rPr>
              <w:t>-50.00%</w:t>
            </w:r>
          </w:p>
        </w:tc>
        <w:tc>
          <w:tcPr>
            <w:tcW w:w="2800" w:type="dxa"/>
            <w:vAlign w:val="bottom"/>
          </w:tcPr>
          <w:p>
            <w:pPr>
              <w:jc w:val="center"/>
              <w:ind w:left="215"/>
              <w:spacing w:after="0" w:line="146" w:lineRule="exact"/>
              <w:rPr>
                <w:sz w:val="20"/>
                <w:szCs w:val="20"/>
                <w:color w:val="auto"/>
              </w:rPr>
            </w:pPr>
            <w:r>
              <w:rPr>
                <w:rFonts w:ascii="Arial" w:cs="Arial" w:eastAsia="Arial" w:hAnsi="Arial"/>
                <w:sz w:val="13"/>
                <w:szCs w:val="13"/>
                <w:color w:val="auto"/>
              </w:rPr>
              <w:t>-50.0000%</w:t>
            </w:r>
          </w:p>
        </w:tc>
      </w:tr>
      <w:tr>
        <w:trPr>
          <w:trHeight w:val="146"/>
        </w:trPr>
        <w:tc>
          <w:tcPr>
            <w:tcW w:w="2700" w:type="dxa"/>
            <w:vAlign w:val="bottom"/>
            <w:shd w:val="clear" w:color="auto" w:fill="D9D9D9"/>
          </w:tcPr>
          <w:p>
            <w:pPr>
              <w:jc w:val="center"/>
              <w:ind w:left="195"/>
              <w:spacing w:after="0" w:line="146" w:lineRule="exact"/>
              <w:rPr>
                <w:sz w:val="20"/>
                <w:szCs w:val="20"/>
                <w:color w:val="auto"/>
              </w:rPr>
            </w:pPr>
            <w:r>
              <w:rPr>
                <w:rFonts w:ascii="Arial" w:cs="Arial" w:eastAsia="Arial" w:hAnsi="Arial"/>
                <w:sz w:val="13"/>
                <w:szCs w:val="13"/>
                <w:color w:val="auto"/>
                <w:w w:val="99"/>
              </w:rPr>
              <w:t>-60.00%</w:t>
            </w:r>
          </w:p>
        </w:tc>
        <w:tc>
          <w:tcPr>
            <w:tcW w:w="2800" w:type="dxa"/>
            <w:vAlign w:val="bottom"/>
            <w:shd w:val="clear" w:color="auto" w:fill="D9D9D9"/>
          </w:tcPr>
          <w:p>
            <w:pPr>
              <w:jc w:val="center"/>
              <w:ind w:left="215"/>
              <w:spacing w:after="0" w:line="146" w:lineRule="exact"/>
              <w:rPr>
                <w:sz w:val="20"/>
                <w:szCs w:val="20"/>
                <w:color w:val="auto"/>
              </w:rPr>
            </w:pPr>
            <w:r>
              <w:rPr>
                <w:rFonts w:ascii="Arial" w:cs="Arial" w:eastAsia="Arial" w:hAnsi="Arial"/>
                <w:sz w:val="13"/>
                <w:szCs w:val="13"/>
                <w:color w:val="auto"/>
              </w:rPr>
              <w:t>-60.0000%</w:t>
            </w:r>
          </w:p>
        </w:tc>
      </w:tr>
      <w:tr>
        <w:trPr>
          <w:trHeight w:val="146"/>
        </w:trPr>
        <w:tc>
          <w:tcPr>
            <w:tcW w:w="2700" w:type="dxa"/>
            <w:vAlign w:val="bottom"/>
          </w:tcPr>
          <w:p>
            <w:pPr>
              <w:jc w:val="center"/>
              <w:ind w:left="195"/>
              <w:spacing w:after="0" w:line="146" w:lineRule="exact"/>
              <w:rPr>
                <w:sz w:val="20"/>
                <w:szCs w:val="20"/>
                <w:color w:val="auto"/>
              </w:rPr>
            </w:pPr>
            <w:r>
              <w:rPr>
                <w:rFonts w:ascii="Arial" w:cs="Arial" w:eastAsia="Arial" w:hAnsi="Arial"/>
                <w:sz w:val="13"/>
                <w:szCs w:val="13"/>
                <w:color w:val="auto"/>
                <w:w w:val="99"/>
              </w:rPr>
              <w:t>-80.00%</w:t>
            </w:r>
          </w:p>
        </w:tc>
        <w:tc>
          <w:tcPr>
            <w:tcW w:w="2800" w:type="dxa"/>
            <w:vAlign w:val="bottom"/>
          </w:tcPr>
          <w:p>
            <w:pPr>
              <w:jc w:val="center"/>
              <w:ind w:left="215"/>
              <w:spacing w:after="0" w:line="146" w:lineRule="exact"/>
              <w:rPr>
                <w:sz w:val="20"/>
                <w:szCs w:val="20"/>
                <w:color w:val="auto"/>
              </w:rPr>
            </w:pPr>
            <w:r>
              <w:rPr>
                <w:rFonts w:ascii="Arial" w:cs="Arial" w:eastAsia="Arial" w:hAnsi="Arial"/>
                <w:sz w:val="13"/>
                <w:szCs w:val="13"/>
                <w:color w:val="auto"/>
              </w:rPr>
              <w:t>-80.0000%</w:t>
            </w:r>
          </w:p>
        </w:tc>
      </w:tr>
      <w:tr>
        <w:trPr>
          <w:trHeight w:val="146"/>
        </w:trPr>
        <w:tc>
          <w:tcPr>
            <w:tcW w:w="2700" w:type="dxa"/>
            <w:vAlign w:val="bottom"/>
            <w:shd w:val="clear" w:color="auto" w:fill="D9D9D9"/>
          </w:tcPr>
          <w:p>
            <w:pPr>
              <w:jc w:val="center"/>
              <w:ind w:left="215"/>
              <w:spacing w:after="0" w:line="146" w:lineRule="exact"/>
              <w:rPr>
                <w:sz w:val="20"/>
                <w:szCs w:val="20"/>
                <w:color w:val="auto"/>
              </w:rPr>
            </w:pPr>
            <w:r>
              <w:rPr>
                <w:rFonts w:ascii="Arial" w:cs="Arial" w:eastAsia="Arial" w:hAnsi="Arial"/>
                <w:sz w:val="13"/>
                <w:szCs w:val="13"/>
                <w:color w:val="auto"/>
                <w:w w:val="96"/>
              </w:rPr>
              <w:t>-100.00%</w:t>
            </w:r>
          </w:p>
        </w:tc>
        <w:tc>
          <w:tcPr>
            <w:tcW w:w="2800" w:type="dxa"/>
            <w:vAlign w:val="bottom"/>
            <w:shd w:val="clear" w:color="auto" w:fill="D9D9D9"/>
          </w:tcPr>
          <w:p>
            <w:pPr>
              <w:jc w:val="center"/>
              <w:ind w:left="215"/>
              <w:spacing w:after="0" w:line="146" w:lineRule="exact"/>
              <w:rPr>
                <w:sz w:val="20"/>
                <w:szCs w:val="20"/>
                <w:color w:val="auto"/>
              </w:rPr>
            </w:pPr>
            <w:r>
              <w:rPr>
                <w:rFonts w:ascii="Arial" w:cs="Arial" w:eastAsia="Arial" w:hAnsi="Arial"/>
                <w:sz w:val="13"/>
                <w:szCs w:val="13"/>
                <w:color w:val="auto"/>
                <w:w w:val="96"/>
              </w:rPr>
              <w:t>-100.0000%</w:t>
            </w:r>
          </w:p>
        </w:tc>
      </w:tr>
    </w:tbl>
    <w:p>
      <w:pPr>
        <w:spacing w:after="0" w:line="138" w:lineRule="exact"/>
        <w:rPr>
          <w:sz w:val="20"/>
          <w:szCs w:val="20"/>
          <w:color w:val="auto"/>
        </w:rPr>
      </w:pPr>
    </w:p>
    <w:p>
      <w:pPr>
        <w:jc w:val="both"/>
        <w:ind w:right="400"/>
        <w:spacing w:after="0" w:line="264" w:lineRule="auto"/>
        <w:rPr>
          <w:sz w:val="20"/>
          <w:szCs w:val="20"/>
          <w:color w:val="auto"/>
        </w:rPr>
      </w:pPr>
      <w:r>
        <w:rPr>
          <w:rFonts w:ascii="Arial" w:cs="Arial" w:eastAsia="Arial" w:hAnsi="Arial"/>
          <w:sz w:val="13"/>
          <w:szCs w:val="13"/>
          <w:i w:val="1"/>
          <w:iCs w:val="1"/>
          <w:color w:val="auto"/>
        </w:rPr>
        <w:t>*Assumes a leverage factor of 198.15%. The actual leverage factor will be provided in the pricing supplement and will not be less than 198.15%.</w:t>
      </w:r>
    </w:p>
    <w:p>
      <w:pPr>
        <w:spacing w:after="0" w:line="739" w:lineRule="exact"/>
        <w:rPr>
          <w:sz w:val="20"/>
          <w:szCs w:val="20"/>
          <w:color w:val="auto"/>
        </w:rPr>
      </w:pPr>
    </w:p>
    <w:p>
      <w:pPr>
        <w:sectPr>
          <w:pgSz w:w="11900" w:h="16838" w:orient="portrait"/>
          <w:cols w:equalWidth="0" w:num="3">
            <w:col w:w="1180" w:space="180"/>
            <w:col w:w="3660" w:space="720"/>
            <w:col w:w="5520"/>
          </w:cols>
          <w:pgMar w:left="320" w:top="211" w:right="319" w:bottom="1440" w:gutter="0" w:footer="0" w:header="0"/>
          <w:type w:val="continuous"/>
        </w:sectPr>
      </w:pPr>
    </w:p>
    <w:p>
      <w:pPr>
        <w:ind w:left="80"/>
        <w:spacing w:after="0"/>
        <w:rPr>
          <w:sz w:val="20"/>
          <w:szCs w:val="20"/>
          <w:color w:val="auto"/>
        </w:rPr>
      </w:pPr>
      <w:r>
        <w:rPr>
          <w:rFonts w:ascii="Arial" w:cs="Arial" w:eastAsia="Arial" w:hAnsi="Arial"/>
          <w:sz w:val="11"/>
          <w:szCs w:val="11"/>
          <w:color w:val="auto"/>
        </w:rPr>
        <w:t>†Subject to postponement or early acceleration</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1"/>
          <w:szCs w:val="11"/>
          <w:color w:val="auto"/>
        </w:rPr>
        <w:t>The estimated value of the Trigger PLUS on the pricing date will be provided in the pricing supplement and</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1"/>
          <w:szCs w:val="11"/>
          <w:color w:val="auto"/>
        </w:rPr>
        <w:t>will not be less than $920.00 per $1,000 stated principal amount Trigger PLUS. For information about the</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1"/>
          <w:szCs w:val="11"/>
          <w:color w:val="auto"/>
        </w:rPr>
        <w:t>estimated value of the Trigger PLUS, which likely will be lower than the price you paid for the Trigger PLUS,</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1"/>
          <w:szCs w:val="11"/>
          <w:color w:val="auto"/>
        </w:rPr>
        <w:t>please see the hyperlink above.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2"/>
          <w:szCs w:val="12"/>
          <w:color w:val="auto"/>
        </w:rPr>
        <w:t>Any payment on the Trigger PLUS is subject to the credit risk of JPMorgan Financial, as issuer</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2"/>
          <w:szCs w:val="12"/>
          <w:color w:val="auto"/>
        </w:rPr>
        <w:t>of the Trigger PLUS, and the credit risk of JPMorgan Chase &amp; Co., as guarantor of the Trigger</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3"/>
          <w:szCs w:val="13"/>
          <w:color w:val="auto"/>
        </w:rPr>
        <w:t>PLUS.</w:t>
      </w:r>
    </w:p>
    <w:p>
      <w:pPr>
        <w:sectPr>
          <w:pgSz w:w="11900" w:h="16838" w:orient="portrait"/>
          <w:cols w:equalWidth="0" w:num="1">
            <w:col w:w="11260"/>
          </w:cols>
          <w:pgMar w:left="320" w:top="211" w:right="319" w:bottom="1440" w:gutter="0" w:footer="0" w:header="0"/>
          <w:type w:val="continuous"/>
        </w:sectPr>
      </w:pPr>
    </w:p>
    <w:bookmarkStart w:id="1" w:name="page2"/>
    <w:bookmarkEnd w:id="1"/>
    <w:p>
      <w:pPr>
        <w:ind w:left="3"/>
        <w:spacing w:after="0"/>
        <w:rPr>
          <w:sz w:val="20"/>
          <w:szCs w:val="20"/>
          <w:color w:val="auto"/>
        </w:rPr>
      </w:pPr>
      <w:r>
        <w:rPr>
          <w:rFonts w:ascii="Arial" w:cs="Arial" w:eastAsia="Arial" w:hAnsi="Arial"/>
          <w:sz w:val="19"/>
          <w:szCs w:val="19"/>
          <w:b w:val="1"/>
          <w:bCs w:val="1"/>
          <w:color w:val="808080"/>
        </w:rPr>
        <w:t>JPMorgan Chase Financial Company LLC</w:t>
      </w:r>
    </w:p>
    <w:p>
      <w:pPr>
        <w:spacing w:after="0" w:line="22" w:lineRule="exact"/>
        <w:rPr>
          <w:sz w:val="20"/>
          <w:szCs w:val="20"/>
          <w:color w:val="auto"/>
        </w:rPr>
      </w:pPr>
    </w:p>
    <w:p>
      <w:pPr>
        <w:ind w:left="3"/>
        <w:spacing w:after="0"/>
        <w:rPr>
          <w:sz w:val="20"/>
          <w:szCs w:val="20"/>
          <w:color w:val="auto"/>
        </w:rPr>
      </w:pPr>
      <w:r>
        <w:rPr>
          <w:rFonts w:ascii="Arial" w:cs="Arial" w:eastAsia="Arial" w:hAnsi="Arial"/>
          <w:sz w:val="26"/>
          <w:szCs w:val="26"/>
          <w:color w:val="296DC1"/>
        </w:rPr>
        <w:t>6y SX5E/TPX Basket Trigger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14629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76" w:lineRule="exact"/>
        <w:rPr>
          <w:sz w:val="20"/>
          <w:szCs w:val="20"/>
          <w:color w:val="auto"/>
        </w:rPr>
      </w:pPr>
    </w:p>
    <w:p>
      <w:pPr>
        <w:ind w:left="3"/>
        <w:spacing w:after="0"/>
        <w:rPr>
          <w:sz w:val="20"/>
          <w:szCs w:val="20"/>
          <w:color w:val="auto"/>
        </w:rPr>
      </w:pPr>
      <w:r>
        <w:rPr>
          <w:rFonts w:ascii="Arial" w:cs="Arial" w:eastAsia="Arial" w:hAnsi="Arial"/>
          <w:sz w:val="23"/>
          <w:szCs w:val="23"/>
          <w:color w:val="296DC1"/>
        </w:rPr>
        <w:t>Basket and Underlying Indices</w:t>
      </w:r>
    </w:p>
    <w:p>
      <w:pPr>
        <w:spacing w:after="0" w:line="59" w:lineRule="exact"/>
        <w:rPr>
          <w:sz w:val="20"/>
          <w:szCs w:val="20"/>
          <w:color w:val="auto"/>
        </w:rPr>
      </w:pPr>
    </w:p>
    <w:p>
      <w:pPr>
        <w:ind w:left="3"/>
        <w:spacing w:after="0"/>
        <w:rPr>
          <w:sz w:val="20"/>
          <w:szCs w:val="20"/>
          <w:color w:val="auto"/>
        </w:rPr>
      </w:pPr>
      <w:r>
        <w:rPr>
          <w:rFonts w:ascii="Arial" w:cs="Arial" w:eastAsia="Arial" w:hAnsi="Arial"/>
          <w:sz w:val="15"/>
          <w:szCs w:val="15"/>
          <w:color w:val="auto"/>
        </w:rPr>
        <w:t>For more information about any underlying index, including historical performance information, see the accompanying preliminary pricing supplement.</w:t>
      </w:r>
    </w:p>
    <w:p>
      <w:pPr>
        <w:spacing w:after="0" w:line="11" w:lineRule="exact"/>
        <w:rPr>
          <w:sz w:val="20"/>
          <w:szCs w:val="20"/>
          <w:color w:val="auto"/>
        </w:rPr>
      </w:pPr>
    </w:p>
    <w:p>
      <w:pPr>
        <w:ind w:left="3"/>
        <w:spacing w:after="0"/>
        <w:rPr>
          <w:sz w:val="20"/>
          <w:szCs w:val="20"/>
          <w:color w:val="auto"/>
        </w:rPr>
      </w:pPr>
      <w:r>
        <w:rPr>
          <w:rFonts w:ascii="Arial" w:cs="Arial" w:eastAsia="Arial" w:hAnsi="Arial"/>
          <w:sz w:val="23"/>
          <w:szCs w:val="23"/>
          <w:color w:val="296DC1"/>
        </w:rPr>
        <w:t>Risk Considerations</w:t>
      </w:r>
    </w:p>
    <w:p>
      <w:pPr>
        <w:spacing w:after="0" w:line="37" w:lineRule="exact"/>
        <w:rPr>
          <w:sz w:val="20"/>
          <w:szCs w:val="20"/>
          <w:color w:val="auto"/>
        </w:rPr>
      </w:pPr>
    </w:p>
    <w:p>
      <w:pPr>
        <w:ind w:left="3" w:right="60"/>
        <w:spacing w:after="0" w:line="262" w:lineRule="auto"/>
        <w:rPr>
          <w:sz w:val="20"/>
          <w:szCs w:val="20"/>
          <w:color w:val="auto"/>
        </w:rPr>
      </w:pPr>
      <w:r>
        <w:rPr>
          <w:rFonts w:ascii="Arial" w:cs="Arial" w:eastAsia="Arial" w:hAnsi="Arial"/>
          <w:sz w:val="15"/>
          <w:szCs w:val="15"/>
          <w:color w:val="auto"/>
        </w:rPr>
        <w:t>The risks identified below are not exhaustive. Please see “Risk Factors” in the accompanying prospectus supplement, product supplement and preliminary pricing supplement for additional information.</w:t>
      </w:r>
    </w:p>
    <w:p>
      <w:pPr>
        <w:spacing w:after="0" w:line="7" w:lineRule="exact"/>
        <w:rPr>
          <w:sz w:val="20"/>
          <w:szCs w:val="20"/>
          <w:color w:val="auto"/>
        </w:rPr>
      </w:pPr>
    </w:p>
    <w:p>
      <w:pPr>
        <w:ind w:left="3"/>
        <w:spacing w:after="0"/>
        <w:rPr>
          <w:sz w:val="20"/>
          <w:szCs w:val="20"/>
          <w:color w:val="auto"/>
        </w:rPr>
      </w:pPr>
      <w:r>
        <w:rPr>
          <w:rFonts w:ascii="Arial" w:cs="Arial" w:eastAsia="Arial" w:hAnsi="Arial"/>
          <w:sz w:val="16"/>
          <w:szCs w:val="16"/>
          <w:color w:val="296DC1"/>
        </w:rPr>
        <w:t>Risks Relating to the Trigger PLUS Generally</w:t>
      </w:r>
    </w:p>
    <w:p>
      <w:pPr>
        <w:ind w:left="283" w:hanging="283"/>
        <w:spacing w:after="0" w:line="182" w:lineRule="auto"/>
        <w:tabs>
          <w:tab w:leader="none" w:pos="283" w:val="left"/>
        </w:tabs>
        <w:numPr>
          <w:ilvl w:val="0"/>
          <w:numId w:val="1"/>
        </w:numPr>
        <w:rPr>
          <w:rFonts w:ascii="Wingdings" w:cs="Wingdings" w:eastAsia="Wingdings" w:hAnsi="Wingdings"/>
          <w:sz w:val="23"/>
          <w:szCs w:val="23"/>
          <w:b w:val="1"/>
          <w:bCs w:val="1"/>
          <w:color w:val="A3C4EB"/>
          <w:vertAlign w:val="subscript"/>
        </w:rPr>
      </w:pPr>
      <w:r>
        <w:rPr>
          <w:rFonts w:ascii="Arial" w:cs="Arial" w:eastAsia="Arial" w:hAnsi="Arial"/>
          <w:sz w:val="11"/>
          <w:szCs w:val="11"/>
          <w:color w:val="auto"/>
        </w:rPr>
        <w:t>The Trigger PLUS do not pay interest or guarantee the return of any principal and your investment in the Trigger PLUS may result in a loss.</w:t>
      </w:r>
    </w:p>
    <w:p>
      <w:pPr>
        <w:spacing w:after="0" w:line="28" w:lineRule="exact"/>
        <w:rPr>
          <w:rFonts w:ascii="Wingdings" w:cs="Wingdings" w:eastAsia="Wingdings" w:hAnsi="Wingdings"/>
          <w:sz w:val="23"/>
          <w:szCs w:val="23"/>
          <w:b w:val="1"/>
          <w:bCs w:val="1"/>
          <w:color w:val="A3C4EB"/>
          <w:vertAlign w:val="subscript"/>
        </w:rPr>
      </w:pPr>
    </w:p>
    <w:p>
      <w:pPr>
        <w:ind w:left="283" w:right="740" w:hanging="283"/>
        <w:spacing w:after="0" w:line="181" w:lineRule="auto"/>
        <w:tabs>
          <w:tab w:leader="none" w:pos="283" w:val="left"/>
        </w:tabs>
        <w:numPr>
          <w:ilvl w:val="0"/>
          <w:numId w:val="1"/>
        </w:numPr>
        <w:rPr>
          <w:rFonts w:ascii="Wingdings" w:cs="Wingdings" w:eastAsia="Wingdings" w:hAnsi="Wingdings"/>
          <w:sz w:val="28"/>
          <w:szCs w:val="28"/>
          <w:b w:val="1"/>
          <w:bCs w:val="1"/>
          <w:color w:val="A3C4EB"/>
          <w:vertAlign w:val="subscript"/>
        </w:rPr>
      </w:pPr>
      <w:r>
        <w:rPr>
          <w:rFonts w:ascii="Arial" w:cs="Arial" w:eastAsia="Arial" w:hAnsi="Arial"/>
          <w:sz w:val="12"/>
          <w:szCs w:val="12"/>
          <w:color w:val="auto"/>
        </w:rPr>
        <w:t>The Trigger PLUS are subject to the credit risks of JPMorgan Financial and JPMorgan Chase &amp; Co., and any actual or anticipated changes to our or JPMorgan Chase &amp; Co.’s credit ratings or credit spreads may adversely affect the market value of the Trigger PLUS.</w:t>
      </w:r>
    </w:p>
    <w:p>
      <w:pPr>
        <w:spacing w:after="0" w:line="1" w:lineRule="exact"/>
        <w:rPr>
          <w:rFonts w:ascii="Wingdings" w:cs="Wingdings" w:eastAsia="Wingdings" w:hAnsi="Wingdings"/>
          <w:sz w:val="28"/>
          <w:szCs w:val="28"/>
          <w:b w:val="1"/>
          <w:bCs w:val="1"/>
          <w:color w:val="A3C4EB"/>
          <w:vertAlign w:val="subscript"/>
        </w:rPr>
      </w:pPr>
    </w:p>
    <w:p>
      <w:pPr>
        <w:ind w:left="283" w:hanging="283"/>
        <w:spacing w:after="0" w:line="182" w:lineRule="auto"/>
        <w:tabs>
          <w:tab w:leader="none" w:pos="283" w:val="left"/>
        </w:tabs>
        <w:numPr>
          <w:ilvl w:val="0"/>
          <w:numId w:val="1"/>
        </w:numPr>
        <w:rPr>
          <w:rFonts w:ascii="Wingdings" w:cs="Wingdings" w:eastAsia="Wingdings" w:hAnsi="Wingdings"/>
          <w:sz w:val="21"/>
          <w:szCs w:val="21"/>
          <w:b w:val="1"/>
          <w:bCs w:val="1"/>
          <w:color w:val="A3C4EB"/>
          <w:vertAlign w:val="subscript"/>
        </w:rPr>
      </w:pPr>
      <w:r>
        <w:rPr>
          <w:rFonts w:ascii="Arial" w:cs="Arial" w:eastAsia="Arial" w:hAnsi="Arial"/>
          <w:sz w:val="11"/>
          <w:szCs w:val="11"/>
          <w:color w:val="auto"/>
        </w:rPr>
        <w:t>As a finance subsidiary, JPMorgan Financial has no independent activities and has limited assets.</w:t>
      </w:r>
    </w:p>
    <w:p>
      <w:pPr>
        <w:spacing w:after="0" w:line="29" w:lineRule="exact"/>
        <w:rPr>
          <w:rFonts w:ascii="Wingdings" w:cs="Wingdings" w:eastAsia="Wingdings" w:hAnsi="Wingdings"/>
          <w:sz w:val="21"/>
          <w:szCs w:val="21"/>
          <w:b w:val="1"/>
          <w:bCs w:val="1"/>
          <w:color w:val="A3C4EB"/>
          <w:vertAlign w:val="subscript"/>
        </w:rPr>
      </w:pPr>
    </w:p>
    <w:p>
      <w:pPr>
        <w:ind w:left="283" w:hanging="283"/>
        <w:spacing w:after="0" w:line="182" w:lineRule="auto"/>
        <w:tabs>
          <w:tab w:leader="none" w:pos="283" w:val="left"/>
        </w:tabs>
        <w:numPr>
          <w:ilvl w:val="0"/>
          <w:numId w:val="1"/>
        </w:numPr>
        <w:rPr>
          <w:rFonts w:ascii="Wingdings" w:cs="Wingdings" w:eastAsia="Wingdings" w:hAnsi="Wingdings"/>
          <w:sz w:val="21"/>
          <w:szCs w:val="21"/>
          <w:b w:val="1"/>
          <w:bCs w:val="1"/>
          <w:color w:val="A3C4EB"/>
          <w:vertAlign w:val="subscript"/>
        </w:rPr>
      </w:pPr>
      <w:r>
        <w:rPr>
          <w:rFonts w:ascii="Arial" w:cs="Arial" w:eastAsia="Arial" w:hAnsi="Arial"/>
          <w:sz w:val="11"/>
          <w:szCs w:val="11"/>
          <w:color w:val="auto"/>
        </w:rPr>
        <w:t>The benefit provided by the trigger level may terminate on the valuation date.</w:t>
      </w:r>
    </w:p>
    <w:p>
      <w:pPr>
        <w:spacing w:after="0" w:line="29" w:lineRule="exact"/>
        <w:rPr>
          <w:rFonts w:ascii="Wingdings" w:cs="Wingdings" w:eastAsia="Wingdings" w:hAnsi="Wingdings"/>
          <w:sz w:val="21"/>
          <w:szCs w:val="21"/>
          <w:b w:val="1"/>
          <w:bCs w:val="1"/>
          <w:color w:val="A3C4EB"/>
          <w:vertAlign w:val="subscript"/>
        </w:rPr>
      </w:pPr>
    </w:p>
    <w:p>
      <w:pPr>
        <w:ind w:left="283" w:right="100" w:hanging="283"/>
        <w:spacing w:after="0"/>
        <w:tabs>
          <w:tab w:leader="none" w:pos="283" w:val="left"/>
        </w:tabs>
        <w:numPr>
          <w:ilvl w:val="0"/>
          <w:numId w:val="1"/>
        </w:numPr>
        <w:rPr>
          <w:rFonts w:ascii="Wingdings" w:cs="Wingdings" w:eastAsia="Wingdings" w:hAnsi="Wingdings"/>
          <w:sz w:val="29"/>
          <w:szCs w:val="29"/>
          <w:b w:val="1"/>
          <w:bCs w:val="1"/>
          <w:color w:val="A3C4EB"/>
          <w:vertAlign w:val="subscript"/>
        </w:rPr>
      </w:pPr>
      <w:r>
        <w:rPr>
          <w:rFonts w:ascii="Arial" w:cs="Arial" w:eastAsia="Arial" w:hAnsi="Arial"/>
          <w:sz w:val="12"/>
          <w:szCs w:val="12"/>
          <w:color w:val="auto"/>
        </w:rPr>
        <w:t>Correlation (or lack of correlation) of performances among the underlying indices may reduce the performance of the basket, and changes in the values of the underlying indices may offset each other</w:t>
      </w:r>
      <w:r>
        <w:rPr>
          <w:rFonts w:ascii="Arial" w:cs="Arial" w:eastAsia="Arial" w:hAnsi="Arial"/>
          <w:sz w:val="12"/>
          <w:szCs w:val="12"/>
          <w:b w:val="1"/>
          <w:bCs w:val="1"/>
          <w:color w:val="auto"/>
        </w:rPr>
        <w:t>.</w:t>
      </w:r>
    </w:p>
    <w:p>
      <w:pPr>
        <w:spacing w:after="0" w:line="17" w:lineRule="exact"/>
        <w:rPr>
          <w:rFonts w:ascii="Wingdings" w:cs="Wingdings" w:eastAsia="Wingdings" w:hAnsi="Wingdings"/>
          <w:sz w:val="29"/>
          <w:szCs w:val="29"/>
          <w:b w:val="1"/>
          <w:bCs w:val="1"/>
          <w:color w:val="A3C4EB"/>
          <w:vertAlign w:val="subscript"/>
        </w:rPr>
      </w:pPr>
    </w:p>
    <w:p>
      <w:pPr>
        <w:ind w:left="283" w:hanging="283"/>
        <w:spacing w:after="0" w:line="182" w:lineRule="auto"/>
        <w:tabs>
          <w:tab w:leader="none" w:pos="283" w:val="left"/>
        </w:tabs>
        <w:numPr>
          <w:ilvl w:val="0"/>
          <w:numId w:val="1"/>
        </w:numPr>
        <w:rPr>
          <w:rFonts w:ascii="Wingdings" w:cs="Wingdings" w:eastAsia="Wingdings" w:hAnsi="Wingdings"/>
          <w:sz w:val="21"/>
          <w:szCs w:val="21"/>
          <w:b w:val="1"/>
          <w:bCs w:val="1"/>
          <w:color w:val="A3C4EB"/>
          <w:vertAlign w:val="subscript"/>
        </w:rPr>
      </w:pPr>
      <w:r>
        <w:rPr>
          <w:rFonts w:ascii="Arial" w:cs="Arial" w:eastAsia="Arial" w:hAnsi="Arial"/>
          <w:sz w:val="11"/>
          <w:szCs w:val="11"/>
          <w:color w:val="auto"/>
        </w:rPr>
        <w:t>Secondary trading may be limited.</w:t>
      </w:r>
    </w:p>
    <w:p>
      <w:pPr>
        <w:spacing w:after="0" w:line="29" w:lineRule="exact"/>
        <w:rPr>
          <w:rFonts w:ascii="Wingdings" w:cs="Wingdings" w:eastAsia="Wingdings" w:hAnsi="Wingdings"/>
          <w:sz w:val="21"/>
          <w:szCs w:val="21"/>
          <w:b w:val="1"/>
          <w:bCs w:val="1"/>
          <w:color w:val="A3C4EB"/>
          <w:vertAlign w:val="subscript"/>
        </w:rPr>
      </w:pPr>
    </w:p>
    <w:p>
      <w:pPr>
        <w:ind w:left="283" w:right="420" w:hanging="283"/>
        <w:spacing w:after="0" w:line="181" w:lineRule="auto"/>
        <w:tabs>
          <w:tab w:leader="none" w:pos="283" w:val="left"/>
        </w:tabs>
        <w:numPr>
          <w:ilvl w:val="0"/>
          <w:numId w:val="1"/>
        </w:numPr>
        <w:rPr>
          <w:rFonts w:ascii="Wingdings" w:cs="Wingdings" w:eastAsia="Wingdings" w:hAnsi="Wingdings"/>
          <w:sz w:val="28"/>
          <w:szCs w:val="28"/>
          <w:b w:val="1"/>
          <w:bCs w:val="1"/>
          <w:color w:val="A3C4EB"/>
          <w:vertAlign w:val="subscript"/>
        </w:rPr>
      </w:pPr>
      <w:r>
        <w:rPr>
          <w:rFonts w:ascii="Arial" w:cs="Arial" w:eastAsia="Arial" w:hAnsi="Arial"/>
          <w:sz w:val="12"/>
          <w:szCs w:val="12"/>
          <w:color w:val="auto"/>
        </w:rPr>
        <w:t>We may accelerate your Trigger PLUS in our sole discretion and the calculation agent may adjust their final payment in good faith and in a commercially reasonable manner if an acceleration event occurs.</w:t>
      </w:r>
    </w:p>
    <w:p>
      <w:pPr>
        <w:spacing w:after="0" w:line="1" w:lineRule="exact"/>
        <w:rPr>
          <w:rFonts w:ascii="Wingdings" w:cs="Wingdings" w:eastAsia="Wingdings" w:hAnsi="Wingdings"/>
          <w:sz w:val="28"/>
          <w:szCs w:val="28"/>
          <w:b w:val="1"/>
          <w:bCs w:val="1"/>
          <w:color w:val="A3C4EB"/>
          <w:vertAlign w:val="subscript"/>
        </w:rPr>
      </w:pPr>
    </w:p>
    <w:p>
      <w:pPr>
        <w:ind w:left="283" w:hanging="283"/>
        <w:spacing w:after="0" w:line="182" w:lineRule="auto"/>
        <w:tabs>
          <w:tab w:leader="none" w:pos="283" w:val="left"/>
        </w:tabs>
        <w:numPr>
          <w:ilvl w:val="0"/>
          <w:numId w:val="1"/>
        </w:numPr>
        <w:rPr>
          <w:rFonts w:ascii="Wingdings" w:cs="Wingdings" w:eastAsia="Wingdings" w:hAnsi="Wingdings"/>
          <w:sz w:val="21"/>
          <w:szCs w:val="21"/>
          <w:b w:val="1"/>
          <w:bCs w:val="1"/>
          <w:color w:val="A3C4EB"/>
          <w:vertAlign w:val="subscript"/>
        </w:rPr>
      </w:pPr>
      <w:r>
        <w:rPr>
          <w:rFonts w:ascii="Arial" w:cs="Arial" w:eastAsia="Arial" w:hAnsi="Arial"/>
          <w:sz w:val="11"/>
          <w:szCs w:val="11"/>
          <w:color w:val="auto"/>
        </w:rPr>
        <w:t>The final terms and estimated valuation of the Trigger PLUS will be provided in the pricing supplement.</w:t>
      </w:r>
    </w:p>
    <w:p>
      <w:pPr>
        <w:spacing w:after="0" w:line="29" w:lineRule="exact"/>
        <w:rPr>
          <w:rFonts w:ascii="Wingdings" w:cs="Wingdings" w:eastAsia="Wingdings" w:hAnsi="Wingdings"/>
          <w:sz w:val="21"/>
          <w:szCs w:val="21"/>
          <w:b w:val="1"/>
          <w:bCs w:val="1"/>
          <w:color w:val="A3C4EB"/>
          <w:vertAlign w:val="subscript"/>
        </w:rPr>
      </w:pPr>
    </w:p>
    <w:p>
      <w:pPr>
        <w:ind w:left="283" w:hanging="283"/>
        <w:spacing w:after="0" w:line="182" w:lineRule="auto"/>
        <w:tabs>
          <w:tab w:leader="none" w:pos="283" w:val="left"/>
        </w:tabs>
        <w:numPr>
          <w:ilvl w:val="0"/>
          <w:numId w:val="1"/>
        </w:numPr>
        <w:rPr>
          <w:rFonts w:ascii="Wingdings" w:cs="Wingdings" w:eastAsia="Wingdings" w:hAnsi="Wingdings"/>
          <w:sz w:val="21"/>
          <w:szCs w:val="21"/>
          <w:b w:val="1"/>
          <w:bCs w:val="1"/>
          <w:color w:val="A3C4EB"/>
          <w:vertAlign w:val="subscript"/>
        </w:rPr>
      </w:pPr>
      <w:r>
        <w:rPr>
          <w:rFonts w:ascii="Arial" w:cs="Arial" w:eastAsia="Arial" w:hAnsi="Arial"/>
          <w:sz w:val="11"/>
          <w:szCs w:val="11"/>
          <w:color w:val="auto"/>
        </w:rPr>
        <w:t>The tax consequences of an investment in the Trigger PLUS are uncertain.</w:t>
      </w:r>
    </w:p>
    <w:p>
      <w:pPr>
        <w:spacing w:after="0" w:line="21" w:lineRule="exact"/>
        <w:rPr>
          <w:sz w:val="20"/>
          <w:szCs w:val="20"/>
          <w:color w:val="auto"/>
        </w:rPr>
      </w:pPr>
    </w:p>
    <w:p>
      <w:pPr>
        <w:ind w:left="3"/>
        <w:spacing w:after="0"/>
        <w:rPr>
          <w:sz w:val="20"/>
          <w:szCs w:val="20"/>
          <w:color w:val="auto"/>
        </w:rPr>
      </w:pPr>
      <w:r>
        <w:rPr>
          <w:rFonts w:ascii="Arial" w:cs="Arial" w:eastAsia="Arial" w:hAnsi="Arial"/>
          <w:sz w:val="16"/>
          <w:szCs w:val="16"/>
          <w:color w:val="296DC1"/>
        </w:rPr>
        <w:t>Risks Relating to Conflicts of Interest</w:t>
      </w:r>
    </w:p>
    <w:p>
      <w:pPr>
        <w:ind w:left="283" w:right="140" w:hanging="283"/>
        <w:spacing w:after="0" w:line="219" w:lineRule="auto"/>
        <w:tabs>
          <w:tab w:leader="none" w:pos="283" w:val="left"/>
        </w:tabs>
        <w:numPr>
          <w:ilvl w:val="0"/>
          <w:numId w:val="2"/>
        </w:numPr>
        <w:rPr>
          <w:rFonts w:ascii="Wingdings" w:cs="Wingdings" w:eastAsia="Wingdings" w:hAnsi="Wingdings"/>
          <w:sz w:val="34"/>
          <w:szCs w:val="34"/>
          <w:b w:val="1"/>
          <w:bCs w:val="1"/>
          <w:color w:val="A3C4EB"/>
          <w:vertAlign w:val="subscript"/>
        </w:rPr>
      </w:pPr>
      <w:r>
        <w:rPr>
          <w:rFonts w:ascii="Arial" w:cs="Arial" w:eastAsia="Arial" w:hAnsi="Arial"/>
          <w:sz w:val="13"/>
          <w:szCs w:val="13"/>
          <w:color w:val="auto"/>
        </w:rPr>
        <w:t>Economic interests of the issuer, the guarantor, the calculation agent, the agent of the offering of the Trigger PLUS and other affiliates of the issuer may be different from those of investors.</w:t>
      </w:r>
    </w:p>
    <w:p>
      <w:pPr>
        <w:spacing w:after="0" w:line="1" w:lineRule="exact"/>
        <w:rPr>
          <w:rFonts w:ascii="Wingdings" w:cs="Wingdings" w:eastAsia="Wingdings" w:hAnsi="Wingdings"/>
          <w:sz w:val="34"/>
          <w:szCs w:val="34"/>
          <w:b w:val="1"/>
          <w:bCs w:val="1"/>
          <w:color w:val="A3C4EB"/>
          <w:vertAlign w:val="subscript"/>
        </w:rPr>
      </w:pPr>
    </w:p>
    <w:p>
      <w:pPr>
        <w:ind w:left="283" w:hanging="283"/>
        <w:spacing w:after="0" w:line="182" w:lineRule="auto"/>
        <w:tabs>
          <w:tab w:leader="none" w:pos="283" w:val="left"/>
        </w:tabs>
        <w:numPr>
          <w:ilvl w:val="0"/>
          <w:numId w:val="2"/>
        </w:numPr>
        <w:rPr>
          <w:rFonts w:ascii="Wingdings" w:cs="Wingdings" w:eastAsia="Wingdings" w:hAnsi="Wingdings"/>
          <w:sz w:val="21"/>
          <w:szCs w:val="21"/>
          <w:b w:val="1"/>
          <w:bCs w:val="1"/>
          <w:color w:val="A3C4EB"/>
          <w:vertAlign w:val="subscript"/>
        </w:rPr>
      </w:pPr>
      <w:r>
        <w:rPr>
          <w:rFonts w:ascii="Arial" w:cs="Arial" w:eastAsia="Arial" w:hAnsi="Arial"/>
          <w:sz w:val="11"/>
          <w:szCs w:val="11"/>
          <w:color w:val="auto"/>
        </w:rPr>
        <w:t>Hedging and trading activities by the issuer and its affiliates could potentially affect the value of the Trigger PLUS.</w:t>
      </w:r>
    </w:p>
    <w:p>
      <w:pPr>
        <w:spacing w:after="0" w:line="21" w:lineRule="exact"/>
        <w:rPr>
          <w:sz w:val="20"/>
          <w:szCs w:val="20"/>
          <w:color w:val="auto"/>
        </w:rPr>
      </w:pPr>
    </w:p>
    <w:p>
      <w:pPr>
        <w:ind w:left="3"/>
        <w:spacing w:after="0"/>
        <w:rPr>
          <w:sz w:val="20"/>
          <w:szCs w:val="20"/>
          <w:color w:val="auto"/>
        </w:rPr>
      </w:pPr>
      <w:r>
        <w:rPr>
          <w:rFonts w:ascii="Arial" w:cs="Arial" w:eastAsia="Arial" w:hAnsi="Arial"/>
          <w:sz w:val="16"/>
          <w:szCs w:val="16"/>
          <w:color w:val="296DC1"/>
        </w:rPr>
        <w:t>Risks Relating to the Estimated Value and Secondary Market Prices of the Trigger PLUS</w:t>
      </w:r>
    </w:p>
    <w:p>
      <w:pPr>
        <w:ind w:left="283" w:hanging="283"/>
        <w:spacing w:after="0" w:line="180" w:lineRule="auto"/>
        <w:tabs>
          <w:tab w:leader="none" w:pos="283"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1"/>
          <w:szCs w:val="11"/>
          <w:color w:val="auto"/>
        </w:rPr>
        <w:t>The estimated value of the Trigger PLUS will be lower than the original issue price (price to public) of the Trigger PLUS.</w:t>
      </w:r>
    </w:p>
    <w:p>
      <w:pPr>
        <w:spacing w:after="0" w:line="29" w:lineRule="exact"/>
        <w:rPr>
          <w:rFonts w:ascii="Wingdings" w:cs="Wingdings" w:eastAsia="Wingdings" w:hAnsi="Wingdings"/>
          <w:sz w:val="22"/>
          <w:szCs w:val="22"/>
          <w:b w:val="1"/>
          <w:bCs w:val="1"/>
          <w:color w:val="A3C4EB"/>
          <w:vertAlign w:val="subscript"/>
        </w:rPr>
      </w:pPr>
    </w:p>
    <w:p>
      <w:pPr>
        <w:ind w:left="283" w:hanging="283"/>
        <w:spacing w:after="0" w:line="182" w:lineRule="auto"/>
        <w:tabs>
          <w:tab w:leader="none" w:pos="283" w:val="left"/>
        </w:tabs>
        <w:numPr>
          <w:ilvl w:val="0"/>
          <w:numId w:val="3"/>
        </w:numPr>
        <w:rPr>
          <w:rFonts w:ascii="Wingdings" w:cs="Wingdings" w:eastAsia="Wingdings" w:hAnsi="Wingdings"/>
          <w:sz w:val="21"/>
          <w:szCs w:val="21"/>
          <w:b w:val="1"/>
          <w:bCs w:val="1"/>
          <w:color w:val="A3C4EB"/>
          <w:vertAlign w:val="subscript"/>
        </w:rPr>
      </w:pPr>
      <w:r>
        <w:rPr>
          <w:rFonts w:ascii="Arial" w:cs="Arial" w:eastAsia="Arial" w:hAnsi="Arial"/>
          <w:sz w:val="11"/>
          <w:szCs w:val="11"/>
          <w:color w:val="auto"/>
        </w:rPr>
        <w:t>The estimated value of the Trigger PLUS does not represent future values of the Trigger PLUS and may differ from others’ estimates.</w:t>
      </w:r>
    </w:p>
    <w:p>
      <w:pPr>
        <w:spacing w:after="0" w:line="29" w:lineRule="exact"/>
        <w:rPr>
          <w:rFonts w:ascii="Wingdings" w:cs="Wingdings" w:eastAsia="Wingdings" w:hAnsi="Wingdings"/>
          <w:sz w:val="21"/>
          <w:szCs w:val="21"/>
          <w:b w:val="1"/>
          <w:bCs w:val="1"/>
          <w:color w:val="A3C4EB"/>
          <w:vertAlign w:val="subscript"/>
        </w:rPr>
      </w:pPr>
    </w:p>
    <w:p>
      <w:pPr>
        <w:ind w:left="283" w:hanging="283"/>
        <w:spacing w:after="0" w:line="182" w:lineRule="auto"/>
        <w:tabs>
          <w:tab w:leader="none" w:pos="283" w:val="left"/>
        </w:tabs>
        <w:numPr>
          <w:ilvl w:val="0"/>
          <w:numId w:val="3"/>
        </w:numPr>
        <w:rPr>
          <w:rFonts w:ascii="Wingdings" w:cs="Wingdings" w:eastAsia="Wingdings" w:hAnsi="Wingdings"/>
          <w:sz w:val="21"/>
          <w:szCs w:val="21"/>
          <w:b w:val="1"/>
          <w:bCs w:val="1"/>
          <w:color w:val="A3C4EB"/>
          <w:vertAlign w:val="subscript"/>
        </w:rPr>
      </w:pPr>
      <w:r>
        <w:rPr>
          <w:rFonts w:ascii="Arial" w:cs="Arial" w:eastAsia="Arial" w:hAnsi="Arial"/>
          <w:sz w:val="11"/>
          <w:szCs w:val="11"/>
          <w:color w:val="auto"/>
        </w:rPr>
        <w:t>The estimated value of the Trigger PLUS is derived by reference to an internal funding rate.</w:t>
      </w:r>
    </w:p>
    <w:p>
      <w:pPr>
        <w:spacing w:after="0" w:line="29" w:lineRule="exact"/>
        <w:rPr>
          <w:rFonts w:ascii="Wingdings" w:cs="Wingdings" w:eastAsia="Wingdings" w:hAnsi="Wingdings"/>
          <w:sz w:val="21"/>
          <w:szCs w:val="21"/>
          <w:b w:val="1"/>
          <w:bCs w:val="1"/>
          <w:color w:val="A3C4EB"/>
          <w:vertAlign w:val="subscript"/>
        </w:rPr>
      </w:pPr>
    </w:p>
    <w:p>
      <w:pPr>
        <w:ind w:left="283" w:right="200" w:hanging="283"/>
        <w:spacing w:after="0" w:line="181" w:lineRule="auto"/>
        <w:tabs>
          <w:tab w:leader="none" w:pos="283" w:val="left"/>
        </w:tabs>
        <w:numPr>
          <w:ilvl w:val="0"/>
          <w:numId w:val="3"/>
        </w:numPr>
        <w:rPr>
          <w:rFonts w:ascii="Wingdings" w:cs="Wingdings" w:eastAsia="Wingdings" w:hAnsi="Wingdings"/>
          <w:sz w:val="28"/>
          <w:szCs w:val="28"/>
          <w:b w:val="1"/>
          <w:bCs w:val="1"/>
          <w:color w:val="A3C4EB"/>
          <w:vertAlign w:val="subscript"/>
        </w:rPr>
      </w:pPr>
      <w:r>
        <w:rPr>
          <w:rFonts w:ascii="Arial" w:cs="Arial" w:eastAsia="Arial" w:hAnsi="Arial"/>
          <w:sz w:val="12"/>
          <w:szCs w:val="12"/>
          <w:color w:val="auto"/>
        </w:rPr>
        <w:t>The value of the Trigger PLUS as published by J.P. Morgan Securities LLC (and which may be reflected on customer account statements) may be higher than the then-current estimated value of the Trigger PLUS for a limited time period.</w:t>
      </w:r>
    </w:p>
    <w:p>
      <w:pPr>
        <w:spacing w:after="0" w:line="1" w:lineRule="exact"/>
        <w:rPr>
          <w:rFonts w:ascii="Wingdings" w:cs="Wingdings" w:eastAsia="Wingdings" w:hAnsi="Wingdings"/>
          <w:sz w:val="28"/>
          <w:szCs w:val="28"/>
          <w:b w:val="1"/>
          <w:bCs w:val="1"/>
          <w:color w:val="A3C4EB"/>
          <w:vertAlign w:val="subscript"/>
        </w:rPr>
      </w:pPr>
    </w:p>
    <w:p>
      <w:pPr>
        <w:ind w:left="283" w:hanging="283"/>
        <w:spacing w:after="0" w:line="182" w:lineRule="auto"/>
        <w:tabs>
          <w:tab w:leader="none" w:pos="283" w:val="left"/>
        </w:tabs>
        <w:numPr>
          <w:ilvl w:val="0"/>
          <w:numId w:val="3"/>
        </w:numPr>
        <w:rPr>
          <w:rFonts w:ascii="Wingdings" w:cs="Wingdings" w:eastAsia="Wingdings" w:hAnsi="Wingdings"/>
          <w:sz w:val="21"/>
          <w:szCs w:val="21"/>
          <w:b w:val="1"/>
          <w:bCs w:val="1"/>
          <w:color w:val="A3C4EB"/>
          <w:vertAlign w:val="subscript"/>
        </w:rPr>
      </w:pPr>
      <w:r>
        <w:rPr>
          <w:rFonts w:ascii="Arial" w:cs="Arial" w:eastAsia="Arial" w:hAnsi="Arial"/>
          <w:sz w:val="11"/>
          <w:szCs w:val="11"/>
          <w:color w:val="auto"/>
        </w:rPr>
        <w:t>Secondary market prices of the Trigger PLUS will likely be lower than the original issue price of the Trigger PLUS.</w:t>
      </w:r>
    </w:p>
    <w:p>
      <w:pPr>
        <w:spacing w:after="0" w:line="29" w:lineRule="exact"/>
        <w:rPr>
          <w:rFonts w:ascii="Wingdings" w:cs="Wingdings" w:eastAsia="Wingdings" w:hAnsi="Wingdings"/>
          <w:sz w:val="21"/>
          <w:szCs w:val="21"/>
          <w:b w:val="1"/>
          <w:bCs w:val="1"/>
          <w:color w:val="A3C4EB"/>
          <w:vertAlign w:val="subscript"/>
        </w:rPr>
      </w:pPr>
    </w:p>
    <w:p>
      <w:pPr>
        <w:ind w:left="283" w:hanging="283"/>
        <w:spacing w:after="0" w:line="182" w:lineRule="auto"/>
        <w:tabs>
          <w:tab w:leader="none" w:pos="283" w:val="left"/>
        </w:tabs>
        <w:numPr>
          <w:ilvl w:val="0"/>
          <w:numId w:val="3"/>
        </w:numPr>
        <w:rPr>
          <w:rFonts w:ascii="Wingdings" w:cs="Wingdings" w:eastAsia="Wingdings" w:hAnsi="Wingdings"/>
          <w:sz w:val="21"/>
          <w:szCs w:val="21"/>
          <w:b w:val="1"/>
          <w:bCs w:val="1"/>
          <w:color w:val="A3C4EB"/>
          <w:vertAlign w:val="subscript"/>
        </w:rPr>
      </w:pPr>
      <w:r>
        <w:rPr>
          <w:rFonts w:ascii="Arial" w:cs="Arial" w:eastAsia="Arial" w:hAnsi="Arial"/>
          <w:sz w:val="11"/>
          <w:szCs w:val="11"/>
          <w:color w:val="auto"/>
        </w:rPr>
        <w:t>Secondary market prices of the Trigger PLUS will be impacted by many economic and market factors.</w:t>
      </w:r>
    </w:p>
    <w:p>
      <w:pPr>
        <w:spacing w:after="0" w:line="21" w:lineRule="exact"/>
        <w:rPr>
          <w:sz w:val="20"/>
          <w:szCs w:val="20"/>
          <w:color w:val="auto"/>
        </w:rPr>
      </w:pPr>
    </w:p>
    <w:p>
      <w:pPr>
        <w:ind w:left="3"/>
        <w:spacing w:after="0"/>
        <w:rPr>
          <w:sz w:val="20"/>
          <w:szCs w:val="20"/>
          <w:color w:val="auto"/>
        </w:rPr>
      </w:pPr>
      <w:r>
        <w:rPr>
          <w:rFonts w:ascii="Arial" w:cs="Arial" w:eastAsia="Arial" w:hAnsi="Arial"/>
          <w:sz w:val="16"/>
          <w:szCs w:val="16"/>
          <w:color w:val="296DC1"/>
        </w:rPr>
        <w:t>Risks Relating to the Underlying Indices</w:t>
      </w:r>
    </w:p>
    <w:p>
      <w:pPr>
        <w:ind w:left="283" w:hanging="283"/>
        <w:spacing w:after="0" w:line="180" w:lineRule="auto"/>
        <w:tabs>
          <w:tab w:leader="none" w:pos="283"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1"/>
          <w:szCs w:val="11"/>
          <w:color w:val="auto"/>
        </w:rPr>
        <w:t>Investing in the Trigger PLUS is not equivalent to investing in the basket or the underlying indices.</w:t>
      </w:r>
    </w:p>
    <w:p>
      <w:pPr>
        <w:spacing w:after="0" w:line="29" w:lineRule="exact"/>
        <w:rPr>
          <w:rFonts w:ascii="Wingdings" w:cs="Wingdings" w:eastAsia="Wingdings" w:hAnsi="Wingdings"/>
          <w:sz w:val="22"/>
          <w:szCs w:val="22"/>
          <w:b w:val="1"/>
          <w:bCs w:val="1"/>
          <w:color w:val="A3C4EB"/>
          <w:vertAlign w:val="subscript"/>
        </w:rPr>
      </w:pPr>
    </w:p>
    <w:p>
      <w:pPr>
        <w:ind w:left="283" w:hanging="283"/>
        <w:spacing w:after="0" w:line="182" w:lineRule="auto"/>
        <w:tabs>
          <w:tab w:leader="none" w:pos="283" w:val="left"/>
        </w:tabs>
        <w:numPr>
          <w:ilvl w:val="0"/>
          <w:numId w:val="4"/>
        </w:numPr>
        <w:rPr>
          <w:rFonts w:ascii="Wingdings" w:cs="Wingdings" w:eastAsia="Wingdings" w:hAnsi="Wingdings"/>
          <w:sz w:val="21"/>
          <w:szCs w:val="21"/>
          <w:b w:val="1"/>
          <w:bCs w:val="1"/>
          <w:color w:val="A3C4EB"/>
          <w:vertAlign w:val="subscript"/>
        </w:rPr>
      </w:pPr>
      <w:r>
        <w:rPr>
          <w:rFonts w:ascii="Arial" w:cs="Arial" w:eastAsia="Arial" w:hAnsi="Arial"/>
          <w:sz w:val="11"/>
          <w:szCs w:val="11"/>
          <w:color w:val="auto"/>
        </w:rPr>
        <w:t>Adjustments to either underlying index could adversely affect the value of the Trigger PLUS.</w:t>
      </w:r>
    </w:p>
    <w:p>
      <w:pPr>
        <w:spacing w:after="0" w:line="29" w:lineRule="exact"/>
        <w:rPr>
          <w:rFonts w:ascii="Wingdings" w:cs="Wingdings" w:eastAsia="Wingdings" w:hAnsi="Wingdings"/>
          <w:sz w:val="21"/>
          <w:szCs w:val="21"/>
          <w:b w:val="1"/>
          <w:bCs w:val="1"/>
          <w:color w:val="A3C4EB"/>
          <w:vertAlign w:val="subscript"/>
        </w:rPr>
      </w:pPr>
    </w:p>
    <w:p>
      <w:pPr>
        <w:ind w:left="283" w:hanging="283"/>
        <w:spacing w:after="0" w:line="182" w:lineRule="auto"/>
        <w:tabs>
          <w:tab w:leader="none" w:pos="283" w:val="left"/>
        </w:tabs>
        <w:numPr>
          <w:ilvl w:val="0"/>
          <w:numId w:val="4"/>
        </w:numPr>
        <w:rPr>
          <w:rFonts w:ascii="Wingdings" w:cs="Wingdings" w:eastAsia="Wingdings" w:hAnsi="Wingdings"/>
          <w:sz w:val="21"/>
          <w:szCs w:val="21"/>
          <w:b w:val="1"/>
          <w:bCs w:val="1"/>
          <w:color w:val="A3C4EB"/>
          <w:vertAlign w:val="subscript"/>
        </w:rPr>
      </w:pPr>
      <w:r>
        <w:rPr>
          <w:rFonts w:ascii="Arial" w:cs="Arial" w:eastAsia="Arial" w:hAnsi="Arial"/>
          <w:sz w:val="11"/>
          <w:szCs w:val="11"/>
          <w:color w:val="auto"/>
        </w:rPr>
        <w:t>The Trigger PLUS are subject to risks associated with securities issued by non-U.S. companies.</w:t>
      </w:r>
    </w:p>
    <w:p>
      <w:pPr>
        <w:spacing w:after="0" w:line="29" w:lineRule="exact"/>
        <w:rPr>
          <w:rFonts w:ascii="Wingdings" w:cs="Wingdings" w:eastAsia="Wingdings" w:hAnsi="Wingdings"/>
          <w:sz w:val="21"/>
          <w:szCs w:val="21"/>
          <w:b w:val="1"/>
          <w:bCs w:val="1"/>
          <w:color w:val="A3C4EB"/>
          <w:vertAlign w:val="subscript"/>
        </w:rPr>
      </w:pPr>
    </w:p>
    <w:p>
      <w:pPr>
        <w:ind w:left="283" w:hanging="283"/>
        <w:spacing w:after="0" w:line="182" w:lineRule="auto"/>
        <w:tabs>
          <w:tab w:leader="none" w:pos="283" w:val="left"/>
        </w:tabs>
        <w:numPr>
          <w:ilvl w:val="0"/>
          <w:numId w:val="4"/>
        </w:numPr>
        <w:rPr>
          <w:rFonts w:ascii="Wingdings" w:cs="Wingdings" w:eastAsia="Wingdings" w:hAnsi="Wingdings"/>
          <w:sz w:val="21"/>
          <w:szCs w:val="21"/>
          <w:b w:val="1"/>
          <w:bCs w:val="1"/>
          <w:color w:val="A3C4EB"/>
          <w:vertAlign w:val="subscript"/>
        </w:rPr>
      </w:pPr>
      <w:r>
        <w:rPr>
          <w:rFonts w:ascii="Arial" w:cs="Arial" w:eastAsia="Arial" w:hAnsi="Arial"/>
          <w:sz w:val="11"/>
          <w:szCs w:val="11"/>
          <w:color w:val="auto"/>
        </w:rPr>
        <w:t>The Trigger PLUS are not directly exposed to fluctuations in foreign exchange rates.</w:t>
      </w:r>
    </w:p>
    <w:p>
      <w:pPr>
        <w:spacing w:after="0" w:line="29" w:lineRule="exact"/>
        <w:rPr>
          <w:rFonts w:ascii="Wingdings" w:cs="Wingdings" w:eastAsia="Wingdings" w:hAnsi="Wingdings"/>
          <w:sz w:val="21"/>
          <w:szCs w:val="21"/>
          <w:b w:val="1"/>
          <w:bCs w:val="1"/>
          <w:color w:val="A3C4EB"/>
          <w:vertAlign w:val="subscript"/>
        </w:rPr>
      </w:pPr>
    </w:p>
    <w:p>
      <w:pPr>
        <w:ind w:left="283" w:hanging="283"/>
        <w:spacing w:after="0" w:line="182" w:lineRule="auto"/>
        <w:tabs>
          <w:tab w:leader="none" w:pos="283" w:val="left"/>
        </w:tabs>
        <w:numPr>
          <w:ilvl w:val="0"/>
          <w:numId w:val="4"/>
        </w:numPr>
        <w:rPr>
          <w:rFonts w:ascii="Wingdings" w:cs="Wingdings" w:eastAsia="Wingdings" w:hAnsi="Wingdings"/>
          <w:sz w:val="21"/>
          <w:szCs w:val="21"/>
          <w:b w:val="1"/>
          <w:bCs w:val="1"/>
          <w:color w:val="A3C4EB"/>
          <w:vertAlign w:val="subscript"/>
        </w:rPr>
      </w:pPr>
      <w:r>
        <w:rPr>
          <w:rFonts w:ascii="Arial" w:cs="Arial" w:eastAsia="Arial" w:hAnsi="Arial"/>
          <w:sz w:val="11"/>
          <w:szCs w:val="11"/>
          <w:color w:val="auto"/>
        </w:rPr>
        <w:t>Governmental legislative and regulatory actions, including sanctions, could adversely affect your investment in the Trigger PLUS.</w:t>
      </w:r>
    </w:p>
    <w:p>
      <w:pPr>
        <w:spacing w:after="0" w:line="104" w:lineRule="exact"/>
        <w:rPr>
          <w:sz w:val="20"/>
          <w:szCs w:val="20"/>
          <w:color w:val="auto"/>
        </w:rPr>
      </w:pPr>
    </w:p>
    <w:p>
      <w:pPr>
        <w:ind w:left="3"/>
        <w:spacing w:after="0"/>
        <w:rPr>
          <w:sz w:val="20"/>
          <w:szCs w:val="20"/>
          <w:color w:val="auto"/>
        </w:rPr>
      </w:pPr>
      <w:r>
        <w:rPr>
          <w:rFonts w:ascii="Arial" w:cs="Arial" w:eastAsia="Arial" w:hAnsi="Arial"/>
          <w:sz w:val="23"/>
          <w:szCs w:val="23"/>
          <w:color w:val="296DC1"/>
        </w:rPr>
        <w:t>Tax Considerations</w:t>
      </w:r>
    </w:p>
    <w:p>
      <w:pPr>
        <w:spacing w:after="0" w:line="59" w:lineRule="exact"/>
        <w:rPr>
          <w:sz w:val="20"/>
          <w:szCs w:val="20"/>
          <w:color w:val="auto"/>
        </w:rPr>
      </w:pPr>
    </w:p>
    <w:p>
      <w:pPr>
        <w:ind w:left="3" w:right="180"/>
        <w:spacing w:after="0" w:line="262" w:lineRule="auto"/>
        <w:rPr>
          <w:sz w:val="20"/>
          <w:szCs w:val="20"/>
          <w:color w:val="auto"/>
        </w:rPr>
      </w:pPr>
      <w:r>
        <w:rPr>
          <w:rFonts w:ascii="Arial" w:cs="Arial" w:eastAsia="Arial" w:hAnsi="Arial"/>
          <w:sz w:val="15"/>
          <w:szCs w:val="15"/>
          <w:color w:val="auto"/>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spacing w:after="0" w:line="290" w:lineRule="exact"/>
        <w:rPr>
          <w:sz w:val="20"/>
          <w:szCs w:val="20"/>
          <w:color w:val="auto"/>
        </w:rPr>
      </w:pPr>
    </w:p>
    <w:p>
      <w:pPr>
        <w:ind w:left="3"/>
        <w:spacing w:after="0" w:line="262" w:lineRule="auto"/>
        <w:rPr>
          <w:sz w:val="20"/>
          <w:szCs w:val="20"/>
          <w:color w:val="auto"/>
        </w:rPr>
      </w:pPr>
      <w:r>
        <w:rPr>
          <w:rFonts w:ascii="Arial" w:cs="Arial" w:eastAsia="Arial" w:hAnsi="Arial"/>
          <w:sz w:val="14"/>
          <w:szCs w:val="14"/>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-668655</wp:posOffset>
            </wp:positionV>
            <wp:extent cx="71462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sectPr>
      <w:pgSz w:w="11900" w:h="16838" w:orient="portrait"/>
      <w:cols w:equalWidth="0" w:num="1">
        <w:col w:w="11243"/>
      </w:cols>
      <w:pgMar w:left="317" w:top="4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3" Type="http://schemas.openxmlformats.org/officeDocument/2006/relationships/hyperlink" Target="http://www.sec.gov/Archives/edgar/data/19617/000121390026114359/ea0310325-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2026-11-02T09:57:18Z</dcterms:created>
  <dcterms:modified xsi:type="dcterms:W3CDTF">2026-11-02T09:57:18Z</dcterms:modified>
</cp:coreProperties>
</file>