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September 25, 2026  Final Review Date:   September 25, 2029  Maturity Date:   September 28, 2029  Autocall Review Dates:   Quarterly  Interest Review Dates:   Monthly  Contingent Interest Rate:   At least 7.40%* per annum, paid monthly at a rate of at least 0.61667%*, if applicable  Interest Barrier/Trigger Value :   With respect to each Underlying, an amount that represents 70.00% of its Initial Value  CUSIP:   46661MW34  Preliminary Pricing Supplement:   http://sp.jpmorgan.com/document/cusip/46661MW34/doctype/Product_Termsheet/document.pdf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7.40% per annum Contingent Interest Rate)  60.00%   $1,006.1667  40.00%   $1,006.1667  20.00%   $1,006.1667  5.00%   $1,006.1667  0.00%   $1,006.1667  -5.00%   $1,006.1667  -20.00%   $1,006.1667  -30.00%   $1,006.1667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$6.1667 (equivalent to a Contingent Interest Rate of at least 7.40% per annum, payable at a rate of at least 0.61667%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8138</Characters>
  <CharactersWithSpaces>9885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