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5637-01_fwp.htm"/>
      <w:bookmarkStart w:id="1" w:name="ksea0305637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15,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2.5-Year SX5E/SPX/RTY Contingent Income Callable Securities</w:t>
      </w:r>
    </w:p>
    <w:p>
      <w:pPr>
        <w:pStyle w:val="TextBody"/>
        <w:bidi w:val="0"/>
        <w:spacing w:before="0" w:after="0"/>
        <w:ind w:left="288"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22820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22820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42"/>
                              <w:gridCol w:w="8963"/>
                            </w:tblGrid>
                            <w:tr>
                              <w:trPr/>
                              <w:tc>
                                <w:tcPr>
                                  <w:tcW w:w="1242"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963"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Financial Company LLC (“JPMorgan Financial”)</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963"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&amp; Co.</w:t>
                                  </w:r>
                                </w:p>
                              </w:tc>
                            </w:tr>
                            <w:tr>
                              <w:trPr/>
                              <w:tc>
                                <w:tcPr>
                                  <w:tcW w:w="124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indices: </w:t>
                                  </w:r>
                                </w:p>
                              </w:tc>
                              <w:tc>
                                <w:tcPr>
                                  <w:tcW w:w="89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EURO STOXX 50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SX5E Index) (the “SX5E Index”), S&amp;P 500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SPX Index) (the “SPX Index”) and </w:t>
                                  </w:r>
                                  <w:r>
                                    <w:rPr>
                                      <w:rFonts w:ascii="Arial;Helvetica;Sans-Serif" w:hAnsi="Arial;Helvetica;Sans-Serif"/>
                                      <w:b w:val="false"/>
                                      <w:i w:val="false"/>
                                      <w:caps w:val="false"/>
                                      <w:smallCaps w:val="false"/>
                                      <w:sz w:val="15"/>
                                      <w:shd w:fill="FFFFFF" w:val="clear"/>
                                    </w:rPr>
                                    <w:t>Russell 2000</w:t>
                                  </w:r>
                                  <w:r>
                                    <w:rPr>
                                      <w:rFonts w:ascii="Arial;Helvetica;Sans-Serif" w:hAnsi="Arial;Helvetica;Sans-Serif"/>
                                      <w:b w:val="false"/>
                                      <w:i w:val="false"/>
                                      <w:caps w:val="false"/>
                                      <w:smallCaps w:val="false"/>
                                      <w:position w:val="5"/>
                                      <w:sz w:val="12"/>
                                      <w:sz w:val="15"/>
                                      <w:shd w:fill="FFFFFF" w:val="clear"/>
                                    </w:rPr>
                                    <w:t>®</w:t>
                                  </w:r>
                                  <w:r>
                                    <w:rPr>
                                      <w:rFonts w:ascii="Arial;Helvetica;Sans-Serif" w:hAnsi="Arial;Helvetica;Sans-Serif"/>
                                      <w:b w:val="false"/>
                                      <w:i w:val="false"/>
                                      <w:caps w:val="false"/>
                                      <w:smallCaps w:val="false"/>
                                      <w:sz w:val="15"/>
                                      <w:shd w:fill="FFFFFF" w:val="clear"/>
                                    </w:rPr>
                                    <w:t xml:space="preserve"> Index (Bloomberg ticker: RTY Index)</w:t>
                                  </w:r>
                                  <w:r>
                                    <w:rPr>
                                      <w:rFonts w:ascii="Arial;Helvetica;Sans-Serif" w:hAnsi="Arial;Helvetica;Sans-Serif"/>
                                      <w:b w:val="false"/>
                                      <w:i w:val="false"/>
                                      <w:caps w:val="false"/>
                                      <w:smallCaps w:val="false"/>
                                      <w:sz w:val="15"/>
                                    </w:rPr>
                                    <w:t xml:space="preserve"> (the “RTY Index”) (each an “underlying index”)</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Optional early redemption: </w:t>
                                  </w:r>
                                </w:p>
                              </w:tc>
                              <w:tc>
                                <w:tcPr>
                                  <w:tcW w:w="8963"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We, </w:t>
                                  </w:r>
                                  <w:r>
                                    <w:rPr>
                                      <w:rFonts w:ascii="Arial;Helvetica;Sans-Serif" w:hAnsi="Arial;Helvetica;Sans-Serif"/>
                                      <w:b/>
                                      <w:i w:val="false"/>
                                      <w:caps w:val="false"/>
                                      <w:smallCaps w:val="false"/>
                                      <w:sz w:val="15"/>
                                    </w:rPr>
                                    <w:t>at our discretion</w:t>
                                  </w:r>
                                  <w:r>
                                    <w:rPr>
                                      <w:rFonts w:ascii="Arial;Helvetica;Sans-Serif" w:hAnsi="Arial;Helvetica;Sans-Serif"/>
                                      <w:b w:val="false"/>
                                      <w:i w:val="false"/>
                                      <w:caps w:val="false"/>
                                      <w:smallCaps w:val="false"/>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4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Early redemption payment: </w:t>
                                  </w:r>
                                </w:p>
                              </w:tc>
                              <w:tc>
                                <w:tcPr>
                                  <w:tcW w:w="89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(ii) any contingent quarterly payment otherwise due with respect to the related quarterly monitoring period.</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963"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$25.375 (at least 2.5375% of the stated principal amount) per security on the related contingent payment date. The actual contingent quarterly payment will be provided in the pricing supplement.</w:t>
                                  </w:r>
                                </w:p>
                                <w:p>
                                  <w:pPr>
                                    <w:pStyle w:val="TableContents"/>
                                    <w:bidi w:val="0"/>
                                    <w:spacing w:before="20" w:after="4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1"/>
                              <w:gridCol w:w="2792"/>
                              <w:gridCol w:w="6452"/>
                            </w:tblGrid>
                            <w:tr>
                              <w:trPr/>
                              <w:tc>
                                <w:tcPr>
                                  <w:tcW w:w="961"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1"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less than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787"/>
                              <w:gridCol w:w="8418"/>
                            </w:tblGrid>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70% of its initial index value</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pricing date</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final determination date</w:t>
                                  </w:r>
                                </w:p>
                              </w:tc>
                            </w:tr>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underlying index with the worst index performance factor</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With respect to each underlying index, its final index value </w:t>
                                  </w:r>
                                  <w:r>
                                    <w:rPr>
                                      <w:rFonts w:ascii="Arial;Helvetica;Sans-Serif" w:hAnsi="Arial;Helvetica;Sans-Serif"/>
                                      <w:b w:val="false"/>
                                      <w:i/>
                                      <w:caps w:val="false"/>
                                      <w:smallCaps w:val="false"/>
                                      <w:sz w:val="15"/>
                                    </w:rPr>
                                    <w:t xml:space="preserve">divided by </w:t>
                                  </w:r>
                                  <w:r>
                                    <w:rPr>
                                      <w:rFonts w:ascii="Arial;Helvetica;Sans-Serif" w:hAnsi="Arial;Helvetica;Sans-Serif"/>
                                      <w:b w:val="false"/>
                                      <w:i w:val="false"/>
                                      <w:caps w:val="false"/>
                                      <w:smallCaps w:val="false"/>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9.1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42"/>
                        <w:gridCol w:w="8963"/>
                      </w:tblGrid>
                      <w:tr>
                        <w:trPr/>
                        <w:tc>
                          <w:tcPr>
                            <w:tcW w:w="1242"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963"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Financial Company LLC (“JPMorgan Financial”)</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963"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&amp; Co.</w:t>
                            </w:r>
                          </w:p>
                        </w:tc>
                      </w:tr>
                      <w:tr>
                        <w:trPr/>
                        <w:tc>
                          <w:tcPr>
                            <w:tcW w:w="124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indices: </w:t>
                            </w:r>
                          </w:p>
                        </w:tc>
                        <w:tc>
                          <w:tcPr>
                            <w:tcW w:w="89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EURO STOXX 50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SX5E Index) (the “SX5E Index”), S&amp;P 500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SPX Index) (the “SPX Index”) and </w:t>
                            </w:r>
                            <w:r>
                              <w:rPr>
                                <w:rFonts w:ascii="Arial;Helvetica;Sans-Serif" w:hAnsi="Arial;Helvetica;Sans-Serif"/>
                                <w:b w:val="false"/>
                                <w:i w:val="false"/>
                                <w:caps w:val="false"/>
                                <w:smallCaps w:val="false"/>
                                <w:sz w:val="15"/>
                                <w:shd w:fill="FFFFFF" w:val="clear"/>
                              </w:rPr>
                              <w:t>Russell 2000</w:t>
                            </w:r>
                            <w:r>
                              <w:rPr>
                                <w:rFonts w:ascii="Arial;Helvetica;Sans-Serif" w:hAnsi="Arial;Helvetica;Sans-Serif"/>
                                <w:b w:val="false"/>
                                <w:i w:val="false"/>
                                <w:caps w:val="false"/>
                                <w:smallCaps w:val="false"/>
                                <w:position w:val="5"/>
                                <w:sz w:val="12"/>
                                <w:sz w:val="15"/>
                                <w:shd w:fill="FFFFFF" w:val="clear"/>
                              </w:rPr>
                              <w:t>®</w:t>
                            </w:r>
                            <w:r>
                              <w:rPr>
                                <w:rFonts w:ascii="Arial;Helvetica;Sans-Serif" w:hAnsi="Arial;Helvetica;Sans-Serif"/>
                                <w:b w:val="false"/>
                                <w:i w:val="false"/>
                                <w:caps w:val="false"/>
                                <w:smallCaps w:val="false"/>
                                <w:sz w:val="15"/>
                                <w:shd w:fill="FFFFFF" w:val="clear"/>
                              </w:rPr>
                              <w:t xml:space="preserve"> Index (Bloomberg ticker: RTY Index)</w:t>
                            </w:r>
                            <w:r>
                              <w:rPr>
                                <w:rFonts w:ascii="Arial;Helvetica;Sans-Serif" w:hAnsi="Arial;Helvetica;Sans-Serif"/>
                                <w:b w:val="false"/>
                                <w:i w:val="false"/>
                                <w:caps w:val="false"/>
                                <w:smallCaps w:val="false"/>
                                <w:sz w:val="15"/>
                              </w:rPr>
                              <w:t xml:space="preserve"> (the “RTY Index”) (each an “underlying index”)</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Optional early redemption: </w:t>
                            </w:r>
                          </w:p>
                        </w:tc>
                        <w:tc>
                          <w:tcPr>
                            <w:tcW w:w="8963"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We, </w:t>
                            </w:r>
                            <w:r>
                              <w:rPr>
                                <w:rFonts w:ascii="Arial;Helvetica;Sans-Serif" w:hAnsi="Arial;Helvetica;Sans-Serif"/>
                                <w:b/>
                                <w:i w:val="false"/>
                                <w:caps w:val="false"/>
                                <w:smallCaps w:val="false"/>
                                <w:sz w:val="15"/>
                              </w:rPr>
                              <w:t>at our discretion</w:t>
                            </w:r>
                            <w:r>
                              <w:rPr>
                                <w:rFonts w:ascii="Arial;Helvetica;Sans-Serif" w:hAnsi="Arial;Helvetica;Sans-Serif"/>
                                <w:b w:val="false"/>
                                <w:i w:val="false"/>
                                <w:caps w:val="false"/>
                                <w:smallCaps w:val="false"/>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4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Early redemption payment: </w:t>
                            </w:r>
                          </w:p>
                        </w:tc>
                        <w:tc>
                          <w:tcPr>
                            <w:tcW w:w="89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(ii) any contingent quarterly payment otherwise due with respect to the related quarterly monitoring period.</w:t>
                            </w:r>
                          </w:p>
                        </w:tc>
                      </w:tr>
                      <w:tr>
                        <w:trPr/>
                        <w:tc>
                          <w:tcPr>
                            <w:tcW w:w="124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963"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$25.375 (at least 2.5375% of the stated principal amount) per security on the related contingent payment date. The actual contingent quarterly payment will be provided in the pricing supplement.</w:t>
                            </w:r>
                          </w:p>
                          <w:p>
                            <w:pPr>
                              <w:pStyle w:val="TableContents"/>
                              <w:bidi w:val="0"/>
                              <w:spacing w:before="20" w:after="4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1"/>
                        <w:gridCol w:w="2792"/>
                        <w:gridCol w:w="6452"/>
                      </w:tblGrid>
                      <w:tr>
                        <w:trPr/>
                        <w:tc>
                          <w:tcPr>
                            <w:tcW w:w="961"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1"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less than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787"/>
                        <w:gridCol w:w="8418"/>
                      </w:tblGrid>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70% of its initial index value</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pricing date</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final determination date</w:t>
                            </w:r>
                          </w:p>
                        </w:tc>
                      </w:tr>
                      <w:tr>
                        <w:trPr/>
                        <w:tc>
                          <w:tcPr>
                            <w:tcW w:w="178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418" w:type="dxa"/>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underlying index with the worst index performance factor</w:t>
                            </w:r>
                          </w:p>
                        </w:tc>
                      </w:tr>
                      <w:tr>
                        <w:trPr/>
                        <w:tc>
                          <w:tcPr>
                            <w:tcW w:w="178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41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With respect to each underlying index, its final index value </w:t>
                            </w:r>
                            <w:r>
                              <w:rPr>
                                <w:rFonts w:ascii="Arial;Helvetica;Sans-Serif" w:hAnsi="Arial;Helvetica;Sans-Serif"/>
                                <w:b w:val="false"/>
                                <w:i/>
                                <w:caps w:val="false"/>
                                <w:smallCaps w:val="false"/>
                                <w:sz w:val="15"/>
                              </w:rPr>
                              <w:t xml:space="preserve">divided by </w:t>
                            </w:r>
                            <w:r>
                              <w:rPr>
                                <w:rFonts w:ascii="Arial;Helvetica;Sans-Serif" w:hAnsi="Arial;Helvetica;Sans-Serif"/>
                                <w:b w:val="false"/>
                                <w:i w:val="false"/>
                                <w:caps w:val="false"/>
                                <w:smallCaps w:val="false"/>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332"/>
                              <w:gridCol w:w="7873"/>
                            </w:tblGrid>
                            <w:tr>
                              <w:trPr/>
                              <w:tc>
                                <w:tcPr>
                                  <w:tcW w:w="233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873" w:type="dxa"/>
                                  <w:tcBorders/>
                                  <w:shd w:fill="DCEBF4" w:val="clear"/>
                                  <w:vAlign w:val="center"/>
                                </w:tcPr>
                                <w:p>
                                  <w:pPr>
                                    <w:pStyle w:val="TableContents"/>
                                    <w:bidi w:val="0"/>
                                    <w:spacing w:before="0" w:after="283"/>
                                    <w:jc w:val="left"/>
                                    <w:rPr>
                                      <w:sz w:val="15"/>
                                    </w:rPr>
                                  </w:pPr>
                                  <w:r>
                                    <w:rPr>
                                      <w:sz w:val="15"/>
                                    </w:rPr>
                                    <w:t>$1,000 per security</w:t>
                                  </w:r>
                                </w:p>
                              </w:tc>
                            </w:tr>
                            <w:tr>
                              <w:trPr/>
                              <w:tc>
                                <w:tcPr>
                                  <w:tcW w:w="233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873" w:type="dxa"/>
                                  <w:tcBorders/>
                                  <w:vAlign w:val="center"/>
                                </w:tcPr>
                                <w:p>
                                  <w:pPr>
                                    <w:pStyle w:val="TableContents"/>
                                    <w:bidi w:val="0"/>
                                    <w:spacing w:before="0" w:after="283"/>
                                    <w:jc w:val="left"/>
                                    <w:rPr>
                                      <w:sz w:val="15"/>
                                    </w:rPr>
                                  </w:pPr>
                                  <w:r>
                                    <w:rPr>
                                      <w:sz w:val="15"/>
                                    </w:rPr>
                                    <w:t>$1,000 per security</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873" w:type="dxa"/>
                                  <w:tcBorders/>
                                  <w:shd w:fill="DCEBF4" w:val="clear"/>
                                  <w:vAlign w:val="center"/>
                                </w:tcPr>
                                <w:p>
                                  <w:pPr>
                                    <w:pStyle w:val="TableContents"/>
                                    <w:bidi w:val="0"/>
                                    <w:spacing w:before="0" w:after="283"/>
                                    <w:jc w:val="left"/>
                                    <w:rPr>
                                      <w:sz w:val="15"/>
                                    </w:rPr>
                                  </w:pPr>
                                  <w:r>
                                    <w:rPr>
                                      <w:sz w:val="15"/>
                                    </w:rPr>
                                    <w:t>Expected to be September 18, 2026</w:t>
                                  </w:r>
                                </w:p>
                              </w:tc>
                            </w:tr>
                            <w:tr>
                              <w:trPr/>
                              <w:tc>
                                <w:tcPr>
                                  <w:tcW w:w="233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873" w:type="dxa"/>
                                  <w:tcBorders/>
                                  <w:vAlign w:val="center"/>
                                </w:tcPr>
                                <w:p>
                                  <w:pPr>
                                    <w:pStyle w:val="TableContents"/>
                                    <w:bidi w:val="0"/>
                                    <w:spacing w:before="0" w:after="283"/>
                                    <w:jc w:val="left"/>
                                    <w:rPr>
                                      <w:sz w:val="15"/>
                                    </w:rPr>
                                  </w:pPr>
                                  <w:r>
                                    <w:rPr>
                                      <w:sz w:val="15"/>
                                    </w:rPr>
                                    <w:t>3 business days after the pricing date</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73" w:type="dxa"/>
                                  <w:tcBorders/>
                                  <w:shd w:fill="DCEBF4" w:val="clear"/>
                                  <w:vAlign w:val="center"/>
                                </w:tcPr>
                                <w:p>
                                  <w:pPr>
                                    <w:pStyle w:val="TableContents"/>
                                    <w:bidi w:val="0"/>
                                    <w:spacing w:before="0" w:after="283"/>
                                    <w:jc w:val="left"/>
                                    <w:rPr>
                                      <w:sz w:val="15"/>
                                    </w:rPr>
                                  </w:pPr>
                                  <w:r>
                                    <w:rPr>
                                      <w:sz w:val="15"/>
                                    </w:rPr>
                                    <w:t>December 18, 2026, March 18, 2027, June 21, 2027, September 20, 2027, December 20, 2027, March 20, 2028, June 20, 2028, September 18, 2028, December 18, 2028 and March 19, 2029</w:t>
                                  </w:r>
                                </w:p>
                              </w:tc>
                            </w:tr>
                            <w:tr>
                              <w:trPr/>
                              <w:tc>
                                <w:tcPr>
                                  <w:tcW w:w="233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73" w:type="dxa"/>
                                  <w:tcBorders/>
                                  <w:vAlign w:val="center"/>
                                </w:tcPr>
                                <w:p>
                                  <w:pPr>
                                    <w:pStyle w:val="TableContents"/>
                                    <w:bidi w:val="0"/>
                                    <w:spacing w:before="0" w:after="283"/>
                                    <w:jc w:val="left"/>
                                    <w:rPr>
                                      <w:sz w:val="15"/>
                                    </w:rPr>
                                  </w:pPr>
                                  <w:r>
                                    <w:rPr>
                                      <w:sz w:val="15"/>
                                    </w:rPr>
                                    <w:t>December 23, 2026, March 23, 2027, June 24, 2027, September 23, 2027, December 23, 2027, March 23, 2028, June 23, 2028, September 21, 2028, December 21, 2028 and the maturity date</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873" w:type="dxa"/>
                                  <w:tcBorders/>
                                  <w:shd w:fill="DCEBF4" w:val="clear"/>
                                  <w:vAlign w:val="center"/>
                                </w:tcPr>
                                <w:p>
                                  <w:pPr>
                                    <w:pStyle w:val="TableContents"/>
                                    <w:bidi w:val="0"/>
                                    <w:spacing w:before="0" w:after="283"/>
                                    <w:jc w:val="left"/>
                                    <w:rPr>
                                      <w:sz w:val="15"/>
                                    </w:rPr>
                                  </w:pPr>
                                  <w:r>
                                    <w:rPr>
                                      <w:sz w:val="15"/>
                                    </w:rPr>
                                    <w:t>March 22, 2029</w:t>
                                  </w:r>
                                </w:p>
                              </w:tc>
                            </w:tr>
                            <w:tr>
                              <w:trPr/>
                              <w:tc>
                                <w:tcPr>
                                  <w:tcW w:w="2332" w:type="dxa"/>
                                  <w:tcBorders/>
                                  <w:vAlign w:val="center"/>
                                </w:tcPr>
                                <w:p>
                                  <w:pPr>
                                    <w:pStyle w:val="TableContents"/>
                                    <w:bidi w:val="0"/>
                                    <w:spacing w:before="0" w:after="283"/>
                                    <w:jc w:val="left"/>
                                    <w:rPr>
                                      <w:b/>
                                      <w:color w:val="296DC1"/>
                                      <w:sz w:val="16"/>
                                    </w:rPr>
                                  </w:pPr>
                                  <w:r>
                                    <w:rPr>
                                      <w:b/>
                                      <w:color w:val="296DC1"/>
                                      <w:sz w:val="16"/>
                                    </w:rPr>
                                    <w:t>CUSIP / ISIN:</w:t>
                                  </w:r>
                                </w:p>
                              </w:tc>
                              <w:tc>
                                <w:tcPr>
                                  <w:tcW w:w="7873" w:type="dxa"/>
                                  <w:tcBorders/>
                                  <w:vAlign w:val="center"/>
                                </w:tcPr>
                                <w:p>
                                  <w:pPr>
                                    <w:pStyle w:val="TableContents"/>
                                    <w:bidi w:val="0"/>
                                    <w:spacing w:before="0" w:after="283"/>
                                    <w:jc w:val="left"/>
                                    <w:rPr>
                                      <w:sz w:val="15"/>
                                    </w:rPr>
                                  </w:pPr>
                                  <w:r>
                                    <w:rPr>
                                      <w:sz w:val="15"/>
                                    </w:rPr>
                                    <w:t>46661PVE4 / US46661PVE41</w:t>
                                  </w:r>
                                </w:p>
                              </w:tc>
                            </w:tr>
                            <w:tr>
                              <w:trPr/>
                              <w:tc>
                                <w:tcPr>
                                  <w:tcW w:w="2332"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873" w:type="dxa"/>
                                  <w:tcBorders/>
                                  <w:shd w:fill="DCEBF4" w:val="clear"/>
                                  <w:vAlign w:val="center"/>
                                </w:tcPr>
                                <w:p>
                                  <w:pPr>
                                    <w:pStyle w:val="TableContents"/>
                                    <w:bidi w:val="0"/>
                                    <w:spacing w:before="0" w:after="283"/>
                                    <w:jc w:val="left"/>
                                    <w:rPr/>
                                  </w:pPr>
                                  <w:hyperlink r:id="rId2">
                                    <w:r>
                                      <w:rPr>
                                        <w:rStyle w:val="InternetLink"/>
                                        <w:sz w:val="15"/>
                                      </w:rPr>
                                      <w:t>http://www.sec.gov/Archives/edgar/data/19617/000121390026100163/</w:t>
                                      <w:br/>
                                      <w:t>ea0305616-01_424b2.htm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332"/>
                        <w:gridCol w:w="7873"/>
                      </w:tblGrid>
                      <w:tr>
                        <w:trPr/>
                        <w:tc>
                          <w:tcPr>
                            <w:tcW w:w="233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873" w:type="dxa"/>
                            <w:tcBorders/>
                            <w:shd w:fill="DCEBF4" w:val="clear"/>
                            <w:vAlign w:val="center"/>
                          </w:tcPr>
                          <w:p>
                            <w:pPr>
                              <w:pStyle w:val="TableContents"/>
                              <w:bidi w:val="0"/>
                              <w:spacing w:before="0" w:after="283"/>
                              <w:jc w:val="left"/>
                              <w:rPr>
                                <w:sz w:val="15"/>
                              </w:rPr>
                            </w:pPr>
                            <w:r>
                              <w:rPr>
                                <w:sz w:val="15"/>
                              </w:rPr>
                              <w:t>$1,000 per security</w:t>
                            </w:r>
                          </w:p>
                        </w:tc>
                      </w:tr>
                      <w:tr>
                        <w:trPr/>
                        <w:tc>
                          <w:tcPr>
                            <w:tcW w:w="233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873" w:type="dxa"/>
                            <w:tcBorders/>
                            <w:vAlign w:val="center"/>
                          </w:tcPr>
                          <w:p>
                            <w:pPr>
                              <w:pStyle w:val="TableContents"/>
                              <w:bidi w:val="0"/>
                              <w:spacing w:before="0" w:after="283"/>
                              <w:jc w:val="left"/>
                              <w:rPr>
                                <w:sz w:val="15"/>
                              </w:rPr>
                            </w:pPr>
                            <w:r>
                              <w:rPr>
                                <w:sz w:val="15"/>
                              </w:rPr>
                              <w:t>$1,000 per security</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873" w:type="dxa"/>
                            <w:tcBorders/>
                            <w:shd w:fill="DCEBF4" w:val="clear"/>
                            <w:vAlign w:val="center"/>
                          </w:tcPr>
                          <w:p>
                            <w:pPr>
                              <w:pStyle w:val="TableContents"/>
                              <w:bidi w:val="0"/>
                              <w:spacing w:before="0" w:after="283"/>
                              <w:jc w:val="left"/>
                              <w:rPr>
                                <w:sz w:val="15"/>
                              </w:rPr>
                            </w:pPr>
                            <w:r>
                              <w:rPr>
                                <w:sz w:val="15"/>
                              </w:rPr>
                              <w:t>Expected to be September 18, 2026</w:t>
                            </w:r>
                          </w:p>
                        </w:tc>
                      </w:tr>
                      <w:tr>
                        <w:trPr/>
                        <w:tc>
                          <w:tcPr>
                            <w:tcW w:w="233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873" w:type="dxa"/>
                            <w:tcBorders/>
                            <w:vAlign w:val="center"/>
                          </w:tcPr>
                          <w:p>
                            <w:pPr>
                              <w:pStyle w:val="TableContents"/>
                              <w:bidi w:val="0"/>
                              <w:spacing w:before="0" w:after="283"/>
                              <w:jc w:val="left"/>
                              <w:rPr>
                                <w:sz w:val="15"/>
                              </w:rPr>
                            </w:pPr>
                            <w:r>
                              <w:rPr>
                                <w:sz w:val="15"/>
                              </w:rPr>
                              <w:t>3 business days after the pricing date</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73" w:type="dxa"/>
                            <w:tcBorders/>
                            <w:shd w:fill="DCEBF4" w:val="clear"/>
                            <w:vAlign w:val="center"/>
                          </w:tcPr>
                          <w:p>
                            <w:pPr>
                              <w:pStyle w:val="TableContents"/>
                              <w:bidi w:val="0"/>
                              <w:spacing w:before="0" w:after="283"/>
                              <w:jc w:val="left"/>
                              <w:rPr>
                                <w:sz w:val="15"/>
                              </w:rPr>
                            </w:pPr>
                            <w:r>
                              <w:rPr>
                                <w:sz w:val="15"/>
                              </w:rPr>
                              <w:t>December 18, 2026, March 18, 2027, June 21, 2027, September 20, 2027, December 20, 2027, March 20, 2028, June 20, 2028, September 18, 2028, December 18, 2028 and March 19, 2029</w:t>
                            </w:r>
                          </w:p>
                        </w:tc>
                      </w:tr>
                      <w:tr>
                        <w:trPr/>
                        <w:tc>
                          <w:tcPr>
                            <w:tcW w:w="233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73" w:type="dxa"/>
                            <w:tcBorders/>
                            <w:vAlign w:val="center"/>
                          </w:tcPr>
                          <w:p>
                            <w:pPr>
                              <w:pStyle w:val="TableContents"/>
                              <w:bidi w:val="0"/>
                              <w:spacing w:before="0" w:after="283"/>
                              <w:jc w:val="left"/>
                              <w:rPr>
                                <w:sz w:val="15"/>
                              </w:rPr>
                            </w:pPr>
                            <w:r>
                              <w:rPr>
                                <w:sz w:val="15"/>
                              </w:rPr>
                              <w:t>December 23, 2026, March 23, 2027, June 24, 2027, September 23, 2027, December 23, 2027, March 23, 2028, June 23, 2028, September 21, 2028, December 21, 2028 and the maturity date</w:t>
                            </w:r>
                          </w:p>
                        </w:tc>
                      </w:tr>
                      <w:tr>
                        <w:trPr/>
                        <w:tc>
                          <w:tcPr>
                            <w:tcW w:w="233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873" w:type="dxa"/>
                            <w:tcBorders/>
                            <w:shd w:fill="DCEBF4" w:val="clear"/>
                            <w:vAlign w:val="center"/>
                          </w:tcPr>
                          <w:p>
                            <w:pPr>
                              <w:pStyle w:val="TableContents"/>
                              <w:bidi w:val="0"/>
                              <w:spacing w:before="0" w:after="283"/>
                              <w:jc w:val="left"/>
                              <w:rPr>
                                <w:sz w:val="15"/>
                              </w:rPr>
                            </w:pPr>
                            <w:r>
                              <w:rPr>
                                <w:sz w:val="15"/>
                              </w:rPr>
                              <w:t>March 22, 2029</w:t>
                            </w:r>
                          </w:p>
                        </w:tc>
                      </w:tr>
                      <w:tr>
                        <w:trPr/>
                        <w:tc>
                          <w:tcPr>
                            <w:tcW w:w="2332" w:type="dxa"/>
                            <w:tcBorders/>
                            <w:vAlign w:val="center"/>
                          </w:tcPr>
                          <w:p>
                            <w:pPr>
                              <w:pStyle w:val="TableContents"/>
                              <w:bidi w:val="0"/>
                              <w:spacing w:before="0" w:after="283"/>
                              <w:jc w:val="left"/>
                              <w:rPr>
                                <w:b/>
                                <w:color w:val="296DC1"/>
                                <w:sz w:val="16"/>
                              </w:rPr>
                            </w:pPr>
                            <w:r>
                              <w:rPr>
                                <w:b/>
                                <w:color w:val="296DC1"/>
                                <w:sz w:val="16"/>
                              </w:rPr>
                              <w:t>CUSIP / ISIN:</w:t>
                            </w:r>
                          </w:p>
                        </w:tc>
                        <w:tc>
                          <w:tcPr>
                            <w:tcW w:w="7873" w:type="dxa"/>
                            <w:tcBorders/>
                            <w:vAlign w:val="center"/>
                          </w:tcPr>
                          <w:p>
                            <w:pPr>
                              <w:pStyle w:val="TableContents"/>
                              <w:bidi w:val="0"/>
                              <w:spacing w:before="0" w:after="283"/>
                              <w:jc w:val="left"/>
                              <w:rPr>
                                <w:sz w:val="15"/>
                              </w:rPr>
                            </w:pPr>
                            <w:r>
                              <w:rPr>
                                <w:sz w:val="15"/>
                              </w:rPr>
                              <w:t>46661PVE4 / US46661PVE41</w:t>
                            </w:r>
                          </w:p>
                        </w:tc>
                      </w:tr>
                      <w:tr>
                        <w:trPr/>
                        <w:tc>
                          <w:tcPr>
                            <w:tcW w:w="2332"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873" w:type="dxa"/>
                            <w:tcBorders/>
                            <w:shd w:fill="DCEBF4" w:val="clear"/>
                            <w:vAlign w:val="center"/>
                          </w:tcPr>
                          <w:p>
                            <w:pPr>
                              <w:pStyle w:val="TableContents"/>
                              <w:bidi w:val="0"/>
                              <w:spacing w:before="0" w:after="283"/>
                              <w:jc w:val="left"/>
                              <w:rPr/>
                            </w:pPr>
                            <w:hyperlink r:id="rId3">
                              <w:r>
                                <w:rPr>
                                  <w:rStyle w:val="InternetLink"/>
                                  <w:sz w:val="15"/>
                                </w:rPr>
                                <w:t>http://www.sec.gov/Archives/edgar/data/19617/000121390026100163/</w:t>
                                <w:br/>
                                <w:t>ea0305616-01_424b2.htm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-30.01%</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$699.90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282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$200.00</w:t>
                            </w:r>
                          </w:p>
                        </w:tc>
                      </w:tr>
                      <w:tr>
                        <w:trPr/>
                        <w:tc>
                          <w:tcPr>
                            <w:tcW w:w="32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28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2.5-Year SX5E/SPX/RTY Contingent Income Callable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SX5E Index.</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0"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SX5E Index.</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shd w:fill="FFFFFF" w:val="clear"/>
              </w:rPr>
            </w:pPr>
            <w:r>
              <w:rPr>
                <w:sz w:val="18"/>
                <w:shd w:fill="FFFFFF" w:val="clear"/>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2" w:type="dxa"/>
            <w:tcBorders/>
            <w:vAlign w:val="center"/>
          </w:tcPr>
          <w:p>
            <w:pPr>
              <w:pStyle w:val="TableContents"/>
              <w:bidi w:val="0"/>
              <w:spacing w:before="0" w:after="283"/>
              <w:jc w:val="left"/>
              <w:rPr>
                <w:sz w:val="18"/>
              </w:rPr>
            </w:pPr>
            <w:r>
              <w:rPr>
                <w:sz w:val="18"/>
              </w:rPr>
              <w:t xml:space="preserve">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0163/ea0305616-01_424b2.htm" TargetMode="External"/><Relationship Id="rId3" Type="http://schemas.openxmlformats.org/officeDocument/2006/relationships/hyperlink" Target="http://www.sec.gov/Archives/edgar/data/19617/000121390026100163/ea0305616-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1816</Words>
  <Characters>10002</Characters>
  <CharactersWithSpaces>11686</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