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(Rule 14a-101)</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Proxy Statement Pursuant to Section 14(a) of the</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Securities Exchange Act of 1934 (Amendment No.__ )</w:t>
      </w:r>
    </w:p>
    <w:p>
      <w:pPr>
        <w:spacing w:after="0" w:line="132" w:lineRule="exact"/>
        <w:rPr>
          <w:sz w:val="24"/>
          <w:szCs w:val="24"/>
          <w:color w:val="auto"/>
        </w:rPr>
      </w:pPr>
    </w:p>
    <w:p>
      <w:pPr>
        <w:ind w:left="20"/>
        <w:spacing w:after="0" w:line="207" w:lineRule="exact"/>
        <w:tabs>
          <w:tab w:leader="none" w:pos="5860" w:val="left"/>
          <w:tab w:leader="none" w:pos="61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900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57" w:lineRule="exact"/>
        <w:rPr>
          <w:sz w:val="24"/>
          <w:szCs w:val="24"/>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6" w:lineRule="exact"/>
        <w:rPr>
          <w:rFonts w:ascii="Arial" w:cs="Arial" w:eastAsia="Arial" w:hAnsi="Arial"/>
          <w:sz w:val="18"/>
          <w:szCs w:val="18"/>
          <w:color w:val="auto"/>
        </w:rPr>
      </w:pPr>
    </w:p>
    <w:p>
      <w:pPr>
        <w:ind w:left="20" w:right="4200" w:firstLine="6"/>
        <w:spacing w:after="0" w:line="260" w:lineRule="exact"/>
        <w:tabs>
          <w:tab w:leader="none" w:pos="57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Arial" w:cs="Arial" w:eastAsia="Arial" w:hAnsi="Arial"/>
          <w:sz w:val="18"/>
          <w:szCs w:val="18"/>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6" w:lineRule="exact"/>
        <w:rPr>
          <w:rFonts w:ascii="Arial" w:cs="Arial" w:eastAsia="Arial" w:hAnsi="Arial"/>
          <w:sz w:val="18"/>
          <w:szCs w:val="18"/>
          <w:color w:val="auto"/>
        </w:rPr>
      </w:pPr>
    </w:p>
    <w:p>
      <w:pPr>
        <w:ind w:left="580" w:hanging="554"/>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7175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2489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of Registrant as Specified In Its Charter)</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53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pacing w:after="0" w:line="57" w:lineRule="exact"/>
        <w:rPr>
          <w:sz w:val="24"/>
          <w:szCs w:val="24"/>
          <w:color w:val="auto"/>
        </w:rPr>
      </w:pPr>
    </w:p>
    <w:p>
      <w:pPr>
        <w:ind w:left="580" w:hanging="55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860" w:right="100" w:firstLine="3"/>
        <w:spacing w:after="0" w:line="261" w:lineRule="auto"/>
        <w:tabs>
          <w:tab w:leader="none" w:pos="107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5"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580" w:hanging="55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Arial" w:cs="Arial" w:eastAsia="Arial" w:hAnsi="Arial"/>
          <w:sz w:val="18"/>
          <w:szCs w:val="18"/>
          <w:color w:val="auto"/>
        </w:rPr>
      </w:pPr>
    </w:p>
    <w:p>
      <w:pPr>
        <w:ind w:left="580" w:hanging="554"/>
        <w:spacing w:after="0" w:line="291"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Arial" w:cs="Arial" w:eastAsia="Arial" w:hAnsi="Arial"/>
          <w:sz w:val="17"/>
          <w:szCs w:val="17"/>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80" w:hanging="217"/>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79" w:right="4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Arial" w:cs="Arial" w:eastAsia="Arial" w:hAnsi="Arial"/>
          <w:sz w:val="25"/>
          <w:szCs w:val="25"/>
          <w:color w:val="23344B"/>
        </w:rPr>
        <w:t>Annual Meeting of Shareholders</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25"/>
          <w:szCs w:val="25"/>
          <w:color w:val="23344B"/>
        </w:rPr>
        <w:t>Proxy Statement</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72"/>
          <w:szCs w:val="72"/>
          <w:color w:val="626172"/>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541020</wp:posOffset>
            </wp:positionV>
            <wp:extent cx="6789420" cy="2331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233172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6833235</wp:posOffset>
            </wp:positionV>
            <wp:extent cx="291465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266065"/>
                    </a:xfrm>
                    <a:prstGeom prst="rect">
                      <a:avLst/>
                    </a:prstGeom>
                    <a:noFill/>
                  </pic:spPr>
                </pic:pic>
              </a:graphicData>
            </a:graphic>
          </wp:anchor>
        </w:drawing>
      </w:r>
    </w:p>
    <w:p>
      <w:pPr>
        <w:sectPr>
          <w:pgSz w:w="11900" w:h="16838" w:orient="portrait"/>
          <w:cols w:equalWidth="0" w:num="1">
            <w:col w:w="10139"/>
          </w:cols>
          <w:pgMar w:left="320" w:top="171"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JPMorgan Chase &amp; Co.</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383 Madison Avenue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York, New York 10179-0001</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April 7, 2021</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Dear fellow shareholders: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are pleased to invite you to attend the annual meeting of</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to be held in a virtual meeting format only, via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Internet, on May 18, 2021 at 10:00 a.m. Eastern Time. Shareholders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are provided an opportunity to ask questions about topics of</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importance to the Firm’s business and affairs, to consider matters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described in the proxy statement and to receive an update on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Firm’s activities and performance.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 hope that you will attend the meeting. We encourage you 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designate the persons named as proxies on the proxy card to vote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shares even if you are planning to attend. This will ensure that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common stock is represented at the meeting.</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 the annual meeting, about proxy voting, and other information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about how to participate. Please read it carefully. We look forward to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participation.</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74930</wp:posOffset>
            </wp:positionV>
            <wp:extent cx="1714500" cy="796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James Dimon</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606425</wp:posOffset>
            </wp:positionV>
            <wp:extent cx="25717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180340"/>
                    </a:xfrm>
                    <a:prstGeom prst="rect">
                      <a:avLst/>
                    </a:prstGeom>
                    <a:noFill/>
                  </pic:spPr>
                </pic:pic>
              </a:graphicData>
            </a:graphic>
          </wp:anchor>
        </w:drawing>
      </w:r>
    </w:p>
    <w:p>
      <w:pPr>
        <w:sectPr>
          <w:pgSz w:w="11900" w:h="16838" w:orient="portrait"/>
          <w:cols w:equalWidth="0" w:num="1">
            <w:col w:w="11120"/>
          </w:cols>
          <w:pgMar w:left="320" w:top="171" w:right="4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80"/>
        <w:spacing w:after="0" w:line="262" w:lineRule="auto"/>
        <w:rPr>
          <w:sz w:val="20"/>
          <w:szCs w:val="20"/>
          <w:color w:val="auto"/>
        </w:rPr>
      </w:pPr>
      <w:r>
        <w:rPr>
          <w:rFonts w:ascii="Arial" w:cs="Arial" w:eastAsia="Arial" w:hAnsi="Arial"/>
          <w:sz w:val="43"/>
          <w:szCs w:val="43"/>
          <w:color w:val="074A75"/>
        </w:rPr>
        <w:t>A Letter from Jamie Dimon, Our Chairman and CEO, and Stephen B. Burke, Our Lead Independent Director</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ectPr>
          <w:pgSz w:w="11900" w:h="16838" w:orient="portrait"/>
          <w:cols w:equalWidth="0" w:num="1">
            <w:col w:w="11240"/>
          </w:cols>
          <w:pgMar w:left="320" w:top="171" w:right="339" w:bottom="1440" w:gutter="0" w:footer="0" w:header="0"/>
        </w:sectPr>
      </w:pPr>
    </w:p>
    <w:p>
      <w:pPr>
        <w:spacing w:after="0" w:line="11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we reflect and consider future plans, we are keenly focused on the lessons from 2020. A year into the pandemic, COVID-19 has affected many of us personally, the world is still fighting to combat the spread, and we are only beginning to address its economic fallout. Events brought into sharp focus societal gaps, including with respect to racial equity and access to health care. Yet, throughout 2020, as unprecedented events unfolded, we were there to support our clients and customers, employees, and communities. We did this by staying true to our fundamental business principles and commitment to building long-term value for our shareholders.</w:t>
      </w:r>
    </w:p>
    <w:p>
      <w:pPr>
        <w:spacing w:after="0" w:line="23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While substantial work lies ahead, we are pleased with how we have responded thus far. The Firm’s performance demonstrated the strength of our complete, global, and diversified business model. Despite the challenging environment, we generated record revenue, while adding to our credit reserves to be prepared for future challenges. We gained market share in our businesses, demonstrated strong expense discipline, continued to achieve high customer satisfaction scores, maintained a fortress balance sheet, and paid dividends and returned excess capital to shareholders through share repurchases.</w:t>
      </w:r>
    </w:p>
    <w:p>
      <w:pPr>
        <w:spacing w:after="0" w:line="2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Board recognizes that continued strong performance requires vigilant focus on our core business principles – exceptional client service; operational excellence; integrity, fairness and responsibility; and a great team and culture. Through our oversight of the Firm’s strategic planning process, we hold management accountable for abiding by these principles, while navigating change and driving innovation. This includes thoughtful investments in technology and acquisitions that will enhance our product offerings, and deepen engagement with clients, customers, and communities in which we live and work. In 2020, we particularly emphasized innovations to expand digital banking capabilities for people navigating the new remote environment. We also emphasized the need to support our clients and customers, protect employees, and assist our communities while managing risks associated with the pandemic. To provide close oversight, the Board met more often, received more frequent updates, and paid particular attention to how circumstances informed the Firm’s overall strategy.</w:t>
      </w:r>
    </w:p>
    <w:p>
      <w:pPr>
        <w:spacing w:after="0" w:line="24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With respect to our team, success is not possible without a first-rate management team. Identifying, developing, and nurturing senior leaders is one of the Board’s highest priorities. To set ourselves up for success, your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regularly reviews succession planning for the CEO and the Operating Committee. We also meet with members of the Operating Committee and other senior leaders. This year, the Firm expanded the Operating Committee to include the heads of several of our largest businesses, to give them greater responsibility and broader exposure to firmwide issues. This expansion has also given the Board more opportunities to get to know a broad range of leaders who currently, and in the future will, execute the firm’s strategy and enhance our strong culture.</w:t>
      </w:r>
    </w:p>
    <w:p>
      <w:pPr>
        <w:spacing w:after="0" w:line="23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Board also knows that our success is driven by the success of all our people and our reputation as a firm. Our culture is built on our core values of respect, integrity and inclusion, and we are focused on being an employer of choice for all talent. We are committed to hiring and retaining employees from all races, ethnicities, genders, sexual orientations, abilities, backgrounds, experiences and locations. In addition, this year, the Firm announced that we would invest $30 billion over the next five years to advance racial equity and help combat systemic racism within the communities in which we work. Management has detailed plans on how the firm will leverage its expertise in business, policy, and philanthropy to meet these goals. We have also developed a framework to hold management accountable for meeting these goals.</w:t>
      </w:r>
    </w:p>
    <w:p>
      <w:pPr>
        <w:spacing w:after="0" w:line="24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also continued to take important steps to promote sustainability and reduce our environmental impact. Our 2020 initiatives included a commitment to align certain financing activities with the goals of the Paris Agreement, financing of more than $220 billion for transactions that advance the United Nations Sustainable Development goals and completion of the Firm’s inaugural green bond issuance of $1 billion.</w:t>
      </w:r>
    </w:p>
    <w:p>
      <w:pPr>
        <w:spacing w:after="0" w:line="23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Your dedicated directors are committed to these objectives and to maintaining a vital Board in the future. This year, we remained focused on our Board’s future. In December, we were fortunate to add Phebe Novakovic, Chairman and CEO of General Dynamics, to our Board and are pleased to nominate her for election by shareholders at the annual meeting. She brings to the Board an impressive combination of skills, experience and personal qualities that will serve our shareholders, the Firm, and the Board well.</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would also like to take this opportunity to again thank Lee Raymond, who retired from the Board in December 2020. We benefited greatly from his insights and contributions as a director and a trusted advisor. We all</w:t>
      </w:r>
    </w:p>
    <w:p>
      <w:pPr>
        <w:sectPr>
          <w:pgSz w:w="11900" w:h="16838" w:orient="portrait"/>
          <w:cols w:equalWidth="0" w:num="2">
            <w:col w:w="5240" w:space="660"/>
            <w:col w:w="5340"/>
          </w:cols>
          <w:pgMar w:left="320" w:top="171"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919"/>
        <w:spacing w:after="0"/>
        <w:rPr>
          <w:sz w:val="20"/>
          <w:szCs w:val="20"/>
          <w:color w:val="auto"/>
        </w:rPr>
      </w:pPr>
      <w:r>
        <w:rPr>
          <w:rFonts w:ascii="Arial" w:cs="Arial" w:eastAsia="Arial" w:hAnsi="Arial"/>
          <w:sz w:val="18"/>
          <w:szCs w:val="18"/>
          <w:color w:val="auto"/>
        </w:rPr>
        <w:t>share his optimism about JPMorgan’s future and Steve Burke is honored to succeed Lee as Lead Independent Director in working with our Board and management to deliver on that.</w:t>
      </w:r>
    </w:p>
    <w:p>
      <w:pPr>
        <w:spacing w:after="0" w:line="230" w:lineRule="exact"/>
        <w:rPr>
          <w:sz w:val="20"/>
          <w:szCs w:val="20"/>
          <w:color w:val="auto"/>
        </w:rPr>
      </w:pPr>
    </w:p>
    <w:p>
      <w:pPr>
        <w:ind w:right="5059"/>
        <w:spacing w:after="0"/>
        <w:rPr>
          <w:sz w:val="20"/>
          <w:szCs w:val="20"/>
          <w:color w:val="auto"/>
        </w:rPr>
      </w:pPr>
      <w:r>
        <w:rPr>
          <w:rFonts w:ascii="Arial" w:cs="Arial" w:eastAsia="Arial" w:hAnsi="Arial"/>
          <w:sz w:val="18"/>
          <w:szCs w:val="18"/>
          <w:color w:val="auto"/>
        </w:rPr>
        <w:t>We look forward to continuing to deliver value to our customers, shareholders, and stakeholders. On behalf of the entire board, we are grateful for your support of the Board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714500" cy="796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Dimon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06565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B. Burke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ectPr>
          <w:pgSz w:w="11900" w:h="16838" w:orient="portrait"/>
          <w:cols w:equalWidth="0" w:num="1">
            <w:col w:w="10139"/>
          </w:cols>
          <w:pgMar w:left="320" w:top="171" w:right="1440"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100"/>
        <w:spacing w:after="0" w:line="262" w:lineRule="auto"/>
        <w:rPr>
          <w:sz w:val="20"/>
          <w:szCs w:val="20"/>
          <w:color w:val="auto"/>
        </w:rPr>
      </w:pPr>
      <w:r>
        <w:rPr>
          <w:rFonts w:ascii="Arial" w:cs="Arial" w:eastAsia="Arial" w:hAnsi="Arial"/>
          <w:sz w:val="43"/>
          <w:szCs w:val="43"/>
          <w:color w:val="074A75"/>
        </w:rPr>
        <w:t>Notice of 2021 Annual Meeting of Shareholders and Proxy Statement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80" w:type="dxa"/>
            <w:vAlign w:val="bottom"/>
          </w:tcPr>
          <w:p>
            <w:pPr>
              <w:jc w:val="right"/>
              <w:spacing w:after="0"/>
              <w:rPr>
                <w:sz w:val="20"/>
                <w:szCs w:val="20"/>
                <w:color w:val="auto"/>
              </w:rPr>
            </w:pPr>
            <w:r>
              <w:rPr>
                <w:rFonts w:ascii="Arial" w:cs="Arial" w:eastAsia="Arial" w:hAnsi="Arial"/>
                <w:sz w:val="17"/>
                <w:szCs w:val="17"/>
                <w:color w:val="auto"/>
              </w:rPr>
              <w:t>DATE</w:t>
            </w:r>
          </w:p>
        </w:tc>
        <w:tc>
          <w:tcPr>
            <w:tcW w:w="9560" w:type="dxa"/>
            <w:vAlign w:val="bottom"/>
          </w:tcPr>
          <w:p>
            <w:pPr>
              <w:ind w:left="80"/>
              <w:spacing w:after="0"/>
              <w:rPr>
                <w:sz w:val="20"/>
                <w:szCs w:val="20"/>
                <w:color w:val="auto"/>
              </w:rPr>
            </w:pPr>
            <w:r>
              <w:rPr>
                <w:rFonts w:ascii="Arial" w:cs="Arial" w:eastAsia="Arial" w:hAnsi="Arial"/>
                <w:sz w:val="17"/>
                <w:szCs w:val="17"/>
                <w:color w:val="auto"/>
              </w:rPr>
              <w:t>Tuesday, May 18, 2021</w:t>
            </w:r>
          </w:p>
        </w:tc>
      </w:tr>
      <w:tr>
        <w:trPr>
          <w:trHeight w:val="365"/>
        </w:trPr>
        <w:tc>
          <w:tcPr>
            <w:tcW w:w="1680" w:type="dxa"/>
            <w:vAlign w:val="bottom"/>
          </w:tcPr>
          <w:p>
            <w:pPr>
              <w:jc w:val="right"/>
              <w:spacing w:after="0"/>
              <w:rPr>
                <w:sz w:val="20"/>
                <w:szCs w:val="20"/>
                <w:color w:val="auto"/>
              </w:rPr>
            </w:pPr>
            <w:r>
              <w:rPr>
                <w:rFonts w:ascii="Arial" w:cs="Arial" w:eastAsia="Arial" w:hAnsi="Arial"/>
                <w:sz w:val="17"/>
                <w:szCs w:val="17"/>
                <w:color w:val="auto"/>
              </w:rPr>
              <w:t>TIME</w:t>
            </w:r>
          </w:p>
        </w:tc>
        <w:tc>
          <w:tcPr>
            <w:tcW w:w="9560" w:type="dxa"/>
            <w:vAlign w:val="bottom"/>
          </w:tcPr>
          <w:p>
            <w:pPr>
              <w:ind w:left="80"/>
              <w:spacing w:after="0"/>
              <w:rPr>
                <w:sz w:val="20"/>
                <w:szCs w:val="20"/>
                <w:color w:val="auto"/>
              </w:rPr>
            </w:pPr>
            <w:r>
              <w:rPr>
                <w:rFonts w:ascii="Arial" w:cs="Arial" w:eastAsia="Arial" w:hAnsi="Arial"/>
                <w:sz w:val="17"/>
                <w:szCs w:val="17"/>
                <w:color w:val="auto"/>
              </w:rPr>
              <w:t>10:00 a.m. Eastern Time</w:t>
            </w:r>
          </w:p>
        </w:tc>
      </w:tr>
      <w:tr>
        <w:trPr>
          <w:trHeight w:val="376"/>
        </w:trPr>
        <w:tc>
          <w:tcPr>
            <w:tcW w:w="1680" w:type="dxa"/>
            <w:vAlign w:val="bottom"/>
          </w:tcPr>
          <w:p>
            <w:pPr>
              <w:jc w:val="right"/>
              <w:spacing w:after="0"/>
              <w:rPr>
                <w:sz w:val="20"/>
                <w:szCs w:val="20"/>
                <w:color w:val="auto"/>
              </w:rPr>
            </w:pPr>
            <w:r>
              <w:rPr>
                <w:rFonts w:ascii="Arial" w:cs="Arial" w:eastAsia="Arial" w:hAnsi="Arial"/>
                <w:sz w:val="17"/>
                <w:szCs w:val="17"/>
                <w:color w:val="auto"/>
              </w:rPr>
              <w:t>ACCESS</w:t>
            </w:r>
          </w:p>
        </w:tc>
        <w:tc>
          <w:tcPr>
            <w:tcW w:w="9560" w:type="dxa"/>
            <w:vAlign w:val="bottom"/>
          </w:tcPr>
          <w:p>
            <w:pPr>
              <w:ind w:left="80"/>
              <w:spacing w:after="0"/>
              <w:rPr>
                <w:sz w:val="20"/>
                <w:szCs w:val="20"/>
                <w:color w:val="auto"/>
              </w:rPr>
            </w:pPr>
            <w:r>
              <w:rPr>
                <w:rFonts w:ascii="Arial" w:cs="Arial" w:eastAsia="Arial" w:hAnsi="Arial"/>
                <w:sz w:val="17"/>
                <w:szCs w:val="17"/>
                <w:color w:val="auto"/>
              </w:rPr>
              <w:t>The 2021 Annual Meeting will be held in a virtual meeting format only, via the Internet. If you plan to participate in the virtual</w:t>
            </w:r>
          </w:p>
        </w:tc>
      </w:tr>
      <w:tr>
        <w:trPr>
          <w:trHeight w:val="203"/>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meeting, please see “Information about the annual shareholder meeting.” Shareholders will be able to attend, vote, examine</w:t>
            </w:r>
          </w:p>
        </w:tc>
      </w:tr>
      <w:tr>
        <w:trPr>
          <w:trHeight w:val="203"/>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the stockholders list and submit questions (both before, and for a portion of, the meeting) from any location via the Internet.</w:t>
            </w:r>
          </w:p>
        </w:tc>
      </w:tr>
      <w:tr>
        <w:trPr>
          <w:trHeight w:val="205"/>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Shareholders may participate online by logging in at www.virtualshareholdermeeting.com/JPM2021.</w:t>
            </w:r>
          </w:p>
        </w:tc>
      </w:tr>
      <w:tr>
        <w:trPr>
          <w:trHeight w:val="31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We encourage you to submit your proxy prior to the annual meeting.</w:t>
            </w:r>
          </w:p>
        </w:tc>
      </w:tr>
      <w:tr>
        <w:trPr>
          <w:trHeight w:val="391"/>
        </w:trPr>
        <w:tc>
          <w:tcPr>
            <w:tcW w:w="1680" w:type="dxa"/>
            <w:vAlign w:val="bottom"/>
          </w:tcPr>
          <w:p>
            <w:pPr>
              <w:jc w:val="right"/>
              <w:spacing w:after="0"/>
              <w:rPr>
                <w:sz w:val="20"/>
                <w:szCs w:val="20"/>
                <w:color w:val="auto"/>
              </w:rPr>
            </w:pPr>
            <w:r>
              <w:rPr>
                <w:rFonts w:ascii="Arial" w:cs="Arial" w:eastAsia="Arial" w:hAnsi="Arial"/>
                <w:sz w:val="17"/>
                <w:szCs w:val="17"/>
                <w:color w:val="auto"/>
              </w:rPr>
              <w:t>RECORD DATE</w:t>
            </w:r>
          </w:p>
        </w:tc>
        <w:tc>
          <w:tcPr>
            <w:tcW w:w="9560" w:type="dxa"/>
            <w:vAlign w:val="bottom"/>
          </w:tcPr>
          <w:p>
            <w:pPr>
              <w:ind w:left="80"/>
              <w:spacing w:after="0"/>
              <w:rPr>
                <w:sz w:val="20"/>
                <w:szCs w:val="20"/>
                <w:color w:val="auto"/>
              </w:rPr>
            </w:pPr>
            <w:r>
              <w:rPr>
                <w:rFonts w:ascii="Arial" w:cs="Arial" w:eastAsia="Arial" w:hAnsi="Arial"/>
                <w:sz w:val="17"/>
                <w:szCs w:val="17"/>
                <w:color w:val="auto"/>
              </w:rPr>
              <w:t>March 19, 2021</w:t>
            </w:r>
          </w:p>
        </w:tc>
      </w:tr>
      <w:tr>
        <w:trPr>
          <w:trHeight w:val="365"/>
        </w:trPr>
        <w:tc>
          <w:tcPr>
            <w:tcW w:w="1680" w:type="dxa"/>
            <w:vAlign w:val="bottom"/>
          </w:tcPr>
          <w:p>
            <w:pPr>
              <w:jc w:val="right"/>
              <w:spacing w:after="0"/>
              <w:rPr>
                <w:sz w:val="20"/>
                <w:szCs w:val="20"/>
                <w:color w:val="auto"/>
              </w:rPr>
            </w:pPr>
            <w:r>
              <w:rPr>
                <w:rFonts w:ascii="Arial" w:cs="Arial" w:eastAsia="Arial" w:hAnsi="Arial"/>
                <w:sz w:val="17"/>
                <w:szCs w:val="17"/>
                <w:color w:val="auto"/>
              </w:rPr>
              <w:t>MATTERS TO BE</w:t>
            </w: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Election of Directors</w:t>
            </w:r>
          </w:p>
        </w:tc>
      </w:tr>
      <w:tr>
        <w:trPr>
          <w:trHeight w:val="270"/>
        </w:trPr>
        <w:tc>
          <w:tcPr>
            <w:tcW w:w="1680" w:type="dxa"/>
            <w:vAlign w:val="bottom"/>
          </w:tcPr>
          <w:p>
            <w:pPr>
              <w:jc w:val="right"/>
              <w:spacing w:after="0"/>
              <w:rPr>
                <w:sz w:val="20"/>
                <w:szCs w:val="20"/>
                <w:color w:val="auto"/>
              </w:rPr>
            </w:pPr>
            <w:r>
              <w:rPr>
                <w:rFonts w:ascii="Arial" w:cs="Arial" w:eastAsia="Arial" w:hAnsi="Arial"/>
                <w:sz w:val="17"/>
                <w:szCs w:val="17"/>
                <w:color w:val="auto"/>
              </w:rPr>
              <w:t>VOTED ON</w:t>
            </w: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Advisory resolution to approve executive compensation</w:t>
            </w:r>
          </w:p>
        </w:tc>
      </w:tr>
      <w:tr>
        <w:trPr>
          <w:trHeight w:val="283"/>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Approval of Amended and Restated Long-Term Incentive Plan effective May 18, 2021</w:t>
            </w:r>
          </w:p>
        </w:tc>
      </w:tr>
      <w:tr>
        <w:trPr>
          <w:trHeight w:val="270"/>
        </w:trPr>
        <w:tc>
          <w:tcPr>
            <w:tcW w:w="1680" w:type="dxa"/>
            <w:vAlign w:val="bottom"/>
          </w:tcPr>
          <w:p>
            <w:pPr>
              <w:spacing w:after="0"/>
              <w:rPr>
                <w:sz w:val="23"/>
                <w:szCs w:val="23"/>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Ratification of PricewaterhouseCoopers LLP as our independent registered public accounting firm for 2021</w:t>
            </w:r>
          </w:p>
        </w:tc>
      </w:tr>
      <w:tr>
        <w:trPr>
          <w:trHeight w:val="270"/>
        </w:trPr>
        <w:tc>
          <w:tcPr>
            <w:tcW w:w="1680" w:type="dxa"/>
            <w:vAlign w:val="bottom"/>
          </w:tcPr>
          <w:p>
            <w:pPr>
              <w:spacing w:after="0"/>
              <w:rPr>
                <w:sz w:val="23"/>
                <w:szCs w:val="23"/>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Shareholder proposals, if they are properly introduced at the meeting</w:t>
            </w:r>
          </w:p>
        </w:tc>
      </w:tr>
      <w:tr>
        <w:trPr>
          <w:trHeight w:val="283"/>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Any other matters that may properly be brought before the meeting</w:t>
            </w:r>
          </w:p>
        </w:tc>
      </w:tr>
      <w:tr>
        <w:trPr>
          <w:trHeight w:val="31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By order of the Board of Directors</w:t>
            </w:r>
          </w:p>
        </w:tc>
      </w:tr>
      <w:tr>
        <w:trPr>
          <w:trHeight w:val="308"/>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John H. Tribolati</w:t>
            </w:r>
          </w:p>
        </w:tc>
      </w:tr>
      <w:tr>
        <w:trPr>
          <w:trHeight w:val="205"/>
        </w:trPr>
        <w:tc>
          <w:tcPr>
            <w:tcW w:w="1680" w:type="dxa"/>
            <w:vAlign w:val="bottom"/>
          </w:tcPr>
          <w:p>
            <w:pPr>
              <w:spacing w:after="0"/>
              <w:rPr>
                <w:sz w:val="17"/>
                <w:szCs w:val="17"/>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Secretary</w:t>
            </w:r>
          </w:p>
        </w:tc>
      </w:tr>
      <w:tr>
        <w:trPr>
          <w:trHeight w:val="311"/>
        </w:trPr>
        <w:tc>
          <w:tcPr>
            <w:tcW w:w="168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7"/>
                <w:szCs w:val="17"/>
                <w:color w:val="auto"/>
              </w:rPr>
              <w:t>April 7, 2021</w:t>
            </w:r>
          </w:p>
        </w:tc>
      </w:tr>
      <w:tr>
        <w:trPr>
          <w:trHeight w:val="44"/>
        </w:trPr>
        <w:tc>
          <w:tcPr>
            <w:tcW w:w="1680" w:type="dxa"/>
            <w:vAlign w:val="bottom"/>
            <w:tcBorders>
              <w:bottom w:val="single" w:sz="8" w:color="454545"/>
            </w:tcBorders>
          </w:tcPr>
          <w:p>
            <w:pPr>
              <w:spacing w:after="0"/>
              <w:rPr>
                <w:sz w:val="3"/>
                <w:szCs w:val="3"/>
                <w:color w:val="auto"/>
              </w:rPr>
            </w:pPr>
          </w:p>
        </w:tc>
        <w:tc>
          <w:tcPr>
            <w:tcW w:w="9560" w:type="dxa"/>
            <w:vAlign w:val="bottom"/>
            <w:tcBorders>
              <w:bottom w:val="single" w:sz="8" w:color="454545"/>
            </w:tcBorders>
          </w:tcPr>
          <w:p>
            <w:pPr>
              <w:spacing w:after="0"/>
              <w:rPr>
                <w:sz w:val="3"/>
                <w:szCs w:val="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YOUR VOTE IS IMPORTANT TO US. PLEASE VOTE PROMPTLY.</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JPMorgan Chase &amp; Co. uses the Securities and Exchange Commission (“SEC”) rule permitting companies to furnish proxy materials to their shareholders via the Internet. In accordance with this rule, on or about April 7, 2021, we sent to shareholders of record at the close of business on March 19, 2021, a Notice of Internet Availability of Proxy Materials (“Notice”), which includes instructions on how to access our 2021 Proxy Statement and 2020 Annual Report online, and how to vote online for the 2021 Annual Shareholder Meeting.</w:t>
      </w:r>
    </w:p>
    <w:p>
      <w:pPr>
        <w:spacing w:after="0" w:line="9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To be admitted to the annual meeting at www.virtualshareholdermeeting.com/JPM2021, you must enter the control number found on your proxy card, voting instruction form or Notice you previously received. See “Information about the annual shareholder meeting” on page 107. At the virtual meeting site, you may follow the instructions to vote, access the stockholders list and ask questions before or during the meeting.</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4, the ratification of the independent registered public accounting firm. See “What is the voting requirement to approve each of the proposals?” on page 109.</w:t>
      </w:r>
    </w:p>
    <w:p>
      <w:pPr>
        <w:sectPr>
          <w:pgSz w:w="11900" w:h="16838" w:orient="portrait"/>
          <w:cols w:equalWidth="0" w:num="1">
            <w:col w:w="11240"/>
          </w:cols>
          <w:pgMar w:left="320" w:top="17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ectPr>
          <w:pgSz w:w="11900" w:h="16838" w:orient="portrait"/>
          <w:cols w:equalWidth="0" w:num="1">
            <w:col w:w="11220"/>
          </w:cols>
          <w:pgMar w:left="320"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42"/>
          <w:szCs w:val="42"/>
          <w:color w:val="074A75"/>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074A75"/>
        </w:rPr>
        <w:t>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-238760</wp:posOffset>
            </wp:positionV>
            <wp:extent cx="37719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180"/>
          </w:cols>
          <w:pgMar w:left="320" w:top="171" w:right="359" w:bottom="1440" w:gutter="0" w:footer="0" w:header="0"/>
          <w:type w:val="continuous"/>
        </w:sect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360" w:type="dxa"/>
            <w:vAlign w:val="bottom"/>
          </w:tcPr>
          <w:p>
            <w:pPr>
              <w:spacing w:after="0"/>
              <w:rPr>
                <w:rFonts w:ascii="Arial" w:cs="Arial" w:eastAsia="Arial" w:hAnsi="Arial"/>
                <w:sz w:val="16"/>
                <w:szCs w:val="16"/>
                <w:b w:val="1"/>
                <w:bCs w:val="1"/>
                <w:color w:val="074A75"/>
              </w:rPr>
            </w:pPr>
            <w:hyperlink w:anchor="page7">
              <w:r>
                <w:rPr>
                  <w:rFonts w:ascii="Arial" w:cs="Arial" w:eastAsia="Arial" w:hAnsi="Arial"/>
                  <w:sz w:val="16"/>
                  <w:szCs w:val="16"/>
                  <w:b w:val="1"/>
                  <w:bCs w:val="1"/>
                  <w:color w:val="074A75"/>
                </w:rPr>
                <w:t>2021 Proxy summary</w:t>
              </w:r>
            </w:hyperlink>
          </w:p>
        </w:tc>
        <w:tc>
          <w:tcPr>
            <w:tcW w:w="184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1</w:t>
              </w:r>
            </w:hyperlink>
          </w:p>
        </w:tc>
      </w:tr>
    </w:tbl>
    <w:p>
      <w:pPr>
        <w:spacing w:after="0" w:line="266" w:lineRule="exact"/>
        <w:rPr>
          <w:sz w:val="20"/>
          <w:szCs w:val="20"/>
          <w:color w:val="auto"/>
        </w:rPr>
      </w:pPr>
    </w:p>
    <w:p>
      <w:pPr>
        <w:ind w:left="20"/>
        <w:spacing w:after="0"/>
        <w:rPr>
          <w:rFonts w:ascii="Arial" w:cs="Arial" w:eastAsia="Arial" w:hAnsi="Arial"/>
          <w:sz w:val="23"/>
          <w:szCs w:val="23"/>
          <w:b w:val="1"/>
          <w:bCs w:val="1"/>
          <w:color w:val="074A75"/>
        </w:rPr>
      </w:pPr>
      <w:hyperlink w:anchor="page16">
        <w:r>
          <w:rPr>
            <w:rFonts w:ascii="Arial" w:cs="Arial" w:eastAsia="Arial" w:hAnsi="Arial"/>
            <w:sz w:val="23"/>
            <w:szCs w:val="23"/>
            <w:b w:val="1"/>
            <w:bCs w:val="1"/>
            <w:color w:val="074A75"/>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317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9" w:lineRule="exact"/>
        <w:rPr>
          <w:sz w:val="20"/>
          <w:szCs w:val="20"/>
          <w:color w:val="auto"/>
        </w:rPr>
      </w:pPr>
    </w:p>
    <w:p>
      <w:pPr>
        <w:ind w:left="20"/>
        <w:spacing w:after="0"/>
        <w:rPr>
          <w:rFonts w:ascii="Arial" w:cs="Arial" w:eastAsia="Arial" w:hAnsi="Arial"/>
          <w:sz w:val="16"/>
          <w:szCs w:val="16"/>
          <w:b w:val="1"/>
          <w:bCs w:val="1"/>
          <w:color w:val="074A75"/>
        </w:rPr>
      </w:pPr>
      <w:hyperlink w:anchor="page17">
        <w:r>
          <w:rPr>
            <w:rFonts w:ascii="Arial" w:cs="Arial" w:eastAsia="Arial" w:hAnsi="Arial"/>
            <w:sz w:val="16"/>
            <w:szCs w:val="16"/>
            <w:b w:val="1"/>
            <w:bCs w:val="1"/>
            <w:color w:val="074A75"/>
          </w:rPr>
          <w:t>Proposal 1: 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-113030</wp:posOffset>
            </wp:positionV>
            <wp:extent cx="1371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2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Key factors for shareholder consideration</w:t>
              </w:r>
            </w:hyperlink>
          </w:p>
        </w:tc>
        <w:tc>
          <w:tcPr>
            <w:tcW w:w="88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11</w:t>
              </w:r>
            </w:hyperlink>
          </w:p>
        </w:tc>
      </w:tr>
      <w:tr>
        <w:trPr>
          <w:trHeight w:val="243"/>
        </w:trPr>
        <w:tc>
          <w:tcPr>
            <w:tcW w:w="4320" w:type="dxa"/>
            <w:vAlign w:val="bottom"/>
          </w:tcPr>
          <w:p>
            <w:pPr>
              <w:spacing w:after="0"/>
              <w:rPr>
                <w:rFonts w:ascii="Arial" w:cs="Arial" w:eastAsia="Arial" w:hAnsi="Arial"/>
                <w:sz w:val="16"/>
                <w:szCs w:val="16"/>
                <w:color w:val="auto"/>
              </w:rPr>
            </w:pPr>
            <w:hyperlink w:anchor="page18">
              <w:r>
                <w:rPr>
                  <w:rFonts w:ascii="Arial" w:cs="Arial" w:eastAsia="Arial" w:hAnsi="Arial"/>
                  <w:sz w:val="16"/>
                  <w:szCs w:val="16"/>
                  <w:color w:val="auto"/>
                </w:rPr>
                <w:t>Director nominees</w:t>
              </w:r>
            </w:hyperlink>
          </w:p>
        </w:tc>
        <w:tc>
          <w:tcPr>
            <w:tcW w:w="88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12</w:t>
              </w:r>
            </w:hyperlink>
          </w:p>
        </w:tc>
      </w:tr>
      <w:tr>
        <w:trPr>
          <w:trHeight w:val="243"/>
        </w:trPr>
        <w:tc>
          <w:tcPr>
            <w:tcW w:w="432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 xml:space="preserve">Board </w:t>
              </w:r>
            </w:hyperlink>
            <w:r>
              <w:rPr>
                <w:rFonts w:ascii="Arial" w:cs="Arial" w:eastAsia="Arial" w:hAnsi="Arial"/>
                <w:sz w:val="16"/>
                <w:szCs w:val="16"/>
                <w:color w:val="auto"/>
              </w:rPr>
              <w:t>governance</w:t>
            </w:r>
          </w:p>
        </w:tc>
        <w:tc>
          <w:tcPr>
            <w:tcW w:w="88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22</w:t>
              </w:r>
            </w:hyperlink>
          </w:p>
        </w:tc>
      </w:tr>
      <w:tr>
        <w:trPr>
          <w:trHeight w:val="243"/>
        </w:trPr>
        <w:tc>
          <w:tcPr>
            <w:tcW w:w="4320" w:type="dxa"/>
            <w:vAlign w:val="bottom"/>
          </w:tcPr>
          <w:p>
            <w:pPr>
              <w:spacing w:after="0"/>
              <w:rPr>
                <w:rFonts w:ascii="Arial" w:cs="Arial" w:eastAsia="Arial" w:hAnsi="Arial"/>
                <w:sz w:val="16"/>
                <w:szCs w:val="16"/>
                <w:color w:val="auto"/>
              </w:rPr>
            </w:pPr>
            <w:hyperlink w:anchor="page34">
              <w:r>
                <w:rPr>
                  <w:rFonts w:ascii="Arial" w:cs="Arial" w:eastAsia="Arial" w:hAnsi="Arial"/>
                  <w:sz w:val="16"/>
                  <w:szCs w:val="16"/>
                  <w:color w:val="auto"/>
                </w:rPr>
                <w:t>Board oversight</w:t>
              </w:r>
            </w:hyperlink>
          </w:p>
        </w:tc>
        <w:tc>
          <w:tcPr>
            <w:tcW w:w="880" w:type="dxa"/>
            <w:vAlign w:val="bottom"/>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28</w:t>
              </w:r>
            </w:hyperlink>
          </w:p>
        </w:tc>
      </w:tr>
      <w:tr>
        <w:trPr>
          <w:trHeight w:val="243"/>
        </w:trPr>
        <w:tc>
          <w:tcPr>
            <w:tcW w:w="4320" w:type="dxa"/>
            <w:vAlign w:val="bottom"/>
          </w:tcPr>
          <w:p>
            <w:pPr>
              <w:spacing w:after="0"/>
              <w:rPr>
                <w:rFonts w:ascii="Arial" w:cs="Arial" w:eastAsia="Arial" w:hAnsi="Arial"/>
                <w:sz w:val="16"/>
                <w:szCs w:val="16"/>
                <w:color w:val="auto"/>
              </w:rPr>
            </w:pPr>
            <w:hyperlink w:anchor="page36">
              <w:r>
                <w:rPr>
                  <w:rFonts w:ascii="Arial" w:cs="Arial" w:eastAsia="Arial" w:hAnsi="Arial"/>
                  <w:sz w:val="16"/>
                  <w:szCs w:val="16"/>
                  <w:color w:val="auto"/>
                </w:rPr>
                <w:t>Board engagement</w:t>
              </w:r>
            </w:hyperlink>
          </w:p>
        </w:tc>
        <w:tc>
          <w:tcPr>
            <w:tcW w:w="88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30</w:t>
              </w:r>
            </w:hyperlink>
          </w:p>
        </w:tc>
      </w:tr>
      <w:tr>
        <w:trPr>
          <w:trHeight w:val="243"/>
        </w:trPr>
        <w:tc>
          <w:tcPr>
            <w:tcW w:w="432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Director compensation</w:t>
              </w:r>
            </w:hyperlink>
          </w:p>
        </w:tc>
        <w:tc>
          <w:tcPr>
            <w:tcW w:w="88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32</w:t>
              </w:r>
            </w:hyperlink>
          </w:p>
        </w:tc>
      </w:tr>
      <w:tr>
        <w:trPr>
          <w:trHeight w:val="243"/>
        </w:trPr>
        <w:tc>
          <w:tcPr>
            <w:tcW w:w="4320" w:type="dxa"/>
            <w:vAlign w:val="bottom"/>
          </w:tcPr>
          <w:p>
            <w:pPr>
              <w:spacing w:after="0"/>
              <w:rPr>
                <w:rFonts w:ascii="Arial" w:cs="Arial" w:eastAsia="Arial" w:hAnsi="Arial"/>
                <w:sz w:val="16"/>
                <w:szCs w:val="16"/>
                <w:color w:val="auto"/>
              </w:rPr>
            </w:pPr>
            <w:hyperlink w:anchor="page40">
              <w:r>
                <w:rPr>
                  <w:rFonts w:ascii="Arial" w:cs="Arial" w:eastAsia="Arial" w:hAnsi="Arial"/>
                  <w:sz w:val="16"/>
                  <w:szCs w:val="16"/>
                  <w:color w:val="auto"/>
                </w:rPr>
                <w:t>Other corporate governance policies and practices</w:t>
              </w:r>
            </w:hyperlink>
          </w:p>
        </w:tc>
        <w:tc>
          <w:tcPr>
            <w:tcW w:w="880" w:type="dxa"/>
            <w:vAlign w:val="bottom"/>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34</w:t>
              </w:r>
            </w:hyperlink>
          </w:p>
        </w:tc>
      </w:tr>
    </w:tbl>
    <w:p>
      <w:pPr>
        <w:spacing w:after="0" w:line="266" w:lineRule="exact"/>
        <w:rPr>
          <w:sz w:val="20"/>
          <w:szCs w:val="20"/>
          <w:color w:val="auto"/>
        </w:rPr>
      </w:pPr>
    </w:p>
    <w:p>
      <w:pPr>
        <w:ind w:left="20"/>
        <w:spacing w:after="0"/>
        <w:rPr>
          <w:rFonts w:ascii="Arial" w:cs="Arial" w:eastAsia="Arial" w:hAnsi="Arial"/>
          <w:sz w:val="23"/>
          <w:szCs w:val="23"/>
          <w:b w:val="1"/>
          <w:bCs w:val="1"/>
          <w:color w:val="074A75"/>
        </w:rPr>
      </w:pPr>
      <w:hyperlink w:anchor="page43">
        <w:r>
          <w:rPr>
            <w:rFonts w:ascii="Arial" w:cs="Arial" w:eastAsia="Arial" w:hAnsi="Arial"/>
            <w:sz w:val="23"/>
            <w:szCs w:val="23"/>
            <w:b w:val="1"/>
            <w:bCs w:val="1"/>
            <w:color w:val="074A75"/>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31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9" w:lineRule="exact"/>
        <w:rPr>
          <w:sz w:val="20"/>
          <w:szCs w:val="20"/>
          <w:color w:val="auto"/>
        </w:rPr>
      </w:pPr>
    </w:p>
    <w:p>
      <w:pPr>
        <w:ind w:left="20"/>
        <w:spacing w:after="0"/>
        <w:rPr>
          <w:rFonts w:ascii="Arial" w:cs="Arial" w:eastAsia="Arial" w:hAnsi="Arial"/>
          <w:sz w:val="16"/>
          <w:szCs w:val="16"/>
          <w:b w:val="1"/>
          <w:bCs w:val="1"/>
          <w:color w:val="074A75"/>
        </w:rPr>
      </w:pPr>
      <w:hyperlink w:anchor="page44">
        <w:r>
          <w:rPr>
            <w:rFonts w:ascii="Arial" w:cs="Arial" w:eastAsia="Arial" w:hAnsi="Arial"/>
            <w:sz w:val="16"/>
            <w:szCs w:val="16"/>
            <w:b w:val="1"/>
            <w:bCs w:val="1"/>
            <w:color w:val="074A75"/>
          </w:rPr>
          <w:t>Proposal 2: Advisory resolution to approve executive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-87630</wp:posOffset>
            </wp:positionV>
            <wp:extent cx="137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780" w:type="dxa"/>
            <w:vAlign w:val="bottom"/>
            <w:gridSpan w:val="2"/>
          </w:tcPr>
          <w:p>
            <w:pPr>
              <w:ind w:left="260"/>
              <w:spacing w:after="0"/>
              <w:rPr>
                <w:rFonts w:ascii="Arial" w:cs="Arial" w:eastAsia="Arial" w:hAnsi="Arial"/>
                <w:sz w:val="16"/>
                <w:szCs w:val="16"/>
                <w:b w:val="1"/>
                <w:bCs w:val="1"/>
                <w:color w:val="074A75"/>
              </w:rPr>
            </w:pPr>
            <w:hyperlink w:anchor="page44">
              <w:r>
                <w:rPr>
                  <w:rFonts w:ascii="Arial" w:cs="Arial" w:eastAsia="Arial" w:hAnsi="Arial"/>
                  <w:sz w:val="16"/>
                  <w:szCs w:val="16"/>
                  <w:b w:val="1"/>
                  <w:bCs w:val="1"/>
                  <w:color w:val="074A75"/>
                </w:rPr>
                <w:t>compensation</w:t>
              </w:r>
            </w:hyperlink>
          </w:p>
        </w:tc>
        <w:tc>
          <w:tcPr>
            <w:tcW w:w="420" w:type="dxa"/>
            <w:vAlign w:val="bottom"/>
          </w:tcPr>
          <w:p>
            <w:pPr>
              <w:spacing w:after="0"/>
              <w:rPr>
                <w:sz w:val="18"/>
                <w:szCs w:val="18"/>
                <w:color w:val="auto"/>
              </w:rPr>
            </w:pPr>
          </w:p>
        </w:tc>
      </w:tr>
      <w:tr>
        <w:trPr>
          <w:trHeight w:val="223"/>
        </w:trPr>
        <w:tc>
          <w:tcPr>
            <w:tcW w:w="4780" w:type="dxa"/>
            <w:vAlign w:val="bottom"/>
            <w:gridSpan w:val="2"/>
          </w:tcPr>
          <w:p>
            <w:pPr>
              <w:spacing w:after="0"/>
              <w:rPr>
                <w:rFonts w:ascii="Arial" w:cs="Arial" w:eastAsia="Arial" w:hAnsi="Arial"/>
                <w:sz w:val="16"/>
                <w:szCs w:val="16"/>
                <w:color w:val="auto"/>
              </w:rPr>
            </w:pPr>
            <w:hyperlink w:anchor="page44">
              <w:r>
                <w:rPr>
                  <w:rFonts w:ascii="Arial" w:cs="Arial" w:eastAsia="Arial" w:hAnsi="Arial"/>
                  <w:sz w:val="16"/>
                  <w:szCs w:val="16"/>
                  <w:color w:val="auto"/>
                </w:rPr>
                <w:t>Overview</w:t>
              </w:r>
            </w:hyperlink>
          </w:p>
        </w:tc>
        <w:tc>
          <w:tcPr>
            <w:tcW w:w="420" w:type="dxa"/>
            <w:vAlign w:val="bottom"/>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38</w:t>
              </w:r>
            </w:hyperlink>
          </w:p>
        </w:tc>
      </w:tr>
      <w:tr>
        <w:trPr>
          <w:trHeight w:val="243"/>
        </w:trPr>
        <w:tc>
          <w:tcPr>
            <w:tcW w:w="4780" w:type="dxa"/>
            <w:vAlign w:val="bottom"/>
            <w:gridSpan w:val="2"/>
          </w:tcPr>
          <w:p>
            <w:pPr>
              <w:spacing w:after="0"/>
              <w:rPr>
                <w:rFonts w:ascii="Arial" w:cs="Arial" w:eastAsia="Arial" w:hAnsi="Arial"/>
                <w:sz w:val="16"/>
                <w:szCs w:val="16"/>
                <w:color w:val="auto"/>
              </w:rPr>
            </w:pPr>
            <w:hyperlink w:anchor="page45">
              <w:r>
                <w:rPr>
                  <w:rFonts w:ascii="Arial" w:cs="Arial" w:eastAsia="Arial" w:hAnsi="Arial"/>
                  <w:sz w:val="16"/>
                  <w:szCs w:val="16"/>
                  <w:color w:val="auto"/>
                </w:rPr>
                <w:t>Compensation Discussion and Analysis</w:t>
              </w:r>
            </w:hyperlink>
          </w:p>
        </w:tc>
        <w:tc>
          <w:tcPr>
            <w:tcW w:w="42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39</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1.</w:t>
            </w:r>
          </w:p>
        </w:tc>
        <w:tc>
          <w:tcPr>
            <w:tcW w:w="4280" w:type="dxa"/>
            <w:vAlign w:val="bottom"/>
          </w:tcPr>
          <w:p>
            <w:pPr>
              <w:ind w:left="140"/>
              <w:spacing w:after="0"/>
              <w:rPr>
                <w:rFonts w:ascii="Arial" w:cs="Arial" w:eastAsia="Arial" w:hAnsi="Arial"/>
                <w:sz w:val="16"/>
                <w:szCs w:val="16"/>
                <w:color w:val="auto"/>
              </w:rPr>
            </w:pPr>
            <w:hyperlink w:anchor="page46">
              <w:r>
                <w:rPr>
                  <w:rFonts w:ascii="Arial" w:cs="Arial" w:eastAsia="Arial" w:hAnsi="Arial"/>
                  <w:sz w:val="16"/>
                  <w:szCs w:val="16"/>
                  <w:color w:val="auto"/>
                </w:rPr>
                <w:t>How we think about pay decisions</w:t>
              </w:r>
            </w:hyperlink>
          </w:p>
        </w:tc>
        <w:tc>
          <w:tcPr>
            <w:tcW w:w="42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40</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2.</w:t>
            </w:r>
          </w:p>
        </w:tc>
        <w:tc>
          <w:tcPr>
            <w:tcW w:w="4280" w:type="dxa"/>
            <w:vAlign w:val="bottom"/>
          </w:tcPr>
          <w:p>
            <w:pPr>
              <w:ind w:left="140"/>
              <w:spacing w:after="0"/>
              <w:rPr>
                <w:rFonts w:ascii="Arial" w:cs="Arial" w:eastAsia="Arial" w:hAnsi="Arial"/>
                <w:sz w:val="16"/>
                <w:szCs w:val="16"/>
                <w:color w:val="auto"/>
              </w:rPr>
            </w:pPr>
            <w:hyperlink w:anchor="page59">
              <w:r>
                <w:rPr>
                  <w:rFonts w:ascii="Arial" w:cs="Arial" w:eastAsia="Arial" w:hAnsi="Arial"/>
                  <w:sz w:val="16"/>
                  <w:szCs w:val="16"/>
                  <w:color w:val="auto"/>
                </w:rPr>
                <w:t>How we performed against our business strategy</w:t>
              </w:r>
            </w:hyperlink>
          </w:p>
        </w:tc>
        <w:tc>
          <w:tcPr>
            <w:tcW w:w="420" w:type="dxa"/>
            <w:vAlign w:val="bottom"/>
          </w:tcPr>
          <w:p>
            <w:pPr>
              <w:jc w:val="right"/>
              <w:spacing w:after="0"/>
              <w:rPr>
                <w:rFonts w:ascii="Arial" w:cs="Arial" w:eastAsia="Arial" w:hAnsi="Arial"/>
                <w:sz w:val="16"/>
                <w:szCs w:val="16"/>
                <w:color w:val="auto"/>
              </w:rPr>
            </w:pPr>
            <w:hyperlink w:anchor="page59">
              <w:r>
                <w:rPr>
                  <w:rFonts w:ascii="Arial" w:cs="Arial" w:eastAsia="Arial" w:hAnsi="Arial"/>
                  <w:sz w:val="16"/>
                  <w:szCs w:val="16"/>
                  <w:color w:val="auto"/>
                </w:rPr>
                <w:t>53</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3.</w:t>
            </w:r>
          </w:p>
        </w:tc>
        <w:tc>
          <w:tcPr>
            <w:tcW w:w="4280" w:type="dxa"/>
            <w:vAlign w:val="bottom"/>
          </w:tcPr>
          <w:p>
            <w:pPr>
              <w:ind w:left="140"/>
              <w:spacing w:after="0"/>
              <w:rPr>
                <w:rFonts w:ascii="Arial" w:cs="Arial" w:eastAsia="Arial" w:hAnsi="Arial"/>
                <w:sz w:val="16"/>
                <w:szCs w:val="16"/>
                <w:color w:val="auto"/>
              </w:rPr>
            </w:pPr>
            <w:hyperlink w:anchor="page71">
              <w:r>
                <w:rPr>
                  <w:rFonts w:ascii="Arial" w:cs="Arial" w:eastAsia="Arial" w:hAnsi="Arial"/>
                  <w:sz w:val="16"/>
                  <w:szCs w:val="16"/>
                  <w:color w:val="auto"/>
                </w:rPr>
                <w:t>How performance determined pay in 2020</w:t>
              </w:r>
            </w:hyperlink>
          </w:p>
        </w:tc>
        <w:tc>
          <w:tcPr>
            <w:tcW w:w="42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65</w:t>
              </w:r>
            </w:hyperlink>
          </w:p>
        </w:tc>
      </w:tr>
      <w:tr>
        <w:trPr>
          <w:trHeight w:val="243"/>
        </w:trPr>
        <w:tc>
          <w:tcPr>
            <w:tcW w:w="4780" w:type="dxa"/>
            <w:vAlign w:val="bottom"/>
            <w:gridSpan w:val="2"/>
          </w:tcPr>
          <w:p>
            <w:pPr>
              <w:spacing w:after="0"/>
              <w:rPr>
                <w:rFonts w:ascii="Arial" w:cs="Arial" w:eastAsia="Arial" w:hAnsi="Arial"/>
                <w:sz w:val="16"/>
                <w:szCs w:val="16"/>
                <w:color w:val="auto"/>
              </w:rPr>
            </w:pPr>
            <w:hyperlink w:anchor="page78">
              <w:r>
                <w:rPr>
                  <w:rFonts w:ascii="Arial" w:cs="Arial" w:eastAsia="Arial" w:hAnsi="Arial"/>
                  <w:sz w:val="16"/>
                  <w:szCs w:val="16"/>
                  <w:color w:val="auto"/>
                </w:rPr>
                <w:t>Compensation &amp; Management Development Committee report</w:t>
              </w:r>
            </w:hyperlink>
          </w:p>
        </w:tc>
        <w:tc>
          <w:tcPr>
            <w:tcW w:w="42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72</w:t>
              </w:r>
            </w:hyperlink>
          </w:p>
        </w:tc>
      </w:tr>
      <w:tr>
        <w:trPr>
          <w:trHeight w:val="243"/>
        </w:trPr>
        <w:tc>
          <w:tcPr>
            <w:tcW w:w="4780" w:type="dxa"/>
            <w:vAlign w:val="bottom"/>
            <w:gridSpan w:val="2"/>
          </w:tcPr>
          <w:p>
            <w:pPr>
              <w:spacing w:after="0"/>
              <w:rPr>
                <w:rFonts w:ascii="Arial" w:cs="Arial" w:eastAsia="Arial" w:hAnsi="Arial"/>
                <w:sz w:val="16"/>
                <w:szCs w:val="16"/>
                <w:color w:val="auto"/>
              </w:rPr>
            </w:pPr>
            <w:hyperlink w:anchor="page79">
              <w:r>
                <w:rPr>
                  <w:rFonts w:ascii="Arial" w:cs="Arial" w:eastAsia="Arial" w:hAnsi="Arial"/>
                  <w:sz w:val="16"/>
                  <w:szCs w:val="16"/>
                  <w:color w:val="auto"/>
                </w:rPr>
                <w:t>Executive compensation tables</w:t>
              </w:r>
            </w:hyperlink>
          </w:p>
        </w:tc>
        <w:tc>
          <w:tcPr>
            <w:tcW w:w="420" w:type="dxa"/>
            <w:vAlign w:val="bottom"/>
          </w:tcPr>
          <w:p>
            <w:pPr>
              <w:jc w:val="right"/>
              <w:spacing w:after="0"/>
              <w:rPr>
                <w:rFonts w:ascii="Arial" w:cs="Arial" w:eastAsia="Arial" w:hAnsi="Arial"/>
                <w:sz w:val="16"/>
                <w:szCs w:val="16"/>
                <w:color w:val="auto"/>
              </w:rPr>
            </w:pPr>
            <w:hyperlink w:anchor="page79">
              <w:r>
                <w:rPr>
                  <w:rFonts w:ascii="Arial" w:cs="Arial" w:eastAsia="Arial" w:hAnsi="Arial"/>
                  <w:sz w:val="16"/>
                  <w:szCs w:val="16"/>
                  <w:color w:val="auto"/>
                </w:rPr>
                <w:t>73</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I.</w:t>
            </w:r>
          </w:p>
        </w:tc>
        <w:tc>
          <w:tcPr>
            <w:tcW w:w="4280" w:type="dxa"/>
            <w:vAlign w:val="bottom"/>
          </w:tcPr>
          <w:p>
            <w:pPr>
              <w:ind w:left="200"/>
              <w:spacing w:after="0"/>
              <w:rPr>
                <w:rFonts w:ascii="Arial" w:cs="Arial" w:eastAsia="Arial" w:hAnsi="Arial"/>
                <w:sz w:val="16"/>
                <w:szCs w:val="16"/>
                <w:color w:val="auto"/>
              </w:rPr>
            </w:pPr>
            <w:hyperlink w:anchor="page80">
              <w:r>
                <w:rPr>
                  <w:rFonts w:ascii="Arial" w:cs="Arial" w:eastAsia="Arial" w:hAnsi="Arial"/>
                  <w:sz w:val="16"/>
                  <w:szCs w:val="16"/>
                  <w:color w:val="auto"/>
                </w:rPr>
                <w:t>Summary compensation table</w:t>
              </w:r>
            </w:hyperlink>
          </w:p>
        </w:tc>
        <w:tc>
          <w:tcPr>
            <w:tcW w:w="42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73</w:t>
              </w:r>
            </w:hyperlink>
          </w:p>
        </w:tc>
      </w:tr>
      <w:tr>
        <w:trPr>
          <w:trHeight w:val="243"/>
        </w:trPr>
        <w:tc>
          <w:tcPr>
            <w:tcW w:w="478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II.   </w:t>
            </w:r>
            <w:hyperlink w:anchor="page80">
              <w:r>
                <w:rPr>
                  <w:rFonts w:ascii="Arial" w:cs="Arial" w:eastAsia="Arial" w:hAnsi="Arial"/>
                  <w:sz w:val="16"/>
                  <w:szCs w:val="16"/>
                  <w:color w:val="auto"/>
                </w:rPr>
                <w:t>2020 Grants of plan-based awards</w:t>
              </w:r>
            </w:hyperlink>
          </w:p>
        </w:tc>
        <w:tc>
          <w:tcPr>
            <w:tcW w:w="42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74</w:t>
              </w:r>
            </w:hyperlink>
          </w:p>
        </w:tc>
      </w:tr>
      <w:tr>
        <w:trPr>
          <w:trHeight w:val="243"/>
        </w:trPr>
        <w:tc>
          <w:tcPr>
            <w:tcW w:w="478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III.  </w:t>
            </w:r>
            <w:hyperlink w:anchor="page81">
              <w:r>
                <w:rPr>
                  <w:rFonts w:ascii="Arial" w:cs="Arial" w:eastAsia="Arial" w:hAnsi="Arial"/>
                  <w:sz w:val="16"/>
                  <w:szCs w:val="16"/>
                  <w:color w:val="auto"/>
                </w:rPr>
                <w:t>Outstanding equity awards at fiscal year-end 2020</w:t>
              </w:r>
            </w:hyperlink>
          </w:p>
        </w:tc>
        <w:tc>
          <w:tcPr>
            <w:tcW w:w="420" w:type="dxa"/>
            <w:vAlign w:val="bottom"/>
          </w:tcPr>
          <w:p>
            <w:pPr>
              <w:jc w:val="right"/>
              <w:spacing w:after="0"/>
              <w:rPr>
                <w:rFonts w:ascii="Arial" w:cs="Arial" w:eastAsia="Arial" w:hAnsi="Arial"/>
                <w:sz w:val="16"/>
                <w:szCs w:val="16"/>
                <w:color w:val="auto"/>
              </w:rPr>
            </w:pPr>
            <w:hyperlink w:anchor="page81">
              <w:r>
                <w:rPr>
                  <w:rFonts w:ascii="Arial" w:cs="Arial" w:eastAsia="Arial" w:hAnsi="Arial"/>
                  <w:sz w:val="16"/>
                  <w:szCs w:val="16"/>
                  <w:color w:val="auto"/>
                </w:rPr>
                <w:t>75</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IV.</w:t>
            </w:r>
          </w:p>
        </w:tc>
        <w:tc>
          <w:tcPr>
            <w:tcW w:w="4280" w:type="dxa"/>
            <w:vAlign w:val="bottom"/>
          </w:tcPr>
          <w:p>
            <w:pPr>
              <w:ind w:left="120"/>
              <w:spacing w:after="0"/>
              <w:rPr>
                <w:rFonts w:ascii="Arial" w:cs="Arial" w:eastAsia="Arial" w:hAnsi="Arial"/>
                <w:sz w:val="16"/>
                <w:szCs w:val="16"/>
                <w:color w:val="auto"/>
              </w:rPr>
            </w:pPr>
            <w:hyperlink w:anchor="page83">
              <w:r>
                <w:rPr>
                  <w:rFonts w:ascii="Arial" w:cs="Arial" w:eastAsia="Arial" w:hAnsi="Arial"/>
                  <w:sz w:val="16"/>
                  <w:szCs w:val="16"/>
                  <w:color w:val="auto"/>
                </w:rPr>
                <w:t>2020 Option exercises and stock vested table</w:t>
              </w:r>
            </w:hyperlink>
          </w:p>
        </w:tc>
        <w:tc>
          <w:tcPr>
            <w:tcW w:w="420" w:type="dxa"/>
            <w:vAlign w:val="bottom"/>
          </w:tcPr>
          <w:p>
            <w:pPr>
              <w:jc w:val="right"/>
              <w:spacing w:after="0"/>
              <w:rPr>
                <w:rFonts w:ascii="Arial" w:cs="Arial" w:eastAsia="Arial" w:hAnsi="Arial"/>
                <w:sz w:val="16"/>
                <w:szCs w:val="16"/>
                <w:color w:val="auto"/>
              </w:rPr>
            </w:pPr>
            <w:hyperlink w:anchor="page83">
              <w:r>
                <w:rPr>
                  <w:rFonts w:ascii="Arial" w:cs="Arial" w:eastAsia="Arial" w:hAnsi="Arial"/>
                  <w:sz w:val="16"/>
                  <w:szCs w:val="16"/>
                  <w:color w:val="auto"/>
                </w:rPr>
                <w:t>77</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V.</w:t>
            </w:r>
          </w:p>
        </w:tc>
        <w:tc>
          <w:tcPr>
            <w:tcW w:w="4280" w:type="dxa"/>
            <w:vAlign w:val="bottom"/>
          </w:tcPr>
          <w:p>
            <w:pPr>
              <w:ind w:left="140"/>
              <w:spacing w:after="0"/>
              <w:rPr>
                <w:rFonts w:ascii="Arial" w:cs="Arial" w:eastAsia="Arial" w:hAnsi="Arial"/>
                <w:sz w:val="16"/>
                <w:szCs w:val="16"/>
                <w:color w:val="auto"/>
              </w:rPr>
            </w:pPr>
            <w:hyperlink w:anchor="page84">
              <w:r>
                <w:rPr>
                  <w:rFonts w:ascii="Arial" w:cs="Arial" w:eastAsia="Arial" w:hAnsi="Arial"/>
                  <w:sz w:val="16"/>
                  <w:szCs w:val="16"/>
                  <w:color w:val="auto"/>
                </w:rPr>
                <w:t>2020 Pension benefits</w:t>
              </w:r>
            </w:hyperlink>
          </w:p>
        </w:tc>
        <w:tc>
          <w:tcPr>
            <w:tcW w:w="42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77</w:t>
              </w:r>
            </w:hyperlink>
          </w:p>
        </w:tc>
      </w:tr>
      <w:tr>
        <w:trPr>
          <w:trHeight w:val="243"/>
        </w:trPr>
        <w:tc>
          <w:tcPr>
            <w:tcW w:w="500" w:type="dxa"/>
            <w:vAlign w:val="bottom"/>
          </w:tcPr>
          <w:p>
            <w:pPr>
              <w:ind w:left="260"/>
              <w:spacing w:after="0"/>
              <w:rPr>
                <w:sz w:val="20"/>
                <w:szCs w:val="20"/>
                <w:color w:val="auto"/>
              </w:rPr>
            </w:pPr>
            <w:r>
              <w:rPr>
                <w:rFonts w:ascii="Arial" w:cs="Arial" w:eastAsia="Arial" w:hAnsi="Arial"/>
                <w:sz w:val="16"/>
                <w:szCs w:val="16"/>
                <w:color w:val="auto"/>
              </w:rPr>
              <w:t>VI.</w:t>
            </w:r>
          </w:p>
        </w:tc>
        <w:tc>
          <w:tcPr>
            <w:tcW w:w="4280" w:type="dxa"/>
            <w:vAlign w:val="bottom"/>
          </w:tcPr>
          <w:p>
            <w:pPr>
              <w:ind w:left="120"/>
              <w:spacing w:after="0"/>
              <w:rPr>
                <w:rFonts w:ascii="Arial" w:cs="Arial" w:eastAsia="Arial" w:hAnsi="Arial"/>
                <w:sz w:val="16"/>
                <w:szCs w:val="16"/>
                <w:color w:val="auto"/>
              </w:rPr>
            </w:pPr>
            <w:hyperlink w:anchor="page85">
              <w:r>
                <w:rPr>
                  <w:rFonts w:ascii="Arial" w:cs="Arial" w:eastAsia="Arial" w:hAnsi="Arial"/>
                  <w:sz w:val="16"/>
                  <w:szCs w:val="16"/>
                  <w:color w:val="auto"/>
                </w:rPr>
                <w:t>2020 Non-qualified deferred compensation</w:t>
              </w:r>
            </w:hyperlink>
          </w:p>
        </w:tc>
        <w:tc>
          <w:tcPr>
            <w:tcW w:w="42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78</w:t>
              </w:r>
            </w:hyperlink>
          </w:p>
        </w:tc>
      </w:tr>
      <w:tr>
        <w:trPr>
          <w:trHeight w:val="237"/>
        </w:trPr>
        <w:tc>
          <w:tcPr>
            <w:tcW w:w="4780" w:type="dxa"/>
            <w:vAlign w:val="bottom"/>
            <w:gridSpan w:val="2"/>
          </w:tcPr>
          <w:p>
            <w:pPr>
              <w:ind w:left="260"/>
              <w:spacing w:after="0"/>
              <w:rPr>
                <w:rFonts w:ascii="Arial" w:cs="Arial" w:eastAsia="Arial" w:hAnsi="Arial"/>
                <w:sz w:val="16"/>
                <w:szCs w:val="16"/>
                <w:color w:val="auto"/>
              </w:rPr>
            </w:pPr>
            <w:r>
              <w:rPr>
                <w:rFonts w:ascii="Arial" w:cs="Arial" w:eastAsia="Arial" w:hAnsi="Arial"/>
                <w:sz w:val="16"/>
                <w:szCs w:val="16"/>
                <w:color w:val="auto"/>
              </w:rPr>
              <w:t xml:space="preserve">VII. </w:t>
            </w:r>
            <w:hyperlink w:anchor="page85">
              <w:r>
                <w:rPr>
                  <w:rFonts w:ascii="Arial" w:cs="Arial" w:eastAsia="Arial" w:hAnsi="Arial"/>
                  <w:sz w:val="16"/>
                  <w:szCs w:val="16"/>
                  <w:color w:val="auto"/>
                </w:rPr>
                <w:t>2020 Potential payments upon termination or change in</w:t>
              </w:r>
            </w:hyperlink>
          </w:p>
        </w:tc>
        <w:tc>
          <w:tcPr>
            <w:tcW w:w="420" w:type="dxa"/>
            <w:vAlign w:val="bottom"/>
          </w:tcPr>
          <w:p>
            <w:pPr>
              <w:spacing w:after="0"/>
              <w:rPr>
                <w:sz w:val="20"/>
                <w:szCs w:val="20"/>
                <w:color w:val="auto"/>
              </w:rPr>
            </w:pPr>
          </w:p>
        </w:tc>
      </w:tr>
      <w:tr>
        <w:trPr>
          <w:trHeight w:val="195"/>
        </w:trPr>
        <w:tc>
          <w:tcPr>
            <w:tcW w:w="500" w:type="dxa"/>
            <w:vAlign w:val="bottom"/>
          </w:tcPr>
          <w:p>
            <w:pPr>
              <w:spacing w:after="0"/>
              <w:rPr>
                <w:sz w:val="16"/>
                <w:szCs w:val="16"/>
                <w:color w:val="auto"/>
              </w:rPr>
            </w:pPr>
          </w:p>
        </w:tc>
        <w:tc>
          <w:tcPr>
            <w:tcW w:w="4280" w:type="dxa"/>
            <w:vAlign w:val="bottom"/>
          </w:tcPr>
          <w:p>
            <w:pPr>
              <w:ind w:left="20"/>
              <w:spacing w:after="0"/>
              <w:rPr>
                <w:rFonts w:ascii="Arial" w:cs="Arial" w:eastAsia="Arial" w:hAnsi="Arial"/>
                <w:sz w:val="16"/>
                <w:szCs w:val="16"/>
                <w:color w:val="auto"/>
              </w:rPr>
            </w:pPr>
            <w:hyperlink w:anchor="page85">
              <w:r>
                <w:rPr>
                  <w:rFonts w:ascii="Arial" w:cs="Arial" w:eastAsia="Arial" w:hAnsi="Arial"/>
                  <w:sz w:val="16"/>
                  <w:szCs w:val="16"/>
                  <w:color w:val="auto"/>
                </w:rPr>
                <w:t>control</w:t>
              </w:r>
            </w:hyperlink>
          </w:p>
        </w:tc>
        <w:tc>
          <w:tcPr>
            <w:tcW w:w="42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79</w:t>
              </w:r>
            </w:hyperlink>
          </w:p>
        </w:tc>
      </w:tr>
      <w:tr>
        <w:trPr>
          <w:trHeight w:val="243"/>
        </w:trPr>
        <w:tc>
          <w:tcPr>
            <w:tcW w:w="4780" w:type="dxa"/>
            <w:vAlign w:val="bottom"/>
            <w:gridSpan w:val="2"/>
          </w:tcPr>
          <w:p>
            <w:pPr>
              <w:spacing w:after="0"/>
              <w:rPr>
                <w:rFonts w:ascii="Arial" w:cs="Arial" w:eastAsia="Arial" w:hAnsi="Arial"/>
                <w:sz w:val="16"/>
                <w:szCs w:val="16"/>
                <w:color w:val="auto"/>
              </w:rPr>
            </w:pPr>
            <w:hyperlink w:anchor="page87">
              <w:r>
                <w:rPr>
                  <w:rFonts w:ascii="Arial" w:cs="Arial" w:eastAsia="Arial" w:hAnsi="Arial"/>
                  <w:sz w:val="16"/>
                  <w:szCs w:val="16"/>
                  <w:color w:val="auto"/>
                </w:rPr>
                <w:t>CEO pay ratio disclosure</w:t>
              </w:r>
            </w:hyperlink>
          </w:p>
        </w:tc>
        <w:tc>
          <w:tcPr>
            <w:tcW w:w="420" w:type="dxa"/>
            <w:vAlign w:val="bottom"/>
          </w:tcPr>
          <w:p>
            <w:pPr>
              <w:jc w:val="right"/>
              <w:spacing w:after="0"/>
              <w:rPr>
                <w:rFonts w:ascii="Arial" w:cs="Arial" w:eastAsia="Arial" w:hAnsi="Arial"/>
                <w:sz w:val="16"/>
                <w:szCs w:val="16"/>
                <w:color w:val="auto"/>
              </w:rPr>
            </w:pPr>
            <w:hyperlink w:anchor="page87">
              <w:r>
                <w:rPr>
                  <w:rFonts w:ascii="Arial" w:cs="Arial" w:eastAsia="Arial" w:hAnsi="Arial"/>
                  <w:sz w:val="16"/>
                  <w:szCs w:val="16"/>
                  <w:color w:val="auto"/>
                </w:rPr>
                <w:t>81</w:t>
              </w:r>
            </w:hyperlink>
          </w:p>
        </w:tc>
      </w:tr>
      <w:tr>
        <w:trPr>
          <w:trHeight w:val="243"/>
        </w:trPr>
        <w:tc>
          <w:tcPr>
            <w:tcW w:w="4780" w:type="dxa"/>
            <w:vAlign w:val="bottom"/>
            <w:gridSpan w:val="2"/>
          </w:tcPr>
          <w:p>
            <w:pPr>
              <w:spacing w:after="0"/>
              <w:rPr>
                <w:rFonts w:ascii="Arial" w:cs="Arial" w:eastAsia="Arial" w:hAnsi="Arial"/>
                <w:sz w:val="16"/>
                <w:szCs w:val="16"/>
                <w:color w:val="auto"/>
              </w:rPr>
            </w:pPr>
            <w:hyperlink w:anchor="page88">
              <w:r>
                <w:rPr>
                  <w:rFonts w:ascii="Arial" w:cs="Arial" w:eastAsia="Arial" w:hAnsi="Arial"/>
                  <w:sz w:val="16"/>
                  <w:szCs w:val="16"/>
                  <w:color w:val="auto"/>
                </w:rPr>
                <w:t>Security ownership of directors and executive officers</w:t>
              </w:r>
            </w:hyperlink>
          </w:p>
        </w:tc>
        <w:tc>
          <w:tcPr>
            <w:tcW w:w="420" w:type="dxa"/>
            <w:vAlign w:val="bottom"/>
          </w:tcPr>
          <w:p>
            <w:pPr>
              <w:jc w:val="right"/>
              <w:spacing w:after="0"/>
              <w:rPr>
                <w:rFonts w:ascii="Arial" w:cs="Arial" w:eastAsia="Arial" w:hAnsi="Arial"/>
                <w:sz w:val="16"/>
                <w:szCs w:val="16"/>
                <w:color w:val="auto"/>
              </w:rPr>
            </w:pPr>
            <w:hyperlink w:anchor="page88">
              <w:r>
                <w:rPr>
                  <w:rFonts w:ascii="Arial" w:cs="Arial" w:eastAsia="Arial" w:hAnsi="Arial"/>
                  <w:sz w:val="16"/>
                  <w:szCs w:val="16"/>
                  <w:color w:val="auto"/>
                </w:rPr>
                <w:t>82</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0"/>
        <w:spacing w:after="0"/>
        <w:rPr>
          <w:rFonts w:ascii="Arial" w:cs="Arial" w:eastAsia="Arial" w:hAnsi="Arial"/>
          <w:sz w:val="16"/>
          <w:szCs w:val="16"/>
          <w:b w:val="1"/>
          <w:bCs w:val="1"/>
          <w:color w:val="074A75"/>
        </w:rPr>
      </w:pPr>
      <w:hyperlink w:anchor="page90">
        <w:r>
          <w:rPr>
            <w:rFonts w:ascii="Arial" w:cs="Arial" w:eastAsia="Arial" w:hAnsi="Arial"/>
            <w:sz w:val="16"/>
            <w:szCs w:val="16"/>
            <w:b w:val="1"/>
            <w:bCs w:val="1"/>
            <w:color w:val="074A75"/>
          </w:rPr>
          <w:t>Proposal 3: Approval of Amended and Restated Long-Term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-95885</wp:posOffset>
            </wp:positionV>
            <wp:extent cx="1631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40" w:type="dxa"/>
            <w:vAlign w:val="bottom"/>
          </w:tcPr>
          <w:p>
            <w:pPr>
              <w:ind w:left="260"/>
              <w:spacing w:after="0"/>
              <w:rPr>
                <w:rFonts w:ascii="Arial" w:cs="Arial" w:eastAsia="Arial" w:hAnsi="Arial"/>
                <w:sz w:val="16"/>
                <w:szCs w:val="16"/>
                <w:b w:val="1"/>
                <w:bCs w:val="1"/>
                <w:color w:val="074A75"/>
              </w:rPr>
            </w:pPr>
            <w:hyperlink w:anchor="page90">
              <w:r>
                <w:rPr>
                  <w:rFonts w:ascii="Arial" w:cs="Arial" w:eastAsia="Arial" w:hAnsi="Arial"/>
                  <w:sz w:val="16"/>
                  <w:szCs w:val="16"/>
                  <w:b w:val="1"/>
                  <w:bCs w:val="1"/>
                  <w:color w:val="074A75"/>
                </w:rPr>
                <w:t>Incentive Plan effective May 18, 2021</w:t>
              </w:r>
            </w:hyperlink>
          </w:p>
        </w:tc>
        <w:tc>
          <w:tcPr>
            <w:tcW w:w="1160" w:type="dxa"/>
            <w:vAlign w:val="bottom"/>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6"/>
                <w:szCs w:val="16"/>
                <w:color w:val="auto"/>
              </w:rPr>
              <w:t>Overview</w:t>
            </w: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r>
    </w:tbl>
    <w:p>
      <w:pPr>
        <w:spacing w:after="0" w:line="266" w:lineRule="exact"/>
        <w:rPr>
          <w:sz w:val="20"/>
          <w:szCs w:val="20"/>
          <w:color w:val="auto"/>
        </w:rPr>
      </w:pPr>
    </w:p>
    <w:p>
      <w:pPr>
        <w:ind w:left="20"/>
        <w:spacing w:after="0"/>
        <w:rPr>
          <w:rFonts w:ascii="Arial" w:cs="Arial" w:eastAsia="Arial" w:hAnsi="Arial"/>
          <w:sz w:val="23"/>
          <w:szCs w:val="23"/>
          <w:b w:val="1"/>
          <w:bCs w:val="1"/>
          <w:color w:val="074A75"/>
        </w:rPr>
      </w:pPr>
      <w:hyperlink w:anchor="page98">
        <w:r>
          <w:rPr>
            <w:rFonts w:ascii="Arial" w:cs="Arial" w:eastAsia="Arial" w:hAnsi="Arial"/>
            <w:sz w:val="23"/>
            <w:szCs w:val="23"/>
            <w:b w:val="1"/>
            <w:bCs w:val="1"/>
            <w:color w:val="074A75"/>
          </w:rPr>
          <w:t>Audit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3317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9" w:lineRule="exact"/>
        <w:rPr>
          <w:sz w:val="20"/>
          <w:szCs w:val="20"/>
          <w:color w:val="auto"/>
        </w:rPr>
      </w:pPr>
    </w:p>
    <w:p>
      <w:pPr>
        <w:jc w:val="center"/>
        <w:ind w:right="1080"/>
        <w:spacing w:after="0"/>
        <w:rPr>
          <w:rFonts w:ascii="Arial" w:cs="Arial" w:eastAsia="Arial" w:hAnsi="Arial"/>
          <w:sz w:val="16"/>
          <w:szCs w:val="16"/>
          <w:b w:val="1"/>
          <w:bCs w:val="1"/>
          <w:color w:val="074A75"/>
        </w:rPr>
      </w:pPr>
      <w:hyperlink w:anchor="page99">
        <w:r>
          <w:rPr>
            <w:rFonts w:ascii="Arial" w:cs="Arial" w:eastAsia="Arial" w:hAnsi="Arial"/>
            <w:sz w:val="16"/>
            <w:szCs w:val="16"/>
            <w:b w:val="1"/>
            <w:bCs w:val="1"/>
            <w:color w:val="074A75"/>
          </w:rPr>
          <w:t>Proposal 4: Ratification of independent registered public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-95885</wp:posOffset>
            </wp:positionV>
            <wp:extent cx="1631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ind w:left="280"/>
              <w:spacing w:after="0"/>
              <w:rPr>
                <w:rFonts w:ascii="Arial" w:cs="Arial" w:eastAsia="Arial" w:hAnsi="Arial"/>
                <w:sz w:val="16"/>
                <w:szCs w:val="16"/>
                <w:b w:val="1"/>
                <w:bCs w:val="1"/>
                <w:color w:val="074A75"/>
              </w:rPr>
            </w:pPr>
            <w:hyperlink w:anchor="page99">
              <w:r>
                <w:rPr>
                  <w:rFonts w:ascii="Arial" w:cs="Arial" w:eastAsia="Arial" w:hAnsi="Arial"/>
                  <w:sz w:val="16"/>
                  <w:szCs w:val="16"/>
                  <w:b w:val="1"/>
                  <w:bCs w:val="1"/>
                  <w:color w:val="074A75"/>
                </w:rPr>
                <w:t>accounting firm</w:t>
              </w:r>
            </w:hyperlink>
          </w:p>
        </w:tc>
        <w:tc>
          <w:tcPr>
            <w:tcW w:w="480" w:type="dxa"/>
            <w:vAlign w:val="bottom"/>
          </w:tcPr>
          <w:p>
            <w:pPr>
              <w:spacing w:after="0"/>
              <w:rPr>
                <w:sz w:val="18"/>
                <w:szCs w:val="18"/>
                <w:color w:val="auto"/>
              </w:rPr>
            </w:pPr>
          </w:p>
        </w:tc>
      </w:tr>
      <w:tr>
        <w:trPr>
          <w:trHeight w:val="223"/>
        </w:trPr>
        <w:tc>
          <w:tcPr>
            <w:tcW w:w="4740" w:type="dxa"/>
            <w:vAlign w:val="bottom"/>
          </w:tcPr>
          <w:p>
            <w:pPr>
              <w:ind w:left="20"/>
              <w:spacing w:after="0"/>
              <w:rPr>
                <w:rFonts w:ascii="Arial" w:cs="Arial" w:eastAsia="Arial" w:hAnsi="Arial"/>
                <w:sz w:val="16"/>
                <w:szCs w:val="16"/>
                <w:color w:val="auto"/>
              </w:rPr>
            </w:pPr>
            <w:hyperlink w:anchor="page102">
              <w:r>
                <w:rPr>
                  <w:rFonts w:ascii="Arial" w:cs="Arial" w:eastAsia="Arial" w:hAnsi="Arial"/>
                  <w:sz w:val="16"/>
                  <w:szCs w:val="16"/>
                  <w:color w:val="auto"/>
                </w:rPr>
                <w:t>Audit Committee report</w:t>
              </w:r>
            </w:hyperlink>
          </w:p>
        </w:tc>
        <w:tc>
          <w:tcPr>
            <w:tcW w:w="480" w:type="dxa"/>
            <w:vAlign w:val="bottom"/>
          </w:tcPr>
          <w:p>
            <w:pPr>
              <w:jc w:val="right"/>
              <w:spacing w:after="0"/>
              <w:rPr>
                <w:rFonts w:ascii="Arial" w:cs="Arial" w:eastAsia="Arial" w:hAnsi="Arial"/>
                <w:sz w:val="16"/>
                <w:szCs w:val="16"/>
                <w:color w:val="auto"/>
              </w:rPr>
            </w:pPr>
            <w:hyperlink w:anchor="page102">
              <w:r>
                <w:rPr>
                  <w:rFonts w:ascii="Arial" w:cs="Arial" w:eastAsia="Arial" w:hAnsi="Arial"/>
                  <w:sz w:val="16"/>
                  <w:szCs w:val="16"/>
                  <w:color w:val="auto"/>
                </w:rPr>
                <w:t>96</w:t>
              </w:r>
            </w:hyperlink>
          </w:p>
        </w:tc>
      </w:tr>
      <w:tr>
        <w:trPr>
          <w:trHeight w:val="589"/>
        </w:trPr>
        <w:tc>
          <w:tcPr>
            <w:tcW w:w="4740" w:type="dxa"/>
            <w:vAlign w:val="bottom"/>
          </w:tcPr>
          <w:p>
            <w:pPr>
              <w:ind w:left="20"/>
              <w:spacing w:after="0"/>
              <w:rPr>
                <w:rFonts w:ascii="Arial" w:cs="Arial" w:eastAsia="Arial" w:hAnsi="Arial"/>
                <w:sz w:val="23"/>
                <w:szCs w:val="23"/>
                <w:b w:val="1"/>
                <w:bCs w:val="1"/>
                <w:color w:val="074A75"/>
              </w:rPr>
            </w:pPr>
            <w:hyperlink w:anchor="page104">
              <w:r>
                <w:rPr>
                  <w:rFonts w:ascii="Arial" w:cs="Arial" w:eastAsia="Arial" w:hAnsi="Arial"/>
                  <w:sz w:val="23"/>
                  <w:szCs w:val="23"/>
                  <w:b w:val="1"/>
                  <w:bCs w:val="1"/>
                  <w:color w:val="074A75"/>
                </w:rPr>
                <w:t>Shareholder Proposals</w:t>
              </w:r>
            </w:hyperlink>
          </w:p>
        </w:tc>
        <w:tc>
          <w:tcPr>
            <w:tcW w:w="480" w:type="dxa"/>
            <w:vAlign w:val="bottom"/>
          </w:tcPr>
          <w:p>
            <w:pPr>
              <w:spacing w:after="0"/>
              <w:rPr>
                <w:sz w:val="24"/>
                <w:szCs w:val="24"/>
                <w:color w:val="auto"/>
              </w:rPr>
            </w:pPr>
          </w:p>
        </w:tc>
      </w:tr>
      <w:tr>
        <w:trPr>
          <w:trHeight w:val="38"/>
        </w:trPr>
        <w:tc>
          <w:tcPr>
            <w:tcW w:w="4740" w:type="dxa"/>
            <w:vAlign w:val="bottom"/>
            <w:tcBorders>
              <w:bottom w:val="single" w:sz="8" w:color="004578"/>
            </w:tcBorders>
          </w:tcPr>
          <w:p>
            <w:pPr>
              <w:spacing w:after="0"/>
              <w:rPr>
                <w:sz w:val="3"/>
                <w:szCs w:val="3"/>
                <w:color w:val="auto"/>
              </w:rPr>
            </w:pPr>
          </w:p>
        </w:tc>
        <w:tc>
          <w:tcPr>
            <w:tcW w:w="480" w:type="dxa"/>
            <w:vAlign w:val="bottom"/>
            <w:tcBorders>
              <w:bottom w:val="single" w:sz="8" w:color="074A75"/>
            </w:tcBorders>
          </w:tcPr>
          <w:p>
            <w:pPr>
              <w:spacing w:after="0"/>
              <w:rPr>
                <w:sz w:val="3"/>
                <w:szCs w:val="3"/>
                <w:color w:val="auto"/>
              </w:rPr>
            </w:pPr>
          </w:p>
        </w:tc>
      </w:tr>
      <w:tr>
        <w:trPr>
          <w:trHeight w:val="528"/>
        </w:trPr>
        <w:tc>
          <w:tcPr>
            <w:tcW w:w="4740" w:type="dxa"/>
            <w:vAlign w:val="bottom"/>
          </w:tcPr>
          <w:p>
            <w:pPr>
              <w:ind w:left="20"/>
              <w:spacing w:after="0"/>
              <w:rPr>
                <w:rFonts w:ascii="Arial" w:cs="Arial" w:eastAsia="Arial" w:hAnsi="Arial"/>
                <w:sz w:val="16"/>
                <w:szCs w:val="16"/>
                <w:b w:val="1"/>
                <w:bCs w:val="1"/>
                <w:color w:val="074A75"/>
              </w:rPr>
            </w:pPr>
            <w:hyperlink w:anchor="page113">
              <w:r>
                <w:rPr>
                  <w:rFonts w:ascii="Arial" w:cs="Arial" w:eastAsia="Arial" w:hAnsi="Arial"/>
                  <w:sz w:val="16"/>
                  <w:szCs w:val="16"/>
                  <w:b w:val="1"/>
                  <w:bCs w:val="1"/>
                  <w:color w:val="074A75"/>
                </w:rPr>
                <w:t>Information about the annual shareholder meeting</w:t>
              </w:r>
            </w:hyperlink>
          </w:p>
        </w:tc>
        <w:tc>
          <w:tcPr>
            <w:tcW w:w="480" w:type="dxa"/>
            <w:vAlign w:val="bottom"/>
          </w:tcPr>
          <w:p>
            <w:pPr>
              <w:jc w:val="right"/>
              <w:spacing w:after="0"/>
              <w:rPr>
                <w:rFonts w:ascii="Arial" w:cs="Arial" w:eastAsia="Arial" w:hAnsi="Arial"/>
                <w:sz w:val="16"/>
                <w:szCs w:val="16"/>
                <w:color w:val="auto"/>
              </w:rPr>
            </w:pPr>
            <w:hyperlink w:anchor="page113">
              <w:r>
                <w:rPr>
                  <w:rFonts w:ascii="Arial" w:cs="Arial" w:eastAsia="Arial" w:hAnsi="Arial"/>
                  <w:sz w:val="16"/>
                  <w:szCs w:val="16"/>
                  <w:color w:val="auto"/>
                </w:rPr>
                <w:t>107</w:t>
              </w:r>
            </w:hyperlink>
          </w:p>
        </w:tc>
      </w:tr>
      <w:tr>
        <w:trPr>
          <w:trHeight w:val="325"/>
        </w:trPr>
        <w:tc>
          <w:tcPr>
            <w:tcW w:w="4740" w:type="dxa"/>
            <w:vAlign w:val="bottom"/>
          </w:tcPr>
          <w:p>
            <w:pPr>
              <w:ind w:left="20"/>
              <w:spacing w:after="0"/>
              <w:rPr>
                <w:rFonts w:ascii="Arial" w:cs="Arial" w:eastAsia="Arial" w:hAnsi="Arial"/>
                <w:sz w:val="16"/>
                <w:szCs w:val="16"/>
                <w:b w:val="1"/>
                <w:bCs w:val="1"/>
                <w:color w:val="074A75"/>
              </w:rPr>
            </w:pPr>
            <w:hyperlink w:anchor="page118">
              <w:r>
                <w:rPr>
                  <w:rFonts w:ascii="Arial" w:cs="Arial" w:eastAsia="Arial" w:hAnsi="Arial"/>
                  <w:sz w:val="16"/>
                  <w:szCs w:val="16"/>
                  <w:b w:val="1"/>
                  <w:bCs w:val="1"/>
                  <w:color w:val="074A75"/>
                </w:rPr>
                <w:t>Shareholder proposals and nominations for the 2022 annual</w:t>
              </w:r>
            </w:hyperlink>
          </w:p>
        </w:tc>
        <w:tc>
          <w:tcPr>
            <w:tcW w:w="480" w:type="dxa"/>
            <w:vAlign w:val="bottom"/>
          </w:tcPr>
          <w:p>
            <w:pPr>
              <w:spacing w:after="0"/>
              <w:rPr>
                <w:sz w:val="24"/>
                <w:szCs w:val="24"/>
                <w:color w:val="auto"/>
              </w:rPr>
            </w:pPr>
          </w:p>
        </w:tc>
      </w:tr>
      <w:tr>
        <w:trPr>
          <w:trHeight w:val="215"/>
        </w:trPr>
        <w:tc>
          <w:tcPr>
            <w:tcW w:w="4740" w:type="dxa"/>
            <w:vAlign w:val="bottom"/>
          </w:tcPr>
          <w:p>
            <w:pPr>
              <w:ind w:left="280"/>
              <w:spacing w:after="0"/>
              <w:rPr>
                <w:rFonts w:ascii="Arial" w:cs="Arial" w:eastAsia="Arial" w:hAnsi="Arial"/>
                <w:sz w:val="16"/>
                <w:szCs w:val="16"/>
                <w:b w:val="1"/>
                <w:bCs w:val="1"/>
                <w:color w:val="074A75"/>
              </w:rPr>
            </w:pPr>
            <w:hyperlink w:anchor="page118">
              <w:r>
                <w:rPr>
                  <w:rFonts w:ascii="Arial" w:cs="Arial" w:eastAsia="Arial" w:hAnsi="Arial"/>
                  <w:sz w:val="16"/>
                  <w:szCs w:val="16"/>
                  <w:b w:val="1"/>
                  <w:bCs w:val="1"/>
                  <w:color w:val="074A75"/>
                </w:rPr>
                <w:t>meeting</w:t>
              </w:r>
            </w:hyperlink>
          </w:p>
        </w:tc>
        <w:tc>
          <w:tcPr>
            <w:tcW w:w="480" w:type="dxa"/>
            <w:vAlign w:val="bottom"/>
          </w:tcPr>
          <w:p>
            <w:pPr>
              <w:jc w:val="right"/>
              <w:spacing w:after="0"/>
              <w:rPr>
                <w:rFonts w:ascii="Arial" w:cs="Arial" w:eastAsia="Arial" w:hAnsi="Arial"/>
                <w:sz w:val="16"/>
                <w:szCs w:val="16"/>
                <w:color w:val="auto"/>
              </w:rPr>
            </w:pPr>
            <w:hyperlink w:anchor="page118">
              <w:r>
                <w:rPr>
                  <w:rFonts w:ascii="Arial" w:cs="Arial" w:eastAsia="Arial" w:hAnsi="Arial"/>
                  <w:sz w:val="16"/>
                  <w:szCs w:val="16"/>
                  <w:color w:val="auto"/>
                </w:rPr>
                <w:t>112</w:t>
              </w:r>
            </w:hyperlink>
          </w:p>
        </w:tc>
      </w:tr>
      <w:tr>
        <w:trPr>
          <w:trHeight w:val="351"/>
        </w:trPr>
        <w:tc>
          <w:tcPr>
            <w:tcW w:w="4740" w:type="dxa"/>
            <w:vAlign w:val="bottom"/>
          </w:tcPr>
          <w:p>
            <w:pPr>
              <w:ind w:left="20"/>
              <w:spacing w:after="0"/>
              <w:rPr>
                <w:rFonts w:ascii="Arial" w:cs="Arial" w:eastAsia="Arial" w:hAnsi="Arial"/>
                <w:sz w:val="16"/>
                <w:szCs w:val="16"/>
                <w:b w:val="1"/>
                <w:bCs w:val="1"/>
                <w:color w:val="074A75"/>
              </w:rPr>
            </w:pPr>
            <w:hyperlink w:anchor="page119">
              <w:r>
                <w:rPr>
                  <w:rFonts w:ascii="Arial" w:cs="Arial" w:eastAsia="Arial" w:hAnsi="Arial"/>
                  <w:sz w:val="16"/>
                  <w:szCs w:val="16"/>
                  <w:b w:val="1"/>
                  <w:bCs w:val="1"/>
                  <w:color w:val="074A75"/>
                </w:rPr>
                <w:t>Notes on Non-GAAP financial measures</w:t>
              </w:r>
            </w:hyperlink>
          </w:p>
        </w:tc>
        <w:tc>
          <w:tcPr>
            <w:tcW w:w="480" w:type="dxa"/>
            <w:vAlign w:val="bottom"/>
          </w:tcPr>
          <w:p>
            <w:pPr>
              <w:jc w:val="right"/>
              <w:spacing w:after="0"/>
              <w:rPr>
                <w:rFonts w:ascii="Arial" w:cs="Arial" w:eastAsia="Arial" w:hAnsi="Arial"/>
                <w:sz w:val="16"/>
                <w:szCs w:val="16"/>
                <w:color w:val="auto"/>
              </w:rPr>
            </w:pPr>
            <w:hyperlink w:anchor="page119">
              <w:r>
                <w:rPr>
                  <w:rFonts w:ascii="Arial" w:cs="Arial" w:eastAsia="Arial" w:hAnsi="Arial"/>
                  <w:sz w:val="16"/>
                  <w:szCs w:val="16"/>
                  <w:color w:val="auto"/>
                </w:rPr>
                <w:t>113</w:t>
              </w:r>
            </w:hyperlink>
          </w:p>
        </w:tc>
      </w:tr>
      <w:tr>
        <w:trPr>
          <w:trHeight w:val="351"/>
        </w:trPr>
        <w:tc>
          <w:tcPr>
            <w:tcW w:w="4740" w:type="dxa"/>
            <w:vAlign w:val="bottom"/>
          </w:tcPr>
          <w:p>
            <w:pPr>
              <w:ind w:left="20"/>
              <w:spacing w:after="0"/>
              <w:rPr>
                <w:rFonts w:ascii="Arial" w:cs="Arial" w:eastAsia="Arial" w:hAnsi="Arial"/>
                <w:sz w:val="16"/>
                <w:szCs w:val="16"/>
                <w:b w:val="1"/>
                <w:bCs w:val="1"/>
                <w:color w:val="074A75"/>
              </w:rPr>
            </w:pPr>
            <w:hyperlink w:anchor="page121">
              <w:r>
                <w:rPr>
                  <w:rFonts w:ascii="Arial" w:cs="Arial" w:eastAsia="Arial" w:hAnsi="Arial"/>
                  <w:sz w:val="16"/>
                  <w:szCs w:val="16"/>
                  <w:b w:val="1"/>
                  <w:bCs w:val="1"/>
                  <w:color w:val="074A75"/>
                </w:rPr>
                <w:t>Appendix</w:t>
              </w:r>
            </w:hyperlink>
          </w:p>
        </w:tc>
        <w:tc>
          <w:tcPr>
            <w:tcW w:w="480" w:type="dxa"/>
            <w:vAlign w:val="bottom"/>
          </w:tcPr>
          <w:p>
            <w:pPr>
              <w:jc w:val="right"/>
              <w:spacing w:after="0"/>
              <w:rPr>
                <w:rFonts w:ascii="Arial" w:cs="Arial" w:eastAsia="Arial" w:hAnsi="Arial"/>
                <w:sz w:val="16"/>
                <w:szCs w:val="16"/>
                <w:color w:val="auto"/>
              </w:rPr>
            </w:pPr>
            <w:hyperlink w:anchor="page121">
              <w:r>
                <w:rPr>
                  <w:rFonts w:ascii="Arial" w:cs="Arial" w:eastAsia="Arial" w:hAnsi="Arial"/>
                  <w:sz w:val="16"/>
                  <w:szCs w:val="16"/>
                  <w:color w:val="auto"/>
                </w:rPr>
                <w:t>115</w:t>
              </w:r>
            </w:hyperlink>
          </w:p>
        </w:tc>
      </w:tr>
      <w:tr>
        <w:trPr>
          <w:trHeight w:val="351"/>
        </w:trPr>
        <w:tc>
          <w:tcPr>
            <w:tcW w:w="4740" w:type="dxa"/>
            <w:vAlign w:val="bottom"/>
          </w:tcPr>
          <w:p>
            <w:pPr>
              <w:ind w:left="20"/>
              <w:spacing w:after="0"/>
              <w:rPr>
                <w:rFonts w:ascii="Arial" w:cs="Arial" w:eastAsia="Arial" w:hAnsi="Arial"/>
                <w:sz w:val="16"/>
                <w:szCs w:val="16"/>
                <w:b w:val="1"/>
                <w:bCs w:val="1"/>
                <w:color w:val="074A75"/>
              </w:rPr>
            </w:pPr>
            <w:hyperlink w:anchor="page127">
              <w:r>
                <w:rPr>
                  <w:rFonts w:ascii="Arial" w:cs="Arial" w:eastAsia="Arial" w:hAnsi="Arial"/>
                  <w:sz w:val="16"/>
                  <w:szCs w:val="16"/>
                  <w:b w:val="1"/>
                  <w:bCs w:val="1"/>
                  <w:color w:val="074A75"/>
                </w:rPr>
                <w:t>Glossary of selected terms and acronyms</w:t>
              </w:r>
            </w:hyperlink>
          </w:p>
        </w:tc>
        <w:tc>
          <w:tcPr>
            <w:tcW w:w="480" w:type="dxa"/>
            <w:vAlign w:val="bottom"/>
          </w:tcPr>
          <w:p>
            <w:pPr>
              <w:jc w:val="right"/>
              <w:spacing w:after="0"/>
              <w:rPr>
                <w:rFonts w:ascii="Arial" w:cs="Arial" w:eastAsia="Arial" w:hAnsi="Arial"/>
                <w:sz w:val="16"/>
                <w:szCs w:val="16"/>
                <w:color w:val="auto"/>
              </w:rPr>
            </w:pPr>
            <w:hyperlink w:anchor="page127">
              <w:r>
                <w:rPr>
                  <w:rFonts w:ascii="Arial" w:cs="Arial" w:eastAsia="Arial" w:hAnsi="Arial"/>
                  <w:sz w:val="16"/>
                  <w:szCs w:val="16"/>
                  <w:color w:val="auto"/>
                </w:rPr>
                <w:t>121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-1590040</wp:posOffset>
            </wp:positionV>
            <wp:extent cx="1714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10" w:lineRule="exact"/>
        <w:rPr>
          <w:sz w:val="20"/>
          <w:szCs w:val="20"/>
          <w:color w:val="auto"/>
        </w:rPr>
      </w:pPr>
    </w:p>
    <w:p>
      <w:pPr>
        <w:sectPr>
          <w:pgSz w:w="11900" w:h="16838" w:orient="portrait"/>
          <w:cols w:equalWidth="0" w:num="2">
            <w:col w:w="5220" w:space="520"/>
            <w:col w:w="5480"/>
          </w:cols>
          <w:pgMar w:left="320" w:top="171" w:right="359" w:bottom="1440" w:gutter="0" w:footer="0" w:header="0"/>
          <w:type w:val="continuous"/>
        </w:sectPr>
      </w:pP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proxy statement contains forward-looking statements.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and are subject to significant risks and uncertainties. These risks and uncertainties could cause the Firm’s actual results to differ materially from those set forth in such forward-looking statements. Certain of such risks and uncertainties are described in JPMorgan Chase’s Annual Report on Form 10-K for the year ended December 31, 2020 ("2020 Form 10-K"). JPMorgan Chase does not undertake to update the forward-looking statements included in this proxy statement to reflect the impact of circumstances or events that may arise after the date the forward-looking statements were made.</w:t>
      </w:r>
    </w:p>
    <w:p>
      <w:pPr>
        <w:spacing w:after="0" w:line="7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No websites that are cited or referred to in this proxy statement shall be deemed to form part of, or to be incorporated by reference into, this proxy statement.</w:t>
      </w:r>
    </w:p>
    <w:p>
      <w:pPr>
        <w:sectPr>
          <w:pgSz w:w="11900" w:h="16838" w:orient="portrait"/>
          <w:cols w:equalWidth="0" w:num="1">
            <w:col w:w="11220"/>
          </w:cols>
          <w:pgMar w:left="320" w:top="17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2021 Proxy summary</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This summary highlights information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121.</w:t>
      </w:r>
    </w:p>
    <w:p>
      <w:pPr>
        <w:spacing w:after="0" w:line="8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107. This proxy statement has been prepared by our management and approved by the Board of Directors, and is being sent or made available to our shareholders on or about April 7, 2021.</w:t>
      </w:r>
    </w:p>
    <w:p>
      <w:pPr>
        <w:spacing w:after="0" w:line="90" w:lineRule="exact"/>
        <w:rPr>
          <w:sz w:val="20"/>
          <w:szCs w:val="20"/>
          <w:color w:val="auto"/>
        </w:rPr>
      </w:pPr>
    </w:p>
    <w:p>
      <w:pPr>
        <w:spacing w:after="0"/>
        <w:rPr>
          <w:sz w:val="20"/>
          <w:szCs w:val="20"/>
          <w:color w:val="auto"/>
        </w:rPr>
      </w:pPr>
      <w:r>
        <w:rPr>
          <w:rFonts w:ascii="Arial" w:cs="Arial" w:eastAsia="Arial" w:hAnsi="Arial"/>
          <w:sz w:val="29"/>
          <w:szCs w:val="29"/>
          <w:color w:val="074A75"/>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137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80" w:right="1760"/>
        <w:spacing w:after="0" w:line="287" w:lineRule="auto"/>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074A75"/>
          <w:shd w:val="clear" w:color="auto" w:fill="E7E7E8"/>
        </w:rPr>
        <w:t>FOR</w:t>
      </w:r>
      <w:r>
        <w:rPr>
          <w:rFonts w:ascii="Arial" w:cs="Arial" w:eastAsia="Arial" w:hAnsi="Arial"/>
          <w:sz w:val="18"/>
          <w:szCs w:val="18"/>
          <w:b w:val="1"/>
          <w:bCs w:val="1"/>
          <w:color w:val="074A75"/>
          <w:shd w:val="clear" w:color="auto" w:fill="E7E7E8"/>
        </w:rPr>
        <w:t xml:space="preserve"> each director nominee and </w:t>
      </w:r>
      <w:r>
        <w:rPr>
          <w:rFonts w:ascii="Arial" w:cs="Arial" w:eastAsia="Arial" w:hAnsi="Arial"/>
          <w:sz w:val="18"/>
          <w:szCs w:val="18"/>
          <w:b w:val="1"/>
          <w:bCs w:val="1"/>
          <w:u w:val="single" w:color="auto"/>
          <w:color w:val="074A75"/>
          <w:shd w:val="clear" w:color="auto" w:fill="E7E7E8"/>
        </w:rPr>
        <w:t>FOR</w:t>
      </w:r>
      <w:r>
        <w:rPr>
          <w:rFonts w:ascii="Arial" w:cs="Arial" w:eastAsia="Arial" w:hAnsi="Arial"/>
          <w:sz w:val="18"/>
          <w:szCs w:val="18"/>
          <w:b w:val="1"/>
          <w:bCs w:val="1"/>
          <w:color w:val="074A75"/>
          <w:shd w:val="clear" w:color="auto" w:fill="E7E7E8"/>
        </w:rPr>
        <w:t xml:space="preserve"> </w:t>
      </w:r>
      <w:r>
        <w:rPr>
          <w:rFonts w:ascii="Arial" w:cs="Arial" w:eastAsia="Arial" w:hAnsi="Arial"/>
          <w:sz w:val="18"/>
          <w:szCs w:val="18"/>
          <w:b w:val="1"/>
          <w:bCs w:val="1"/>
          <w:color w:val="074A75"/>
        </w:rPr>
        <w:t>the following proposals</w:t>
      </w:r>
      <w:r>
        <w:rPr>
          <w:rFonts w:ascii="Arial" w:cs="Arial" w:eastAsia="Arial" w:hAnsi="Arial"/>
          <w:sz w:val="18"/>
          <w:szCs w:val="18"/>
          <w:b w:val="1"/>
          <w:bCs w:val="1"/>
          <w:color w:val="074A75"/>
          <w:shd w:val="clear" w:color="auto" w:fill="E7E7E8"/>
        </w:rPr>
        <w:t xml:space="preserve"> </w:t>
      </w:r>
      <w:r>
        <w:rPr>
          <w:rFonts w:ascii="Arial" w:cs="Arial" w:eastAsia="Arial" w:hAnsi="Arial"/>
          <w:sz w:val="18"/>
          <w:szCs w:val="18"/>
          <w:color w:val="074A75"/>
          <w:shd w:val="clear" w:color="auto" w:fill="E7E7E8"/>
        </w:rPr>
        <w:t>(for more information see page referenced):</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1.</w:t>
            </w:r>
          </w:p>
        </w:tc>
        <w:tc>
          <w:tcPr>
            <w:tcW w:w="8820" w:type="dxa"/>
            <w:vAlign w:val="bottom"/>
          </w:tcPr>
          <w:p>
            <w:pPr>
              <w:ind w:left="140"/>
              <w:spacing w:after="0"/>
              <w:rPr>
                <w:sz w:val="20"/>
                <w:szCs w:val="20"/>
                <w:color w:val="auto"/>
              </w:rPr>
            </w:pPr>
            <w:r>
              <w:rPr>
                <w:rFonts w:ascii="Arial" w:cs="Arial" w:eastAsia="Arial" w:hAnsi="Arial"/>
                <w:sz w:val="18"/>
                <w:szCs w:val="18"/>
                <w:color w:val="auto"/>
              </w:rPr>
              <w:t>Election of Directors</w:t>
            </w:r>
          </w:p>
        </w:tc>
        <w:tc>
          <w:tcPr>
            <w:tcW w:w="208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10</w:t>
              </w:r>
            </w:hyperlink>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2.</w:t>
            </w:r>
          </w:p>
        </w:tc>
        <w:tc>
          <w:tcPr>
            <w:tcW w:w="8820" w:type="dxa"/>
            <w:vAlign w:val="bottom"/>
          </w:tcPr>
          <w:p>
            <w:pPr>
              <w:ind w:left="140"/>
              <w:spacing w:after="0"/>
              <w:rPr>
                <w:sz w:val="20"/>
                <w:szCs w:val="20"/>
                <w:color w:val="auto"/>
              </w:rPr>
            </w:pPr>
            <w:r>
              <w:rPr>
                <w:rFonts w:ascii="Arial" w:cs="Arial" w:eastAsia="Arial" w:hAnsi="Arial"/>
                <w:sz w:val="18"/>
                <w:szCs w:val="18"/>
                <w:color w:val="auto"/>
              </w:rPr>
              <w:t>Advisory resolution to approve executive compensation</w:t>
            </w:r>
          </w:p>
        </w:tc>
        <w:tc>
          <w:tcPr>
            <w:tcW w:w="2080" w:type="dxa"/>
            <w:vAlign w:val="bottom"/>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37</w:t>
              </w:r>
            </w:hyperlink>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3.</w:t>
            </w:r>
          </w:p>
        </w:tc>
        <w:tc>
          <w:tcPr>
            <w:tcW w:w="8820" w:type="dxa"/>
            <w:vAlign w:val="bottom"/>
          </w:tcPr>
          <w:p>
            <w:pPr>
              <w:ind w:left="140"/>
              <w:spacing w:after="0"/>
              <w:rPr>
                <w:sz w:val="20"/>
                <w:szCs w:val="20"/>
                <w:color w:val="auto"/>
              </w:rPr>
            </w:pPr>
            <w:r>
              <w:rPr>
                <w:rFonts w:ascii="Arial" w:cs="Arial" w:eastAsia="Arial" w:hAnsi="Arial"/>
                <w:sz w:val="18"/>
                <w:szCs w:val="18"/>
                <w:color w:val="auto"/>
              </w:rPr>
              <w:t>Approval of Amended and Restated Long-Term Incentive Plan effective May 18, 2021</w:t>
            </w:r>
          </w:p>
        </w:tc>
        <w:tc>
          <w:tcPr>
            <w:tcW w:w="208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84</w:t>
              </w:r>
            </w:hyperlink>
          </w:p>
        </w:tc>
      </w:tr>
      <w:tr>
        <w:trPr>
          <w:trHeight w:val="270"/>
        </w:trPr>
        <w:tc>
          <w:tcPr>
            <w:tcW w:w="300" w:type="dxa"/>
            <w:vAlign w:val="bottom"/>
          </w:tcPr>
          <w:p>
            <w:pPr>
              <w:jc w:val="right"/>
              <w:ind w:right="50"/>
              <w:spacing w:after="0"/>
              <w:rPr>
                <w:sz w:val="20"/>
                <w:szCs w:val="20"/>
                <w:color w:val="auto"/>
              </w:rPr>
            </w:pPr>
            <w:r>
              <w:rPr>
                <w:rFonts w:ascii="Arial" w:cs="Arial" w:eastAsia="Arial" w:hAnsi="Arial"/>
                <w:sz w:val="18"/>
                <w:szCs w:val="18"/>
                <w:color w:val="auto"/>
                <w:w w:val="92"/>
              </w:rPr>
              <w:t>4.</w:t>
            </w:r>
          </w:p>
        </w:tc>
        <w:tc>
          <w:tcPr>
            <w:tcW w:w="8820" w:type="dxa"/>
            <w:vAlign w:val="bottom"/>
          </w:tcPr>
          <w:p>
            <w:pPr>
              <w:ind w:left="140"/>
              <w:spacing w:after="0"/>
              <w:rPr>
                <w:sz w:val="20"/>
                <w:szCs w:val="20"/>
                <w:color w:val="auto"/>
              </w:rPr>
            </w:pPr>
            <w:r>
              <w:rPr>
                <w:rFonts w:ascii="Arial" w:cs="Arial" w:eastAsia="Arial" w:hAnsi="Arial"/>
                <w:sz w:val="18"/>
                <w:szCs w:val="18"/>
                <w:color w:val="auto"/>
              </w:rPr>
              <w:t>Ratification of independent registered public accounting firm</w:t>
            </w:r>
          </w:p>
        </w:tc>
        <w:tc>
          <w:tcPr>
            <w:tcW w:w="2080" w:type="dxa"/>
            <w:vAlign w:val="bottom"/>
          </w:tcPr>
          <w:p>
            <w:pPr>
              <w:jc w:val="right"/>
              <w:spacing w:after="0"/>
              <w:rPr>
                <w:rFonts w:ascii="Arial" w:cs="Arial" w:eastAsia="Arial" w:hAnsi="Arial"/>
                <w:sz w:val="16"/>
                <w:szCs w:val="16"/>
                <w:color w:val="auto"/>
              </w:rPr>
            </w:pPr>
            <w:hyperlink w:anchor="page99">
              <w:r>
                <w:rPr>
                  <w:rFonts w:ascii="Arial" w:cs="Arial" w:eastAsia="Arial" w:hAnsi="Arial"/>
                  <w:sz w:val="16"/>
                  <w:szCs w:val="16"/>
                  <w:color w:val="auto"/>
                </w:rPr>
                <w:t>92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137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20"/>
          <w:szCs w:val="20"/>
          <w:color w:val="074A75"/>
        </w:rPr>
        <w:t>SHAREHOLDER PROPOSALS (if they are properly introduced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4800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98" w:lineRule="exact"/>
        <w:rPr>
          <w:sz w:val="20"/>
          <w:szCs w:val="20"/>
          <w:color w:val="auto"/>
        </w:rPr>
      </w:pPr>
    </w:p>
    <w:p>
      <w:pPr>
        <w:ind w:left="280" w:right="2340"/>
        <w:spacing w:after="0" w:line="287" w:lineRule="auto"/>
        <w:rPr>
          <w:sz w:val="20"/>
          <w:szCs w:val="20"/>
          <w:color w:val="auto"/>
        </w:rPr>
      </w:pPr>
      <w:r>
        <w:rPr>
          <w:rFonts w:ascii="Arial" w:cs="Arial" w:eastAsia="Arial" w:hAnsi="Arial"/>
          <w:sz w:val="18"/>
          <w:szCs w:val="18"/>
          <w:b w:val="1"/>
          <w:bCs w:val="1"/>
          <w:color w:val="074A75"/>
          <w:shd w:val="clear" w:color="auto" w:fill="E7E7E8"/>
        </w:rPr>
        <w:t xml:space="preserve">The Board of Directors recommends you vote </w:t>
      </w:r>
      <w:r>
        <w:rPr>
          <w:rFonts w:ascii="Arial" w:cs="Arial" w:eastAsia="Arial" w:hAnsi="Arial"/>
          <w:sz w:val="18"/>
          <w:szCs w:val="18"/>
          <w:b w:val="1"/>
          <w:bCs w:val="1"/>
          <w:u w:val="single" w:color="auto"/>
          <w:color w:val="9E3124"/>
          <w:shd w:val="clear" w:color="auto" w:fill="E7E7E8"/>
        </w:rPr>
        <w:t>AGAINST</w:t>
      </w:r>
      <w:r>
        <w:rPr>
          <w:rFonts w:ascii="Arial" w:cs="Arial" w:eastAsia="Arial" w:hAnsi="Arial"/>
          <w:sz w:val="18"/>
          <w:szCs w:val="18"/>
          <w:b w:val="1"/>
          <w:bCs w:val="1"/>
          <w:color w:val="074A75"/>
          <w:shd w:val="clear" w:color="auto" w:fill="E7E7E8"/>
        </w:rPr>
        <w:t xml:space="preserve"> each of the following shareholder proposals </w:t>
      </w:r>
      <w:r>
        <w:rPr>
          <w:rFonts w:ascii="Arial" w:cs="Arial" w:eastAsia="Arial" w:hAnsi="Arial"/>
          <w:sz w:val="18"/>
          <w:szCs w:val="18"/>
          <w:color w:val="074A75"/>
          <w:shd w:val="clear" w:color="auto" w:fill="E7E7E8"/>
        </w:rPr>
        <w:t>(for more information see page referenced):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Improve shareholder written consent</w:t>
            </w:r>
          </w:p>
        </w:tc>
        <w:tc>
          <w:tcPr>
            <w:tcW w:w="420" w:type="dxa"/>
            <w:vAlign w:val="bottom"/>
          </w:tcPr>
          <w:p>
            <w:pPr>
              <w:spacing w:after="0"/>
              <w:rPr>
                <w:sz w:val="19"/>
                <w:szCs w:val="19"/>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99</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Racial equity audit and report</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101</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Independent board chairman</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103</w:t>
              </w:r>
            </w:hyperlink>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Political and electioneering expenditure congruency report</w:t>
            </w:r>
          </w:p>
        </w:tc>
        <w:tc>
          <w:tcPr>
            <w:tcW w:w="420" w:type="dxa"/>
            <w:vAlign w:val="bottom"/>
          </w:tcPr>
          <w:p>
            <w:pPr>
              <w:spacing w:after="0"/>
              <w:rPr>
                <w:sz w:val="23"/>
                <w:szCs w:val="23"/>
                <w:color w:val="auto"/>
              </w:rPr>
            </w:pPr>
          </w:p>
        </w:tc>
        <w:tc>
          <w:tcPr>
            <w:tcW w:w="5380" w:type="dxa"/>
            <w:vAlign w:val="bottom"/>
            <w:gridSpan w:val="2"/>
          </w:tcPr>
          <w:p>
            <w:pPr>
              <w:jc w:val="right"/>
              <w:spacing w:after="0"/>
              <w:rPr>
                <w:rFonts w:ascii="Arial" w:cs="Arial" w:eastAsia="Arial" w:hAnsi="Arial"/>
                <w:sz w:val="16"/>
                <w:szCs w:val="16"/>
                <w:color w:val="auto"/>
              </w:rPr>
            </w:pPr>
            <w:hyperlink w:anchor="page111">
              <w:r>
                <w:rPr>
                  <w:rFonts w:ascii="Arial" w:cs="Arial" w:eastAsia="Arial" w:hAnsi="Arial"/>
                  <w:sz w:val="16"/>
                  <w:szCs w:val="16"/>
                  <w:color w:val="auto"/>
                </w:rPr>
                <w:t>105</w:t>
              </w:r>
            </w:hyperlink>
          </w:p>
        </w:tc>
        <w:tc>
          <w:tcPr>
            <w:tcW w:w="0" w:type="dxa"/>
            <w:vAlign w:val="bottom"/>
          </w:tcPr>
          <w:p>
            <w:pPr>
              <w:spacing w:after="0"/>
              <w:rPr>
                <w:sz w:val="1"/>
                <w:szCs w:val="1"/>
                <w:color w:val="auto"/>
              </w:rPr>
            </w:pPr>
          </w:p>
        </w:tc>
      </w:tr>
      <w:tr>
        <w:trPr>
          <w:trHeight w:val="681"/>
        </w:trPr>
        <w:tc>
          <w:tcPr>
            <w:tcW w:w="1920" w:type="dxa"/>
            <w:vAlign w:val="bottom"/>
            <w:gridSpan w:val="2"/>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Borders>
              <w:bottom w:val="single" w:sz="8" w:color="8A8C8F"/>
            </w:tcBorders>
          </w:tcPr>
          <w:p>
            <w:pPr>
              <w:spacing w:after="0"/>
              <w:rPr>
                <w:sz w:val="24"/>
                <w:szCs w:val="24"/>
                <w:color w:val="auto"/>
              </w:rPr>
            </w:pPr>
          </w:p>
        </w:tc>
        <w:tc>
          <w:tcPr>
            <w:tcW w:w="3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gridSpan w:val="2"/>
            <w:vMerge w:val="restart"/>
          </w:tcPr>
          <w:p>
            <w:pPr>
              <w:spacing w:after="0"/>
              <w:rPr>
                <w:sz w:val="20"/>
                <w:szCs w:val="20"/>
                <w:color w:val="auto"/>
              </w:rPr>
            </w:pPr>
            <w:r>
              <w:rPr>
                <w:rFonts w:ascii="Arial" w:cs="Arial" w:eastAsia="Arial" w:hAnsi="Arial"/>
                <w:sz w:val="14"/>
                <w:szCs w:val="14"/>
                <w:color w:val="auto"/>
              </w:rPr>
              <w:t>2021 PROXY STATEMENT</w:t>
            </w:r>
          </w:p>
        </w:tc>
        <w:tc>
          <w:tcPr>
            <w:tcW w:w="3480" w:type="dxa"/>
            <w:vAlign w:val="bottom"/>
            <w:tcBorders>
              <w:bottom w:val="single" w:sz="8" w:color="8A8C8F"/>
              <w:right w:val="single" w:sz="8" w:color="8A8C8F"/>
            </w:tcBorders>
          </w:tcPr>
          <w:p>
            <w:pPr>
              <w:spacing w:after="0"/>
              <w:rPr>
                <w:sz w:val="7"/>
                <w:szCs w:val="7"/>
                <w:color w:val="auto"/>
              </w:rPr>
            </w:pPr>
          </w:p>
        </w:tc>
        <w:tc>
          <w:tcPr>
            <w:tcW w:w="420" w:type="dxa"/>
            <w:vAlign w:val="bottom"/>
            <w:tcBorders>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1</w:t>
            </w:r>
          </w:p>
        </w:tc>
        <w:tc>
          <w:tcPr>
            <w:tcW w:w="3460" w:type="dxa"/>
            <w:vAlign w:val="bottom"/>
            <w:tcBorders>
              <w:bottom w:val="single" w:sz="8" w:color="8A8C8F"/>
            </w:tcBorders>
          </w:tcPr>
          <w:p>
            <w:pPr>
              <w:spacing w:after="0"/>
              <w:rPr>
                <w:sz w:val="7"/>
                <w:szCs w:val="7"/>
                <w:color w:val="auto"/>
              </w:rPr>
            </w:pPr>
          </w:p>
        </w:tc>
        <w:tc>
          <w:tcPr>
            <w:tcW w:w="1920" w:type="dxa"/>
            <w:vAlign w:val="bottom"/>
            <w:vMerge w:val="restart"/>
          </w:tcPr>
          <w:p>
            <w:pPr>
              <w:jc w:val="right"/>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76"/>
        </w:trPr>
        <w:tc>
          <w:tcPr>
            <w:tcW w:w="1920" w:type="dxa"/>
            <w:vAlign w:val="bottom"/>
            <w:gridSpan w:val="2"/>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74A75"/>
        </w:rPr>
        <w:t>The Firm demonstrated strong financial performance in 2020</w:t>
      </w:r>
    </w:p>
    <w:p>
      <w:pPr>
        <w:spacing w:after="0" w:line="26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The Firm continued to build upon its strong momentum from prior years amid the unprecedented health and economic consequences of COVID-19. In 2020, the Firm reported record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$122.9 billion and net income of $29.1 billion, or $8.88 per share, with return on common equity ("ROE") of 12% and return on tangible common equity ("ROTCE")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14%, while adding $12.2 billion of credit reserves during the year to absorb potential future losses and returning $16.3 billion of capital to shareholders (including common dividends and net share repurchases). We gained market share in our businesses, demonstrated strong expense discipline,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098030" cy="1637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637030"/>
                    </a:xfrm>
                    <a:prstGeom prst="rect">
                      <a:avLst/>
                    </a:prstGeom>
                    <a:noFill/>
                  </pic:spPr>
                </pic:pic>
              </a:graphicData>
            </a:graphic>
          </wp:anchor>
        </w:drawing>
      </w: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36"/>
          <w:szCs w:val="36"/>
          <w:color w:val="074A75"/>
        </w:rPr>
        <w:t>JPMORGAN CHASE &amp; CO.</w:t>
      </w:r>
    </w:p>
    <w:p>
      <w:pPr>
        <w:spacing w:after="0" w:line="40"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1660" w:type="dxa"/>
            <w:vAlign w:val="bottom"/>
            <w:vMerge w:val="restart"/>
          </w:tcPr>
          <w:p>
            <w:pPr>
              <w:ind w:left="40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29.1</w:t>
            </w:r>
            <w:r>
              <w:rPr>
                <w:rFonts w:ascii="Arial" w:cs="Arial" w:eastAsia="Arial" w:hAnsi="Arial"/>
                <w:sz w:val="23"/>
                <w:szCs w:val="23"/>
                <w:color w:val="074A75"/>
              </w:rPr>
              <w:t>B</w:t>
            </w:r>
          </w:p>
        </w:tc>
        <w:tc>
          <w:tcPr>
            <w:tcW w:w="12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39"/>
                <w:szCs w:val="39"/>
                <w:color w:val="074A75"/>
                <w:w w:val="96"/>
                <w:vertAlign w:val="superscript"/>
              </w:rPr>
              <w:t>$</w:t>
            </w:r>
            <w:r>
              <w:rPr>
                <w:rFonts w:ascii="Arial" w:cs="Arial" w:eastAsia="Arial" w:hAnsi="Arial"/>
                <w:sz w:val="31"/>
                <w:szCs w:val="31"/>
                <w:color w:val="074A75"/>
                <w:w w:val="96"/>
              </w:rPr>
              <w:t>8.88</w:t>
            </w:r>
          </w:p>
        </w:tc>
        <w:tc>
          <w:tcPr>
            <w:tcW w:w="120" w:type="dxa"/>
            <w:vAlign w:val="bottom"/>
          </w:tcPr>
          <w:p>
            <w:pPr>
              <w:spacing w:after="0"/>
              <w:rPr>
                <w:sz w:val="13"/>
                <w:szCs w:val="13"/>
                <w:color w:val="auto"/>
              </w:rPr>
            </w:pPr>
          </w:p>
        </w:tc>
        <w:tc>
          <w:tcPr>
            <w:tcW w:w="1340" w:type="dxa"/>
            <w:vAlign w:val="bottom"/>
            <w:vMerge w:val="restart"/>
          </w:tcPr>
          <w:p>
            <w:pPr>
              <w:jc w:val="center"/>
              <w:ind w:right="288"/>
              <w:spacing w:after="0"/>
              <w:rPr>
                <w:sz w:val="20"/>
                <w:szCs w:val="20"/>
                <w:color w:val="auto"/>
              </w:rPr>
            </w:pPr>
            <w:r>
              <w:rPr>
                <w:rFonts w:ascii="Arial" w:cs="Arial" w:eastAsia="Arial" w:hAnsi="Arial"/>
                <w:sz w:val="31"/>
                <w:szCs w:val="31"/>
                <w:color w:val="074A75"/>
              </w:rPr>
              <w:t>12</w:t>
            </w:r>
            <w:r>
              <w:rPr>
                <w:rFonts w:ascii="Arial" w:cs="Arial" w:eastAsia="Arial" w:hAnsi="Arial"/>
                <w:sz w:val="39"/>
                <w:szCs w:val="39"/>
                <w:color w:val="074A75"/>
                <w:vertAlign w:val="superscript"/>
              </w:rPr>
              <w:t>%</w:t>
            </w:r>
          </w:p>
        </w:tc>
        <w:tc>
          <w:tcPr>
            <w:tcW w:w="20" w:type="dxa"/>
            <w:vAlign w:val="bottom"/>
          </w:tcPr>
          <w:p>
            <w:pPr>
              <w:spacing w:after="0"/>
              <w:rPr>
                <w:sz w:val="13"/>
                <w:szCs w:val="13"/>
                <w:color w:val="auto"/>
              </w:rPr>
            </w:pPr>
          </w:p>
        </w:tc>
        <w:tc>
          <w:tcPr>
            <w:tcW w:w="1320" w:type="dxa"/>
            <w:vAlign w:val="bottom"/>
            <w:vMerge w:val="restart"/>
          </w:tcPr>
          <w:p>
            <w:pPr>
              <w:ind w:left="400"/>
              <w:spacing w:after="0"/>
              <w:rPr>
                <w:sz w:val="20"/>
                <w:szCs w:val="20"/>
                <w:color w:val="auto"/>
              </w:rPr>
            </w:pPr>
            <w:r>
              <w:rPr>
                <w:rFonts w:ascii="Arial" w:cs="Arial" w:eastAsia="Arial" w:hAnsi="Arial"/>
                <w:sz w:val="31"/>
                <w:szCs w:val="31"/>
                <w:color w:val="074A75"/>
              </w:rPr>
              <w:t>14</w:t>
            </w:r>
            <w:r>
              <w:rPr>
                <w:rFonts w:ascii="Arial" w:cs="Arial" w:eastAsia="Arial" w:hAnsi="Arial"/>
                <w:sz w:val="39"/>
                <w:szCs w:val="39"/>
                <w:color w:val="074A75"/>
                <w:vertAlign w:val="superscript"/>
              </w:rPr>
              <w:t>%</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39"/>
                <w:szCs w:val="39"/>
                <w:color w:val="074A75"/>
                <w:w w:val="93"/>
                <w:vertAlign w:val="superscript"/>
              </w:rPr>
              <w:t>$</w:t>
            </w:r>
            <w:r>
              <w:rPr>
                <w:rFonts w:ascii="Arial" w:cs="Arial" w:eastAsia="Arial" w:hAnsi="Arial"/>
                <w:sz w:val="31"/>
                <w:szCs w:val="31"/>
                <w:color w:val="074A75"/>
                <w:w w:val="93"/>
              </w:rPr>
              <w:t>81.75</w:t>
            </w:r>
          </w:p>
        </w:tc>
        <w:tc>
          <w:tcPr>
            <w:tcW w:w="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66.11</w:t>
            </w:r>
          </w:p>
        </w:tc>
        <w:tc>
          <w:tcPr>
            <w:tcW w:w="1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16.3</w:t>
            </w:r>
            <w:r>
              <w:rPr>
                <w:rFonts w:ascii="Arial" w:cs="Arial" w:eastAsia="Arial" w:hAnsi="Arial"/>
                <w:sz w:val="23"/>
                <w:szCs w:val="23"/>
                <w:color w:val="074A75"/>
                <w:w w:val="95"/>
              </w:rPr>
              <w:t>B</w:t>
            </w:r>
          </w:p>
        </w:tc>
        <w:tc>
          <w:tcPr>
            <w:tcW w:w="1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68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640"/>
        </w:trPr>
        <w:tc>
          <w:tcPr>
            <w:tcW w:w="166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34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340" w:type="dxa"/>
            <w:vAlign w:val="bottom"/>
            <w:vMerge w:val="continue"/>
          </w:tcPr>
          <w:p>
            <w:pPr>
              <w:spacing w:after="0"/>
              <w:rPr>
                <w:sz w:val="24"/>
                <w:szCs w:val="24"/>
                <w:color w:val="auto"/>
              </w:rPr>
            </w:pPr>
          </w:p>
        </w:tc>
        <w:tc>
          <w:tcPr>
            <w:tcW w:w="20" w:type="dxa"/>
            <w:vAlign w:val="bottom"/>
            <w:shd w:val="clear" w:color="auto" w:fill="454545"/>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vMerge w:val="restart"/>
          </w:tcPr>
          <w:p>
            <w:pPr>
              <w:ind w:left="38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E7E7E8"/>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EARNINGS</w:t>
            </w:r>
          </w:p>
        </w:tc>
        <w:tc>
          <w:tcPr>
            <w:tcW w:w="120" w:type="dxa"/>
            <w:vAlign w:val="bottom"/>
            <w:shd w:val="clear" w:color="auto" w:fill="E7E7E8"/>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ROE</w:t>
            </w:r>
          </w:p>
        </w:tc>
        <w:tc>
          <w:tcPr>
            <w:tcW w:w="20" w:type="dxa"/>
            <w:vAlign w:val="bottom"/>
            <w:shd w:val="clear" w:color="auto" w:fill="454545"/>
          </w:tcPr>
          <w:p>
            <w:pPr>
              <w:spacing w:after="0"/>
              <w:rPr>
                <w:sz w:val="15"/>
                <w:szCs w:val="15"/>
                <w:color w:val="auto"/>
              </w:rPr>
            </w:pPr>
          </w:p>
        </w:tc>
        <w:tc>
          <w:tcPr>
            <w:tcW w:w="1320" w:type="dxa"/>
            <w:vAlign w:val="bottom"/>
          </w:tcPr>
          <w:p>
            <w:pPr>
              <w:ind w:left="380"/>
              <w:spacing w:after="0" w:line="180" w:lineRule="exact"/>
              <w:rPr>
                <w:sz w:val="20"/>
                <w:szCs w:val="20"/>
                <w:color w:val="auto"/>
              </w:rPr>
            </w:pPr>
            <w:r>
              <w:rPr>
                <w:rFonts w:ascii="Arial" w:cs="Arial" w:eastAsia="Arial" w:hAnsi="Arial"/>
                <w:sz w:val="14"/>
                <w:szCs w:val="14"/>
                <w:color w:val="auto"/>
              </w:rPr>
              <w:t>ROTCE</w:t>
            </w:r>
            <w:r>
              <w:rPr>
                <w:rFonts w:ascii="Arial" w:cs="Arial" w:eastAsia="Arial" w:hAnsi="Arial"/>
                <w:sz w:val="18"/>
                <w:szCs w:val="18"/>
                <w:color w:val="auto"/>
                <w:vertAlign w:val="superscript"/>
              </w:rPr>
              <w:t>2</w:t>
            </w:r>
          </w:p>
        </w:tc>
        <w:tc>
          <w:tcPr>
            <w:tcW w:w="120" w:type="dxa"/>
            <w:vAlign w:val="bottom"/>
            <w:shd w:val="clear" w:color="auto" w:fill="E7E7E8"/>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BOOK VALUE</w:t>
            </w:r>
          </w:p>
        </w:tc>
        <w:tc>
          <w:tcPr>
            <w:tcW w:w="20" w:type="dxa"/>
            <w:vAlign w:val="bottom"/>
            <w:shd w:val="clear" w:color="auto" w:fill="454545"/>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TANGIBLE</w:t>
            </w:r>
          </w:p>
        </w:tc>
        <w:tc>
          <w:tcPr>
            <w:tcW w:w="120" w:type="dxa"/>
            <w:vAlign w:val="bottom"/>
            <w:shd w:val="clear" w:color="auto" w:fill="E7E7E8"/>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NET CAPITAL</w:t>
            </w:r>
          </w:p>
        </w:tc>
        <w:tc>
          <w:tcPr>
            <w:tcW w:w="1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60" w:type="dxa"/>
            <w:vAlign w:val="bottom"/>
            <w:vMerge w:val="continue"/>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PER SHARE (“EPS”)</w:t>
            </w:r>
          </w:p>
        </w:tc>
        <w:tc>
          <w:tcPr>
            <w:tcW w:w="120" w:type="dxa"/>
            <w:vAlign w:val="bottom"/>
            <w:shd w:val="clear" w:color="auto" w:fill="E7E7E8"/>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PER SHARE</w:t>
            </w:r>
          </w:p>
        </w:tc>
        <w:tc>
          <w:tcPr>
            <w:tcW w:w="20" w:type="dxa"/>
            <w:vAlign w:val="bottom"/>
            <w:shd w:val="clear" w:color="auto" w:fill="454545"/>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BOOK VALUE</w:t>
            </w:r>
          </w:p>
        </w:tc>
        <w:tc>
          <w:tcPr>
            <w:tcW w:w="120" w:type="dxa"/>
            <w:vAlign w:val="bottom"/>
            <w:shd w:val="clear" w:color="auto" w:fill="E7E7E8"/>
          </w:tcPr>
          <w:p>
            <w:pPr>
              <w:spacing w:after="0"/>
              <w:rPr>
                <w:sz w:val="14"/>
                <w:szCs w:val="14"/>
                <w:color w:val="auto"/>
              </w:rPr>
            </w:pPr>
          </w:p>
        </w:tc>
        <w:tc>
          <w:tcPr>
            <w:tcW w:w="1720" w:type="dxa"/>
            <w:vAlign w:val="bottom"/>
          </w:tcPr>
          <w:p>
            <w:pPr>
              <w:jc w:val="center"/>
              <w:spacing w:after="0" w:line="170" w:lineRule="exact"/>
              <w:rPr>
                <w:sz w:val="20"/>
                <w:szCs w:val="20"/>
                <w:color w:val="auto"/>
              </w:rPr>
            </w:pPr>
            <w:r>
              <w:rPr>
                <w:rFonts w:ascii="Arial" w:cs="Arial" w:eastAsia="Arial" w:hAnsi="Arial"/>
                <w:sz w:val="14"/>
                <w:szCs w:val="14"/>
                <w:color w:val="auto"/>
              </w:rPr>
              <w:t>DISTRIBUTIONS</w:t>
            </w:r>
            <w:r>
              <w:rPr>
                <w:rFonts w:ascii="Arial" w:cs="Arial" w:eastAsia="Arial" w:hAnsi="Arial"/>
                <w:sz w:val="18"/>
                <w:szCs w:val="18"/>
                <w:color w:val="auto"/>
                <w:vertAlign w:val="superscript"/>
              </w:rPr>
              <w:t>3</w:t>
            </w: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66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shd w:val="clear" w:color="auto" w:fill="454545"/>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color w:val="auto"/>
              </w:rPr>
              <w:t>(“BVPS”)</w:t>
            </w:r>
          </w:p>
        </w:tc>
        <w:tc>
          <w:tcPr>
            <w:tcW w:w="20" w:type="dxa"/>
            <w:vAlign w:val="bottom"/>
            <w:shd w:val="clear" w:color="auto" w:fill="454545"/>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color w:val="auto"/>
              </w:rPr>
              <w:t>PER SHARE</w:t>
            </w:r>
          </w:p>
        </w:tc>
        <w:tc>
          <w:tcPr>
            <w:tcW w:w="120" w:type="dxa"/>
            <w:vAlign w:val="bottom"/>
            <w:shd w:val="clear" w:color="auto" w:fill="E7E7E8"/>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66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Arial" w:cs="Arial" w:eastAsia="Arial" w:hAnsi="Arial"/>
                <w:sz w:val="14"/>
                <w:szCs w:val="14"/>
                <w:color w:val="auto"/>
              </w:rPr>
              <w:t>(“TBVPS”)</w:t>
            </w:r>
            <w:r>
              <w:rPr>
                <w:rFonts w:ascii="Arial" w:cs="Arial" w:eastAsia="Arial" w:hAnsi="Arial"/>
                <w:sz w:val="18"/>
                <w:szCs w:val="18"/>
                <w:color w:val="auto"/>
                <w:vertAlign w:val="superscript"/>
              </w:rPr>
              <w:t>2</w:t>
            </w:r>
          </w:p>
        </w:tc>
        <w:tc>
          <w:tcPr>
            <w:tcW w:w="120" w:type="dxa"/>
            <w:vAlign w:val="bottom"/>
            <w:shd w:val="clear" w:color="auto" w:fill="E7E7E8"/>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40" w:type="dxa"/>
            <w:vAlign w:val="bottom"/>
            <w:shd w:val="clear" w:color="auto" w:fill="E7E7E8"/>
          </w:tcPr>
          <w:p>
            <w:pPr>
              <w:spacing w:after="0"/>
              <w:rPr>
                <w:sz w:val="14"/>
                <w:szCs w:val="14"/>
                <w:color w:val="auto"/>
              </w:rPr>
            </w:pPr>
          </w:p>
        </w:tc>
        <w:tc>
          <w:tcPr>
            <w:tcW w:w="20" w:type="dxa"/>
            <w:vAlign w:val="bottom"/>
            <w:shd w:val="clear" w:color="auto" w:fill="E7E7E8"/>
          </w:tcPr>
          <w:p>
            <w:pPr>
              <w:spacing w:after="0"/>
              <w:rPr>
                <w:sz w:val="14"/>
                <w:szCs w:val="14"/>
                <w:color w:val="auto"/>
              </w:rPr>
            </w:pPr>
          </w:p>
        </w:tc>
        <w:tc>
          <w:tcPr>
            <w:tcW w:w="13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340" w:type="dxa"/>
            <w:vAlign w:val="bottom"/>
            <w:shd w:val="clear" w:color="auto" w:fill="E7E7E8"/>
          </w:tcPr>
          <w:p>
            <w:pPr>
              <w:spacing w:after="0"/>
              <w:rPr>
                <w:sz w:val="14"/>
                <w:szCs w:val="14"/>
                <w:color w:val="auto"/>
              </w:rPr>
            </w:pPr>
          </w:p>
        </w:tc>
        <w:tc>
          <w:tcPr>
            <w:tcW w:w="20" w:type="dxa"/>
            <w:vAlign w:val="bottom"/>
            <w:shd w:val="clear" w:color="auto" w:fill="E7E7E8"/>
          </w:tcPr>
          <w:p>
            <w:pPr>
              <w:spacing w:after="0"/>
              <w:rPr>
                <w:sz w:val="14"/>
                <w:szCs w:val="14"/>
                <w:color w:val="auto"/>
              </w:rPr>
            </w:pPr>
          </w:p>
        </w:tc>
        <w:tc>
          <w:tcPr>
            <w:tcW w:w="13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7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3746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374650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37" w:lineRule="exact"/>
        <w:rPr>
          <w:sz w:val="20"/>
          <w:szCs w:val="20"/>
          <w:color w:val="auto"/>
        </w:rPr>
      </w:pPr>
    </w:p>
    <w:p>
      <w:pPr>
        <w:jc w:val="center"/>
        <w:ind w:left="120" w:right="140"/>
        <w:spacing w:after="0" w:line="262" w:lineRule="auto"/>
        <w:rPr>
          <w:sz w:val="20"/>
          <w:szCs w:val="20"/>
          <w:color w:val="auto"/>
        </w:rPr>
      </w:pPr>
      <w:r>
        <w:rPr>
          <w:rFonts w:ascii="Arial" w:cs="Arial" w:eastAsia="Arial" w:hAnsi="Arial"/>
          <w:sz w:val="21"/>
          <w:szCs w:val="21"/>
          <w:color w:val="074A75"/>
        </w:rPr>
        <w:t>CONSUMER &amp; COMMUNITY BANKING</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40" w:type="dxa"/>
            <w:vAlign w:val="bottom"/>
            <w:shd w:val="clear" w:color="auto" w:fill="E7E7E8"/>
          </w:tcPr>
          <w:p>
            <w:pPr>
              <w:spacing w:after="0"/>
              <w:rPr>
                <w:sz w:val="16"/>
                <w:szCs w:val="16"/>
                <w:color w:val="auto"/>
              </w:rPr>
            </w:pPr>
          </w:p>
        </w:tc>
        <w:tc>
          <w:tcPr>
            <w:tcW w:w="12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89"/>
                <w:shd w:val="clear" w:color="auto" w:fill="E7E7E8"/>
              </w:rPr>
              <w:t>$</w:t>
            </w:r>
          </w:p>
        </w:tc>
        <w:tc>
          <w:tcPr>
            <w:tcW w:w="42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8.2</w:t>
            </w:r>
          </w:p>
        </w:tc>
        <w:tc>
          <w:tcPr>
            <w:tcW w:w="140" w:type="dxa"/>
            <w:vAlign w:val="bottom"/>
            <w:vMerge w:val="restart"/>
            <w:shd w:val="clear" w:color="auto" w:fill="E7E7E8"/>
          </w:tcPr>
          <w:p>
            <w:pPr>
              <w:spacing w:after="0"/>
              <w:rPr>
                <w:sz w:val="20"/>
                <w:szCs w:val="20"/>
                <w:color w:val="auto"/>
              </w:rPr>
            </w:pPr>
            <w:r>
              <w:rPr>
                <w:rFonts w:ascii="Arial" w:cs="Arial" w:eastAsia="Arial" w:hAnsi="Arial"/>
                <w:sz w:val="22"/>
                <w:szCs w:val="22"/>
                <w:color w:val="074A75"/>
                <w:w w:val="81"/>
                <w:shd w:val="clear" w:color="auto" w:fill="E7E7E8"/>
              </w:rPr>
              <w:t>B</w:t>
            </w:r>
          </w:p>
        </w:tc>
        <w:tc>
          <w:tcPr>
            <w:tcW w:w="260" w:type="dxa"/>
            <w:vAlign w:val="bottom"/>
            <w:tcBorders>
              <w:right w:val="single" w:sz="8" w:color="E7E7E8"/>
            </w:tcBorders>
            <w:shd w:val="clear" w:color="auto" w:fill="E7E7E8"/>
          </w:tcPr>
          <w:p>
            <w:pPr>
              <w:spacing w:after="0"/>
              <w:rPr>
                <w:sz w:val="16"/>
                <w:szCs w:val="16"/>
                <w:color w:val="auto"/>
              </w:rPr>
            </w:pPr>
          </w:p>
        </w:tc>
        <w:tc>
          <w:tcPr>
            <w:tcW w:w="1160" w:type="dxa"/>
            <w:vAlign w:val="bottom"/>
            <w:vMerge w:val="restart"/>
            <w:shd w:val="clear" w:color="auto" w:fill="E7E7E8"/>
          </w:tcPr>
          <w:p>
            <w:pPr>
              <w:jc w:val="center"/>
              <w:ind w:right="188"/>
              <w:spacing w:after="0"/>
              <w:rPr>
                <w:sz w:val="20"/>
                <w:szCs w:val="20"/>
                <w:color w:val="auto"/>
              </w:rPr>
            </w:pPr>
            <w:r>
              <w:rPr>
                <w:rFonts w:ascii="Arial" w:cs="Arial" w:eastAsia="Arial" w:hAnsi="Arial"/>
                <w:sz w:val="31"/>
                <w:szCs w:val="31"/>
                <w:color w:val="074A75"/>
              </w:rPr>
              <w:t>15</w:t>
            </w:r>
            <w:r>
              <w:rPr>
                <w:rFonts w:ascii="Arial" w:cs="Arial" w:eastAsia="Arial" w:hAnsi="Arial"/>
                <w:sz w:val="39"/>
                <w:szCs w:val="39"/>
                <w:color w:val="074A75"/>
                <w:vertAlign w:val="superscript"/>
              </w:rPr>
              <w:t>%</w:t>
            </w:r>
          </w:p>
        </w:tc>
        <w:tc>
          <w:tcPr>
            <w:tcW w:w="14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40" w:type="dxa"/>
            <w:vAlign w:val="bottom"/>
            <w:vMerge w:val="restart"/>
            <w:shd w:val="clear" w:color="auto" w:fill="E7E7E8"/>
          </w:tcPr>
          <w:p>
            <w:pPr>
              <w:spacing w:after="0"/>
              <w:rPr>
                <w:sz w:val="24"/>
                <w:szCs w:val="24"/>
                <w:color w:val="auto"/>
              </w:rPr>
            </w:pPr>
          </w:p>
        </w:tc>
        <w:tc>
          <w:tcPr>
            <w:tcW w:w="120" w:type="dxa"/>
            <w:vAlign w:val="bottom"/>
            <w:vMerge w:val="continue"/>
            <w:shd w:val="clear" w:color="auto" w:fill="E7E7E8"/>
          </w:tcPr>
          <w:p>
            <w:pPr>
              <w:spacing w:after="0"/>
              <w:rPr>
                <w:sz w:val="24"/>
                <w:szCs w:val="24"/>
                <w:color w:val="auto"/>
              </w:rPr>
            </w:pPr>
          </w:p>
        </w:tc>
        <w:tc>
          <w:tcPr>
            <w:tcW w:w="420" w:type="dxa"/>
            <w:vAlign w:val="bottom"/>
            <w:vMerge w:val="continue"/>
            <w:shd w:val="clear" w:color="auto" w:fill="E7E7E8"/>
          </w:tcPr>
          <w:p>
            <w:pPr>
              <w:spacing w:after="0"/>
              <w:rPr>
                <w:sz w:val="24"/>
                <w:szCs w:val="24"/>
                <w:color w:val="auto"/>
              </w:rPr>
            </w:pPr>
          </w:p>
        </w:tc>
        <w:tc>
          <w:tcPr>
            <w:tcW w:w="140" w:type="dxa"/>
            <w:vAlign w:val="bottom"/>
            <w:vMerge w:val="continue"/>
            <w:shd w:val="clear" w:color="auto" w:fill="E7E7E8"/>
          </w:tcPr>
          <w:p>
            <w:pPr>
              <w:spacing w:after="0"/>
              <w:rPr>
                <w:sz w:val="24"/>
                <w:szCs w:val="24"/>
                <w:color w:val="auto"/>
              </w:rPr>
            </w:pPr>
          </w:p>
        </w:tc>
        <w:tc>
          <w:tcPr>
            <w:tcW w:w="260" w:type="dxa"/>
            <w:vAlign w:val="bottom"/>
            <w:tcBorders>
              <w:right w:val="single" w:sz="8" w:color="454545"/>
            </w:tcBorders>
            <w:shd w:val="clear" w:color="auto" w:fill="E7E7E8"/>
          </w:tcPr>
          <w:p>
            <w:pPr>
              <w:spacing w:after="0"/>
              <w:rPr>
                <w:sz w:val="24"/>
                <w:szCs w:val="24"/>
                <w:color w:val="auto"/>
              </w:rPr>
            </w:pPr>
          </w:p>
        </w:tc>
        <w:tc>
          <w:tcPr>
            <w:tcW w:w="1160" w:type="dxa"/>
            <w:vAlign w:val="bottom"/>
            <w:vMerge w:val="continue"/>
            <w:shd w:val="clear" w:color="auto" w:fill="E7E7E8"/>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40" w:type="dxa"/>
            <w:vAlign w:val="bottom"/>
            <w:vMerge w:val="continue"/>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420" w:type="dxa"/>
            <w:vAlign w:val="bottom"/>
            <w:vMerge w:val="continue"/>
            <w:shd w:val="clear" w:color="auto" w:fill="E7E7E8"/>
          </w:tcPr>
          <w:p>
            <w:pPr>
              <w:spacing w:after="0"/>
              <w:rPr>
                <w:sz w:val="7"/>
                <w:szCs w:val="7"/>
                <w:color w:val="auto"/>
              </w:rPr>
            </w:pPr>
          </w:p>
        </w:tc>
        <w:tc>
          <w:tcPr>
            <w:tcW w:w="140" w:type="dxa"/>
            <w:vAlign w:val="bottom"/>
            <w:vMerge w:val="continue"/>
            <w:shd w:val="clear" w:color="auto" w:fill="E7E7E8"/>
          </w:tcPr>
          <w:p>
            <w:pPr>
              <w:spacing w:after="0"/>
              <w:rPr>
                <w:sz w:val="7"/>
                <w:szCs w:val="7"/>
                <w:color w:val="auto"/>
              </w:rPr>
            </w:pPr>
          </w:p>
        </w:tc>
        <w:tc>
          <w:tcPr>
            <w:tcW w:w="260" w:type="dxa"/>
            <w:vAlign w:val="bottom"/>
            <w:tcBorders>
              <w:right w:val="single" w:sz="8" w:color="454545"/>
            </w:tcBorders>
            <w:shd w:val="clear" w:color="auto" w:fill="E7E7E8"/>
          </w:tcPr>
          <w:p>
            <w:pPr>
              <w:spacing w:after="0"/>
              <w:rPr>
                <w:sz w:val="7"/>
                <w:szCs w:val="7"/>
                <w:color w:val="auto"/>
              </w:rPr>
            </w:pPr>
          </w:p>
        </w:tc>
        <w:tc>
          <w:tcPr>
            <w:tcW w:w="1160" w:type="dxa"/>
            <w:vAlign w:val="bottom"/>
            <w:vMerge w:val="continue"/>
            <w:shd w:val="clear" w:color="auto" w:fill="E7E7E8"/>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80" w:type="dxa"/>
            <w:vAlign w:val="bottom"/>
            <w:tcBorders>
              <w:right w:val="single" w:sz="8" w:color="454545"/>
            </w:tcBorders>
            <w:gridSpan w:val="5"/>
            <w:shd w:val="clear" w:color="auto" w:fill="E7E7E8"/>
          </w:tcPr>
          <w:p>
            <w:pPr>
              <w:jc w:val="center"/>
              <w:spacing w:after="0"/>
              <w:rPr>
                <w:sz w:val="20"/>
                <w:szCs w:val="20"/>
                <w:color w:val="auto"/>
              </w:rPr>
            </w:pPr>
            <w:r>
              <w:rPr>
                <w:rFonts w:ascii="Arial" w:cs="Arial" w:eastAsia="Arial" w:hAnsi="Arial"/>
                <w:sz w:val="14"/>
                <w:szCs w:val="14"/>
                <w:color w:val="auto"/>
                <w:shd w:val="clear" w:color="auto" w:fill="E7E7E8"/>
              </w:rPr>
              <w:t>NET INCOME</w:t>
            </w:r>
          </w:p>
        </w:tc>
        <w:tc>
          <w:tcPr>
            <w:tcW w:w="116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ROE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4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260" w:type="dxa"/>
            <w:vAlign w:val="bottom"/>
            <w:tcBorders>
              <w:right w:val="single" w:sz="8" w:color="454545"/>
            </w:tcBorders>
            <w:shd w:val="clear" w:color="auto" w:fill="E7E7E8"/>
          </w:tcPr>
          <w:p>
            <w:pPr>
              <w:spacing w:after="0"/>
              <w:rPr>
                <w:sz w:val="23"/>
                <w:szCs w:val="23"/>
                <w:color w:val="auto"/>
              </w:rPr>
            </w:pPr>
          </w:p>
        </w:tc>
        <w:tc>
          <w:tcPr>
            <w:tcW w:w="1160" w:type="dxa"/>
            <w:vAlign w:val="bottom"/>
            <w:shd w:val="clear" w:color="auto" w:fill="E7E7E8"/>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420" w:type="dxa"/>
            <w:vAlign w:val="bottom"/>
            <w:shd w:val="clear" w:color="auto" w:fill="E7E7E8"/>
          </w:tcPr>
          <w:p>
            <w:pPr>
              <w:spacing w:after="0"/>
              <w:rPr>
                <w:sz w:val="11"/>
                <w:szCs w:val="11"/>
                <w:color w:val="auto"/>
              </w:rPr>
            </w:pPr>
          </w:p>
        </w:tc>
        <w:tc>
          <w:tcPr>
            <w:tcW w:w="140" w:type="dxa"/>
            <w:vAlign w:val="bottom"/>
            <w:shd w:val="clear" w:color="auto" w:fill="E7E7E8"/>
          </w:tcPr>
          <w:p>
            <w:pPr>
              <w:spacing w:after="0"/>
              <w:rPr>
                <w:sz w:val="11"/>
                <w:szCs w:val="11"/>
                <w:color w:val="auto"/>
              </w:rPr>
            </w:pPr>
          </w:p>
        </w:tc>
        <w:tc>
          <w:tcPr>
            <w:tcW w:w="260" w:type="dxa"/>
            <w:vAlign w:val="bottom"/>
            <w:tcBorders>
              <w:right w:val="single" w:sz="8" w:color="E7E7E8"/>
            </w:tcBorders>
            <w:shd w:val="clear" w:color="auto" w:fill="E7E7E8"/>
          </w:tcPr>
          <w:p>
            <w:pPr>
              <w:spacing w:after="0"/>
              <w:rPr>
                <w:sz w:val="11"/>
                <w:szCs w:val="11"/>
                <w:color w:val="auto"/>
              </w:rPr>
            </w:pPr>
          </w:p>
        </w:tc>
        <w:tc>
          <w:tcPr>
            <w:tcW w:w="1160" w:type="dxa"/>
            <w:vAlign w:val="bottom"/>
            <w:shd w:val="clear" w:color="auto" w:fill="E7E7E8"/>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0" w:hanging="193"/>
        <w:spacing w:after="0"/>
        <w:tabs>
          <w:tab w:leader="none" w:pos="340" w:val="left"/>
        </w:tabs>
        <w:numPr>
          <w:ilvl w:val="0"/>
          <w:numId w:val="4"/>
        </w:numPr>
        <w:rPr>
          <w:rFonts w:ascii="Arial" w:cs="Arial" w:eastAsia="Arial" w:hAnsi="Arial"/>
          <w:sz w:val="16"/>
          <w:szCs w:val="16"/>
          <w:color w:val="074A75"/>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$51.3B</w:t>
      </w:r>
    </w:p>
    <w:p>
      <w:pPr>
        <w:spacing w:after="0" w:line="70" w:lineRule="exact"/>
        <w:rPr>
          <w:rFonts w:ascii="Arial" w:cs="Arial" w:eastAsia="Arial" w:hAnsi="Arial"/>
          <w:sz w:val="16"/>
          <w:szCs w:val="16"/>
          <w:color w:val="074A75"/>
        </w:rPr>
      </w:pPr>
    </w:p>
    <w:p>
      <w:pPr>
        <w:ind w:left="340" w:right="300" w:hanging="193"/>
        <w:spacing w:after="0" w:line="252" w:lineRule="auto"/>
        <w:tabs>
          <w:tab w:leader="none" w:pos="334" w:val="left"/>
        </w:tabs>
        <w:numPr>
          <w:ilvl w:val="0"/>
          <w:numId w:val="4"/>
        </w:numPr>
        <w:rPr>
          <w:rFonts w:ascii="Arial" w:cs="Arial" w:eastAsia="Arial" w:hAnsi="Arial"/>
          <w:sz w:val="15"/>
          <w:szCs w:val="15"/>
          <w:color w:val="074A75"/>
        </w:rPr>
      </w:pPr>
      <w:r>
        <w:rPr>
          <w:rFonts w:ascii="Arial" w:cs="Arial" w:eastAsia="Arial" w:hAnsi="Arial"/>
          <w:sz w:val="15"/>
          <w:szCs w:val="15"/>
          <w:color w:val="auto"/>
        </w:rPr>
        <w:t>Average deposits of $851.4B (up 22%); average loans of $448.3B (down 6%)</w:t>
      </w:r>
    </w:p>
    <w:p>
      <w:pPr>
        <w:spacing w:after="0" w:line="91" w:lineRule="exact"/>
        <w:rPr>
          <w:rFonts w:ascii="Arial" w:cs="Arial" w:eastAsia="Arial" w:hAnsi="Arial"/>
          <w:sz w:val="15"/>
          <w:szCs w:val="15"/>
          <w:color w:val="074A75"/>
        </w:rPr>
      </w:pPr>
    </w:p>
    <w:p>
      <w:pPr>
        <w:ind w:left="340" w:right="240" w:hanging="193"/>
        <w:spacing w:after="0" w:line="252" w:lineRule="auto"/>
        <w:tabs>
          <w:tab w:leader="none" w:pos="334" w:val="left"/>
        </w:tabs>
        <w:numPr>
          <w:ilvl w:val="0"/>
          <w:numId w:val="4"/>
        </w:numPr>
        <w:rPr>
          <w:rFonts w:ascii="Arial" w:cs="Arial" w:eastAsia="Arial" w:hAnsi="Arial"/>
          <w:sz w:val="15"/>
          <w:szCs w:val="15"/>
          <w:color w:val="074A75"/>
        </w:rPr>
      </w:pPr>
      <w:r>
        <w:rPr>
          <w:rFonts w:ascii="Arial" w:cs="Arial" w:eastAsia="Arial" w:hAnsi="Arial"/>
          <w:sz w:val="15"/>
          <w:szCs w:val="15"/>
          <w:color w:val="auto"/>
        </w:rPr>
        <w:t>Primary bank relationships for over 75% of Consumer Banking checking households</w:t>
      </w:r>
    </w:p>
    <w:p>
      <w:pPr>
        <w:spacing w:after="0" w:line="91" w:lineRule="exact"/>
        <w:rPr>
          <w:rFonts w:ascii="Arial" w:cs="Arial" w:eastAsia="Arial" w:hAnsi="Arial"/>
          <w:sz w:val="15"/>
          <w:szCs w:val="15"/>
          <w:color w:val="074A75"/>
        </w:rPr>
      </w:pPr>
    </w:p>
    <w:p>
      <w:pPr>
        <w:jc w:val="both"/>
        <w:ind w:left="340" w:right="180" w:hanging="193"/>
        <w:spacing w:after="0" w:line="252" w:lineRule="auto"/>
        <w:tabs>
          <w:tab w:leader="none" w:pos="334" w:val="left"/>
        </w:tabs>
        <w:numPr>
          <w:ilvl w:val="0"/>
          <w:numId w:val="4"/>
        </w:numPr>
        <w:rPr>
          <w:rFonts w:ascii="Arial" w:cs="Arial" w:eastAsia="Arial" w:hAnsi="Arial"/>
          <w:sz w:val="15"/>
          <w:szCs w:val="15"/>
          <w:color w:val="074A75"/>
        </w:rPr>
      </w:pPr>
      <w:r>
        <w:rPr>
          <w:rFonts w:ascii="Arial" w:cs="Arial" w:eastAsia="Arial" w:hAnsi="Arial"/>
          <w:sz w:val="15"/>
          <w:szCs w:val="15"/>
          <w:color w:val="auto"/>
        </w:rPr>
        <w:t>Maintained #1 market share in Card, based on U.S. sales and outstandings</w:t>
      </w:r>
    </w:p>
    <w:p>
      <w:pPr>
        <w:spacing w:after="0" w:line="91" w:lineRule="exact"/>
        <w:rPr>
          <w:rFonts w:ascii="Arial" w:cs="Arial" w:eastAsia="Arial" w:hAnsi="Arial"/>
          <w:sz w:val="15"/>
          <w:szCs w:val="15"/>
          <w:color w:val="074A75"/>
        </w:rPr>
      </w:pPr>
    </w:p>
    <w:p>
      <w:pPr>
        <w:ind w:left="340" w:right="240" w:hanging="193"/>
        <w:spacing w:after="0" w:line="256" w:lineRule="auto"/>
        <w:tabs>
          <w:tab w:leader="none" w:pos="334" w:val="left"/>
        </w:tabs>
        <w:numPr>
          <w:ilvl w:val="0"/>
          <w:numId w:val="4"/>
        </w:numPr>
        <w:rPr>
          <w:rFonts w:ascii="Arial" w:cs="Arial" w:eastAsia="Arial" w:hAnsi="Arial"/>
          <w:sz w:val="15"/>
          <w:szCs w:val="15"/>
          <w:color w:val="074A75"/>
        </w:rPr>
      </w:pPr>
      <w:r>
        <w:rPr>
          <w:rFonts w:ascii="Arial" w:cs="Arial" w:eastAsia="Arial" w:hAnsi="Arial"/>
          <w:sz w:val="15"/>
          <w:szCs w:val="15"/>
          <w:color w:val="auto"/>
        </w:rPr>
        <w:t>Largest active digital and mobile customer base among U.S. banks, customers up 5% and 10% respectively</w:t>
      </w:r>
      <w:r>
        <w:rPr>
          <w:rFonts w:ascii="Arial" w:cs="Arial" w:eastAsia="Arial" w:hAnsi="Arial"/>
          <w:sz w:val="19"/>
          <w:szCs w:val="19"/>
          <w:color w:val="auto"/>
          <w:vertAlign w:val="superscript"/>
        </w:rPr>
        <w:t>4</w:t>
      </w:r>
    </w:p>
    <w:p>
      <w:pPr>
        <w:spacing w:after="0" w:line="25" w:lineRule="exact"/>
        <w:rPr>
          <w:rFonts w:ascii="Arial" w:cs="Arial" w:eastAsia="Arial" w:hAnsi="Arial"/>
          <w:sz w:val="15"/>
          <w:szCs w:val="15"/>
          <w:color w:val="074A75"/>
        </w:rPr>
      </w:pPr>
    </w:p>
    <w:p>
      <w:pPr>
        <w:ind w:left="340" w:hanging="193"/>
        <w:spacing w:after="0"/>
        <w:tabs>
          <w:tab w:leader="none" w:pos="340" w:val="left"/>
        </w:tabs>
        <w:numPr>
          <w:ilvl w:val="0"/>
          <w:numId w:val="4"/>
        </w:numPr>
        <w:rPr>
          <w:rFonts w:ascii="Arial" w:cs="Arial" w:eastAsia="Arial" w:hAnsi="Arial"/>
          <w:sz w:val="15"/>
          <w:szCs w:val="15"/>
          <w:color w:val="074A75"/>
        </w:rPr>
      </w:pPr>
      <w:r>
        <w:rPr>
          <w:rFonts w:ascii="Arial" w:cs="Arial" w:eastAsia="Arial" w:hAnsi="Arial"/>
          <w:sz w:val="15"/>
          <w:szCs w:val="15"/>
          <w:color w:val="auto"/>
        </w:rPr>
        <w:t>Added $7.8B of credit reserves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CORPORATE &amp;</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74A75"/>
        </w:rPr>
        <w:t>INVESTMENT BANK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 w:type="dxa"/>
            <w:vAlign w:val="bottom"/>
            <w:shd w:val="clear" w:color="auto" w:fill="E7E7E8"/>
          </w:tcPr>
          <w:p>
            <w:pPr>
              <w:spacing w:after="0"/>
              <w:rPr>
                <w:sz w:val="16"/>
                <w:szCs w:val="16"/>
                <w:color w:val="auto"/>
              </w:rPr>
            </w:pPr>
          </w:p>
        </w:tc>
        <w:tc>
          <w:tcPr>
            <w:tcW w:w="100" w:type="dxa"/>
            <w:vAlign w:val="bottom"/>
            <w:vMerge w:val="restart"/>
            <w:shd w:val="clear" w:color="auto" w:fill="E7E7E8"/>
          </w:tcPr>
          <w:p>
            <w:pPr>
              <w:spacing w:after="0"/>
              <w:rPr>
                <w:sz w:val="20"/>
                <w:szCs w:val="20"/>
                <w:color w:val="auto"/>
              </w:rPr>
            </w:pPr>
            <w:r>
              <w:rPr>
                <w:rFonts w:ascii="Arial" w:cs="Arial" w:eastAsia="Arial" w:hAnsi="Arial"/>
                <w:sz w:val="20"/>
                <w:szCs w:val="20"/>
                <w:color w:val="074A75"/>
                <w:w w:val="71"/>
                <w:shd w:val="clear" w:color="auto" w:fill="E7E7E8"/>
              </w:rPr>
              <w:t>$</w:t>
            </w: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6"/>
                <w:shd w:val="clear" w:color="auto" w:fill="E7E7E8"/>
              </w:rPr>
              <w:t>17.1</w:t>
            </w:r>
          </w:p>
        </w:tc>
        <w:tc>
          <w:tcPr>
            <w:tcW w:w="160" w:type="dxa"/>
            <w:vAlign w:val="bottom"/>
            <w:vMerge w:val="restart"/>
            <w:shd w:val="clear" w:color="auto" w:fill="E7E7E8"/>
          </w:tcPr>
          <w:p>
            <w:pPr>
              <w:spacing w:after="0"/>
              <w:rPr>
                <w:sz w:val="20"/>
                <w:szCs w:val="20"/>
                <w:color w:val="auto"/>
              </w:rPr>
            </w:pPr>
            <w:r>
              <w:rPr>
                <w:rFonts w:ascii="Arial" w:cs="Arial" w:eastAsia="Arial" w:hAnsi="Arial"/>
                <w:sz w:val="22"/>
                <w:szCs w:val="22"/>
                <w:color w:val="074A75"/>
                <w:w w:val="95"/>
                <w:shd w:val="clear" w:color="auto" w:fill="E7E7E8"/>
              </w:rPr>
              <w:t>B</w:t>
            </w:r>
          </w:p>
        </w:tc>
        <w:tc>
          <w:tcPr>
            <w:tcW w:w="200" w:type="dxa"/>
            <w:vAlign w:val="bottom"/>
            <w:tcBorders>
              <w:right w:val="single" w:sz="8" w:color="E7E7E8"/>
            </w:tcBorders>
            <w:shd w:val="clear" w:color="auto" w:fill="E7E7E8"/>
          </w:tcPr>
          <w:p>
            <w:pPr>
              <w:spacing w:after="0"/>
              <w:rPr>
                <w:sz w:val="16"/>
                <w:szCs w:val="16"/>
                <w:color w:val="auto"/>
              </w:rPr>
            </w:pPr>
          </w:p>
        </w:tc>
        <w:tc>
          <w:tcPr>
            <w:tcW w:w="1180" w:type="dxa"/>
            <w:vAlign w:val="bottom"/>
            <w:vMerge w:val="restart"/>
            <w:shd w:val="clear" w:color="auto" w:fill="E7E7E8"/>
          </w:tcPr>
          <w:p>
            <w:pPr>
              <w:jc w:val="center"/>
              <w:ind w:right="208"/>
              <w:spacing w:after="0"/>
              <w:rPr>
                <w:sz w:val="20"/>
                <w:szCs w:val="20"/>
                <w:color w:val="auto"/>
              </w:rPr>
            </w:pPr>
            <w:r>
              <w:rPr>
                <w:rFonts w:ascii="Arial" w:cs="Arial" w:eastAsia="Arial" w:hAnsi="Arial"/>
                <w:sz w:val="31"/>
                <w:szCs w:val="31"/>
                <w:color w:val="074A75"/>
              </w:rPr>
              <w:t>20</w:t>
            </w:r>
            <w:r>
              <w:rPr>
                <w:rFonts w:ascii="Arial" w:cs="Arial" w:eastAsia="Arial" w:hAnsi="Arial"/>
                <w:sz w:val="39"/>
                <w:szCs w:val="39"/>
                <w:color w:val="074A75"/>
                <w:vertAlign w:val="superscript"/>
              </w:rPr>
              <w:t>%</w:t>
            </w: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00" w:type="dxa"/>
            <w:vAlign w:val="bottom"/>
            <w:vMerge w:val="restart"/>
            <w:shd w:val="clear" w:color="auto" w:fill="E7E7E8"/>
          </w:tcPr>
          <w:p>
            <w:pPr>
              <w:spacing w:after="0"/>
              <w:rPr>
                <w:sz w:val="24"/>
                <w:szCs w:val="24"/>
                <w:color w:val="auto"/>
              </w:rPr>
            </w:pPr>
          </w:p>
        </w:tc>
        <w:tc>
          <w:tcPr>
            <w:tcW w:w="100" w:type="dxa"/>
            <w:vAlign w:val="bottom"/>
            <w:vMerge w:val="continue"/>
            <w:shd w:val="clear" w:color="auto" w:fill="E7E7E8"/>
          </w:tcPr>
          <w:p>
            <w:pPr>
              <w:spacing w:after="0"/>
              <w:rPr>
                <w:sz w:val="24"/>
                <w:szCs w:val="24"/>
                <w:color w:val="auto"/>
              </w:rPr>
            </w:pPr>
          </w:p>
        </w:tc>
        <w:tc>
          <w:tcPr>
            <w:tcW w:w="600" w:type="dxa"/>
            <w:vAlign w:val="bottom"/>
            <w:vMerge w:val="continue"/>
            <w:shd w:val="clear" w:color="auto" w:fill="E7E7E8"/>
          </w:tcPr>
          <w:p>
            <w:pPr>
              <w:spacing w:after="0"/>
              <w:rPr>
                <w:sz w:val="24"/>
                <w:szCs w:val="24"/>
                <w:color w:val="auto"/>
              </w:rPr>
            </w:pPr>
          </w:p>
        </w:tc>
        <w:tc>
          <w:tcPr>
            <w:tcW w:w="160" w:type="dxa"/>
            <w:vAlign w:val="bottom"/>
            <w:vMerge w:val="continue"/>
            <w:shd w:val="clear" w:color="auto" w:fill="E7E7E8"/>
          </w:tcPr>
          <w:p>
            <w:pPr>
              <w:spacing w:after="0"/>
              <w:rPr>
                <w:sz w:val="24"/>
                <w:szCs w:val="24"/>
                <w:color w:val="auto"/>
              </w:rPr>
            </w:pPr>
          </w:p>
        </w:tc>
        <w:tc>
          <w:tcPr>
            <w:tcW w:w="200" w:type="dxa"/>
            <w:vAlign w:val="bottom"/>
            <w:tcBorders>
              <w:right w:val="single" w:sz="8" w:color="454545"/>
            </w:tcBorders>
            <w:shd w:val="clear" w:color="auto" w:fill="E7E7E8"/>
          </w:tcPr>
          <w:p>
            <w:pPr>
              <w:spacing w:after="0"/>
              <w:rPr>
                <w:sz w:val="24"/>
                <w:szCs w:val="24"/>
                <w:color w:val="auto"/>
              </w:rPr>
            </w:pPr>
          </w:p>
        </w:tc>
        <w:tc>
          <w:tcPr>
            <w:tcW w:w="1180" w:type="dxa"/>
            <w:vAlign w:val="bottom"/>
            <w:vMerge w:val="continue"/>
            <w:shd w:val="clear" w:color="auto" w:fill="E7E7E8"/>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0" w:type="dxa"/>
            <w:vAlign w:val="bottom"/>
            <w:vMerge w:val="continue"/>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600" w:type="dxa"/>
            <w:vAlign w:val="bottom"/>
            <w:vMerge w:val="continue"/>
            <w:shd w:val="clear" w:color="auto" w:fill="E7E7E8"/>
          </w:tcPr>
          <w:p>
            <w:pPr>
              <w:spacing w:after="0"/>
              <w:rPr>
                <w:sz w:val="7"/>
                <w:szCs w:val="7"/>
                <w:color w:val="auto"/>
              </w:rPr>
            </w:pPr>
          </w:p>
        </w:tc>
        <w:tc>
          <w:tcPr>
            <w:tcW w:w="160" w:type="dxa"/>
            <w:vAlign w:val="bottom"/>
            <w:vMerge w:val="continue"/>
            <w:shd w:val="clear" w:color="auto" w:fill="E7E7E8"/>
          </w:tcPr>
          <w:p>
            <w:pPr>
              <w:spacing w:after="0"/>
              <w:rPr>
                <w:sz w:val="7"/>
                <w:szCs w:val="7"/>
                <w:color w:val="auto"/>
              </w:rPr>
            </w:pPr>
          </w:p>
        </w:tc>
        <w:tc>
          <w:tcPr>
            <w:tcW w:w="200" w:type="dxa"/>
            <w:vAlign w:val="bottom"/>
            <w:tcBorders>
              <w:right w:val="single" w:sz="8" w:color="454545"/>
            </w:tcBorders>
            <w:shd w:val="clear" w:color="auto" w:fill="E7E7E8"/>
          </w:tcPr>
          <w:p>
            <w:pPr>
              <w:spacing w:after="0"/>
              <w:rPr>
                <w:sz w:val="7"/>
                <w:szCs w:val="7"/>
                <w:color w:val="auto"/>
              </w:rPr>
            </w:pPr>
          </w:p>
        </w:tc>
        <w:tc>
          <w:tcPr>
            <w:tcW w:w="1180" w:type="dxa"/>
            <w:vAlign w:val="bottom"/>
            <w:vMerge w:val="continue"/>
            <w:shd w:val="clear" w:color="auto" w:fill="E7E7E8"/>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060" w:type="dxa"/>
            <w:vAlign w:val="bottom"/>
            <w:gridSpan w:val="4"/>
            <w:shd w:val="clear" w:color="auto" w:fill="E7E7E8"/>
          </w:tcPr>
          <w:p>
            <w:pPr>
              <w:ind w:left="180"/>
              <w:spacing w:after="0"/>
              <w:rPr>
                <w:sz w:val="20"/>
                <w:szCs w:val="20"/>
                <w:color w:val="auto"/>
              </w:rPr>
            </w:pPr>
            <w:r>
              <w:rPr>
                <w:rFonts w:ascii="Arial" w:cs="Arial" w:eastAsia="Arial" w:hAnsi="Arial"/>
                <w:sz w:val="14"/>
                <w:szCs w:val="14"/>
                <w:color w:val="auto"/>
                <w:w w:val="97"/>
                <w:shd w:val="clear" w:color="auto" w:fill="E7E7E8"/>
              </w:rPr>
              <w:t>NET INCOME</w:t>
            </w:r>
          </w:p>
        </w:tc>
        <w:tc>
          <w:tcPr>
            <w:tcW w:w="200" w:type="dxa"/>
            <w:vAlign w:val="bottom"/>
            <w:tcBorders>
              <w:right w:val="single" w:sz="8" w:color="454545"/>
            </w:tcBorders>
            <w:shd w:val="clear" w:color="auto" w:fill="E7E7E8"/>
          </w:tcPr>
          <w:p>
            <w:pPr>
              <w:spacing w:after="0"/>
              <w:rPr>
                <w:sz w:val="17"/>
                <w:szCs w:val="17"/>
                <w:color w:val="auto"/>
              </w:rPr>
            </w:pPr>
          </w:p>
        </w:tc>
        <w:tc>
          <w:tcPr>
            <w:tcW w:w="1180" w:type="dxa"/>
            <w:vAlign w:val="bottom"/>
            <w:shd w:val="clear" w:color="auto" w:fill="E7E7E8"/>
          </w:tcPr>
          <w:p>
            <w:pPr>
              <w:jc w:val="center"/>
              <w:spacing w:after="0"/>
              <w:rPr>
                <w:sz w:val="20"/>
                <w:szCs w:val="20"/>
                <w:color w:val="auto"/>
              </w:rPr>
            </w:pPr>
            <w:r>
              <w:rPr>
                <w:rFonts w:ascii="Arial" w:cs="Arial" w:eastAsia="Arial" w:hAnsi="Arial"/>
                <w:sz w:val="14"/>
                <w:szCs w:val="14"/>
                <w:color w:val="auto"/>
                <w:w w:val="98"/>
              </w:rPr>
              <w:t>ROE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60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200" w:type="dxa"/>
            <w:vAlign w:val="bottom"/>
            <w:tcBorders>
              <w:right w:val="single" w:sz="8" w:color="454545"/>
            </w:tcBorders>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60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200" w:type="dxa"/>
            <w:vAlign w:val="bottom"/>
            <w:tcBorders>
              <w:right w:val="single" w:sz="8" w:color="E7E7E8"/>
            </w:tcBorders>
            <w:shd w:val="clear" w:color="auto" w:fill="E7E7E8"/>
          </w:tcPr>
          <w:p>
            <w:pPr>
              <w:spacing w:after="0"/>
              <w:rPr>
                <w:sz w:val="11"/>
                <w:szCs w:val="11"/>
                <w:color w:val="auto"/>
              </w:rPr>
            </w:pPr>
          </w:p>
        </w:tc>
        <w:tc>
          <w:tcPr>
            <w:tcW w:w="1180" w:type="dxa"/>
            <w:vAlign w:val="bottom"/>
            <w:shd w:val="clear" w:color="auto" w:fill="E7E7E8"/>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0" w:right="380" w:hanging="185"/>
        <w:spacing w:after="0" w:line="277" w:lineRule="auto"/>
        <w:tabs>
          <w:tab w:leader="none" w:pos="194" w:val="left"/>
        </w:tabs>
        <w:numPr>
          <w:ilvl w:val="0"/>
          <w:numId w:val="5"/>
        </w:numPr>
        <w:rPr>
          <w:rFonts w:ascii="Arial" w:cs="Arial" w:eastAsia="Arial" w:hAnsi="Arial"/>
          <w:sz w:val="15"/>
          <w:szCs w:val="15"/>
          <w:color w:val="074A75"/>
          <w:shd w:val="clear" w:color="auto" w:fill="E7E7E8"/>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$49.3B</w:t>
      </w:r>
    </w:p>
    <w:p>
      <w:pPr>
        <w:spacing w:after="0" w:line="7" w:lineRule="exact"/>
        <w:rPr>
          <w:rFonts w:ascii="Arial" w:cs="Arial" w:eastAsia="Arial" w:hAnsi="Arial"/>
          <w:sz w:val="15"/>
          <w:szCs w:val="15"/>
          <w:color w:val="074A75"/>
          <w:shd w:val="clear" w:color="auto" w:fill="E7E7E8"/>
        </w:rPr>
      </w:pPr>
    </w:p>
    <w:p>
      <w:pPr>
        <w:ind w:left="200" w:right="340" w:hanging="185"/>
        <w:spacing w:after="0" w:line="249" w:lineRule="auto"/>
        <w:tabs>
          <w:tab w:leader="none" w:pos="194" w:val="left"/>
        </w:tabs>
        <w:numPr>
          <w:ilvl w:val="0"/>
          <w:numId w:val="5"/>
        </w:numPr>
        <w:rPr>
          <w:rFonts w:ascii="Arial" w:cs="Arial" w:eastAsia="Arial" w:hAnsi="Arial"/>
          <w:sz w:val="15"/>
          <w:szCs w:val="15"/>
          <w:color w:val="074A75"/>
        </w:rPr>
      </w:pPr>
      <w:r>
        <w:rPr>
          <w:rFonts w:ascii="Arial" w:cs="Arial" w:eastAsia="Arial" w:hAnsi="Arial"/>
          <w:sz w:val="15"/>
          <w:szCs w:val="15"/>
          <w:color w:val="auto"/>
        </w:rPr>
        <w:t>Record Investment Banking ("IB") fees of $9.5B (up 25%); record Markets revenue of $29.5B (up 41%)</w:t>
      </w:r>
    </w:p>
    <w:p>
      <w:pPr>
        <w:spacing w:after="0" w:line="94" w:lineRule="exact"/>
        <w:rPr>
          <w:rFonts w:ascii="Arial" w:cs="Arial" w:eastAsia="Arial" w:hAnsi="Arial"/>
          <w:sz w:val="15"/>
          <w:szCs w:val="15"/>
          <w:color w:val="074A75"/>
        </w:rPr>
      </w:pPr>
    </w:p>
    <w:p>
      <w:pPr>
        <w:ind w:left="200" w:right="240" w:hanging="185"/>
        <w:spacing w:after="0" w:line="260" w:lineRule="auto"/>
        <w:tabs>
          <w:tab w:leader="none" w:pos="194" w:val="left"/>
        </w:tabs>
        <w:numPr>
          <w:ilvl w:val="0"/>
          <w:numId w:val="5"/>
        </w:numPr>
        <w:rPr>
          <w:rFonts w:ascii="Arial" w:cs="Arial" w:eastAsia="Arial" w:hAnsi="Arial"/>
          <w:sz w:val="15"/>
          <w:szCs w:val="15"/>
          <w:color w:val="074A75"/>
        </w:rPr>
      </w:pPr>
      <w:r>
        <w:rPr>
          <w:rFonts w:ascii="Arial" w:cs="Arial" w:eastAsia="Arial" w:hAnsi="Arial"/>
          <w:sz w:val="15"/>
          <w:szCs w:val="15"/>
          <w:color w:val="auto"/>
        </w:rPr>
        <w:t>#1 in Markets revenue; #1 in IB fees for 12 consecutive years</w:t>
      </w:r>
    </w:p>
    <w:p>
      <w:pPr>
        <w:spacing w:after="0" w:line="85" w:lineRule="exact"/>
        <w:rPr>
          <w:rFonts w:ascii="Arial" w:cs="Arial" w:eastAsia="Arial" w:hAnsi="Arial"/>
          <w:sz w:val="15"/>
          <w:szCs w:val="15"/>
          <w:color w:val="074A75"/>
        </w:rPr>
      </w:pPr>
    </w:p>
    <w:p>
      <w:pPr>
        <w:ind w:left="200" w:right="540" w:hanging="185"/>
        <w:spacing w:after="0" w:line="252" w:lineRule="auto"/>
        <w:tabs>
          <w:tab w:leader="none" w:pos="194" w:val="left"/>
        </w:tabs>
        <w:numPr>
          <w:ilvl w:val="0"/>
          <w:numId w:val="5"/>
        </w:numPr>
        <w:rPr>
          <w:rFonts w:ascii="Arial" w:cs="Arial" w:eastAsia="Arial" w:hAnsi="Arial"/>
          <w:sz w:val="15"/>
          <w:szCs w:val="15"/>
          <w:color w:val="074A75"/>
        </w:rPr>
      </w:pPr>
      <w:r>
        <w:rPr>
          <w:rFonts w:ascii="Arial" w:cs="Arial" w:eastAsia="Arial" w:hAnsi="Arial"/>
          <w:sz w:val="15"/>
          <w:szCs w:val="15"/>
          <w:color w:val="auto"/>
        </w:rPr>
        <w:t>#2 custodian globally as measured by assets under custody of $31T (up 15%)</w:t>
      </w:r>
    </w:p>
    <w:p>
      <w:pPr>
        <w:spacing w:after="0" w:line="91" w:lineRule="exact"/>
        <w:rPr>
          <w:rFonts w:ascii="Arial" w:cs="Arial" w:eastAsia="Arial" w:hAnsi="Arial"/>
          <w:sz w:val="15"/>
          <w:szCs w:val="15"/>
          <w:color w:val="074A75"/>
        </w:rPr>
      </w:pPr>
    </w:p>
    <w:p>
      <w:pPr>
        <w:ind w:left="200" w:hanging="185"/>
        <w:spacing w:after="0"/>
        <w:tabs>
          <w:tab w:leader="none" w:pos="200" w:val="left"/>
        </w:tabs>
        <w:numPr>
          <w:ilvl w:val="0"/>
          <w:numId w:val="5"/>
        </w:numPr>
        <w:rPr>
          <w:rFonts w:ascii="Arial" w:cs="Arial" w:eastAsia="Arial" w:hAnsi="Arial"/>
          <w:sz w:val="15"/>
          <w:szCs w:val="15"/>
          <w:color w:val="074A75"/>
        </w:rPr>
      </w:pPr>
      <w:r>
        <w:rPr>
          <w:rFonts w:ascii="Arial" w:cs="Arial" w:eastAsia="Arial" w:hAnsi="Arial"/>
          <w:sz w:val="15"/>
          <w:szCs w:val="15"/>
          <w:color w:val="auto"/>
        </w:rPr>
        <w:t>#1 in USD Payments volume</w:t>
      </w:r>
    </w:p>
    <w:p>
      <w:pPr>
        <w:spacing w:after="0" w:line="111" w:lineRule="exact"/>
        <w:rPr>
          <w:rFonts w:ascii="Arial" w:cs="Arial" w:eastAsia="Arial" w:hAnsi="Arial"/>
          <w:sz w:val="15"/>
          <w:szCs w:val="15"/>
          <w:color w:val="074A75"/>
        </w:rPr>
      </w:pPr>
    </w:p>
    <w:p>
      <w:pPr>
        <w:ind w:left="200" w:hanging="185"/>
        <w:spacing w:after="0"/>
        <w:tabs>
          <w:tab w:leader="none" w:pos="200" w:val="left"/>
        </w:tabs>
        <w:numPr>
          <w:ilvl w:val="0"/>
          <w:numId w:val="5"/>
        </w:numPr>
        <w:rPr>
          <w:rFonts w:ascii="Arial" w:cs="Arial" w:eastAsia="Arial" w:hAnsi="Arial"/>
          <w:sz w:val="15"/>
          <w:szCs w:val="15"/>
          <w:color w:val="074A75"/>
        </w:rPr>
      </w:pPr>
      <w:r>
        <w:rPr>
          <w:rFonts w:ascii="Arial" w:cs="Arial" w:eastAsia="Arial" w:hAnsi="Arial"/>
          <w:sz w:val="15"/>
          <w:szCs w:val="15"/>
          <w:color w:val="auto"/>
        </w:rPr>
        <w:t>Added $2.4B of credit reserves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left="-109"/>
        <w:spacing w:after="0"/>
        <w:rPr>
          <w:sz w:val="20"/>
          <w:szCs w:val="20"/>
          <w:color w:val="auto"/>
        </w:rPr>
      </w:pPr>
      <w:r>
        <w:rPr>
          <w:rFonts w:ascii="Arial" w:cs="Arial" w:eastAsia="Arial" w:hAnsi="Arial"/>
          <w:sz w:val="22"/>
          <w:szCs w:val="22"/>
          <w:color w:val="074A75"/>
        </w:rPr>
        <w:t>COMMERCIAL</w:t>
      </w:r>
    </w:p>
    <w:p>
      <w:pPr>
        <w:spacing w:after="0" w:line="4" w:lineRule="exact"/>
        <w:rPr>
          <w:sz w:val="20"/>
          <w:szCs w:val="20"/>
          <w:color w:val="auto"/>
        </w:rPr>
      </w:pPr>
    </w:p>
    <w:p>
      <w:pPr>
        <w:jc w:val="center"/>
        <w:ind w:left="-109"/>
        <w:spacing w:after="0"/>
        <w:rPr>
          <w:sz w:val="20"/>
          <w:szCs w:val="20"/>
          <w:color w:val="auto"/>
        </w:rPr>
      </w:pPr>
      <w:r>
        <w:rPr>
          <w:rFonts w:ascii="Arial" w:cs="Arial" w:eastAsia="Arial" w:hAnsi="Arial"/>
          <w:sz w:val="22"/>
          <w:szCs w:val="22"/>
          <w:color w:val="074A75"/>
        </w:rPr>
        <w:t>BANKING</w:t>
      </w:r>
    </w:p>
    <w:p>
      <w:pPr>
        <w:spacing w:after="0" w:line="272" w:lineRule="exact"/>
        <w:rPr>
          <w:sz w:val="20"/>
          <w:szCs w:val="20"/>
          <w:color w:val="auto"/>
        </w:rPr>
      </w:pPr>
    </w:p>
    <w:p>
      <w:pPr>
        <w:ind w:left="250"/>
        <w:spacing w:after="0"/>
        <w:tabs>
          <w:tab w:leader="none" w:pos="1529" w:val="left"/>
        </w:tabs>
        <w:rPr>
          <w:sz w:val="20"/>
          <w:szCs w:val="20"/>
          <w:color w:val="auto"/>
        </w:rPr>
      </w:pPr>
      <w:r>
        <w:rPr>
          <w:rFonts w:ascii="Arial" w:cs="Arial" w:eastAsia="Arial" w:hAnsi="Arial"/>
          <w:sz w:val="20"/>
          <w:szCs w:val="20"/>
          <w:color w:val="074A75"/>
          <w:shd w:val="clear" w:color="auto" w:fill="E7E7E8"/>
        </w:rPr>
        <w:t>$</w:t>
      </w:r>
      <w:r>
        <w:rPr>
          <w:rFonts w:ascii="Arial" w:cs="Arial" w:eastAsia="Arial" w:hAnsi="Arial"/>
          <w:sz w:val="61"/>
          <w:szCs w:val="61"/>
          <w:color w:val="074A75"/>
          <w:vertAlign w:val="subscript"/>
          <w:shd w:val="clear" w:color="auto" w:fill="E7E7E8"/>
        </w:rPr>
        <w:t>2.6</w:t>
      </w:r>
      <w:r>
        <w:rPr>
          <w:rFonts w:ascii="Arial" w:cs="Arial" w:eastAsia="Arial" w:hAnsi="Arial"/>
          <w:sz w:val="43"/>
          <w:szCs w:val="43"/>
          <w:color w:val="074A75"/>
          <w:vertAlign w:val="subscript"/>
          <w:shd w:val="clear" w:color="auto" w:fill="E7E7E8"/>
        </w:rPr>
        <w:t>B</w:t>
      </w:r>
      <w:r>
        <w:rPr>
          <w:sz w:val="20"/>
          <w:szCs w:val="20"/>
          <w:color w:val="auto"/>
        </w:rPr>
        <w:tab/>
      </w:r>
      <w:r>
        <w:rPr>
          <w:rFonts w:ascii="Arial" w:cs="Arial" w:eastAsia="Arial" w:hAnsi="Arial"/>
          <w:sz w:val="28"/>
          <w:szCs w:val="28"/>
          <w:color w:val="074A75"/>
        </w:rPr>
        <w:t>11</w:t>
      </w:r>
      <w:r>
        <w:rPr>
          <w:rFonts w:ascii="Arial" w:cs="Arial" w:eastAsia="Arial" w:hAnsi="Arial"/>
          <w:sz w:val="35"/>
          <w:szCs w:val="35"/>
          <w:color w:val="074A75"/>
          <w:vertAlign w:val="superscript"/>
        </w:rPr>
        <w:t>%</w:t>
      </w:r>
    </w:p>
    <w:p>
      <w:pPr>
        <w:ind w:left="1650"/>
        <w:spacing w:after="0" w:line="187" w:lineRule="auto"/>
        <w:rPr>
          <w:sz w:val="20"/>
          <w:szCs w:val="20"/>
          <w:color w:val="auto"/>
        </w:rPr>
      </w:pPr>
      <w:r>
        <w:rPr>
          <w:rFonts w:ascii="Arial" w:cs="Arial" w:eastAsia="Arial" w:hAnsi="Arial"/>
          <w:sz w:val="12"/>
          <w:szCs w:val="12"/>
          <w:color w:val="auto"/>
        </w:rPr>
        <w:t>ROE</w:t>
      </w:r>
    </w:p>
    <w:p>
      <w:pPr>
        <w:ind w:left="130"/>
        <w:spacing w:after="0"/>
        <w:rPr>
          <w:sz w:val="20"/>
          <w:szCs w:val="20"/>
          <w:color w:val="auto"/>
        </w:rPr>
      </w:pPr>
      <w:r>
        <w:rPr>
          <w:rFonts w:ascii="Arial" w:cs="Arial" w:eastAsia="Arial" w:hAnsi="Arial"/>
          <w:sz w:val="14"/>
          <w:szCs w:val="14"/>
          <w:color w:val="auto"/>
          <w:shd w:val="clear" w:color="auto" w:fill="E7E7E8"/>
        </w:rPr>
        <w:t>NET INCOME</w:t>
      </w:r>
    </w:p>
    <w:p>
      <w:pPr>
        <w:spacing w:after="0" w:line="325" w:lineRule="exact"/>
        <w:rPr>
          <w:sz w:val="20"/>
          <w:szCs w:val="20"/>
          <w:color w:val="auto"/>
        </w:rPr>
      </w:pPr>
    </w:p>
    <w:p>
      <w:pPr>
        <w:ind w:left="190" w:hanging="190"/>
        <w:spacing w:after="0"/>
        <w:tabs>
          <w:tab w:leader="none" w:pos="190" w:val="left"/>
        </w:tabs>
        <w:numPr>
          <w:ilvl w:val="0"/>
          <w:numId w:val="6"/>
        </w:numPr>
        <w:rPr>
          <w:rFonts w:ascii="Arial" w:cs="Arial" w:eastAsia="Arial" w:hAnsi="Arial"/>
          <w:sz w:val="16"/>
          <w:szCs w:val="16"/>
          <w:color w:val="074A75"/>
          <w:shd w:val="clear" w:color="auto" w:fill="E7E7E8"/>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$9.3B</w:t>
      </w:r>
    </w:p>
    <w:p>
      <w:pPr>
        <w:spacing w:after="0" w:line="65" w:lineRule="exact"/>
        <w:rPr>
          <w:rFonts w:ascii="Arial" w:cs="Arial" w:eastAsia="Arial" w:hAnsi="Arial"/>
          <w:sz w:val="16"/>
          <w:szCs w:val="16"/>
          <w:color w:val="074A75"/>
          <w:shd w:val="clear" w:color="auto" w:fill="E7E7E8"/>
        </w:rPr>
      </w:pPr>
    </w:p>
    <w:p>
      <w:pPr>
        <w:ind w:left="190" w:right="120" w:hanging="190"/>
        <w:spacing w:after="0" w:line="239" w:lineRule="auto"/>
        <w:tabs>
          <w:tab w:leader="none" w:pos="18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Record gross IB revenue</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of $3.3B (up 22%), surpassing long-term target of $3B, including record year for both Middle Market Banking &amp; Specialized Industries ("MMBSI") and Corporate Client Banking &amp; Specialized Industries ("CCBSI")</w:t>
      </w:r>
    </w:p>
    <w:p>
      <w:pPr>
        <w:spacing w:after="0" w:line="101" w:lineRule="exact"/>
        <w:rPr>
          <w:rFonts w:ascii="Arial" w:cs="Arial" w:eastAsia="Arial" w:hAnsi="Arial"/>
          <w:sz w:val="15"/>
          <w:szCs w:val="15"/>
          <w:color w:val="074A75"/>
        </w:rPr>
      </w:pPr>
    </w:p>
    <w:p>
      <w:pPr>
        <w:ind w:left="190" w:right="40" w:hanging="190"/>
        <w:spacing w:after="0" w:line="249" w:lineRule="auto"/>
        <w:tabs>
          <w:tab w:leader="none" w:pos="18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Record Middle Market expansion market revenue of $911M (up 13%), approaching $1B target</w:t>
      </w:r>
    </w:p>
    <w:p>
      <w:pPr>
        <w:spacing w:after="0" w:line="94" w:lineRule="exact"/>
        <w:rPr>
          <w:rFonts w:ascii="Arial" w:cs="Arial" w:eastAsia="Arial" w:hAnsi="Arial"/>
          <w:sz w:val="15"/>
          <w:szCs w:val="15"/>
          <w:color w:val="074A75"/>
        </w:rPr>
      </w:pPr>
    </w:p>
    <w:p>
      <w:pPr>
        <w:ind w:left="190" w:right="140" w:hanging="190"/>
        <w:spacing w:after="0" w:line="252" w:lineRule="auto"/>
        <w:tabs>
          <w:tab w:leader="none" w:pos="184" w:val="left"/>
        </w:tabs>
        <w:numPr>
          <w:ilvl w:val="0"/>
          <w:numId w:val="6"/>
        </w:numPr>
        <w:rPr>
          <w:rFonts w:ascii="Arial" w:cs="Arial" w:eastAsia="Arial" w:hAnsi="Arial"/>
          <w:sz w:val="15"/>
          <w:szCs w:val="15"/>
          <w:color w:val="074A75"/>
        </w:rPr>
      </w:pPr>
      <w:r>
        <w:rPr>
          <w:rFonts w:ascii="Arial" w:cs="Arial" w:eastAsia="Arial" w:hAnsi="Arial"/>
          <w:sz w:val="15"/>
          <w:szCs w:val="15"/>
          <w:color w:val="auto"/>
        </w:rPr>
        <w:t>Average deposits of $237.6B (up 38%); average loans of $218.9B (up 5%)</w:t>
      </w:r>
    </w:p>
    <w:p>
      <w:pPr>
        <w:spacing w:after="0" w:line="91" w:lineRule="exact"/>
        <w:rPr>
          <w:rFonts w:ascii="Arial" w:cs="Arial" w:eastAsia="Arial" w:hAnsi="Arial"/>
          <w:sz w:val="15"/>
          <w:szCs w:val="15"/>
          <w:color w:val="074A75"/>
        </w:rPr>
      </w:pPr>
    </w:p>
    <w:p>
      <w:pPr>
        <w:ind w:left="190" w:hanging="190"/>
        <w:spacing w:after="0"/>
        <w:tabs>
          <w:tab w:leader="none" w:pos="190" w:val="left"/>
        </w:tabs>
        <w:numPr>
          <w:ilvl w:val="0"/>
          <w:numId w:val="6"/>
        </w:numPr>
        <w:rPr>
          <w:rFonts w:ascii="Arial" w:cs="Arial" w:eastAsia="Arial" w:hAnsi="Arial"/>
          <w:sz w:val="15"/>
          <w:szCs w:val="15"/>
          <w:color w:val="074A75"/>
        </w:rPr>
      </w:pPr>
      <w:r>
        <w:rPr>
          <w:rFonts w:ascii="Arial" w:cs="Arial" w:eastAsia="Arial" w:hAnsi="Arial"/>
          <w:sz w:val="15"/>
          <w:szCs w:val="15"/>
          <w:color w:val="auto"/>
        </w:rPr>
        <w:t>Added $1.7B of credit reserves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074A75"/>
        </w:rPr>
        <w:t>ASSET &amp; WEALTH</w:t>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074A75"/>
        </w:rPr>
        <w:t>MANAGEMENT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 w:type="dxa"/>
            <w:vAlign w:val="bottom"/>
            <w:shd w:val="clear" w:color="auto" w:fill="E7E7E8"/>
          </w:tcPr>
          <w:p>
            <w:pPr>
              <w:spacing w:after="0"/>
              <w:rPr>
                <w:sz w:val="16"/>
                <w:szCs w:val="16"/>
                <w:color w:val="auto"/>
              </w:rPr>
            </w:pPr>
          </w:p>
        </w:tc>
        <w:tc>
          <w:tcPr>
            <w:tcW w:w="10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71"/>
                <w:shd w:val="clear" w:color="auto" w:fill="E7E7E8"/>
              </w:rPr>
              <w:t>$</w:t>
            </w:r>
          </w:p>
        </w:tc>
        <w:tc>
          <w:tcPr>
            <w:tcW w:w="42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3.0</w:t>
            </w:r>
          </w:p>
        </w:tc>
        <w:tc>
          <w:tcPr>
            <w:tcW w:w="160" w:type="dxa"/>
            <w:vAlign w:val="bottom"/>
            <w:vMerge w:val="restart"/>
            <w:shd w:val="clear" w:color="auto" w:fill="E7E7E8"/>
          </w:tcPr>
          <w:p>
            <w:pPr>
              <w:ind w:left="20"/>
              <w:spacing w:after="0"/>
              <w:rPr>
                <w:sz w:val="20"/>
                <w:szCs w:val="20"/>
                <w:color w:val="auto"/>
              </w:rPr>
            </w:pPr>
            <w:r>
              <w:rPr>
                <w:rFonts w:ascii="Arial" w:cs="Arial" w:eastAsia="Arial" w:hAnsi="Arial"/>
                <w:sz w:val="22"/>
                <w:szCs w:val="22"/>
                <w:color w:val="074A75"/>
                <w:w w:val="81"/>
                <w:shd w:val="clear" w:color="auto" w:fill="E7E7E8"/>
              </w:rPr>
              <w:t>B</w:t>
            </w:r>
          </w:p>
        </w:tc>
        <w:tc>
          <w:tcPr>
            <w:tcW w:w="280" w:type="dxa"/>
            <w:vAlign w:val="bottom"/>
            <w:tcBorders>
              <w:right w:val="single" w:sz="8" w:color="E7E7E8"/>
            </w:tcBorders>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340" w:type="dxa"/>
            <w:vAlign w:val="bottom"/>
            <w:vMerge w:val="restart"/>
            <w:shd w:val="clear" w:color="auto" w:fill="E7E7E8"/>
          </w:tcPr>
          <w:p>
            <w:pPr>
              <w:jc w:val="right"/>
              <w:spacing w:after="0"/>
              <w:rPr>
                <w:sz w:val="20"/>
                <w:szCs w:val="20"/>
                <w:color w:val="auto"/>
              </w:rPr>
            </w:pPr>
            <w:r>
              <w:rPr>
                <w:rFonts w:ascii="Arial" w:cs="Arial" w:eastAsia="Arial" w:hAnsi="Arial"/>
                <w:sz w:val="31"/>
                <w:szCs w:val="31"/>
                <w:color w:val="074A75"/>
                <w:w w:val="92"/>
                <w:shd w:val="clear" w:color="auto" w:fill="E7E7E8"/>
              </w:rPr>
              <w:t>28</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20"/>
                <w:szCs w:val="20"/>
                <w:color w:val="074A75"/>
                <w:w w:val="89"/>
                <w:shd w:val="clear" w:color="auto" w:fill="E7E7E8"/>
              </w:rPr>
              <w:t>%</w:t>
            </w:r>
          </w:p>
        </w:tc>
        <w:tc>
          <w:tcPr>
            <w:tcW w:w="36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280" w:type="dxa"/>
            <w:vAlign w:val="bottom"/>
            <w:vMerge w:val="restart"/>
            <w:shd w:val="clear" w:color="auto" w:fill="E7E7E8"/>
          </w:tcPr>
          <w:p>
            <w:pPr>
              <w:spacing w:after="0"/>
              <w:rPr>
                <w:sz w:val="24"/>
                <w:szCs w:val="24"/>
                <w:color w:val="auto"/>
              </w:rPr>
            </w:pPr>
          </w:p>
        </w:tc>
        <w:tc>
          <w:tcPr>
            <w:tcW w:w="100" w:type="dxa"/>
            <w:vAlign w:val="bottom"/>
            <w:vMerge w:val="continue"/>
            <w:shd w:val="clear" w:color="auto" w:fill="E7E7E8"/>
          </w:tcPr>
          <w:p>
            <w:pPr>
              <w:spacing w:after="0"/>
              <w:rPr>
                <w:sz w:val="24"/>
                <w:szCs w:val="24"/>
                <w:color w:val="auto"/>
              </w:rPr>
            </w:pPr>
          </w:p>
        </w:tc>
        <w:tc>
          <w:tcPr>
            <w:tcW w:w="420" w:type="dxa"/>
            <w:vAlign w:val="bottom"/>
            <w:vMerge w:val="continue"/>
            <w:shd w:val="clear" w:color="auto" w:fill="E7E7E8"/>
          </w:tcPr>
          <w:p>
            <w:pPr>
              <w:spacing w:after="0"/>
              <w:rPr>
                <w:sz w:val="24"/>
                <w:szCs w:val="24"/>
                <w:color w:val="auto"/>
              </w:rPr>
            </w:pPr>
          </w:p>
        </w:tc>
        <w:tc>
          <w:tcPr>
            <w:tcW w:w="160" w:type="dxa"/>
            <w:vAlign w:val="bottom"/>
            <w:vMerge w:val="continue"/>
            <w:shd w:val="clear" w:color="auto" w:fill="E7E7E8"/>
          </w:tcPr>
          <w:p>
            <w:pPr>
              <w:spacing w:after="0"/>
              <w:rPr>
                <w:sz w:val="24"/>
                <w:szCs w:val="24"/>
                <w:color w:val="auto"/>
              </w:rPr>
            </w:pPr>
          </w:p>
        </w:tc>
        <w:tc>
          <w:tcPr>
            <w:tcW w:w="280" w:type="dxa"/>
            <w:vAlign w:val="bottom"/>
            <w:tcBorders>
              <w:right w:val="single" w:sz="8" w:color="454545"/>
            </w:tcBorders>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340" w:type="dxa"/>
            <w:vAlign w:val="bottom"/>
            <w:vMerge w:val="continue"/>
            <w:shd w:val="clear" w:color="auto" w:fill="E7E7E8"/>
          </w:tcPr>
          <w:p>
            <w:pPr>
              <w:spacing w:after="0"/>
              <w:rPr>
                <w:sz w:val="24"/>
                <w:szCs w:val="24"/>
                <w:color w:val="auto"/>
              </w:rPr>
            </w:pPr>
          </w:p>
        </w:tc>
        <w:tc>
          <w:tcPr>
            <w:tcW w:w="180" w:type="dxa"/>
            <w:vAlign w:val="bottom"/>
            <w:vMerge w:val="continue"/>
            <w:shd w:val="clear" w:color="auto" w:fill="E7E7E8"/>
          </w:tcPr>
          <w:p>
            <w:pPr>
              <w:spacing w:after="0"/>
              <w:rPr>
                <w:sz w:val="24"/>
                <w:szCs w:val="24"/>
                <w:color w:val="auto"/>
              </w:rPr>
            </w:pPr>
          </w:p>
        </w:tc>
        <w:tc>
          <w:tcPr>
            <w:tcW w:w="360" w:type="dxa"/>
            <w:vAlign w:val="bottom"/>
            <w:vMerge w:val="restart"/>
            <w:shd w:val="clear" w:color="auto" w:fill="E7E7E8"/>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80" w:type="dxa"/>
            <w:vAlign w:val="bottom"/>
            <w:vMerge w:val="continue"/>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20" w:type="dxa"/>
            <w:vAlign w:val="bottom"/>
            <w:vMerge w:val="continue"/>
            <w:shd w:val="clear" w:color="auto" w:fill="E7E7E8"/>
          </w:tcPr>
          <w:p>
            <w:pPr>
              <w:spacing w:after="0"/>
              <w:rPr>
                <w:sz w:val="7"/>
                <w:szCs w:val="7"/>
                <w:color w:val="auto"/>
              </w:rPr>
            </w:pPr>
          </w:p>
        </w:tc>
        <w:tc>
          <w:tcPr>
            <w:tcW w:w="160" w:type="dxa"/>
            <w:vAlign w:val="bottom"/>
            <w:vMerge w:val="continue"/>
            <w:shd w:val="clear" w:color="auto" w:fill="E7E7E8"/>
          </w:tcPr>
          <w:p>
            <w:pPr>
              <w:spacing w:after="0"/>
              <w:rPr>
                <w:sz w:val="7"/>
                <w:szCs w:val="7"/>
                <w:color w:val="auto"/>
              </w:rPr>
            </w:pPr>
          </w:p>
        </w:tc>
        <w:tc>
          <w:tcPr>
            <w:tcW w:w="280" w:type="dxa"/>
            <w:vAlign w:val="bottom"/>
            <w:tcBorders>
              <w:right w:val="single" w:sz="8" w:color="454545"/>
            </w:tcBorders>
            <w:shd w:val="clear" w:color="auto" w:fill="E7E7E8"/>
          </w:tcPr>
          <w:p>
            <w:pPr>
              <w:spacing w:after="0"/>
              <w:rPr>
                <w:sz w:val="7"/>
                <w:szCs w:val="7"/>
                <w:color w:val="auto"/>
              </w:rPr>
            </w:pPr>
          </w:p>
        </w:tc>
        <w:tc>
          <w:tcPr>
            <w:tcW w:w="340" w:type="dxa"/>
            <w:vAlign w:val="bottom"/>
            <w:shd w:val="clear" w:color="auto" w:fill="E7E7E8"/>
          </w:tcPr>
          <w:p>
            <w:pPr>
              <w:spacing w:after="0"/>
              <w:rPr>
                <w:sz w:val="7"/>
                <w:szCs w:val="7"/>
                <w:color w:val="auto"/>
              </w:rPr>
            </w:pPr>
          </w:p>
        </w:tc>
        <w:tc>
          <w:tcPr>
            <w:tcW w:w="340" w:type="dxa"/>
            <w:vAlign w:val="bottom"/>
            <w:vMerge w:val="continue"/>
            <w:shd w:val="clear" w:color="auto" w:fill="E7E7E8"/>
          </w:tcPr>
          <w:p>
            <w:pPr>
              <w:spacing w:after="0"/>
              <w:rPr>
                <w:sz w:val="7"/>
                <w:szCs w:val="7"/>
                <w:color w:val="auto"/>
              </w:rPr>
            </w:pPr>
          </w:p>
        </w:tc>
        <w:tc>
          <w:tcPr>
            <w:tcW w:w="180" w:type="dxa"/>
            <w:vAlign w:val="bottom"/>
            <w:shd w:val="clear" w:color="auto" w:fill="E7E7E8"/>
          </w:tcPr>
          <w:p>
            <w:pPr>
              <w:spacing w:after="0"/>
              <w:rPr>
                <w:sz w:val="7"/>
                <w:szCs w:val="7"/>
                <w:color w:val="auto"/>
              </w:rPr>
            </w:pPr>
          </w:p>
        </w:tc>
        <w:tc>
          <w:tcPr>
            <w:tcW w:w="360" w:type="dxa"/>
            <w:vAlign w:val="bottom"/>
            <w:vMerge w:val="continue"/>
            <w:shd w:val="clear" w:color="auto" w:fill="E7E7E8"/>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240" w:type="dxa"/>
            <w:vAlign w:val="bottom"/>
            <w:tcBorders>
              <w:right w:val="single" w:sz="8" w:color="454545"/>
            </w:tcBorders>
            <w:gridSpan w:val="5"/>
            <w:shd w:val="clear" w:color="auto" w:fill="E7E7E8"/>
          </w:tcPr>
          <w:p>
            <w:pPr>
              <w:jc w:val="center"/>
              <w:ind w:right="20"/>
              <w:spacing w:after="0"/>
              <w:rPr>
                <w:sz w:val="20"/>
                <w:szCs w:val="20"/>
                <w:color w:val="auto"/>
              </w:rPr>
            </w:pPr>
            <w:r>
              <w:rPr>
                <w:rFonts w:ascii="Arial" w:cs="Arial" w:eastAsia="Arial" w:hAnsi="Arial"/>
                <w:sz w:val="14"/>
                <w:szCs w:val="14"/>
                <w:color w:val="auto"/>
                <w:shd w:val="clear" w:color="auto" w:fill="E7E7E8"/>
              </w:rPr>
              <w:t>NET INCOME</w:t>
            </w:r>
          </w:p>
        </w:tc>
        <w:tc>
          <w:tcPr>
            <w:tcW w:w="340" w:type="dxa"/>
            <w:vAlign w:val="bottom"/>
            <w:shd w:val="clear" w:color="auto" w:fill="E7E7E8"/>
          </w:tcPr>
          <w:p>
            <w:pPr>
              <w:spacing w:after="0"/>
              <w:rPr>
                <w:sz w:val="17"/>
                <w:szCs w:val="17"/>
                <w:color w:val="auto"/>
              </w:rPr>
            </w:pPr>
          </w:p>
        </w:tc>
        <w:tc>
          <w:tcPr>
            <w:tcW w:w="520" w:type="dxa"/>
            <w:vAlign w:val="bottom"/>
            <w:gridSpan w:val="2"/>
            <w:shd w:val="clear" w:color="auto" w:fill="E7E7E8"/>
          </w:tcPr>
          <w:p>
            <w:pPr>
              <w:jc w:val="right"/>
              <w:ind w:right="1"/>
              <w:spacing w:after="0"/>
              <w:rPr>
                <w:sz w:val="20"/>
                <w:szCs w:val="20"/>
                <w:color w:val="auto"/>
              </w:rPr>
            </w:pPr>
            <w:r>
              <w:rPr>
                <w:rFonts w:ascii="Arial" w:cs="Arial" w:eastAsia="Arial" w:hAnsi="Arial"/>
                <w:sz w:val="14"/>
                <w:szCs w:val="14"/>
                <w:color w:val="auto"/>
                <w:shd w:val="clear" w:color="auto" w:fill="E7E7E8"/>
              </w:rPr>
              <w:t>ROE</w:t>
            </w:r>
          </w:p>
        </w:tc>
        <w:tc>
          <w:tcPr>
            <w:tcW w:w="360" w:type="dxa"/>
            <w:vAlign w:val="bottom"/>
            <w:shd w:val="clear" w:color="auto" w:fill="E7E7E8"/>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280" w:type="dxa"/>
            <w:vAlign w:val="bottom"/>
            <w:tcBorders>
              <w:right w:val="single" w:sz="8" w:color="454545"/>
            </w:tcBorders>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42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280" w:type="dxa"/>
            <w:vAlign w:val="bottom"/>
            <w:tcBorders>
              <w:right w:val="single" w:sz="8" w:color="E7E7E8"/>
            </w:tcBorders>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340" w:type="dxa"/>
            <w:vAlign w:val="bottom"/>
            <w:shd w:val="clear" w:color="auto" w:fill="E7E7E8"/>
          </w:tcPr>
          <w:p>
            <w:pPr>
              <w:spacing w:after="0"/>
              <w:rPr>
                <w:sz w:val="11"/>
                <w:szCs w:val="11"/>
                <w:color w:val="auto"/>
              </w:rPr>
            </w:pPr>
          </w:p>
        </w:tc>
        <w:tc>
          <w:tcPr>
            <w:tcW w:w="180" w:type="dxa"/>
            <w:vAlign w:val="bottom"/>
            <w:shd w:val="clear" w:color="auto" w:fill="E7E7E8"/>
          </w:tcPr>
          <w:p>
            <w:pPr>
              <w:spacing w:after="0"/>
              <w:rPr>
                <w:sz w:val="11"/>
                <w:szCs w:val="11"/>
                <w:color w:val="auto"/>
              </w:rPr>
            </w:pPr>
          </w:p>
        </w:tc>
        <w:tc>
          <w:tcPr>
            <w:tcW w:w="360" w:type="dxa"/>
            <w:vAlign w:val="bottom"/>
            <w:shd w:val="clear" w:color="auto" w:fill="E7E7E8"/>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0" w:right="360" w:hanging="194"/>
        <w:spacing w:after="0" w:line="213" w:lineRule="auto"/>
        <w:tabs>
          <w:tab w:leader="none" w:pos="217" w:val="left"/>
        </w:tabs>
        <w:numPr>
          <w:ilvl w:val="0"/>
          <w:numId w:val="7"/>
        </w:numPr>
        <w:rPr>
          <w:rFonts w:ascii="Arial" w:cs="Arial" w:eastAsia="Arial" w:hAnsi="Arial"/>
          <w:sz w:val="16"/>
          <w:szCs w:val="16"/>
          <w:color w:val="074A75"/>
          <w:shd w:val="clear" w:color="auto" w:fill="E7E7E8"/>
        </w:rPr>
      </w:pPr>
      <w:r>
        <w:rPr>
          <w:rFonts w:ascii="Arial" w:cs="Arial" w:eastAsia="Arial" w:hAnsi="Arial"/>
          <w:sz w:val="15"/>
          <w:szCs w:val="15"/>
          <w:color w:val="auto"/>
        </w:rPr>
        <w:t>Record net income</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on record revenue</w:t>
      </w:r>
      <w:r>
        <w:rPr>
          <w:rFonts w:ascii="Arial" w:cs="Arial" w:eastAsia="Arial" w:hAnsi="Arial"/>
          <w:sz w:val="19"/>
          <w:szCs w:val="19"/>
          <w:color w:val="auto"/>
          <w:vertAlign w:val="superscript"/>
        </w:rPr>
        <w:t>1,6</w:t>
      </w:r>
      <w:r>
        <w:rPr>
          <w:rFonts w:ascii="Arial" w:cs="Arial" w:eastAsia="Arial" w:hAnsi="Arial"/>
          <w:sz w:val="15"/>
          <w:szCs w:val="15"/>
          <w:color w:val="auto"/>
        </w:rPr>
        <w:t xml:space="preserve"> of $14.2B; pre-tax margin of 28%</w:t>
      </w:r>
    </w:p>
    <w:p>
      <w:pPr>
        <w:spacing w:after="0" w:line="99" w:lineRule="exact"/>
        <w:rPr>
          <w:rFonts w:ascii="Arial" w:cs="Arial" w:eastAsia="Arial" w:hAnsi="Arial"/>
          <w:sz w:val="16"/>
          <w:szCs w:val="16"/>
          <w:color w:val="074A75"/>
          <w:shd w:val="clear" w:color="auto" w:fill="E7E7E8"/>
        </w:rPr>
      </w:pPr>
    </w:p>
    <w:p>
      <w:pPr>
        <w:ind w:left="220" w:right="620" w:hanging="194"/>
        <w:spacing w:after="0" w:line="238" w:lineRule="auto"/>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Record assets under management ("AUM")</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$2.7T (up 17%) and client assets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$3.7T (up 18%)</w:t>
      </w:r>
    </w:p>
    <w:p>
      <w:pPr>
        <w:spacing w:after="0" w:line="34" w:lineRule="exact"/>
        <w:rPr>
          <w:rFonts w:ascii="Arial" w:cs="Arial" w:eastAsia="Arial" w:hAnsi="Arial"/>
          <w:sz w:val="15"/>
          <w:szCs w:val="15"/>
          <w:color w:val="074A75"/>
        </w:rPr>
      </w:pPr>
    </w:p>
    <w:p>
      <w:pPr>
        <w:ind w:left="220" w:right="360" w:hanging="194"/>
        <w:spacing w:after="0" w:line="228" w:lineRule="auto"/>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80% of 10-year long-term mutual fund AUM</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performing in top two quartiles</w:t>
      </w:r>
    </w:p>
    <w:p>
      <w:pPr>
        <w:spacing w:after="0" w:line="93" w:lineRule="exact"/>
        <w:rPr>
          <w:rFonts w:ascii="Arial" w:cs="Arial" w:eastAsia="Arial" w:hAnsi="Arial"/>
          <w:sz w:val="15"/>
          <w:szCs w:val="15"/>
          <w:color w:val="074A75"/>
        </w:rPr>
      </w:pPr>
    </w:p>
    <w:p>
      <w:pPr>
        <w:ind w:left="220" w:right="320" w:hanging="194"/>
        <w:spacing w:after="0" w:line="219" w:lineRule="auto"/>
        <w:tabs>
          <w:tab w:leader="none" w:pos="214" w:val="left"/>
        </w:tabs>
        <w:numPr>
          <w:ilvl w:val="0"/>
          <w:numId w:val="7"/>
        </w:numPr>
        <w:rPr>
          <w:rFonts w:ascii="Arial" w:cs="Arial" w:eastAsia="Arial" w:hAnsi="Arial"/>
          <w:sz w:val="15"/>
          <w:szCs w:val="15"/>
          <w:color w:val="074A75"/>
        </w:rPr>
      </w:pPr>
      <w:r>
        <w:rPr>
          <w:rFonts w:ascii="Arial" w:cs="Arial" w:eastAsia="Arial" w:hAnsi="Arial"/>
          <w:sz w:val="15"/>
          <w:szCs w:val="15"/>
          <w:color w:val="auto"/>
        </w:rPr>
        <w:t>Record average deposits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$162.0B (up 20%); record average loans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$166.3B (up 13%)</w:t>
      </w:r>
    </w:p>
    <w:p>
      <w:pPr>
        <w:spacing w:after="0" w:line="892" w:lineRule="exact"/>
        <w:rPr>
          <w:sz w:val="20"/>
          <w:szCs w:val="20"/>
          <w:color w:val="auto"/>
        </w:rPr>
      </w:pPr>
    </w:p>
    <w:p>
      <w:pPr>
        <w:sectPr>
          <w:pgSz w:w="11900" w:h="16838" w:orient="portrait"/>
          <w:cols w:equalWidth="0" w:num="4">
            <w:col w:w="2600" w:space="300"/>
            <w:col w:w="2560" w:space="330"/>
            <w:col w:w="2290" w:space="560"/>
            <w:col w:w="2600"/>
          </w:cols>
          <w:pgMar w:left="320" w:top="171" w:right="339" w:bottom="1440" w:gutter="0" w:footer="0" w:header="0"/>
          <w:type w:val="continuous"/>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0" w:type="dxa"/>
            <w:vAlign w:val="bottom"/>
            <w:shd w:val="clear" w:color="auto" w:fill="E7E7E8"/>
          </w:tcPr>
          <w:p>
            <w:pPr>
              <w:spacing w:after="0"/>
              <w:rPr>
                <w:sz w:val="11"/>
                <w:szCs w:val="11"/>
                <w:color w:val="auto"/>
              </w:rPr>
            </w:pPr>
          </w:p>
        </w:tc>
        <w:tc>
          <w:tcPr>
            <w:tcW w:w="36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360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362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r>
      <w:tr>
        <w:trPr>
          <w:trHeight w:val="243"/>
        </w:trPr>
        <w:tc>
          <w:tcPr>
            <w:tcW w:w="100" w:type="dxa"/>
            <w:vAlign w:val="bottom"/>
            <w:shd w:val="clear" w:color="auto" w:fill="E7E7E8"/>
          </w:tcPr>
          <w:p>
            <w:pPr>
              <w:spacing w:after="0"/>
              <w:rPr>
                <w:sz w:val="21"/>
                <w:szCs w:val="21"/>
                <w:color w:val="auto"/>
              </w:rPr>
            </w:pPr>
          </w:p>
        </w:tc>
        <w:tc>
          <w:tcPr>
            <w:tcW w:w="3600" w:type="dxa"/>
            <w:vAlign w:val="bottom"/>
            <w:shd w:val="clear" w:color="auto" w:fill="074A75"/>
          </w:tcPr>
          <w:p>
            <w:pPr>
              <w:ind w:left="360"/>
              <w:spacing w:after="0"/>
              <w:rPr>
                <w:sz w:val="20"/>
                <w:szCs w:val="20"/>
                <w:color w:val="auto"/>
              </w:rPr>
            </w:pPr>
            <w:r>
              <w:rPr>
                <w:rFonts w:ascii="Arial" w:cs="Arial" w:eastAsia="Arial" w:hAnsi="Arial"/>
                <w:sz w:val="16"/>
                <w:szCs w:val="16"/>
                <w:b w:val="1"/>
                <w:bCs w:val="1"/>
                <w:color w:val="FFFFFF"/>
              </w:rPr>
              <w:t>EXCEPTIONAL CLIENT FRANCHISES</w:t>
            </w:r>
          </w:p>
        </w:tc>
        <w:tc>
          <w:tcPr>
            <w:tcW w:w="120" w:type="dxa"/>
            <w:vAlign w:val="bottom"/>
            <w:shd w:val="clear" w:color="auto" w:fill="E7E7E8"/>
          </w:tcPr>
          <w:p>
            <w:pPr>
              <w:spacing w:after="0"/>
              <w:rPr>
                <w:sz w:val="21"/>
                <w:szCs w:val="21"/>
                <w:color w:val="auto"/>
              </w:rPr>
            </w:pPr>
          </w:p>
        </w:tc>
        <w:tc>
          <w:tcPr>
            <w:tcW w:w="3600" w:type="dxa"/>
            <w:vAlign w:val="bottom"/>
            <w:shd w:val="clear" w:color="auto" w:fill="074A75"/>
          </w:tcPr>
          <w:p>
            <w:pPr>
              <w:ind w:left="60"/>
              <w:spacing w:after="0"/>
              <w:rPr>
                <w:sz w:val="20"/>
                <w:szCs w:val="20"/>
                <w:color w:val="auto"/>
              </w:rPr>
            </w:pPr>
            <w:r>
              <w:rPr>
                <w:rFonts w:ascii="Arial" w:cs="Arial" w:eastAsia="Arial" w:hAnsi="Arial"/>
                <w:sz w:val="16"/>
                <w:szCs w:val="16"/>
                <w:b w:val="1"/>
                <w:bCs w:val="1"/>
                <w:color w:val="FFFFFF"/>
                <w:shd w:val="clear" w:color="auto" w:fill="074A75"/>
              </w:rPr>
              <w:t>FORTRESS BALANCE SHEET &amp; PRINCIPLES</w:t>
            </w:r>
          </w:p>
        </w:tc>
        <w:tc>
          <w:tcPr>
            <w:tcW w:w="100" w:type="dxa"/>
            <w:vAlign w:val="bottom"/>
            <w:shd w:val="clear" w:color="auto" w:fill="E7E7E8"/>
          </w:tcPr>
          <w:p>
            <w:pPr>
              <w:spacing w:after="0"/>
              <w:rPr>
                <w:sz w:val="21"/>
                <w:szCs w:val="21"/>
                <w:color w:val="auto"/>
              </w:rPr>
            </w:pPr>
          </w:p>
        </w:tc>
        <w:tc>
          <w:tcPr>
            <w:tcW w:w="3620" w:type="dxa"/>
            <w:vAlign w:val="bottom"/>
            <w:shd w:val="clear" w:color="auto" w:fill="074A75"/>
          </w:tcPr>
          <w:p>
            <w:pPr>
              <w:ind w:left="380"/>
              <w:spacing w:after="0"/>
              <w:rPr>
                <w:sz w:val="20"/>
                <w:szCs w:val="20"/>
                <w:color w:val="auto"/>
              </w:rPr>
            </w:pPr>
            <w:r>
              <w:rPr>
                <w:rFonts w:ascii="Arial" w:cs="Arial" w:eastAsia="Arial" w:hAnsi="Arial"/>
                <w:sz w:val="16"/>
                <w:szCs w:val="16"/>
                <w:b w:val="1"/>
                <w:bCs w:val="1"/>
                <w:color w:val="FFFFFF"/>
              </w:rPr>
              <w:t>LONG-TERM SHAREHOLDER VALUE</w:t>
            </w:r>
          </w:p>
        </w:tc>
        <w:tc>
          <w:tcPr>
            <w:tcW w:w="100" w:type="dxa"/>
            <w:vAlign w:val="bottom"/>
            <w:shd w:val="clear" w:color="auto" w:fill="E7E7E8"/>
          </w:tcPr>
          <w:p>
            <w:pPr>
              <w:spacing w:after="0"/>
              <w:rPr>
                <w:sz w:val="21"/>
                <w:szCs w:val="21"/>
                <w:color w:val="auto"/>
              </w:rPr>
            </w:pPr>
          </w:p>
        </w:tc>
      </w:tr>
      <w:tr>
        <w:trPr>
          <w:trHeight w:val="135"/>
        </w:trPr>
        <w:tc>
          <w:tcPr>
            <w:tcW w:w="100" w:type="dxa"/>
            <w:vAlign w:val="bottom"/>
            <w:shd w:val="clear" w:color="auto" w:fill="E7E7E8"/>
          </w:tcPr>
          <w:p>
            <w:pPr>
              <w:spacing w:after="0"/>
              <w:rPr>
                <w:sz w:val="11"/>
                <w:szCs w:val="11"/>
                <w:color w:val="auto"/>
              </w:rPr>
            </w:pPr>
          </w:p>
        </w:tc>
        <w:tc>
          <w:tcPr>
            <w:tcW w:w="36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360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c>
          <w:tcPr>
            <w:tcW w:w="3620" w:type="dxa"/>
            <w:vAlign w:val="bottom"/>
            <w:shd w:val="clear" w:color="auto" w:fill="E7E7E8"/>
          </w:tcPr>
          <w:p>
            <w:pPr>
              <w:spacing w:after="0"/>
              <w:rPr>
                <w:sz w:val="11"/>
                <w:szCs w:val="11"/>
                <w:color w:val="auto"/>
              </w:rPr>
            </w:pPr>
          </w:p>
        </w:tc>
        <w:tc>
          <w:tcPr>
            <w:tcW w:w="100" w:type="dxa"/>
            <w:vAlign w:val="bottom"/>
            <w:shd w:val="clear" w:color="auto" w:fill="E7E7E8"/>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The Firm reviews the results of the lines of business on a managed basis. Refer to Additional notes, Note 1, on page 114 for a definition of managed basis.</w:t>
      </w:r>
    </w:p>
    <w:p>
      <w:pPr>
        <w:ind w:left="260" w:hanging="252"/>
        <w:spacing w:after="0" w:line="193" w:lineRule="auto"/>
        <w:tabs>
          <w:tab w:leader="none" w:pos="26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ROTCE and TBVPS are each non-GAAP financial measures; refer to Note 1 on page 113 for a further discussion of these measures.</w:t>
      </w:r>
    </w:p>
    <w:p>
      <w:pPr>
        <w:ind w:left="260" w:hanging="252"/>
        <w:spacing w:after="0" w:line="194" w:lineRule="auto"/>
        <w:tabs>
          <w:tab w:leader="none" w:pos="26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Refer to Note 2 on page 39.</w:t>
      </w:r>
    </w:p>
    <w:p>
      <w:pPr>
        <w:ind w:left="260" w:hanging="252"/>
        <w:spacing w:after="0" w:line="194" w:lineRule="auto"/>
        <w:tabs>
          <w:tab w:leader="none" w:pos="26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Refer to Notes 2 and 3 on page 69.</w:t>
      </w:r>
    </w:p>
    <w:p>
      <w:pPr>
        <w:ind w:left="260" w:hanging="252"/>
        <w:spacing w:after="0" w:line="193" w:lineRule="auto"/>
        <w:tabs>
          <w:tab w:leader="none" w:pos="2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Refer to Additional notes, Note 3, on page 114.</w:t>
      </w:r>
    </w:p>
    <w:p>
      <w:pPr>
        <w:ind w:left="260" w:hanging="252"/>
        <w:spacing w:after="0" w:line="217" w:lineRule="auto"/>
        <w:tabs>
          <w:tab w:leader="none" w:pos="26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Refer to Additional notes, Note 4, on page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198755</wp:posOffset>
            </wp:positionV>
            <wp:extent cx="274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  </w:t>
      </w:r>
      <w:r>
        <w:rPr>
          <w:sz w:val="1"/>
          <w:szCs w:val="1"/>
          <w:color w:val="auto"/>
        </w:rPr>
        <w:drawing>
          <wp:inline distT="0" distB="0" distL="0" distR="0">
            <wp:extent cx="2203450" cy="1543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The Firm has demonstrated sustained, strong financial performance over time</w:t>
      </w:r>
    </w:p>
    <w:p>
      <w:pPr>
        <w:spacing w:after="0" w:line="26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have generated strong financial results over time, significantly increasing net income by over 50% over the past 10 years while adding substantial credit reserves and capital. Over this period we increased average common equity by over 35% to $237 billion, and average tangible common equity ("TCE")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by over 50% to $191 billion to support growth in the businesses and maintain a fortress balance sheet. We have maintained strong ROE and ROTCE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657850" cy="330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20"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past 10 years, reflecting compound annual growth rates of 8%, 6%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5657850" cy="2057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Average TCE, ROTCE and TBVPS are each non-GAAP financial measures; refer to Note 1 on page 113 for a further discussion of these measures.</w:t>
      </w:r>
    </w:p>
    <w:p>
      <w:pPr>
        <w:spacing w:after="0" w:line="1" w:lineRule="exact"/>
        <w:rPr>
          <w:sz w:val="20"/>
          <w:szCs w:val="20"/>
          <w:color w:val="auto"/>
        </w:rPr>
      </w:pPr>
    </w:p>
    <w:p>
      <w:pPr>
        <w:ind w:left="260" w:right="100" w:hanging="252"/>
        <w:spacing w:after="0" w:line="223" w:lineRule="auto"/>
        <w:tabs>
          <w:tab w:leader="none" w:pos="249"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Excluding the impact of the enactment of the Tax Cuts and Jobs Act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113 for a further discussion of these measures.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2021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3</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Total shareholder return (“TSR”)</w:t>
      </w:r>
    </w:p>
    <w:p>
      <w:pPr>
        <w:spacing w:after="0" w:line="25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TSR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(6)% in 2020, following a TSR of 47% in 2019 and (7)% in 2018, for a combined three-year TSR of 30%. The graph below shows our TSR expressed as the cumulative return to shareholders over the past decade. As illustrated, a $100 investment in JPMorgan Chase common stock on December 31, 2010 would be valued at $393 as of December 31, 2020, which significantly outperformed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69215</wp:posOffset>
            </wp:positionV>
            <wp:extent cx="5966460" cy="3411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TSR shows the actual return of the stock price, with dividends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421640</wp:posOffset>
            </wp:positionV>
            <wp:extent cx="274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  </w:t>
      </w:r>
      <w:r>
        <w:rPr>
          <w:sz w:val="1"/>
          <w:szCs w:val="1"/>
          <w:color w:val="auto"/>
        </w:rPr>
        <w:drawing>
          <wp:inline distT="0" distB="0" distL="0" distR="0">
            <wp:extent cx="2203450" cy="1543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We are committed to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Board reviews its composition for the right mix of experience, refreshment, skills and diversity</w:t>
      </w:r>
    </w:p>
    <w:p>
      <w:pPr>
        <w:spacing w:after="0" w:line="269" w:lineRule="exact"/>
        <w:rPr>
          <w:sz w:val="20"/>
          <w:szCs w:val="20"/>
          <w:color w:val="auto"/>
        </w:rPr>
      </w:pPr>
    </w:p>
    <w:p>
      <w:pPr>
        <w:ind w:left="200" w:right="60" w:hanging="192"/>
        <w:spacing w:after="0" w:line="259" w:lineRule="auto"/>
        <w:tabs>
          <w:tab w:leader="none" w:pos="200" w:val="left"/>
        </w:tabs>
        <w:numPr>
          <w:ilvl w:val="0"/>
          <w:numId w:val="17"/>
        </w:numPr>
        <w:rPr>
          <w:rFonts w:ascii="Arial" w:cs="Arial" w:eastAsia="Arial" w:hAnsi="Arial"/>
          <w:sz w:val="17"/>
          <w:szCs w:val="17"/>
          <w:color w:val="074A75"/>
        </w:rPr>
      </w:pPr>
      <w:r>
        <w:rPr>
          <w:rFonts w:ascii="Arial" w:cs="Arial" w:eastAsia="Arial" w:hAnsi="Arial"/>
          <w:sz w:val="17"/>
          <w:szCs w:val="17"/>
          <w:color w:val="auto"/>
        </w:rPr>
        <w:t>We seek directors with experience and demonstrated success in executive fields relevant to the Firm’s businesses and operations who contribute to the Board’s effective oversight of management and its diversity across a range of attributes</w:t>
      </w:r>
    </w:p>
    <w:p>
      <w:pPr>
        <w:spacing w:after="0" w:line="23" w:lineRule="exact"/>
        <w:rPr>
          <w:rFonts w:ascii="Arial" w:cs="Arial" w:eastAsia="Arial" w:hAnsi="Arial"/>
          <w:sz w:val="17"/>
          <w:szCs w:val="17"/>
          <w:color w:val="074A75"/>
        </w:rPr>
      </w:pPr>
    </w:p>
    <w:p>
      <w:pPr>
        <w:ind w:left="200" w:hanging="192"/>
        <w:spacing w:after="0"/>
        <w:tabs>
          <w:tab w:leader="none" w:pos="200" w:val="left"/>
        </w:tabs>
        <w:numPr>
          <w:ilvl w:val="0"/>
          <w:numId w:val="17"/>
        </w:numPr>
        <w:rPr>
          <w:rFonts w:ascii="Arial" w:cs="Arial" w:eastAsia="Arial" w:hAnsi="Arial"/>
          <w:sz w:val="17"/>
          <w:szCs w:val="17"/>
          <w:color w:val="074A75"/>
        </w:rPr>
      </w:pPr>
      <w:r>
        <w:rPr>
          <w:rFonts w:ascii="Arial" w:cs="Arial" w:eastAsia="Arial" w:hAnsi="Arial"/>
          <w:sz w:val="17"/>
          <w:szCs w:val="17"/>
          <w:color w:val="auto"/>
        </w:rPr>
        <w:t>Our directors have a well-balanced tenure with a mix of experience and fresh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strong Lead Independent Director role facilitates independent Board oversight of management</w:t>
      </w:r>
    </w:p>
    <w:p>
      <w:pPr>
        <w:spacing w:after="0" w:line="269" w:lineRule="exact"/>
        <w:rPr>
          <w:sz w:val="20"/>
          <w:szCs w:val="20"/>
          <w:color w:val="auto"/>
        </w:rPr>
      </w:pPr>
    </w:p>
    <w:p>
      <w:pPr>
        <w:ind w:left="200" w:right="80" w:hanging="192"/>
        <w:spacing w:after="0" w:line="259" w:lineRule="auto"/>
        <w:tabs>
          <w:tab w:leader="none" w:pos="200" w:val="left"/>
        </w:tabs>
        <w:numPr>
          <w:ilvl w:val="0"/>
          <w:numId w:val="18"/>
        </w:numPr>
        <w:rPr>
          <w:rFonts w:ascii="Arial" w:cs="Arial" w:eastAsia="Arial" w:hAnsi="Arial"/>
          <w:sz w:val="17"/>
          <w:szCs w:val="17"/>
          <w:color w:val="074A75"/>
        </w:rPr>
      </w:pPr>
      <w:r>
        <w:rPr>
          <w:rFonts w:ascii="Arial" w:cs="Arial" w:eastAsia="Arial" w:hAnsi="Arial"/>
          <w:sz w:val="17"/>
          <w:szCs w:val="17"/>
          <w:color w:val="auto"/>
        </w:rPr>
        <w:t>The Firm’s Corporate Governance Principles (“Governance Principles”) require the independent directors to appoint a Lead Independent Director if the role of the Chairman is combined with that of the CEO</w:t>
      </w:r>
    </w:p>
    <w:p>
      <w:pPr>
        <w:spacing w:after="0" w:line="10" w:lineRule="exact"/>
        <w:rPr>
          <w:rFonts w:ascii="Arial" w:cs="Arial" w:eastAsia="Arial" w:hAnsi="Arial"/>
          <w:sz w:val="17"/>
          <w:szCs w:val="17"/>
          <w:color w:val="074A75"/>
        </w:rPr>
      </w:pPr>
    </w:p>
    <w:p>
      <w:pPr>
        <w:ind w:left="200" w:hanging="192"/>
        <w:spacing w:after="0"/>
        <w:tabs>
          <w:tab w:leader="none" w:pos="200" w:val="left"/>
        </w:tabs>
        <w:numPr>
          <w:ilvl w:val="0"/>
          <w:numId w:val="18"/>
        </w:numPr>
        <w:rPr>
          <w:rFonts w:ascii="Arial" w:cs="Arial" w:eastAsia="Arial" w:hAnsi="Arial"/>
          <w:sz w:val="17"/>
          <w:szCs w:val="17"/>
          <w:color w:val="074A75"/>
        </w:rPr>
      </w:pPr>
      <w:r>
        <w:rPr>
          <w:rFonts w:ascii="Arial" w:cs="Arial" w:eastAsia="Arial" w:hAnsi="Arial"/>
          <w:sz w:val="17"/>
          <w:szCs w:val="17"/>
          <w:color w:val="auto"/>
        </w:rPr>
        <w:t>The Board reviews its leadership structure annually as part of its self-assessment process</w:t>
      </w:r>
    </w:p>
    <w:p>
      <w:pPr>
        <w:sectPr>
          <w:pgSz w:w="11900" w:h="16838" w:orient="portrait"/>
          <w:cols w:equalWidth="0" w:num="1">
            <w:col w:w="11220"/>
          </w:cols>
          <w:pgMar w:left="320" w:top="171" w:right="359" w:bottom="892" w:gutter="0" w:footer="0" w:header="0"/>
        </w:sectPr>
      </w:pPr>
    </w:p>
    <w:p>
      <w:pPr>
        <w:spacing w:after="0" w:line="4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7"/>
          <w:szCs w:val="17"/>
          <w:color w:val="074A75"/>
        </w:rPr>
      </w:pPr>
      <w:r>
        <w:rPr>
          <w:rFonts w:ascii="Arial" w:cs="Arial" w:eastAsia="Arial" w:hAnsi="Arial"/>
          <w:sz w:val="17"/>
          <w:szCs w:val="17"/>
          <w:color w:val="auto"/>
        </w:rPr>
        <w:t>Responsibilities of the Lead Independent Director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4541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17" w:lineRule="exact"/>
        <w:rPr>
          <w:sz w:val="20"/>
          <w:szCs w:val="20"/>
          <w:color w:val="auto"/>
        </w:rPr>
      </w:pPr>
    </w:p>
    <w:p>
      <w:pPr>
        <w:ind w:left="460" w:right="600"/>
        <w:spacing w:after="0" w:line="409" w:lineRule="auto"/>
        <w:rPr>
          <w:sz w:val="20"/>
          <w:szCs w:val="20"/>
          <w:color w:val="auto"/>
        </w:rPr>
      </w:pPr>
      <w:r>
        <w:rPr>
          <w:rFonts w:ascii="Arial" w:cs="Arial" w:eastAsia="Arial" w:hAnsi="Arial"/>
          <w:sz w:val="17"/>
          <w:szCs w:val="17"/>
          <w:color w:val="auto"/>
        </w:rPr>
        <w:t>presides at Board meetings in the Chairman’s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15430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97" w:lineRule="exact"/>
        <w:rPr>
          <w:sz w:val="20"/>
          <w:szCs w:val="20"/>
          <w:color w:val="auto"/>
        </w:rPr>
      </w:pPr>
    </w:p>
    <w:p>
      <w:pPr>
        <w:ind w:left="460" w:right="860"/>
        <w:spacing w:after="0" w:line="425" w:lineRule="auto"/>
        <w:rPr>
          <w:sz w:val="20"/>
          <w:szCs w:val="20"/>
          <w:color w:val="auto"/>
        </w:rPr>
      </w:pPr>
      <w:r>
        <w:rPr>
          <w:rFonts w:ascii="Arial" w:cs="Arial" w:eastAsia="Arial" w:hAnsi="Arial"/>
          <w:sz w:val="17"/>
          <w:szCs w:val="17"/>
          <w:color w:val="auto"/>
        </w:rPr>
        <w:t>acts as liaison between independent directors and the Chairman/CEO</w:t>
      </w:r>
    </w:p>
    <w:p>
      <w:pPr>
        <w:spacing w:after="0" w:line="37" w:lineRule="exact"/>
        <w:rPr>
          <w:sz w:val="20"/>
          <w:szCs w:val="20"/>
          <w:color w:val="auto"/>
        </w:rPr>
      </w:pPr>
    </w:p>
    <w:p>
      <w:pPr>
        <w:ind w:left="460"/>
        <w:spacing w:after="0" w:line="259" w:lineRule="auto"/>
        <w:rPr>
          <w:sz w:val="20"/>
          <w:szCs w:val="20"/>
          <w:color w:val="auto"/>
        </w:rPr>
      </w:pPr>
      <w:r>
        <w:rPr>
          <w:rFonts w:ascii="Arial" w:cs="Arial" w:eastAsia="Arial" w:hAnsi="Arial"/>
          <w:sz w:val="17"/>
          <w:szCs w:val="17"/>
          <w:color w:val="auto"/>
        </w:rPr>
        <w:t>provides advice and guidance to the CEO on executing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15430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36195</wp:posOffset>
            </wp:positionV>
            <wp:extent cx="15430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advises the CEO of the Board’s information needs</w:t>
      </w:r>
    </w:p>
    <w:p>
      <w:pPr>
        <w:spacing w:after="0" w:line="142" w:lineRule="exact"/>
        <w:rPr>
          <w:sz w:val="20"/>
          <w:szCs w:val="20"/>
          <w:color w:val="auto"/>
        </w:rPr>
      </w:pPr>
    </w:p>
    <w:p>
      <w:pPr>
        <w:ind w:left="460" w:right="240"/>
        <w:spacing w:after="0" w:line="259" w:lineRule="auto"/>
        <w:rPr>
          <w:sz w:val="20"/>
          <w:szCs w:val="20"/>
          <w:color w:val="auto"/>
        </w:rPr>
      </w:pPr>
      <w:r>
        <w:rPr>
          <w:rFonts w:ascii="Arial" w:cs="Arial" w:eastAsia="Arial" w:hAnsi="Arial"/>
          <w:sz w:val="17"/>
          <w:szCs w:val="17"/>
          <w:color w:val="auto"/>
        </w:rPr>
        <w:t>meets one-on-one with the Chairman/CEO following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15430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-111125</wp:posOffset>
            </wp:positionV>
            <wp:extent cx="14541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engages and consults with major shareholders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-111125</wp:posOffset>
            </wp:positionV>
            <wp:extent cx="14541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constituencies,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guides the annual performance review of the Chairman/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-111125</wp:posOffset>
            </wp:positionV>
            <wp:extent cx="14541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76" w:lineRule="exact"/>
        <w:rPr>
          <w:sz w:val="20"/>
          <w:szCs w:val="20"/>
          <w:color w:val="auto"/>
        </w:rPr>
      </w:pPr>
    </w:p>
    <w:p>
      <w:pPr>
        <w:ind w:right="940"/>
        <w:spacing w:after="0" w:line="259" w:lineRule="auto"/>
        <w:rPr>
          <w:sz w:val="20"/>
          <w:szCs w:val="20"/>
          <w:color w:val="auto"/>
        </w:rPr>
      </w:pPr>
      <w:r>
        <w:rPr>
          <w:rFonts w:ascii="Arial" w:cs="Arial" w:eastAsia="Arial" w:hAnsi="Arial"/>
          <w:sz w:val="17"/>
          <w:szCs w:val="17"/>
          <w:color w:val="auto"/>
        </w:rPr>
        <w:t>guides the annual independent director consideration of Chairman/CEO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-237490</wp:posOffset>
            </wp:positionV>
            <wp:extent cx="14541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guides the full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-111125</wp:posOffset>
            </wp:positionV>
            <wp:extent cx="14541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guides the self-assessment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-93980</wp:posOffset>
            </wp:positionV>
            <wp:extent cx="14541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415" cy="14605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5400" w:space="680"/>
            <w:col w:w="5140"/>
          </w:cols>
          <w:pgMar w:left="320" w:top="171" w:right="359" w:bottom="892" w:gutter="0" w:footer="0" w:header="0"/>
          <w:type w:val="continuous"/>
        </w:sectPr>
      </w:pPr>
    </w:p>
    <w:p>
      <w:pPr>
        <w:ind w:left="460" w:right="400"/>
        <w:spacing w:after="0" w:line="259" w:lineRule="auto"/>
        <w:rPr>
          <w:sz w:val="20"/>
          <w:szCs w:val="20"/>
          <w:color w:val="auto"/>
        </w:rPr>
      </w:pPr>
      <w:r>
        <w:rPr>
          <w:rFonts w:ascii="Arial" w:cs="Arial" w:eastAsia="Arial" w:hAnsi="Arial"/>
          <w:sz w:val="17"/>
          <w:szCs w:val="17"/>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15430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7"/>
          <w:szCs w:val="17"/>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-237490</wp:posOffset>
            </wp:positionV>
            <wp:extent cx="14541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95885</wp:posOffset>
            </wp:positionV>
            <wp:extent cx="71323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40"/>
          </w:cols>
          <w:pgMar w:left="320" w:top="171" w:right="359" w:bottom="892"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Our Board provides independent oversight of the Firm’s business and affairs</w:t>
      </w:r>
    </w:p>
    <w:p>
      <w:pPr>
        <w:sectPr>
          <w:pgSz w:w="11900" w:h="16838" w:orient="portrait"/>
          <w:cols w:equalWidth="0" w:num="1">
            <w:col w:w="11220"/>
          </w:cols>
          <w:pgMar w:left="320" w:top="171" w:right="359" w:bottom="892" w:gutter="0" w:footer="0" w:header="0"/>
          <w:type w:val="continuous"/>
        </w:sectPr>
      </w:pPr>
    </w:p>
    <w:p>
      <w:pPr>
        <w:spacing w:after="0" w:line="334"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Sets the cultural “tone at the top”</w:t>
      </w:r>
    </w:p>
    <w:p>
      <w:pPr>
        <w:spacing w:after="0" w:line="47" w:lineRule="exact"/>
        <w:rPr>
          <w:rFonts w:ascii="Arial" w:cs="Arial" w:eastAsia="Arial" w:hAnsi="Arial"/>
          <w:sz w:val="17"/>
          <w:szCs w:val="17"/>
          <w:color w:val="074A75"/>
        </w:rPr>
      </w:pPr>
    </w:p>
    <w:p>
      <w:pPr>
        <w:ind w:left="200" w:hanging="192"/>
        <w:spacing w:after="0"/>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Reviews the Firm’s strategic objectives and plans</w:t>
      </w:r>
    </w:p>
    <w:p>
      <w:pPr>
        <w:spacing w:after="0" w:line="34" w:lineRule="exact"/>
        <w:rPr>
          <w:rFonts w:ascii="Arial" w:cs="Arial" w:eastAsia="Arial" w:hAnsi="Arial"/>
          <w:sz w:val="17"/>
          <w:szCs w:val="17"/>
          <w:color w:val="074A75"/>
        </w:rPr>
      </w:pPr>
    </w:p>
    <w:p>
      <w:pPr>
        <w:ind w:left="200" w:hanging="192"/>
        <w:spacing w:after="0" w:line="259" w:lineRule="auto"/>
        <w:tabs>
          <w:tab w:leader="none" w:pos="200" w:val="left"/>
        </w:tabs>
        <w:numPr>
          <w:ilvl w:val="0"/>
          <w:numId w:val="20"/>
        </w:numPr>
        <w:rPr>
          <w:rFonts w:ascii="Arial" w:cs="Arial" w:eastAsia="Arial" w:hAnsi="Arial"/>
          <w:sz w:val="17"/>
          <w:szCs w:val="17"/>
          <w:color w:val="074A75"/>
        </w:rPr>
      </w:pPr>
      <w:r>
        <w:rPr>
          <w:rFonts w:ascii="Arial" w:cs="Arial" w:eastAsia="Arial" w:hAnsi="Arial"/>
          <w:sz w:val="17"/>
          <w:szCs w:val="17"/>
          <w:color w:val="auto"/>
        </w:rPr>
        <w:t>Evaluates the CEO’s performance and oversees talent management for other senior executives</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 actively engage with shareholders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4" w:hanging="204"/>
        <w:spacing w:after="0"/>
        <w:tabs>
          <w:tab w:leader="none" w:pos="204"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Oversees the Firm’s financial performance and condition</w:t>
      </w:r>
    </w:p>
    <w:p>
      <w:pPr>
        <w:spacing w:after="0" w:line="47" w:lineRule="exact"/>
        <w:rPr>
          <w:rFonts w:ascii="Arial" w:cs="Arial" w:eastAsia="Arial" w:hAnsi="Arial"/>
          <w:sz w:val="17"/>
          <w:szCs w:val="17"/>
          <w:color w:val="074A75"/>
        </w:rPr>
      </w:pPr>
    </w:p>
    <w:p>
      <w:pPr>
        <w:ind w:left="204" w:right="980" w:hanging="204"/>
        <w:spacing w:after="0" w:line="259" w:lineRule="auto"/>
        <w:tabs>
          <w:tab w:leader="none" w:pos="204" w:val="left"/>
        </w:tabs>
        <w:numPr>
          <w:ilvl w:val="0"/>
          <w:numId w:val="21"/>
        </w:numPr>
        <w:rPr>
          <w:rFonts w:ascii="Arial" w:cs="Arial" w:eastAsia="Arial" w:hAnsi="Arial"/>
          <w:sz w:val="17"/>
          <w:szCs w:val="17"/>
          <w:color w:val="074A75"/>
        </w:rPr>
      </w:pPr>
      <w:r>
        <w:rPr>
          <w:rFonts w:ascii="Arial" w:cs="Arial" w:eastAsia="Arial" w:hAnsi="Arial"/>
          <w:sz w:val="17"/>
          <w:szCs w:val="17"/>
          <w:color w:val="auto"/>
        </w:rPr>
        <w:t>Oversees the Firm’s risk management and internal control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259080</wp:posOffset>
            </wp:positionV>
            <wp:extent cx="713232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926" w:lineRule="exact"/>
        <w:rPr>
          <w:sz w:val="20"/>
          <w:szCs w:val="20"/>
          <w:color w:val="auto"/>
        </w:rPr>
      </w:pPr>
    </w:p>
    <w:p>
      <w:pPr>
        <w:sectPr>
          <w:pgSz w:w="11900" w:h="16838" w:orient="portrait"/>
          <w:cols w:equalWidth="0" w:num="2">
            <w:col w:w="5360" w:space="296"/>
            <w:col w:w="5564"/>
          </w:cols>
          <w:pgMar w:left="320" w:top="171" w:right="359" w:bottom="892" w:gutter="0" w:footer="0" w:header="0"/>
          <w:type w:val="continuous"/>
        </w:sectPr>
      </w:pPr>
    </w:p>
    <w:p>
      <w:pPr>
        <w:spacing w:after="0" w:line="69" w:lineRule="exact"/>
        <w:rPr>
          <w:sz w:val="20"/>
          <w:szCs w:val="20"/>
          <w:color w:val="auto"/>
        </w:rPr>
      </w:pPr>
    </w:p>
    <w:p>
      <w:pPr>
        <w:ind w:left="200" w:right="320" w:hanging="192"/>
        <w:spacing w:after="0" w:line="259" w:lineRule="auto"/>
        <w:tabs>
          <w:tab w:leader="none" w:pos="200"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We regularly engage with shareholders throughout the year on a wide variety of topics, such as strategy, financial and operating performance, competitive environment, regulatory landscape and environmental, social and governance (“ESG”) matters</w:t>
      </w:r>
    </w:p>
    <w:p>
      <w:pPr>
        <w:spacing w:after="0" w:line="37" w:lineRule="exact"/>
        <w:rPr>
          <w:rFonts w:ascii="Arial" w:cs="Arial" w:eastAsia="Arial" w:hAnsi="Arial"/>
          <w:sz w:val="17"/>
          <w:szCs w:val="17"/>
          <w:color w:val="074A75"/>
        </w:rPr>
      </w:pPr>
    </w:p>
    <w:p>
      <w:pPr>
        <w:ind w:left="200" w:hanging="192"/>
        <w:spacing w:after="0"/>
        <w:tabs>
          <w:tab w:leader="none" w:pos="200" w:val="left"/>
        </w:tabs>
        <w:numPr>
          <w:ilvl w:val="0"/>
          <w:numId w:val="22"/>
        </w:numPr>
        <w:rPr>
          <w:rFonts w:ascii="Arial" w:cs="Arial" w:eastAsia="Arial" w:hAnsi="Arial"/>
          <w:sz w:val="17"/>
          <w:szCs w:val="17"/>
          <w:color w:val="074A75"/>
        </w:rPr>
      </w:pPr>
      <w:r>
        <w:rPr>
          <w:rFonts w:ascii="Arial" w:cs="Arial" w:eastAsia="Arial" w:hAnsi="Arial"/>
          <w:sz w:val="17"/>
          <w:szCs w:val="17"/>
          <w:color w:val="auto"/>
        </w:rPr>
        <w:t>In 2020, our shareholder engagement initiatives included:</w:t>
      </w:r>
    </w:p>
    <w:p>
      <w:pPr>
        <w:spacing w:after="0" w:line="7" w:lineRule="exact"/>
        <w:rPr>
          <w:rFonts w:ascii="Arial" w:cs="Arial" w:eastAsia="Arial" w:hAnsi="Arial"/>
          <w:sz w:val="17"/>
          <w:szCs w:val="17"/>
          <w:color w:val="074A75"/>
        </w:rPr>
      </w:pPr>
    </w:p>
    <w:p>
      <w:pPr>
        <w:ind w:left="400" w:right="380" w:hanging="194"/>
        <w:spacing w:after="0" w:line="248"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Shareholder Outreach Program:</w:t>
      </w:r>
      <w:r>
        <w:rPr>
          <w:rFonts w:ascii="Arial" w:cs="Arial" w:eastAsia="Arial" w:hAnsi="Arial"/>
          <w:sz w:val="17"/>
          <w:szCs w:val="17"/>
          <w:color w:val="074A75"/>
        </w:rPr>
        <w:t xml:space="preserve"> </w:t>
      </w:r>
      <w:r>
        <w:rPr>
          <w:rFonts w:ascii="Arial" w:cs="Arial" w:eastAsia="Arial" w:hAnsi="Arial"/>
          <w:sz w:val="17"/>
          <w:szCs w:val="17"/>
          <w:color w:val="000000"/>
        </w:rPr>
        <w:t>In approximately 100 engagements with nearly 60 shareholders representing approximately 45% of the</w:t>
      </w:r>
      <w:r>
        <w:rPr>
          <w:rFonts w:ascii="Arial" w:cs="Arial" w:eastAsia="Arial" w:hAnsi="Arial"/>
          <w:sz w:val="17"/>
          <w:szCs w:val="17"/>
          <w:color w:val="074A75"/>
        </w:rPr>
        <w:t xml:space="preserve"> </w:t>
      </w:r>
      <w:r>
        <w:rPr>
          <w:rFonts w:ascii="Arial" w:cs="Arial" w:eastAsia="Arial" w:hAnsi="Arial"/>
          <w:sz w:val="17"/>
          <w:szCs w:val="17"/>
          <w:color w:val="000000"/>
        </w:rPr>
        <w:t>Firm’s outstanding common stock, we solicited feedback on strategy, financial and operating performance, governance, executive compensation and environmental and social matters, among others. Some of our directors, including our new Lead Independent Director, participated in engagements with several large shareholders.</w:t>
      </w:r>
    </w:p>
    <w:p>
      <w:pPr>
        <w:spacing w:after="0" w:line="2" w:lineRule="exact"/>
        <w:rPr>
          <w:rFonts w:ascii="Arial" w:cs="Arial" w:eastAsia="Arial" w:hAnsi="Arial"/>
          <w:sz w:val="17"/>
          <w:szCs w:val="17"/>
          <w:color w:val="074A75"/>
        </w:rPr>
      </w:pPr>
    </w:p>
    <w:p>
      <w:pPr>
        <w:ind w:left="400" w:right="660" w:hanging="194"/>
        <w:spacing w:after="0" w:line="248"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Meetings/Conferences:</w:t>
      </w:r>
      <w:r>
        <w:rPr>
          <w:rFonts w:ascii="Arial" w:cs="Arial" w:eastAsia="Arial" w:hAnsi="Arial"/>
          <w:sz w:val="17"/>
          <w:szCs w:val="17"/>
          <w:color w:val="074A75"/>
        </w:rPr>
        <w:t xml:space="preserve"> </w:t>
      </w:r>
      <w:r>
        <w:rPr>
          <w:rFonts w:ascii="Arial" w:cs="Arial" w:eastAsia="Arial" w:hAnsi="Arial"/>
          <w:sz w:val="17"/>
          <w:szCs w:val="17"/>
          <w:color w:val="000000"/>
        </w:rPr>
        <w:t>Senior management hosted approximately 40 investor meetings, and presented at approximately 10 investor</w:t>
      </w:r>
      <w:r>
        <w:rPr>
          <w:rFonts w:ascii="Arial" w:cs="Arial" w:eastAsia="Arial" w:hAnsi="Arial"/>
          <w:sz w:val="17"/>
          <w:szCs w:val="17"/>
          <w:color w:val="074A75"/>
        </w:rPr>
        <w:t xml:space="preserve"> </w:t>
      </w:r>
      <w:r>
        <w:rPr>
          <w:rFonts w:ascii="Arial" w:cs="Arial" w:eastAsia="Arial" w:hAnsi="Arial"/>
          <w:sz w:val="17"/>
          <w:szCs w:val="17"/>
          <w:color w:val="000000"/>
        </w:rPr>
        <w:t>conferences and at the Firm's 2020 Investor Day</w:t>
      </w:r>
    </w:p>
    <w:p>
      <w:pPr>
        <w:spacing w:after="0" w:line="1" w:lineRule="exact"/>
        <w:rPr>
          <w:rFonts w:ascii="Arial" w:cs="Arial" w:eastAsia="Arial" w:hAnsi="Arial"/>
          <w:sz w:val="17"/>
          <w:szCs w:val="17"/>
          <w:color w:val="074A75"/>
        </w:rPr>
      </w:pPr>
    </w:p>
    <w:p>
      <w:pPr>
        <w:ind w:left="400" w:right="380" w:hanging="194"/>
        <w:spacing w:after="0" w:line="259" w:lineRule="auto"/>
        <w:rPr>
          <w:rFonts w:ascii="Arial" w:cs="Arial" w:eastAsia="Arial" w:hAnsi="Arial"/>
          <w:sz w:val="17"/>
          <w:szCs w:val="17"/>
          <w:color w:val="074A75"/>
        </w:rPr>
      </w:pPr>
      <w:r>
        <w:rPr>
          <w:rFonts w:ascii="Arial" w:cs="Arial" w:eastAsia="Arial" w:hAnsi="Arial"/>
          <w:sz w:val="17"/>
          <w:szCs w:val="17"/>
          <w:color w:val="074A75"/>
        </w:rPr>
        <w:t xml:space="preserve">– </w:t>
      </w:r>
      <w:r>
        <w:rPr>
          <w:rFonts w:ascii="Arial" w:cs="Arial" w:eastAsia="Arial" w:hAnsi="Arial"/>
          <w:sz w:val="17"/>
          <w:szCs w:val="17"/>
          <w:b w:val="1"/>
          <w:bCs w:val="1"/>
          <w:color w:val="000000"/>
        </w:rPr>
        <w:t>Annual Shareholder Meeting:</w:t>
      </w:r>
      <w:r>
        <w:rPr>
          <w:rFonts w:ascii="Arial" w:cs="Arial" w:eastAsia="Arial" w:hAnsi="Arial"/>
          <w:sz w:val="17"/>
          <w:szCs w:val="17"/>
          <w:color w:val="074A75"/>
        </w:rPr>
        <w:t xml:space="preserve"> </w:t>
      </w:r>
      <w:r>
        <w:rPr>
          <w:rFonts w:ascii="Arial" w:cs="Arial" w:eastAsia="Arial" w:hAnsi="Arial"/>
          <w:sz w:val="17"/>
          <w:szCs w:val="17"/>
          <w:color w:val="000000"/>
        </w:rPr>
        <w:t>We hosted the Firm's first virtual annual meeting with over 400 shareholders participating, representing an</w:t>
      </w:r>
      <w:r>
        <w:rPr>
          <w:rFonts w:ascii="Arial" w:cs="Arial" w:eastAsia="Arial" w:hAnsi="Arial"/>
          <w:sz w:val="17"/>
          <w:szCs w:val="17"/>
          <w:color w:val="074A75"/>
        </w:rPr>
        <w:t xml:space="preserve"> </w:t>
      </w:r>
      <w:r>
        <w:rPr>
          <w:rFonts w:ascii="Arial" w:cs="Arial" w:eastAsia="Arial" w:hAnsi="Arial"/>
          <w:sz w:val="17"/>
          <w:szCs w:val="17"/>
          <w:color w:val="000000"/>
        </w:rPr>
        <w:t>increase of over 800% from the previous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governance practices promote Board effectiveness and shareholder interests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00" w:type="dxa"/>
            <w:vAlign w:val="bottom"/>
            <w:gridSpan w:val="2"/>
          </w:tcPr>
          <w:p>
            <w:pPr>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Annual Board and committee assessment</w:t>
            </w:r>
          </w:p>
        </w:tc>
        <w:tc>
          <w:tcPr>
            <w:tcW w:w="26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Majority voting for all director elections</w:t>
            </w:r>
          </w:p>
        </w:tc>
        <w:tc>
          <w:tcPr>
            <w:tcW w:w="0" w:type="dxa"/>
            <w:vAlign w:val="bottom"/>
          </w:tcPr>
          <w:p>
            <w:pPr>
              <w:spacing w:after="0"/>
              <w:rPr>
                <w:sz w:val="1"/>
                <w:szCs w:val="1"/>
                <w:color w:val="auto"/>
              </w:rPr>
            </w:pPr>
          </w:p>
        </w:tc>
      </w:tr>
      <w:tr>
        <w:trPr>
          <w:trHeight w:val="183"/>
        </w:trPr>
        <w:tc>
          <w:tcPr>
            <w:tcW w:w="5400" w:type="dxa"/>
            <w:vAlign w:val="bottom"/>
            <w:gridSpan w:val="2"/>
          </w:tcPr>
          <w:p>
            <w:pPr>
              <w:spacing w:after="0" w:line="183" w:lineRule="exact"/>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Robust shareholder rights:</w:t>
            </w:r>
          </w:p>
        </w:tc>
        <w:tc>
          <w:tcPr>
            <w:tcW w:w="260" w:type="dxa"/>
            <w:vAlign w:val="bottom"/>
          </w:tcPr>
          <w:p>
            <w:pPr>
              <w:spacing w:after="0"/>
              <w:rPr>
                <w:sz w:val="15"/>
                <w:szCs w:val="15"/>
                <w:color w:val="auto"/>
              </w:rPr>
            </w:pPr>
          </w:p>
        </w:tc>
        <w:tc>
          <w:tcPr>
            <w:tcW w:w="5540" w:type="dxa"/>
            <w:vAlign w:val="bottom"/>
            <w:gridSpan w:val="3"/>
          </w:tcPr>
          <w:p>
            <w:pPr>
              <w:spacing w:after="0" w:line="183" w:lineRule="exact"/>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Stock ownership requirements for directors</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0"/>
              <w:spacing w:after="0"/>
              <w:rPr>
                <w:sz w:val="20"/>
                <w:szCs w:val="20"/>
                <w:color w:val="auto"/>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proxy access</w:t>
            </w:r>
          </w:p>
        </w:tc>
        <w:tc>
          <w:tcPr>
            <w:tcW w:w="26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100% Principal Standing Committee independence</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0"/>
              <w:spacing w:after="0"/>
              <w:rPr>
                <w:sz w:val="20"/>
                <w:szCs w:val="20"/>
                <w:color w:val="auto"/>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call a special meeting</w:t>
            </w:r>
          </w:p>
        </w:tc>
        <w:tc>
          <w:tcPr>
            <w:tcW w:w="26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7"/>
                <w:szCs w:val="17"/>
                <w:color w:val="074A75"/>
              </w:rPr>
              <w:t xml:space="preserve">•  </w:t>
            </w:r>
            <w:r>
              <w:rPr>
                <w:rFonts w:ascii="Arial" w:cs="Arial" w:eastAsia="Arial" w:hAnsi="Arial"/>
                <w:sz w:val="17"/>
                <w:szCs w:val="17"/>
                <w:color w:val="000000"/>
              </w:rPr>
              <w:t>Executive sessions of independent directors at each regular Board</w:t>
            </w:r>
          </w:p>
        </w:tc>
        <w:tc>
          <w:tcPr>
            <w:tcW w:w="0" w:type="dxa"/>
            <w:vAlign w:val="bottom"/>
          </w:tcPr>
          <w:p>
            <w:pPr>
              <w:spacing w:after="0"/>
              <w:rPr>
                <w:sz w:val="1"/>
                <w:szCs w:val="1"/>
                <w:color w:val="auto"/>
              </w:rPr>
            </w:pPr>
          </w:p>
        </w:tc>
      </w:tr>
      <w:tr>
        <w:trPr>
          <w:trHeight w:val="225"/>
        </w:trPr>
        <w:tc>
          <w:tcPr>
            <w:tcW w:w="5400" w:type="dxa"/>
            <w:vAlign w:val="bottom"/>
            <w:gridSpan w:val="2"/>
          </w:tcPr>
          <w:p>
            <w:pPr>
              <w:ind w:left="200"/>
              <w:spacing w:after="0"/>
              <w:rPr>
                <w:sz w:val="20"/>
                <w:szCs w:val="20"/>
                <w:color w:val="auto"/>
              </w:rPr>
            </w:pPr>
            <w:r>
              <w:rPr>
                <w:rFonts w:ascii="Arial" w:cs="Arial" w:eastAsia="Arial" w:hAnsi="Arial"/>
                <w:sz w:val="17"/>
                <w:szCs w:val="17"/>
                <w:b w:val="1"/>
                <w:bCs w:val="1"/>
                <w:color w:val="074A75"/>
              </w:rPr>
              <w:t xml:space="preserve">– </w:t>
            </w:r>
            <w:r>
              <w:rPr>
                <w:rFonts w:ascii="Arial" w:cs="Arial" w:eastAsia="Arial" w:hAnsi="Arial"/>
                <w:sz w:val="17"/>
                <w:szCs w:val="17"/>
                <w:color w:val="000000"/>
              </w:rPr>
              <w:t>right to act by written consent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80" w:type="dxa"/>
            <w:vAlign w:val="bottom"/>
            <w:gridSpan w:val="2"/>
          </w:tcPr>
          <w:p>
            <w:pPr>
              <w:ind w:left="40"/>
              <w:spacing w:after="0"/>
              <w:rPr>
                <w:sz w:val="20"/>
                <w:szCs w:val="20"/>
                <w:color w:val="auto"/>
              </w:rPr>
            </w:pPr>
            <w:r>
              <w:rPr>
                <w:rFonts w:ascii="Arial" w:cs="Arial" w:eastAsia="Arial" w:hAnsi="Arial"/>
                <w:sz w:val="17"/>
                <w:szCs w:val="17"/>
                <w:color w:val="auto"/>
              </w:rPr>
              <w:t>meeting</w:t>
            </w:r>
          </w:p>
        </w:tc>
        <w:tc>
          <w:tcPr>
            <w:tcW w:w="0" w:type="dxa"/>
            <w:vAlign w:val="bottom"/>
          </w:tcPr>
          <w:p>
            <w:pPr>
              <w:spacing w:after="0"/>
              <w:rPr>
                <w:sz w:val="1"/>
                <w:szCs w:val="1"/>
                <w:color w:val="auto"/>
              </w:rPr>
            </w:pPr>
          </w:p>
        </w:tc>
      </w:tr>
      <w:tr>
        <w:trPr>
          <w:trHeight w:val="693"/>
        </w:trPr>
        <w:tc>
          <w:tcPr>
            <w:tcW w:w="1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60" w:type="dxa"/>
            <w:vAlign w:val="bottom"/>
            <w:tcBorders>
              <w:bottom w:val="single" w:sz="8" w:color="8A8C8F"/>
            </w:tcBorders>
          </w:tcPr>
          <w:p>
            <w:pPr>
              <w:spacing w:after="0"/>
              <w:rPr>
                <w:sz w:val="24"/>
                <w:szCs w:val="24"/>
                <w:color w:val="auto"/>
              </w:rPr>
            </w:pPr>
          </w:p>
        </w:tc>
        <w:tc>
          <w:tcPr>
            <w:tcW w:w="160" w:type="dxa"/>
            <w:vAlign w:val="bottom"/>
            <w:tcBorders>
              <w:bottom w:val="single" w:sz="8" w:color="8A8C8F"/>
            </w:tcBorders>
          </w:tcPr>
          <w:p>
            <w:pPr>
              <w:spacing w:after="0"/>
              <w:rPr>
                <w:sz w:val="24"/>
                <w:szCs w:val="24"/>
                <w:color w:val="auto"/>
              </w:rPr>
            </w:pPr>
          </w:p>
        </w:tc>
        <w:tc>
          <w:tcPr>
            <w:tcW w:w="3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vMerge w:val="restart"/>
          </w:tcPr>
          <w:p>
            <w:pPr>
              <w:spacing w:after="0"/>
              <w:rPr>
                <w:sz w:val="20"/>
                <w:szCs w:val="20"/>
                <w:color w:val="auto"/>
              </w:rPr>
            </w:pPr>
            <w:r>
              <w:rPr>
                <w:rFonts w:ascii="Arial" w:cs="Arial" w:eastAsia="Arial" w:hAnsi="Arial"/>
                <w:sz w:val="14"/>
                <w:szCs w:val="14"/>
                <w:color w:val="auto"/>
              </w:rPr>
              <w:t>2021 PROXY STATEMENT</w:t>
            </w:r>
          </w:p>
        </w:tc>
        <w:tc>
          <w:tcPr>
            <w:tcW w:w="3480" w:type="dxa"/>
            <w:vAlign w:val="bottom"/>
            <w:tcBorders>
              <w:bottom w:val="single" w:sz="8" w:color="8A8C8F"/>
              <w:right w:val="single" w:sz="8" w:color="8A8C8F"/>
            </w:tcBorders>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074A75"/>
              </w:rPr>
              <w:t>5</w:t>
            </w:r>
          </w:p>
        </w:tc>
        <w:tc>
          <w:tcPr>
            <w:tcW w:w="160" w:type="dxa"/>
            <w:vAlign w:val="bottom"/>
            <w:tcBorders>
              <w:right w:val="single" w:sz="8" w:color="8A8C8F"/>
            </w:tcBorders>
          </w:tcPr>
          <w:p>
            <w:pPr>
              <w:spacing w:after="0"/>
              <w:rPr>
                <w:sz w:val="7"/>
                <w:szCs w:val="7"/>
                <w:color w:val="auto"/>
              </w:rPr>
            </w:pPr>
          </w:p>
        </w:tc>
        <w:tc>
          <w:tcPr>
            <w:tcW w:w="3460" w:type="dxa"/>
            <w:vAlign w:val="bottom"/>
            <w:tcBorders>
              <w:bottom w:val="single" w:sz="8" w:color="8A8C8F"/>
            </w:tcBorders>
          </w:tcPr>
          <w:p>
            <w:pPr>
              <w:spacing w:after="0"/>
              <w:rPr>
                <w:sz w:val="7"/>
                <w:szCs w:val="7"/>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260" w:type="dxa"/>
            <w:vAlign w:val="bottom"/>
            <w:vMerge w:val="continue"/>
          </w:tcPr>
          <w:p>
            <w:pPr>
              <w:spacing w:after="0"/>
              <w:rPr>
                <w:sz w:val="6"/>
                <w:szCs w:val="6"/>
                <w:color w:val="auto"/>
              </w:rPr>
            </w:pPr>
          </w:p>
        </w:tc>
        <w:tc>
          <w:tcPr>
            <w:tcW w:w="160" w:type="dxa"/>
            <w:vAlign w:val="bottom"/>
            <w:tcBorders>
              <w:right w:val="single" w:sz="8" w:color="8A8C8F"/>
            </w:tcBorders>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260" w:type="dxa"/>
            <w:vAlign w:val="bottom"/>
            <w:tcBorders>
              <w:bottom w:val="single" w:sz="8" w:color="8A8C8F"/>
            </w:tcBorders>
          </w:tcPr>
          <w:p>
            <w:pPr>
              <w:spacing w:after="0"/>
              <w:rPr>
                <w:sz w:val="2"/>
                <w:szCs w:val="2"/>
                <w:color w:val="auto"/>
              </w:rPr>
            </w:pPr>
          </w:p>
        </w:tc>
        <w:tc>
          <w:tcPr>
            <w:tcW w:w="16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892"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74A75"/>
        </w:rPr>
        <w:t>New this year</w:t>
      </w:r>
    </w:p>
    <w:p>
      <w:pPr>
        <w:spacing w:after="0" w:line="26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To meet the unique challenges of 2020, the Firm enhanced existing programs and launched new efforts to demonstrate our continued commitment to shareholders, employees, clients, customers and stakeholders. These efforts are part of our response to some key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Firm's response to COVID-19</w:t>
      </w:r>
    </w:p>
    <w:p>
      <w:pPr>
        <w:spacing w:after="0" w:line="274" w:lineRule="exact"/>
        <w:rPr>
          <w:sz w:val="20"/>
          <w:szCs w:val="20"/>
          <w:color w:val="auto"/>
        </w:rPr>
      </w:pPr>
    </w:p>
    <w:p>
      <w:pPr>
        <w:ind w:left="180" w:right="180" w:hanging="172"/>
        <w:spacing w:after="0" w:line="250" w:lineRule="auto"/>
        <w:tabs>
          <w:tab w:leader="none" w:pos="175" w:val="left"/>
        </w:tabs>
        <w:numPr>
          <w:ilvl w:val="0"/>
          <w:numId w:val="23"/>
        </w:numPr>
        <w:rPr>
          <w:rFonts w:ascii="Arial" w:cs="Arial" w:eastAsia="Arial" w:hAnsi="Arial"/>
          <w:sz w:val="18"/>
          <w:szCs w:val="18"/>
          <w:color w:val="074A75"/>
        </w:rPr>
      </w:pPr>
      <w:r>
        <w:rPr>
          <w:rFonts w:ascii="Arial" w:cs="Arial" w:eastAsia="Arial" w:hAnsi="Arial"/>
          <w:sz w:val="18"/>
          <w:szCs w:val="18"/>
          <w:color w:val="auto"/>
        </w:rPr>
        <w:t>At the onset of the pandemic, the Firm invoked resiliency plans to allow its businesses to remain operational and implemented alternative work arrangements globally, with the majority of its global workforce working from home, which has continued into 2021</w:t>
      </w:r>
    </w:p>
    <w:p>
      <w:pPr>
        <w:ind w:left="160" w:hanging="152"/>
        <w:spacing w:after="0"/>
        <w:tabs>
          <w:tab w:leader="none" w:pos="160" w:val="left"/>
        </w:tabs>
        <w:numPr>
          <w:ilvl w:val="0"/>
          <w:numId w:val="23"/>
        </w:numPr>
        <w:rPr>
          <w:rFonts w:ascii="Arial" w:cs="Arial" w:eastAsia="Arial" w:hAnsi="Arial"/>
          <w:sz w:val="18"/>
          <w:szCs w:val="18"/>
          <w:color w:val="074A75"/>
        </w:rPr>
      </w:pPr>
      <w:r>
        <w:rPr>
          <w:rFonts w:ascii="Arial" w:cs="Arial" w:eastAsia="Arial" w:hAnsi="Arial"/>
          <w:sz w:val="18"/>
          <w:szCs w:val="18"/>
          <w:color w:val="auto"/>
        </w:rPr>
        <w:t>The Firm implemented health and safety protocols and provided additional benefits to employees during the pandemic, including:</w:t>
      </w:r>
    </w:p>
    <w:p>
      <w:pPr>
        <w:spacing w:after="0" w:line="9" w:lineRule="exact"/>
        <w:rPr>
          <w:rFonts w:ascii="Arial" w:cs="Arial" w:eastAsia="Arial" w:hAnsi="Arial"/>
          <w:sz w:val="18"/>
          <w:szCs w:val="18"/>
          <w:color w:val="074A75"/>
        </w:rPr>
      </w:pPr>
    </w:p>
    <w:p>
      <w:pPr>
        <w:ind w:left="320" w:hanging="150"/>
        <w:spacing w:after="0"/>
        <w:tabs>
          <w:tab w:leader="none" w:pos="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enhanced office hygiene measures;</w:t>
      </w:r>
    </w:p>
    <w:p>
      <w:pPr>
        <w:spacing w:after="0" w:line="9" w:lineRule="exact"/>
        <w:rPr>
          <w:rFonts w:ascii="Arial" w:cs="Arial" w:eastAsia="Arial" w:hAnsi="Arial"/>
          <w:sz w:val="18"/>
          <w:szCs w:val="18"/>
          <w:color w:val="auto"/>
        </w:rPr>
      </w:pPr>
    </w:p>
    <w:p>
      <w:pPr>
        <w:ind w:left="340" w:right="500" w:hanging="170"/>
        <w:spacing w:after="0" w:line="250" w:lineRule="auto"/>
        <w:tabs>
          <w:tab w:leader="none" w:pos="3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over $100 million in special payments to employees whose job requires them to continue working onsite, with a focus on those with compensation of less than $60,000;</w:t>
      </w:r>
    </w:p>
    <w:p>
      <w:pPr>
        <w:ind w:left="320" w:hanging="150"/>
        <w:spacing w:after="0"/>
        <w:tabs>
          <w:tab w:leader="none" w:pos="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additional paid days off to manage personal needs;</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additional support for employees with childcare needs; and</w:t>
      </w:r>
    </w:p>
    <w:p>
      <w:pPr>
        <w:spacing w:after="0" w:line="9" w:lineRule="exact"/>
        <w:rPr>
          <w:rFonts w:ascii="Arial" w:cs="Arial" w:eastAsia="Arial" w:hAnsi="Arial"/>
          <w:sz w:val="18"/>
          <w:szCs w:val="18"/>
          <w:color w:val="auto"/>
        </w:rPr>
      </w:pPr>
    </w:p>
    <w:p>
      <w:pPr>
        <w:ind w:left="320" w:hanging="150"/>
        <w:spacing w:after="0"/>
        <w:tabs>
          <w:tab w:leader="none" w:pos="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expanded healthcare and well-being resources</w:t>
      </w:r>
    </w:p>
    <w:p>
      <w:pPr>
        <w:spacing w:after="0" w:line="9" w:lineRule="exact"/>
        <w:rPr>
          <w:rFonts w:ascii="Arial" w:cs="Arial" w:eastAsia="Arial" w:hAnsi="Arial"/>
          <w:sz w:val="18"/>
          <w:szCs w:val="18"/>
          <w:color w:val="auto"/>
        </w:rPr>
      </w:pPr>
    </w:p>
    <w:p>
      <w:pPr>
        <w:ind w:left="180" w:right="300" w:hanging="172"/>
        <w:spacing w:after="0" w:line="250" w:lineRule="auto"/>
        <w:tabs>
          <w:tab w:leader="none" w:pos="175" w:val="left"/>
        </w:tabs>
        <w:numPr>
          <w:ilvl w:val="0"/>
          <w:numId w:val="23"/>
        </w:numPr>
        <w:rPr>
          <w:rFonts w:ascii="Arial" w:cs="Arial" w:eastAsia="Arial" w:hAnsi="Arial"/>
          <w:sz w:val="18"/>
          <w:szCs w:val="18"/>
          <w:color w:val="074A75"/>
        </w:rPr>
      </w:pPr>
      <w:r>
        <w:rPr>
          <w:rFonts w:ascii="Arial" w:cs="Arial" w:eastAsia="Arial" w:hAnsi="Arial"/>
          <w:sz w:val="18"/>
          <w:szCs w:val="18"/>
          <w:color w:val="auto"/>
        </w:rPr>
        <w:t>Additionally, the Firm responded to increased market volatility, client demand for credit and liquidity, distress in certain industries/sectors and the ongoing impacts to consumers and businesses</w:t>
      </w:r>
    </w:p>
    <w:p>
      <w:pPr>
        <w:ind w:left="180" w:right="20" w:hanging="172"/>
        <w:spacing w:after="0" w:line="250" w:lineRule="auto"/>
        <w:tabs>
          <w:tab w:leader="none" w:pos="175" w:val="left"/>
        </w:tabs>
        <w:numPr>
          <w:ilvl w:val="0"/>
          <w:numId w:val="23"/>
        </w:numPr>
        <w:rPr>
          <w:rFonts w:ascii="Arial" w:cs="Arial" w:eastAsia="Arial" w:hAnsi="Arial"/>
          <w:sz w:val="18"/>
          <w:szCs w:val="18"/>
          <w:color w:val="074A75"/>
        </w:rPr>
      </w:pPr>
      <w:r>
        <w:rPr>
          <w:rFonts w:ascii="Arial" w:cs="Arial" w:eastAsia="Arial" w:hAnsi="Arial"/>
          <w:sz w:val="18"/>
          <w:szCs w:val="18"/>
          <w:color w:val="auto"/>
        </w:rPr>
        <w:t>The Firm supported clients and customers by providing assistance primarily in the form of payment deferrals on loans and extending credit, including through participation in the Small Business Administration's ("SBA") Paycheck Protection Program ("PPP")</w:t>
      </w:r>
    </w:p>
    <w:p>
      <w:pPr>
        <w:ind w:left="180" w:right="160" w:hanging="172"/>
        <w:spacing w:after="0" w:line="261" w:lineRule="auto"/>
        <w:tabs>
          <w:tab w:leader="none" w:pos="175" w:val="left"/>
        </w:tabs>
        <w:numPr>
          <w:ilvl w:val="0"/>
          <w:numId w:val="23"/>
        </w:numPr>
        <w:rPr>
          <w:rFonts w:ascii="Arial" w:cs="Arial" w:eastAsia="Arial" w:hAnsi="Arial"/>
          <w:sz w:val="18"/>
          <w:szCs w:val="18"/>
          <w:color w:val="074A75"/>
        </w:rPr>
      </w:pPr>
      <w:r>
        <w:rPr>
          <w:rFonts w:ascii="Arial" w:cs="Arial" w:eastAsia="Arial" w:hAnsi="Arial"/>
          <w:sz w:val="18"/>
          <w:szCs w:val="18"/>
          <w:color w:val="auto"/>
        </w:rPr>
        <w:t>The Firm has committed $250 million to help address humanitarian needs and long-term economic challenges posed by the pandemic on the communities in which the Firm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Path Forward – $30 billion commitment to advance racial equity</w:t>
      </w:r>
    </w:p>
    <w:p>
      <w:pPr>
        <w:spacing w:after="0" w:line="22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Building on existing investments to maintain a culture of respect and inclusion and advance racial equity, in 2020, we announced that we will commit $30 billion over the next five years to advance racial equity and combat systemic racism within the communities in which we work. We will harness our expertise in business, policy and philanthropy and will work to:</w:t>
      </w:r>
    </w:p>
    <w:p>
      <w:pPr>
        <w:spacing w:after="0" w:line="1" w:lineRule="exact"/>
        <w:rPr>
          <w:sz w:val="20"/>
          <w:szCs w:val="20"/>
          <w:color w:val="auto"/>
        </w:rPr>
      </w:pPr>
    </w:p>
    <w:p>
      <w:pPr>
        <w:ind w:left="180" w:right="260" w:hanging="172"/>
        <w:spacing w:after="0" w:line="250" w:lineRule="auto"/>
        <w:tabs>
          <w:tab w:leader="none" w:pos="175" w:val="left"/>
        </w:tabs>
        <w:numPr>
          <w:ilvl w:val="0"/>
          <w:numId w:val="24"/>
        </w:numPr>
        <w:rPr>
          <w:rFonts w:ascii="Arial" w:cs="Arial" w:eastAsia="Arial" w:hAnsi="Arial"/>
          <w:sz w:val="18"/>
          <w:szCs w:val="18"/>
          <w:color w:val="074A75"/>
        </w:rPr>
      </w:pPr>
      <w:r>
        <w:rPr>
          <w:rFonts w:ascii="Arial" w:cs="Arial" w:eastAsia="Arial" w:hAnsi="Arial"/>
          <w:sz w:val="18"/>
          <w:szCs w:val="18"/>
          <w:color w:val="auto"/>
        </w:rPr>
        <w:t>Promote affordable housing and homeownership for underserved communities through new home purchase loans and refinancing loans for Black and Latinx households and financing of affordable rental units</w:t>
      </w:r>
    </w:p>
    <w:p>
      <w:pPr>
        <w:ind w:left="160" w:hanging="152"/>
        <w:spacing w:after="0"/>
        <w:tabs>
          <w:tab w:leader="none" w:pos="160" w:val="left"/>
        </w:tabs>
        <w:numPr>
          <w:ilvl w:val="0"/>
          <w:numId w:val="24"/>
        </w:numPr>
        <w:rPr>
          <w:rFonts w:ascii="Arial" w:cs="Arial" w:eastAsia="Arial" w:hAnsi="Arial"/>
          <w:sz w:val="18"/>
          <w:szCs w:val="18"/>
          <w:color w:val="074A75"/>
        </w:rPr>
      </w:pPr>
      <w:r>
        <w:rPr>
          <w:rFonts w:ascii="Arial" w:cs="Arial" w:eastAsia="Arial" w:hAnsi="Arial"/>
          <w:sz w:val="18"/>
          <w:szCs w:val="18"/>
          <w:color w:val="auto"/>
        </w:rPr>
        <w:t>Grow Black and Latinx-owned businesses by providing additional loans to small businesses and supplier opportunities</w:t>
      </w:r>
    </w:p>
    <w:p>
      <w:pPr>
        <w:spacing w:after="0" w:line="9" w:lineRule="exact"/>
        <w:rPr>
          <w:rFonts w:ascii="Arial" w:cs="Arial" w:eastAsia="Arial" w:hAnsi="Arial"/>
          <w:sz w:val="18"/>
          <w:szCs w:val="18"/>
          <w:color w:val="074A75"/>
        </w:rPr>
      </w:pPr>
    </w:p>
    <w:p>
      <w:pPr>
        <w:ind w:left="160" w:hanging="152"/>
        <w:spacing w:after="0"/>
        <w:tabs>
          <w:tab w:leader="none" w:pos="160" w:val="left"/>
        </w:tabs>
        <w:numPr>
          <w:ilvl w:val="0"/>
          <w:numId w:val="24"/>
        </w:numPr>
        <w:rPr>
          <w:rFonts w:ascii="Arial" w:cs="Arial" w:eastAsia="Arial" w:hAnsi="Arial"/>
          <w:sz w:val="18"/>
          <w:szCs w:val="18"/>
          <w:color w:val="074A75"/>
        </w:rPr>
      </w:pPr>
      <w:r>
        <w:rPr>
          <w:rFonts w:ascii="Arial" w:cs="Arial" w:eastAsia="Arial" w:hAnsi="Arial"/>
          <w:sz w:val="18"/>
          <w:szCs w:val="18"/>
          <w:color w:val="auto"/>
        </w:rPr>
        <w:t>Improve financial health and access to banking in Black and Latinx communities</w:t>
      </w:r>
    </w:p>
    <w:p>
      <w:pPr>
        <w:spacing w:after="0" w:line="9" w:lineRule="exact"/>
        <w:rPr>
          <w:rFonts w:ascii="Arial" w:cs="Arial" w:eastAsia="Arial" w:hAnsi="Arial"/>
          <w:sz w:val="18"/>
          <w:szCs w:val="18"/>
          <w:color w:val="074A75"/>
        </w:rPr>
      </w:pPr>
    </w:p>
    <w:p>
      <w:pPr>
        <w:ind w:left="180" w:right="200" w:hanging="172"/>
        <w:spacing w:after="0" w:line="261" w:lineRule="auto"/>
        <w:tabs>
          <w:tab w:leader="none" w:pos="175" w:val="left"/>
        </w:tabs>
        <w:numPr>
          <w:ilvl w:val="0"/>
          <w:numId w:val="24"/>
        </w:numPr>
        <w:rPr>
          <w:rFonts w:ascii="Arial" w:cs="Arial" w:eastAsia="Arial" w:hAnsi="Arial"/>
          <w:sz w:val="18"/>
          <w:szCs w:val="18"/>
          <w:color w:val="074A75"/>
        </w:rPr>
      </w:pPr>
      <w:r>
        <w:rPr>
          <w:rFonts w:ascii="Arial" w:cs="Arial" w:eastAsia="Arial" w:hAnsi="Arial"/>
          <w:sz w:val="18"/>
          <w:szCs w:val="18"/>
          <w:color w:val="auto"/>
        </w:rPr>
        <w:t>Accelerate investment in employees and build a more diverse and inclusive workforce by holding executives accountable for progress on diversity, equity and inclusion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Advancing climate solutions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Climate change is a critical issue, and JPMorgan Chase strives to do our part in collaboration with clients, shareholders, policymakers and other stakeholders. Last year, a shareholder proposal concerning climate change risk reporting received support from 48.6% of our shareholders. The Firm has embarked on numerous initiatives that are responsive to that proposal and underscore our ongoing efforts to advance sustainability in our operations and financing activities. We continue to undertake credit and environmental due diligence for clients in different sectors in line with our internal risk policy and standard requirements, evaluating necessary information to make well informed and commercial risk decisions relative to our risk tolerances. In 2020, the Firm:</w:t>
      </w:r>
    </w:p>
    <w:p>
      <w:pPr>
        <w:spacing w:after="0" w:line="33" w:lineRule="exact"/>
        <w:rPr>
          <w:sz w:val="20"/>
          <w:szCs w:val="20"/>
          <w:color w:val="auto"/>
        </w:rPr>
      </w:pPr>
    </w:p>
    <w:p>
      <w:pPr>
        <w:ind w:left="180" w:right="260" w:hanging="172"/>
        <w:spacing w:after="0" w:line="261" w:lineRule="auto"/>
        <w:tabs>
          <w:tab w:leader="none" w:pos="175"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Committed to align our financing activities in three sectors—oil and gas, electric power and automotive manufacturing—with the goals of the Paris Agreement.</w:t>
      </w:r>
    </w:p>
    <w:p>
      <w:pPr>
        <w:spacing w:after="0" w:line="8" w:lineRule="exact"/>
        <w:rPr>
          <w:rFonts w:ascii="Arial" w:cs="Arial" w:eastAsia="Arial" w:hAnsi="Arial"/>
          <w:sz w:val="18"/>
          <w:szCs w:val="18"/>
          <w:color w:val="074A75"/>
        </w:rPr>
      </w:pPr>
    </w:p>
    <w:p>
      <w:pPr>
        <w:ind w:left="180" w:right="480" w:hanging="172"/>
        <w:spacing w:after="0" w:line="261" w:lineRule="auto"/>
        <w:tabs>
          <w:tab w:leader="none" w:pos="175"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Launched the Center for Carbon Transition to engage clients on their long-term business strategies and provide centralized access to sustainability-focused financing, research and advisory solutions</w:t>
      </w:r>
    </w:p>
    <w:p>
      <w:pPr>
        <w:spacing w:after="0" w:line="22" w:lineRule="exact"/>
        <w:rPr>
          <w:rFonts w:ascii="Arial" w:cs="Arial" w:eastAsia="Arial" w:hAnsi="Arial"/>
          <w:sz w:val="18"/>
          <w:szCs w:val="18"/>
          <w:color w:val="074A75"/>
        </w:rPr>
      </w:pPr>
    </w:p>
    <w:p>
      <w:pPr>
        <w:ind w:left="160" w:hanging="152"/>
        <w:spacing w:after="0"/>
        <w:tabs>
          <w:tab w:leader="none" w:pos="160"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Promoted sustainable development by completing the Firm's inaugural green bond issuance of $1 billion</w:t>
      </w:r>
    </w:p>
    <w:p>
      <w:pPr>
        <w:spacing w:after="0" w:line="49" w:lineRule="exact"/>
        <w:rPr>
          <w:rFonts w:ascii="Arial" w:cs="Arial" w:eastAsia="Arial" w:hAnsi="Arial"/>
          <w:sz w:val="18"/>
          <w:szCs w:val="18"/>
          <w:color w:val="074A75"/>
        </w:rPr>
      </w:pPr>
    </w:p>
    <w:p>
      <w:pPr>
        <w:ind w:left="160" w:hanging="152"/>
        <w:spacing w:after="0"/>
        <w:tabs>
          <w:tab w:leader="none" w:pos="160"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Sourced renewable energy for 100% of our global power needs and committed to become carbon neutral in our operations</w:t>
      </w:r>
    </w:p>
    <w:p>
      <w:pPr>
        <w:spacing w:after="0" w:line="36" w:lineRule="exact"/>
        <w:rPr>
          <w:rFonts w:ascii="Arial" w:cs="Arial" w:eastAsia="Arial" w:hAnsi="Arial"/>
          <w:sz w:val="18"/>
          <w:szCs w:val="18"/>
          <w:color w:val="074A75"/>
        </w:rPr>
      </w:pPr>
    </w:p>
    <w:p>
      <w:pPr>
        <w:ind w:left="180" w:right="440" w:hanging="172"/>
        <w:spacing w:after="0" w:line="261" w:lineRule="auto"/>
        <w:tabs>
          <w:tab w:leader="none" w:pos="175" w:val="left"/>
        </w:tabs>
        <w:numPr>
          <w:ilvl w:val="0"/>
          <w:numId w:val="25"/>
        </w:numPr>
        <w:rPr>
          <w:rFonts w:ascii="Arial" w:cs="Arial" w:eastAsia="Arial" w:hAnsi="Arial"/>
          <w:sz w:val="18"/>
          <w:szCs w:val="18"/>
          <w:color w:val="074A75"/>
        </w:rPr>
      </w:pPr>
      <w:r>
        <w:rPr>
          <w:rFonts w:ascii="Arial" w:cs="Arial" w:eastAsia="Arial" w:hAnsi="Arial"/>
          <w:sz w:val="18"/>
          <w:szCs w:val="18"/>
          <w:color w:val="auto"/>
        </w:rPr>
        <w:t>Enhanced our policy and industry engagement through participation in the Climate Leadership Council and Rocky Mountain Institute's Center for Climate-Aligned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212090</wp:posOffset>
            </wp:positionV>
            <wp:extent cx="274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  </w:t>
      </w:r>
      <w:r>
        <w:rPr>
          <w:sz w:val="1"/>
          <w:szCs w:val="1"/>
          <w:color w:val="auto"/>
        </w:rPr>
        <w:drawing>
          <wp:inline distT="0" distB="0" distL="0" distR="0">
            <wp:extent cx="2203450" cy="1543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1: Election of Directors – page 10</w:t>
      </w:r>
    </w:p>
    <w:p>
      <w:pPr>
        <w:spacing w:after="0" w:line="26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Board of Directors has nominated the 10 individuals listed below. All are independent other than our CEO. If elected at our annual meeting, all nominees are expected to serve until next year’s annual meeting.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ind w:left="860"/>
              <w:spacing w:after="0"/>
              <w:rPr>
                <w:sz w:val="20"/>
                <w:szCs w:val="20"/>
                <w:color w:val="auto"/>
              </w:rPr>
            </w:pPr>
            <w:r>
              <w:rPr>
                <w:rFonts w:ascii="Arial" w:cs="Arial" w:eastAsia="Arial" w:hAnsi="Arial"/>
                <w:sz w:val="16"/>
                <w:szCs w:val="16"/>
                <w:color w:val="074A75"/>
              </w:rPr>
              <w:t>Nominee/Director of</w:t>
            </w:r>
          </w:p>
        </w:tc>
        <w:tc>
          <w:tcPr>
            <w:tcW w:w="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074A75"/>
                <w:w w:val="99"/>
              </w:rPr>
              <w:t>Other Public</w:t>
            </w: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160" w:type="dxa"/>
            <w:vAlign w:val="bottom"/>
          </w:tcPr>
          <w:p>
            <w:pPr>
              <w:ind w:left="700"/>
              <w:spacing w:after="0"/>
              <w:rPr>
                <w:sz w:val="20"/>
                <w:szCs w:val="20"/>
                <w:color w:val="auto"/>
              </w:rPr>
            </w:pPr>
            <w:r>
              <w:rPr>
                <w:rFonts w:ascii="Arial" w:cs="Arial" w:eastAsia="Arial" w:hAnsi="Arial"/>
                <w:sz w:val="16"/>
                <w:szCs w:val="16"/>
                <w:color w:val="074A75"/>
              </w:rPr>
              <w:t>JPMorgan Chase since</w:t>
            </w:r>
            <w:r>
              <w:rPr>
                <w:rFonts w:ascii="Arial" w:cs="Arial" w:eastAsia="Arial" w:hAnsi="Arial"/>
                <w:sz w:val="21"/>
                <w:szCs w:val="21"/>
                <w:color w:val="074A75"/>
                <w:vertAlign w:val="superscript"/>
              </w:rPr>
              <w:t>1</w:t>
            </w:r>
          </w:p>
        </w:tc>
        <w:tc>
          <w:tcPr>
            <w:tcW w:w="640" w:type="dxa"/>
            <w:vAlign w:val="bottom"/>
          </w:tcPr>
          <w:p>
            <w:pPr>
              <w:jc w:val="center"/>
              <w:spacing w:after="0"/>
              <w:rPr>
                <w:sz w:val="20"/>
                <w:szCs w:val="20"/>
                <w:color w:val="auto"/>
              </w:rPr>
            </w:pPr>
            <w:r>
              <w:rPr>
                <w:rFonts w:ascii="Arial" w:cs="Arial" w:eastAsia="Arial" w:hAnsi="Arial"/>
                <w:sz w:val="16"/>
                <w:szCs w:val="16"/>
                <w:color w:val="074A75"/>
                <w:w w:val="98"/>
              </w:rPr>
              <w:t>Age</w:t>
            </w:r>
          </w:p>
        </w:tc>
        <w:tc>
          <w:tcPr>
            <w:tcW w:w="2520" w:type="dxa"/>
            <w:vAlign w:val="bottom"/>
          </w:tcPr>
          <w:p>
            <w:pPr>
              <w:ind w:left="500"/>
              <w:spacing w:after="0"/>
              <w:rPr>
                <w:sz w:val="20"/>
                <w:szCs w:val="20"/>
                <w:color w:val="auto"/>
              </w:rPr>
            </w:pPr>
            <w:r>
              <w:rPr>
                <w:rFonts w:ascii="Arial" w:cs="Arial" w:eastAsia="Arial" w:hAnsi="Arial"/>
                <w:sz w:val="16"/>
                <w:szCs w:val="16"/>
                <w:color w:val="074A75"/>
              </w:rPr>
              <w:t>Principal Occupation</w:t>
            </w:r>
          </w:p>
        </w:tc>
        <w:tc>
          <w:tcPr>
            <w:tcW w:w="1920" w:type="dxa"/>
            <w:vAlign w:val="bottom"/>
          </w:tcPr>
          <w:p>
            <w:pPr>
              <w:jc w:val="center"/>
              <w:spacing w:after="0"/>
              <w:rPr>
                <w:sz w:val="20"/>
                <w:szCs w:val="20"/>
                <w:color w:val="auto"/>
              </w:rPr>
            </w:pPr>
            <w:r>
              <w:rPr>
                <w:rFonts w:ascii="Arial" w:cs="Arial" w:eastAsia="Arial" w:hAnsi="Arial"/>
                <w:sz w:val="16"/>
                <w:szCs w:val="16"/>
                <w:color w:val="074A75"/>
              </w:rPr>
              <w:t>Company Boards (#)</w:t>
            </w:r>
          </w:p>
        </w:tc>
        <w:tc>
          <w:tcPr>
            <w:tcW w:w="3000" w:type="dxa"/>
            <w:vAlign w:val="bottom"/>
          </w:tcPr>
          <w:p>
            <w:pPr>
              <w:ind w:left="600"/>
              <w:spacing w:after="0"/>
              <w:rPr>
                <w:sz w:val="20"/>
                <w:szCs w:val="20"/>
                <w:color w:val="auto"/>
              </w:rPr>
            </w:pPr>
            <w:r>
              <w:rPr>
                <w:rFonts w:ascii="Arial" w:cs="Arial" w:eastAsia="Arial" w:hAnsi="Arial"/>
                <w:sz w:val="16"/>
                <w:szCs w:val="16"/>
                <w:color w:val="074A75"/>
              </w:rPr>
              <w:t>Committee Membership</w:t>
            </w:r>
            <w:r>
              <w:rPr>
                <w:rFonts w:ascii="Arial" w:cs="Arial" w:eastAsia="Arial" w:hAnsi="Arial"/>
                <w:sz w:val="21"/>
                <w:szCs w:val="21"/>
                <w:color w:val="074A75"/>
                <w:vertAlign w:val="superscript"/>
              </w:rPr>
              <w:t>2</w:t>
            </w:r>
          </w:p>
        </w:tc>
        <w:tc>
          <w:tcPr>
            <w:tcW w:w="0" w:type="dxa"/>
            <w:vAlign w:val="bottom"/>
          </w:tcPr>
          <w:p>
            <w:pPr>
              <w:spacing w:after="0"/>
              <w:rPr>
                <w:sz w:val="1"/>
                <w:szCs w:val="1"/>
                <w:color w:val="auto"/>
              </w:rPr>
            </w:pPr>
          </w:p>
        </w:tc>
      </w:tr>
      <w:tr>
        <w:trPr>
          <w:trHeight w:val="57"/>
        </w:trPr>
        <w:tc>
          <w:tcPr>
            <w:tcW w:w="316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2520" w:type="dxa"/>
            <w:vAlign w:val="bottom"/>
            <w:tcBorders>
              <w:bottom w:val="single" w:sz="8" w:color="454545"/>
            </w:tcBorders>
          </w:tcPr>
          <w:p>
            <w:pPr>
              <w:spacing w:after="0"/>
              <w:rPr>
                <w:sz w:val="4"/>
                <w:szCs w:val="4"/>
                <w:color w:val="auto"/>
              </w:rPr>
            </w:pPr>
          </w:p>
        </w:tc>
        <w:tc>
          <w:tcPr>
            <w:tcW w:w="1920" w:type="dxa"/>
            <w:vAlign w:val="bottom"/>
            <w:tcBorders>
              <w:bottom w:val="single" w:sz="8" w:color="454545"/>
            </w:tcBorders>
          </w:tcPr>
          <w:p>
            <w:pPr>
              <w:spacing w:after="0"/>
              <w:rPr>
                <w:sz w:val="4"/>
                <w:szCs w:val="4"/>
                <w:color w:val="auto"/>
              </w:rPr>
            </w:pPr>
          </w:p>
        </w:tc>
        <w:tc>
          <w:tcPr>
            <w:tcW w:w="3000" w:type="dxa"/>
            <w:vAlign w:val="bottom"/>
            <w:tcBorders>
              <w:bottom w:val="single" w:sz="8" w:color="454545"/>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tcPr>
          <w:p>
            <w:pPr>
              <w:ind w:left="860"/>
              <w:spacing w:after="0"/>
              <w:rPr>
                <w:sz w:val="20"/>
                <w:szCs w:val="20"/>
                <w:color w:val="auto"/>
              </w:rPr>
            </w:pPr>
            <w:r>
              <w:rPr>
                <w:rFonts w:ascii="Arial" w:cs="Arial" w:eastAsia="Arial" w:hAnsi="Arial"/>
                <w:sz w:val="14"/>
                <w:szCs w:val="14"/>
                <w:b w:val="1"/>
                <w:bCs w:val="1"/>
                <w:color w:val="auto"/>
              </w:rPr>
              <w:t>Linda B. Bammann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Retired Deputy Head of Risk</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Risk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2013</w:t>
            </w: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continue"/>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continue"/>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restart"/>
          </w:tcPr>
          <w:p>
            <w:pPr>
              <w:ind w:left="80"/>
              <w:spacing w:after="0" w:line="153" w:lineRule="exact"/>
              <w:rPr>
                <w:sz w:val="20"/>
                <w:szCs w:val="20"/>
                <w:color w:val="auto"/>
              </w:rPr>
            </w:pPr>
            <w:r>
              <w:rPr>
                <w:rFonts w:ascii="Arial" w:cs="Arial" w:eastAsia="Arial" w:hAnsi="Arial"/>
                <w:sz w:val="14"/>
                <w:szCs w:val="14"/>
                <w:color w:val="auto"/>
              </w:rPr>
              <w:t>Management of JPMorgan Chase &amp;</w:t>
            </w: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3160" w:type="dxa"/>
            <w:vAlign w:val="bottom"/>
            <w:tcBorders>
              <w:right w:val="single" w:sz="8" w:color="454545"/>
            </w:tcBorders>
          </w:tcPr>
          <w:p>
            <w:pPr>
              <w:spacing w:after="0"/>
              <w:rPr>
                <w:sz w:val="8"/>
                <w:szCs w:val="8"/>
                <w:color w:val="auto"/>
              </w:rPr>
            </w:pPr>
          </w:p>
        </w:tc>
        <w:tc>
          <w:tcPr>
            <w:tcW w:w="640" w:type="dxa"/>
            <w:vAlign w:val="bottom"/>
            <w:tcBorders>
              <w:right w:val="single" w:sz="8" w:color="454545"/>
            </w:tcBorders>
          </w:tcPr>
          <w:p>
            <w:pPr>
              <w:spacing w:after="0"/>
              <w:rPr>
                <w:sz w:val="8"/>
                <w:szCs w:val="8"/>
                <w:color w:val="auto"/>
              </w:rPr>
            </w:pPr>
          </w:p>
        </w:tc>
        <w:tc>
          <w:tcPr>
            <w:tcW w:w="2520" w:type="dxa"/>
            <w:vAlign w:val="bottom"/>
            <w:tcBorders>
              <w:right w:val="single" w:sz="8" w:color="454545"/>
            </w:tcBorders>
            <w:vMerge w:val="continue"/>
          </w:tcPr>
          <w:p>
            <w:pPr>
              <w:spacing w:after="0"/>
              <w:rPr>
                <w:sz w:val="8"/>
                <w:szCs w:val="8"/>
                <w:color w:val="auto"/>
              </w:rPr>
            </w:pPr>
          </w:p>
        </w:tc>
        <w:tc>
          <w:tcPr>
            <w:tcW w:w="1920" w:type="dxa"/>
            <w:vAlign w:val="bottom"/>
            <w:tcBorders>
              <w:right w:val="single" w:sz="8" w:color="454545"/>
            </w:tcBorders>
          </w:tcPr>
          <w:p>
            <w:pPr>
              <w:spacing w:after="0"/>
              <w:rPr>
                <w:sz w:val="8"/>
                <w:szCs w:val="8"/>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73"/>
        </w:trPr>
        <w:tc>
          <w:tcPr>
            <w:tcW w:w="3160" w:type="dxa"/>
            <w:vAlign w:val="bottom"/>
            <w:tcBorders>
              <w:right w:val="single" w:sz="8" w:color="454545"/>
            </w:tcBorders>
          </w:tcPr>
          <w:p>
            <w:pPr>
              <w:spacing w:after="0"/>
              <w:rPr>
                <w:sz w:val="6"/>
                <w:szCs w:val="6"/>
                <w:color w:val="auto"/>
              </w:rPr>
            </w:pPr>
          </w:p>
        </w:tc>
        <w:tc>
          <w:tcPr>
            <w:tcW w:w="640" w:type="dxa"/>
            <w:vAlign w:val="bottom"/>
            <w:tcBorders>
              <w:right w:val="single" w:sz="8" w:color="454545"/>
            </w:tcBorders>
          </w:tcPr>
          <w:p>
            <w:pPr>
              <w:spacing w:after="0"/>
              <w:rPr>
                <w:sz w:val="6"/>
                <w:szCs w:val="6"/>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Co.</w:t>
            </w:r>
            <w:r>
              <w:rPr>
                <w:rFonts w:ascii="Arial" w:cs="Arial" w:eastAsia="Arial" w:hAnsi="Arial"/>
                <w:sz w:val="18"/>
                <w:szCs w:val="18"/>
                <w:color w:val="auto"/>
                <w:vertAlign w:val="superscript"/>
              </w:rPr>
              <w:t>3</w:t>
            </w:r>
          </w:p>
        </w:tc>
        <w:tc>
          <w:tcPr>
            <w:tcW w:w="1920" w:type="dxa"/>
            <w:vAlign w:val="bottom"/>
            <w:tcBorders>
              <w:right w:val="single" w:sz="8" w:color="454545"/>
            </w:tcBorders>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160" w:type="dxa"/>
            <w:vAlign w:val="bottom"/>
            <w:tcBorders>
              <w:right w:val="single" w:sz="8" w:color="454545"/>
            </w:tcBorders>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vMerge w:val="continue"/>
          </w:tcPr>
          <w:p>
            <w:pPr>
              <w:spacing w:after="0"/>
              <w:rPr>
                <w:sz w:val="14"/>
                <w:szCs w:val="14"/>
                <w:color w:val="auto"/>
              </w:rPr>
            </w:pP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60" w:type="dxa"/>
            <w:vAlign w:val="bottom"/>
            <w:tcBorders>
              <w:bottom w:val="single" w:sz="8" w:color="454545"/>
              <w:right w:val="single" w:sz="8" w:color="454545"/>
            </w:tcBorders>
          </w:tcPr>
          <w:p>
            <w:pPr>
              <w:spacing w:after="0"/>
              <w:rPr>
                <w:sz w:val="13"/>
                <w:szCs w:val="13"/>
                <w:color w:val="auto"/>
              </w:rPr>
            </w:pPr>
          </w:p>
        </w:tc>
        <w:tc>
          <w:tcPr>
            <w:tcW w:w="640" w:type="dxa"/>
            <w:vAlign w:val="bottom"/>
            <w:tcBorders>
              <w:bottom w:val="single" w:sz="8" w:color="454545"/>
              <w:right w:val="single" w:sz="8" w:color="454545"/>
            </w:tcBorders>
          </w:tcPr>
          <w:p>
            <w:pPr>
              <w:spacing w:after="0"/>
              <w:rPr>
                <w:sz w:val="13"/>
                <w:szCs w:val="13"/>
                <w:color w:val="auto"/>
              </w:rPr>
            </w:pPr>
          </w:p>
        </w:tc>
        <w:tc>
          <w:tcPr>
            <w:tcW w:w="2520" w:type="dxa"/>
            <w:vAlign w:val="bottom"/>
            <w:tcBorders>
              <w:bottom w:val="single" w:sz="8" w:color="454545"/>
              <w:right w:val="single" w:sz="8" w:color="454545"/>
            </w:tcBorders>
          </w:tcPr>
          <w:p>
            <w:pPr>
              <w:spacing w:after="0"/>
              <w:rPr>
                <w:sz w:val="13"/>
                <w:szCs w:val="13"/>
                <w:color w:val="auto"/>
              </w:rPr>
            </w:pPr>
          </w:p>
        </w:tc>
        <w:tc>
          <w:tcPr>
            <w:tcW w:w="1920" w:type="dxa"/>
            <w:vAlign w:val="bottom"/>
            <w:tcBorders>
              <w:bottom w:val="single" w:sz="8" w:color="454545"/>
              <w:right w:val="single" w:sz="8" w:color="454545"/>
            </w:tcBorders>
          </w:tcPr>
          <w:p>
            <w:pPr>
              <w:spacing w:after="0"/>
              <w:rPr>
                <w:sz w:val="13"/>
                <w:szCs w:val="13"/>
                <w:color w:val="auto"/>
              </w:rPr>
            </w:pPr>
          </w:p>
        </w:tc>
        <w:tc>
          <w:tcPr>
            <w:tcW w:w="3000" w:type="dxa"/>
            <w:vAlign w:val="bottom"/>
            <w:tcBorders>
              <w:bottom w:val="single" w:sz="8" w:color="454545"/>
            </w:tcBorders>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Stephen B. Burke</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62</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Executive Officer of NBCUniversal,</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Development (Chair);</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(Lead Independent Director)</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LLC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Corporate Governance &amp;</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tcPr>
          <w:p>
            <w:pPr>
              <w:spacing w:after="0"/>
              <w:rPr>
                <w:sz w:val="10"/>
                <w:szCs w:val="10"/>
                <w:color w:val="auto"/>
              </w:rPr>
            </w:pPr>
          </w:p>
        </w:tc>
        <w:tc>
          <w:tcPr>
            <w:tcW w:w="1920" w:type="dxa"/>
            <w:vAlign w:val="bottom"/>
            <w:tcBorders>
              <w:right w:val="single" w:sz="8" w:color="454545"/>
            </w:tcBorders>
          </w:tcPr>
          <w:p>
            <w:pPr>
              <w:spacing w:after="0"/>
              <w:rPr>
                <w:sz w:val="10"/>
                <w:szCs w:val="10"/>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Nominating</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160" w:type="dxa"/>
            <w:vAlign w:val="bottom"/>
            <w:tcBorders>
              <w:bottom w:val="single" w:sz="8" w:color="454545"/>
              <w:right w:val="single" w:sz="8" w:color="454545"/>
            </w:tcBorders>
          </w:tcPr>
          <w:p>
            <w:pPr>
              <w:spacing w:after="0"/>
              <w:rPr>
                <w:sz w:val="13"/>
                <w:szCs w:val="13"/>
                <w:color w:val="auto"/>
              </w:rPr>
            </w:pPr>
          </w:p>
        </w:tc>
        <w:tc>
          <w:tcPr>
            <w:tcW w:w="640" w:type="dxa"/>
            <w:vAlign w:val="bottom"/>
            <w:tcBorders>
              <w:bottom w:val="single" w:sz="8" w:color="454545"/>
              <w:right w:val="single" w:sz="8" w:color="454545"/>
            </w:tcBorders>
          </w:tcPr>
          <w:p>
            <w:pPr>
              <w:spacing w:after="0"/>
              <w:rPr>
                <w:sz w:val="13"/>
                <w:szCs w:val="13"/>
                <w:color w:val="auto"/>
              </w:rPr>
            </w:pPr>
          </w:p>
        </w:tc>
        <w:tc>
          <w:tcPr>
            <w:tcW w:w="2520" w:type="dxa"/>
            <w:vAlign w:val="bottom"/>
            <w:tcBorders>
              <w:bottom w:val="single" w:sz="8" w:color="454545"/>
              <w:right w:val="single" w:sz="8" w:color="454545"/>
            </w:tcBorders>
          </w:tcPr>
          <w:p>
            <w:pPr>
              <w:spacing w:after="0"/>
              <w:rPr>
                <w:sz w:val="13"/>
                <w:szCs w:val="13"/>
                <w:color w:val="auto"/>
              </w:rPr>
            </w:pPr>
          </w:p>
        </w:tc>
        <w:tc>
          <w:tcPr>
            <w:tcW w:w="1920" w:type="dxa"/>
            <w:vAlign w:val="bottom"/>
            <w:tcBorders>
              <w:bottom w:val="single" w:sz="8" w:color="454545"/>
              <w:right w:val="single" w:sz="8" w:color="454545"/>
            </w:tcBorders>
          </w:tcPr>
          <w:p>
            <w:pPr>
              <w:spacing w:after="0"/>
              <w:rPr>
                <w:sz w:val="13"/>
                <w:szCs w:val="13"/>
                <w:color w:val="auto"/>
              </w:rPr>
            </w:pPr>
          </w:p>
        </w:tc>
        <w:tc>
          <w:tcPr>
            <w:tcW w:w="3000" w:type="dxa"/>
            <w:vAlign w:val="bottom"/>
            <w:tcBorders>
              <w:bottom w:val="single" w:sz="8" w:color="454545"/>
            </w:tcBorders>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Todd A. Combs</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50</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Investment Officer at Berkshire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Corporate Governance &amp;</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Hathaway Inc.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Nominating (Chair);</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2016</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President and CEO of GEICO</w:t>
            </w:r>
          </w:p>
        </w:tc>
        <w:tc>
          <w:tcPr>
            <w:tcW w:w="1920" w:type="dxa"/>
            <w:vAlign w:val="bottom"/>
            <w:tcBorders>
              <w:right w:val="single" w:sz="8" w:color="454545"/>
            </w:tcBorders>
          </w:tcPr>
          <w:p>
            <w:pPr>
              <w:spacing w:after="0"/>
              <w:rPr>
                <w:sz w:val="10"/>
                <w:szCs w:val="10"/>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Compensation &amp; Management Development</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160" w:type="dxa"/>
            <w:vAlign w:val="bottom"/>
            <w:tcBorders>
              <w:bottom w:val="single" w:sz="8" w:color="454545"/>
              <w:right w:val="single" w:sz="8" w:color="454545"/>
            </w:tcBorders>
          </w:tcPr>
          <w:p>
            <w:pPr>
              <w:spacing w:after="0"/>
              <w:rPr>
                <w:sz w:val="21"/>
                <w:szCs w:val="21"/>
                <w:color w:val="auto"/>
              </w:rPr>
            </w:pPr>
          </w:p>
        </w:tc>
        <w:tc>
          <w:tcPr>
            <w:tcW w:w="640" w:type="dxa"/>
            <w:vAlign w:val="bottom"/>
            <w:tcBorders>
              <w:bottom w:val="single" w:sz="8" w:color="454545"/>
              <w:right w:val="single" w:sz="8" w:color="454545"/>
            </w:tcBorders>
          </w:tcPr>
          <w:p>
            <w:pPr>
              <w:spacing w:after="0"/>
              <w:rPr>
                <w:sz w:val="21"/>
                <w:szCs w:val="21"/>
                <w:color w:val="auto"/>
              </w:rPr>
            </w:pPr>
          </w:p>
        </w:tc>
        <w:tc>
          <w:tcPr>
            <w:tcW w:w="2520" w:type="dxa"/>
            <w:vAlign w:val="bottom"/>
            <w:tcBorders>
              <w:bottom w:val="single" w:sz="8" w:color="454545"/>
              <w:right w:val="single" w:sz="8" w:color="454545"/>
            </w:tcBorders>
          </w:tcPr>
          <w:p>
            <w:pPr>
              <w:spacing w:after="0"/>
              <w:rPr>
                <w:sz w:val="21"/>
                <w:szCs w:val="21"/>
                <w:color w:val="auto"/>
              </w:rPr>
            </w:pPr>
          </w:p>
        </w:tc>
        <w:tc>
          <w:tcPr>
            <w:tcW w:w="1920" w:type="dxa"/>
            <w:vAlign w:val="bottom"/>
            <w:tcBorders>
              <w:bottom w:val="single" w:sz="8" w:color="454545"/>
              <w:right w:val="single" w:sz="8" w:color="454545"/>
            </w:tcBorders>
          </w:tcPr>
          <w:p>
            <w:pPr>
              <w:spacing w:after="0"/>
              <w:rPr>
                <w:sz w:val="21"/>
                <w:szCs w:val="21"/>
                <w:color w:val="auto"/>
              </w:rPr>
            </w:pPr>
          </w:p>
        </w:tc>
        <w:tc>
          <w:tcPr>
            <w:tcW w:w="3000" w:type="dxa"/>
            <w:vAlign w:val="bottom"/>
            <w:tcBorders>
              <w:bottom w:val="single" w:sz="8" w:color="454545"/>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James S. Crown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67</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Public Responsibility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Henry Crown and Company</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6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5"/>
                <w:szCs w:val="5"/>
                <w:color w:val="auto"/>
              </w:rPr>
            </w:pPr>
          </w:p>
        </w:tc>
        <w:tc>
          <w:tcPr>
            <w:tcW w:w="2520" w:type="dxa"/>
            <w:vAlign w:val="bottom"/>
            <w:tcBorders>
              <w:right w:val="single" w:sz="8" w:color="454545"/>
            </w:tcBorders>
            <w:vMerge w:val="continue"/>
          </w:tcPr>
          <w:p>
            <w:pPr>
              <w:spacing w:after="0"/>
              <w:rPr>
                <w:sz w:val="5"/>
                <w:szCs w:val="5"/>
                <w:color w:val="auto"/>
              </w:rPr>
            </w:pPr>
          </w:p>
        </w:tc>
        <w:tc>
          <w:tcPr>
            <w:tcW w:w="1920" w:type="dxa"/>
            <w:vAlign w:val="bottom"/>
            <w:tcBorders>
              <w:right w:val="single" w:sz="8" w:color="454545"/>
            </w:tcBorders>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920"/>
              <w:spacing w:after="0"/>
              <w:rPr>
                <w:sz w:val="20"/>
                <w:szCs w:val="20"/>
                <w:color w:val="auto"/>
              </w:rPr>
            </w:pPr>
            <w:r>
              <w:rPr>
                <w:rFonts w:ascii="Arial" w:cs="Arial" w:eastAsia="Arial" w:hAnsi="Arial"/>
                <w:sz w:val="14"/>
                <w:szCs w:val="14"/>
                <w:b w:val="1"/>
                <w:bCs w:val="1"/>
                <w:color w:val="auto"/>
              </w:rPr>
              <w:t>James Dimon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65</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JPMorgan Chase &amp; Co.</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160" w:type="dxa"/>
            <w:vAlign w:val="bottom"/>
            <w:tcBorders>
              <w:right w:val="single" w:sz="8" w:color="454545"/>
            </w:tcBorders>
            <w:vMerge w:val="restart"/>
          </w:tcPr>
          <w:p>
            <w:pPr>
              <w:ind w:left="920"/>
              <w:spacing w:after="0"/>
              <w:rPr>
                <w:sz w:val="20"/>
                <w:szCs w:val="20"/>
                <w:color w:val="auto"/>
              </w:rPr>
            </w:pPr>
            <w:r>
              <w:rPr>
                <w:rFonts w:ascii="Arial" w:cs="Arial" w:eastAsia="Arial" w:hAnsi="Arial"/>
                <w:sz w:val="14"/>
                <w:szCs w:val="14"/>
                <w:color w:val="auto"/>
              </w:rPr>
              <w:t>Director since 2004</w:t>
            </w:r>
          </w:p>
        </w:tc>
        <w:tc>
          <w:tcPr>
            <w:tcW w:w="640" w:type="dxa"/>
            <w:vAlign w:val="bottom"/>
            <w:tcBorders>
              <w:right w:val="single" w:sz="8" w:color="454545"/>
            </w:tcBorders>
          </w:tcPr>
          <w:p>
            <w:pPr>
              <w:spacing w:after="0"/>
              <w:rPr>
                <w:sz w:val="5"/>
                <w:szCs w:val="5"/>
                <w:color w:val="auto"/>
              </w:rPr>
            </w:pPr>
          </w:p>
        </w:tc>
        <w:tc>
          <w:tcPr>
            <w:tcW w:w="2520" w:type="dxa"/>
            <w:vAlign w:val="bottom"/>
            <w:tcBorders>
              <w:right w:val="single" w:sz="8" w:color="454545"/>
            </w:tcBorders>
            <w:vMerge w:val="continue"/>
          </w:tcPr>
          <w:p>
            <w:pPr>
              <w:spacing w:after="0"/>
              <w:rPr>
                <w:sz w:val="5"/>
                <w:szCs w:val="5"/>
                <w:color w:val="auto"/>
              </w:rPr>
            </w:pPr>
          </w:p>
        </w:tc>
        <w:tc>
          <w:tcPr>
            <w:tcW w:w="1920" w:type="dxa"/>
            <w:vAlign w:val="bottom"/>
            <w:tcBorders>
              <w:right w:val="single" w:sz="8" w:color="454545"/>
            </w:tcBorders>
          </w:tcPr>
          <w:p>
            <w:pPr>
              <w:spacing w:after="0"/>
              <w:rPr>
                <w:sz w:val="5"/>
                <w:szCs w:val="5"/>
                <w:color w:val="auto"/>
              </w:rPr>
            </w:pPr>
          </w:p>
        </w:tc>
        <w:tc>
          <w:tcPr>
            <w:tcW w:w="3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Timothy P. Flynn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64</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Chairman and Chief</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2</w:t>
            </w:r>
          </w:p>
        </w:tc>
        <w:tc>
          <w:tcPr>
            <w:tcW w:w="3000" w:type="dxa"/>
            <w:vAlign w:val="bottom"/>
          </w:tcPr>
          <w:p>
            <w:pPr>
              <w:ind w:left="20"/>
              <w:spacing w:after="0"/>
              <w:rPr>
                <w:sz w:val="20"/>
                <w:szCs w:val="20"/>
                <w:color w:val="auto"/>
              </w:rPr>
            </w:pPr>
            <w:r>
              <w:rPr>
                <w:rFonts w:ascii="Arial" w:cs="Arial" w:eastAsia="Arial" w:hAnsi="Arial"/>
                <w:sz w:val="14"/>
                <w:szCs w:val="14"/>
                <w:color w:val="auto"/>
              </w:rPr>
              <w:t>Audit (Chair)</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Executive Officer of KPMG</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2012</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International</w:t>
            </w:r>
          </w:p>
        </w:tc>
        <w:tc>
          <w:tcPr>
            <w:tcW w:w="1920" w:type="dxa"/>
            <w:vAlign w:val="bottom"/>
            <w:tcBorders>
              <w:right w:val="single" w:sz="8" w:color="454545"/>
            </w:tcBorders>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Mellody Hobson</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52</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Co-CEO and President of Ariel</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Investments, LLC</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6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2018</w:t>
            </w:r>
          </w:p>
        </w:tc>
        <w:tc>
          <w:tcPr>
            <w:tcW w:w="640" w:type="dxa"/>
            <w:vAlign w:val="bottom"/>
            <w:tcBorders>
              <w:right w:val="single" w:sz="8" w:color="454545"/>
            </w:tcBorders>
          </w:tcPr>
          <w:p>
            <w:pPr>
              <w:spacing w:after="0"/>
              <w:rPr>
                <w:sz w:val="5"/>
                <w:szCs w:val="5"/>
                <w:color w:val="auto"/>
              </w:rPr>
            </w:pPr>
          </w:p>
        </w:tc>
        <w:tc>
          <w:tcPr>
            <w:tcW w:w="2520" w:type="dxa"/>
            <w:vAlign w:val="bottom"/>
            <w:tcBorders>
              <w:right w:val="single" w:sz="8" w:color="454545"/>
            </w:tcBorders>
            <w:vMerge w:val="continue"/>
          </w:tcPr>
          <w:p>
            <w:pPr>
              <w:spacing w:after="0"/>
              <w:rPr>
                <w:sz w:val="5"/>
                <w:szCs w:val="5"/>
                <w:color w:val="auto"/>
              </w:rPr>
            </w:pPr>
          </w:p>
        </w:tc>
        <w:tc>
          <w:tcPr>
            <w:tcW w:w="1920" w:type="dxa"/>
            <w:vAlign w:val="bottom"/>
            <w:tcBorders>
              <w:right w:val="single" w:sz="8" w:color="454545"/>
            </w:tcBorders>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tcPr>
          <w:p>
            <w:pPr>
              <w:spacing w:after="0"/>
              <w:rPr>
                <w:sz w:val="9"/>
                <w:szCs w:val="9"/>
                <w:color w:val="auto"/>
              </w:rPr>
            </w:pP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3160" w:type="dxa"/>
            <w:vAlign w:val="bottom"/>
            <w:tcBorders>
              <w:bottom w:val="single" w:sz="8" w:color="454545"/>
              <w:right w:val="single" w:sz="8" w:color="454545"/>
            </w:tcBorders>
          </w:tcPr>
          <w:p>
            <w:pPr>
              <w:spacing w:after="0"/>
              <w:rPr>
                <w:sz w:val="24"/>
                <w:szCs w:val="24"/>
                <w:color w:val="auto"/>
              </w:rPr>
            </w:pPr>
          </w:p>
        </w:tc>
        <w:tc>
          <w:tcPr>
            <w:tcW w:w="640" w:type="dxa"/>
            <w:vAlign w:val="bottom"/>
            <w:tcBorders>
              <w:bottom w:val="single" w:sz="8" w:color="454545"/>
              <w:right w:val="single" w:sz="8" w:color="454545"/>
            </w:tcBorders>
          </w:tcPr>
          <w:p>
            <w:pPr>
              <w:spacing w:after="0"/>
              <w:rPr>
                <w:sz w:val="24"/>
                <w:szCs w:val="24"/>
                <w:color w:val="auto"/>
              </w:rPr>
            </w:pPr>
          </w:p>
        </w:tc>
        <w:tc>
          <w:tcPr>
            <w:tcW w:w="2520" w:type="dxa"/>
            <w:vAlign w:val="bottom"/>
            <w:tcBorders>
              <w:bottom w:val="single" w:sz="8" w:color="454545"/>
              <w:right w:val="single" w:sz="8" w:color="454545"/>
            </w:tcBorders>
          </w:tcPr>
          <w:p>
            <w:pPr>
              <w:spacing w:after="0"/>
              <w:rPr>
                <w:sz w:val="24"/>
                <w:szCs w:val="24"/>
                <w:color w:val="auto"/>
              </w:rPr>
            </w:pPr>
          </w:p>
        </w:tc>
        <w:tc>
          <w:tcPr>
            <w:tcW w:w="1920" w:type="dxa"/>
            <w:vAlign w:val="bottom"/>
            <w:tcBorders>
              <w:bottom w:val="single" w:sz="8" w:color="454545"/>
              <w:right w:val="single" w:sz="8" w:color="454545"/>
            </w:tcBorders>
          </w:tcPr>
          <w:p>
            <w:pPr>
              <w:spacing w:after="0"/>
              <w:rPr>
                <w:sz w:val="24"/>
                <w:szCs w:val="24"/>
                <w:color w:val="auto"/>
              </w:rPr>
            </w:pPr>
          </w:p>
        </w:tc>
        <w:tc>
          <w:tcPr>
            <w:tcW w:w="3000" w:type="dxa"/>
            <w:vAlign w:val="bottom"/>
            <w:tcBorders>
              <w:bottom w:val="single" w:sz="8" w:color="454545"/>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Michael A. Neal</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68</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Vice Chairman of General</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Electric Company and Retired</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2014</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Borders>
              <w:right w:val="single" w:sz="8" w:color="454545"/>
            </w:tcBorders>
          </w:tcPr>
          <w:p>
            <w:pPr>
              <w:spacing w:after="0"/>
              <w:rPr>
                <w:sz w:val="3"/>
                <w:szCs w:val="3"/>
                <w:color w:val="auto"/>
              </w:rPr>
            </w:pPr>
          </w:p>
        </w:tc>
        <w:tc>
          <w:tcPr>
            <w:tcW w:w="640" w:type="dxa"/>
            <w:vAlign w:val="bottom"/>
            <w:tcBorders>
              <w:right w:val="single" w:sz="8" w:color="454545"/>
            </w:tcBorders>
          </w:tcPr>
          <w:p>
            <w:pPr>
              <w:spacing w:after="0"/>
              <w:rPr>
                <w:sz w:val="3"/>
                <w:szCs w:val="3"/>
                <w:color w:val="auto"/>
              </w:rPr>
            </w:pPr>
          </w:p>
        </w:tc>
        <w:tc>
          <w:tcPr>
            <w:tcW w:w="2520" w:type="dxa"/>
            <w:vAlign w:val="bottom"/>
            <w:tcBorders>
              <w:right w:val="single" w:sz="8" w:color="454545"/>
            </w:tcBorders>
            <w:vMerge w:val="continue"/>
          </w:tcPr>
          <w:p>
            <w:pPr>
              <w:spacing w:after="0"/>
              <w:rPr>
                <w:sz w:val="3"/>
                <w:szCs w:val="3"/>
                <w:color w:val="auto"/>
              </w:rPr>
            </w:pPr>
          </w:p>
        </w:tc>
        <w:tc>
          <w:tcPr>
            <w:tcW w:w="1920" w:type="dxa"/>
            <w:vAlign w:val="bottom"/>
            <w:tcBorders>
              <w:right w:val="single" w:sz="8" w:color="454545"/>
            </w:tcBorders>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tcBorders>
              <w:right w:val="single" w:sz="8" w:color="454545"/>
            </w:tcBorders>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Officer of GE Capital</w:t>
            </w: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3160" w:type="dxa"/>
            <w:vAlign w:val="bottom"/>
            <w:tcBorders>
              <w:bottom w:val="single" w:sz="8" w:color="454545"/>
              <w:right w:val="single" w:sz="8" w:color="454545"/>
            </w:tcBorders>
          </w:tcPr>
          <w:p>
            <w:pPr>
              <w:spacing w:after="0"/>
              <w:rPr>
                <w:sz w:val="8"/>
                <w:szCs w:val="8"/>
                <w:color w:val="auto"/>
              </w:rPr>
            </w:pPr>
          </w:p>
        </w:tc>
        <w:tc>
          <w:tcPr>
            <w:tcW w:w="640" w:type="dxa"/>
            <w:vAlign w:val="bottom"/>
            <w:tcBorders>
              <w:bottom w:val="single" w:sz="8" w:color="454545"/>
              <w:right w:val="single" w:sz="8" w:color="454545"/>
            </w:tcBorders>
          </w:tcPr>
          <w:p>
            <w:pPr>
              <w:spacing w:after="0"/>
              <w:rPr>
                <w:sz w:val="8"/>
                <w:szCs w:val="8"/>
                <w:color w:val="auto"/>
              </w:rPr>
            </w:pPr>
          </w:p>
        </w:tc>
        <w:tc>
          <w:tcPr>
            <w:tcW w:w="2520" w:type="dxa"/>
            <w:vAlign w:val="bottom"/>
            <w:tcBorders>
              <w:bottom w:val="single" w:sz="8" w:color="454545"/>
              <w:right w:val="single" w:sz="8" w:color="454545"/>
            </w:tcBorders>
          </w:tcPr>
          <w:p>
            <w:pPr>
              <w:spacing w:after="0"/>
              <w:rPr>
                <w:sz w:val="8"/>
                <w:szCs w:val="8"/>
                <w:color w:val="auto"/>
              </w:rPr>
            </w:pPr>
          </w:p>
        </w:tc>
        <w:tc>
          <w:tcPr>
            <w:tcW w:w="1920" w:type="dxa"/>
            <w:vAlign w:val="bottom"/>
            <w:tcBorders>
              <w:bottom w:val="single" w:sz="8" w:color="454545"/>
              <w:right w:val="single" w:sz="8" w:color="454545"/>
            </w:tcBorders>
          </w:tcPr>
          <w:p>
            <w:pPr>
              <w:spacing w:after="0"/>
              <w:rPr>
                <w:sz w:val="8"/>
                <w:szCs w:val="8"/>
                <w:color w:val="auto"/>
              </w:rPr>
            </w:pPr>
          </w:p>
        </w:tc>
        <w:tc>
          <w:tcPr>
            <w:tcW w:w="3000" w:type="dxa"/>
            <w:vAlign w:val="bottom"/>
            <w:tcBorders>
              <w:bottom w:val="single" w:sz="8" w:color="454545"/>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Phebe N. Novakovic</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63</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Chairman and Chief Executive</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1</w:t>
            </w:r>
          </w:p>
        </w:tc>
        <w:tc>
          <w:tcPr>
            <w:tcW w:w="3000" w:type="dxa"/>
            <w:vAlign w:val="bottom"/>
          </w:tcPr>
          <w:p>
            <w:pPr>
              <w:ind w:left="2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Officer of General Dynamics</w:t>
            </w:r>
          </w:p>
        </w:tc>
        <w:tc>
          <w:tcPr>
            <w:tcW w:w="1920" w:type="dxa"/>
            <w:vAlign w:val="bottom"/>
            <w:tcBorders>
              <w:right w:val="single" w:sz="8" w:color="454545"/>
            </w:tcBorders>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Corporation</w:t>
            </w:r>
          </w:p>
        </w:tc>
        <w:tc>
          <w:tcPr>
            <w:tcW w:w="1920" w:type="dxa"/>
            <w:vAlign w:val="bottom"/>
            <w:tcBorders>
              <w:right w:val="single" w:sz="8" w:color="454545"/>
            </w:tcBorders>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tcPr>
          <w:p>
            <w:pPr>
              <w:spacing w:after="0"/>
              <w:rPr>
                <w:sz w:val="4"/>
                <w:szCs w:val="4"/>
                <w:color w:val="auto"/>
              </w:rPr>
            </w:pP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160" w:type="dxa"/>
            <w:vAlign w:val="bottom"/>
            <w:tcBorders>
              <w:bottom w:val="single" w:sz="8" w:color="454545"/>
              <w:right w:val="single" w:sz="8" w:color="454545"/>
            </w:tcBorders>
          </w:tcPr>
          <w:p>
            <w:pPr>
              <w:spacing w:after="0"/>
              <w:rPr>
                <w:sz w:val="21"/>
                <w:szCs w:val="21"/>
                <w:color w:val="auto"/>
              </w:rPr>
            </w:pPr>
          </w:p>
        </w:tc>
        <w:tc>
          <w:tcPr>
            <w:tcW w:w="640" w:type="dxa"/>
            <w:vAlign w:val="bottom"/>
            <w:tcBorders>
              <w:bottom w:val="single" w:sz="8" w:color="454545"/>
              <w:right w:val="single" w:sz="8" w:color="454545"/>
            </w:tcBorders>
          </w:tcPr>
          <w:p>
            <w:pPr>
              <w:spacing w:after="0"/>
              <w:rPr>
                <w:sz w:val="21"/>
                <w:szCs w:val="21"/>
                <w:color w:val="auto"/>
              </w:rPr>
            </w:pPr>
          </w:p>
        </w:tc>
        <w:tc>
          <w:tcPr>
            <w:tcW w:w="2520" w:type="dxa"/>
            <w:vAlign w:val="bottom"/>
            <w:tcBorders>
              <w:bottom w:val="single" w:sz="8" w:color="454545"/>
              <w:right w:val="single" w:sz="8" w:color="454545"/>
            </w:tcBorders>
          </w:tcPr>
          <w:p>
            <w:pPr>
              <w:spacing w:after="0"/>
              <w:rPr>
                <w:sz w:val="21"/>
                <w:szCs w:val="21"/>
                <w:color w:val="auto"/>
              </w:rPr>
            </w:pPr>
          </w:p>
        </w:tc>
        <w:tc>
          <w:tcPr>
            <w:tcW w:w="1920" w:type="dxa"/>
            <w:vAlign w:val="bottom"/>
            <w:tcBorders>
              <w:bottom w:val="single" w:sz="8" w:color="454545"/>
              <w:right w:val="single" w:sz="8" w:color="454545"/>
            </w:tcBorders>
          </w:tcPr>
          <w:p>
            <w:pPr>
              <w:spacing w:after="0"/>
              <w:rPr>
                <w:sz w:val="21"/>
                <w:szCs w:val="21"/>
                <w:color w:val="auto"/>
              </w:rPr>
            </w:pPr>
          </w:p>
        </w:tc>
        <w:tc>
          <w:tcPr>
            <w:tcW w:w="3000" w:type="dxa"/>
            <w:vAlign w:val="bottom"/>
            <w:tcBorders>
              <w:bottom w:val="single" w:sz="8" w:color="454545"/>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b w:val="1"/>
                <w:bCs w:val="1"/>
                <w:color w:val="auto"/>
              </w:rPr>
              <w:t>Virginia M. Rometty</w:t>
            </w:r>
          </w:p>
        </w:tc>
        <w:tc>
          <w:tcPr>
            <w:tcW w:w="64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63</w:t>
            </w: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Retired Executive Chairman,</w:t>
            </w:r>
          </w:p>
        </w:tc>
        <w:tc>
          <w:tcPr>
            <w:tcW w:w="1920" w:type="dxa"/>
            <w:vAlign w:val="bottom"/>
            <w:tcBorders>
              <w:right w:val="single" w:sz="8" w:color="454545"/>
            </w:tcBorders>
          </w:tcPr>
          <w:p>
            <w:pPr>
              <w:jc w:val="center"/>
              <w:spacing w:after="0"/>
              <w:rPr>
                <w:sz w:val="20"/>
                <w:szCs w:val="20"/>
                <w:color w:val="auto"/>
              </w:rPr>
            </w:pPr>
            <w:r>
              <w:rPr>
                <w:rFonts w:ascii="Arial" w:cs="Arial" w:eastAsia="Arial" w:hAnsi="Arial"/>
                <w:sz w:val="14"/>
                <w:szCs w:val="14"/>
                <w:color w:val="auto"/>
              </w:rPr>
              <w:t>0</w:t>
            </w:r>
          </w:p>
        </w:tc>
        <w:tc>
          <w:tcPr>
            <w:tcW w:w="3000" w:type="dxa"/>
            <w:vAlign w:val="bottom"/>
          </w:tcPr>
          <w:p>
            <w:pPr>
              <w:ind w:left="20"/>
              <w:spacing w:after="0"/>
              <w:rPr>
                <w:sz w:val="20"/>
                <w:szCs w:val="20"/>
                <w:color w:val="auto"/>
              </w:rPr>
            </w:pPr>
            <w:r>
              <w:rPr>
                <w:rFonts w:ascii="Arial" w:cs="Arial" w:eastAsia="Arial" w:hAnsi="Arial"/>
                <w:sz w:val="14"/>
                <w:szCs w:val="14"/>
                <w:color w:val="auto"/>
              </w:rPr>
              <w:t>Compensation &amp; Management Development;</w:t>
            </w:r>
          </w:p>
        </w:tc>
        <w:tc>
          <w:tcPr>
            <w:tcW w:w="0" w:type="dxa"/>
            <w:vAlign w:val="bottom"/>
          </w:tcPr>
          <w:p>
            <w:pPr>
              <w:spacing w:after="0"/>
              <w:rPr>
                <w:sz w:val="1"/>
                <w:szCs w:val="1"/>
                <w:color w:val="auto"/>
              </w:rPr>
            </w:pPr>
          </w:p>
        </w:tc>
      </w:tr>
      <w:tr>
        <w:trPr>
          <w:trHeight w:val="108"/>
        </w:trPr>
        <w:tc>
          <w:tcPr>
            <w:tcW w:w="3160" w:type="dxa"/>
            <w:vAlign w:val="bottom"/>
            <w:tcBorders>
              <w:right w:val="single" w:sz="8" w:color="454545"/>
            </w:tcBorders>
            <w:vMerge w:val="continue"/>
          </w:tcPr>
          <w:p>
            <w:pPr>
              <w:spacing w:after="0"/>
              <w:rPr>
                <w:sz w:val="9"/>
                <w:szCs w:val="9"/>
                <w:color w:val="auto"/>
              </w:rPr>
            </w:pPr>
          </w:p>
        </w:tc>
        <w:tc>
          <w:tcPr>
            <w:tcW w:w="640" w:type="dxa"/>
            <w:vAlign w:val="bottom"/>
            <w:tcBorders>
              <w:right w:val="single" w:sz="8" w:color="454545"/>
            </w:tcBorders>
          </w:tcPr>
          <w:p>
            <w:pPr>
              <w:spacing w:after="0"/>
              <w:rPr>
                <w:sz w:val="9"/>
                <w:szCs w:val="9"/>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President and Chief Executive Officer</w:t>
            </w:r>
          </w:p>
        </w:tc>
        <w:tc>
          <w:tcPr>
            <w:tcW w:w="1920" w:type="dxa"/>
            <w:vAlign w:val="bottom"/>
            <w:tcBorders>
              <w:right w:val="single" w:sz="8" w:color="454545"/>
            </w:tcBorders>
          </w:tcPr>
          <w:p>
            <w:pPr>
              <w:spacing w:after="0"/>
              <w:rPr>
                <w:sz w:val="9"/>
                <w:szCs w:val="9"/>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Corporate Governance &amp; Nominating</w:t>
            </w:r>
          </w:p>
        </w:tc>
        <w:tc>
          <w:tcPr>
            <w:tcW w:w="0" w:type="dxa"/>
            <w:vAlign w:val="bottom"/>
          </w:tcPr>
          <w:p>
            <w:pPr>
              <w:spacing w:after="0"/>
              <w:rPr>
                <w:sz w:val="1"/>
                <w:szCs w:val="1"/>
                <w:color w:val="auto"/>
              </w:rPr>
            </w:pPr>
          </w:p>
        </w:tc>
      </w:tr>
      <w:tr>
        <w:trPr>
          <w:trHeight w:val="54"/>
        </w:trPr>
        <w:tc>
          <w:tcPr>
            <w:tcW w:w="3160" w:type="dxa"/>
            <w:vAlign w:val="bottom"/>
            <w:tcBorders>
              <w:right w:val="single" w:sz="8" w:color="454545"/>
            </w:tcBorders>
            <w:vMerge w:val="restart"/>
          </w:tcPr>
          <w:p>
            <w:pPr>
              <w:ind w:left="860"/>
              <w:spacing w:after="0"/>
              <w:rPr>
                <w:sz w:val="20"/>
                <w:szCs w:val="20"/>
                <w:color w:val="auto"/>
              </w:rPr>
            </w:pPr>
            <w:r>
              <w:rPr>
                <w:rFonts w:ascii="Arial" w:cs="Arial" w:eastAsia="Arial" w:hAnsi="Arial"/>
                <w:sz w:val="14"/>
                <w:szCs w:val="14"/>
                <w:color w:val="auto"/>
              </w:rPr>
              <w:t>Director since 2020</w:t>
            </w:r>
          </w:p>
        </w:tc>
        <w:tc>
          <w:tcPr>
            <w:tcW w:w="640" w:type="dxa"/>
            <w:vAlign w:val="bottom"/>
            <w:tcBorders>
              <w:right w:val="single" w:sz="8" w:color="454545"/>
            </w:tcBorders>
          </w:tcPr>
          <w:p>
            <w:pPr>
              <w:spacing w:after="0"/>
              <w:rPr>
                <w:sz w:val="4"/>
                <w:szCs w:val="4"/>
                <w:color w:val="auto"/>
              </w:rPr>
            </w:pPr>
          </w:p>
        </w:tc>
        <w:tc>
          <w:tcPr>
            <w:tcW w:w="2520" w:type="dxa"/>
            <w:vAlign w:val="bottom"/>
            <w:tcBorders>
              <w:right w:val="single" w:sz="8" w:color="454545"/>
            </w:tcBorders>
            <w:vMerge w:val="continue"/>
          </w:tcPr>
          <w:p>
            <w:pPr>
              <w:spacing w:after="0"/>
              <w:rPr>
                <w:sz w:val="4"/>
                <w:szCs w:val="4"/>
                <w:color w:val="auto"/>
              </w:rPr>
            </w:pPr>
          </w:p>
        </w:tc>
        <w:tc>
          <w:tcPr>
            <w:tcW w:w="1920" w:type="dxa"/>
            <w:vAlign w:val="bottom"/>
            <w:tcBorders>
              <w:right w:val="single" w:sz="8" w:color="454545"/>
            </w:tcBorders>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160" w:type="dxa"/>
            <w:vAlign w:val="bottom"/>
            <w:tcBorders>
              <w:right w:val="single" w:sz="8" w:color="454545"/>
            </w:tcBorders>
            <w:vMerge w:val="continue"/>
          </w:tcPr>
          <w:p>
            <w:pPr>
              <w:spacing w:after="0"/>
              <w:rPr>
                <w:sz w:val="10"/>
                <w:szCs w:val="10"/>
                <w:color w:val="auto"/>
              </w:rPr>
            </w:pPr>
          </w:p>
        </w:tc>
        <w:tc>
          <w:tcPr>
            <w:tcW w:w="640" w:type="dxa"/>
            <w:vAlign w:val="bottom"/>
            <w:tcBorders>
              <w:right w:val="single" w:sz="8" w:color="454545"/>
            </w:tcBorders>
          </w:tcPr>
          <w:p>
            <w:pPr>
              <w:spacing w:after="0"/>
              <w:rPr>
                <w:sz w:val="10"/>
                <w:szCs w:val="10"/>
                <w:color w:val="auto"/>
              </w:rPr>
            </w:pPr>
          </w:p>
        </w:tc>
        <w:tc>
          <w:tcPr>
            <w:tcW w:w="2520" w:type="dxa"/>
            <w:vAlign w:val="bottom"/>
            <w:tcBorders>
              <w:right w:val="single" w:sz="8" w:color="454545"/>
            </w:tcBorders>
            <w:vMerge w:val="restart"/>
          </w:tcPr>
          <w:p>
            <w:pPr>
              <w:ind w:left="80"/>
              <w:spacing w:after="0"/>
              <w:rPr>
                <w:sz w:val="20"/>
                <w:szCs w:val="20"/>
                <w:color w:val="auto"/>
              </w:rPr>
            </w:pPr>
            <w:r>
              <w:rPr>
                <w:rFonts w:ascii="Arial" w:cs="Arial" w:eastAsia="Arial" w:hAnsi="Arial"/>
                <w:sz w:val="14"/>
                <w:szCs w:val="14"/>
                <w:color w:val="auto"/>
              </w:rPr>
              <w:t>of International Business Machines</w:t>
            </w:r>
          </w:p>
        </w:tc>
        <w:tc>
          <w:tcPr>
            <w:tcW w:w="1920" w:type="dxa"/>
            <w:vAlign w:val="bottom"/>
            <w:tcBorders>
              <w:right w:val="single" w:sz="8" w:color="454545"/>
            </w:tcBorders>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Borders>
              <w:right w:val="single" w:sz="8" w:color="454545"/>
            </w:tcBorders>
          </w:tcPr>
          <w:p>
            <w:pPr>
              <w:spacing w:after="0"/>
              <w:rPr>
                <w:sz w:val="3"/>
                <w:szCs w:val="3"/>
                <w:color w:val="auto"/>
              </w:rPr>
            </w:pPr>
          </w:p>
        </w:tc>
        <w:tc>
          <w:tcPr>
            <w:tcW w:w="640" w:type="dxa"/>
            <w:vAlign w:val="bottom"/>
            <w:tcBorders>
              <w:right w:val="single" w:sz="8" w:color="454545"/>
            </w:tcBorders>
          </w:tcPr>
          <w:p>
            <w:pPr>
              <w:spacing w:after="0"/>
              <w:rPr>
                <w:sz w:val="3"/>
                <w:szCs w:val="3"/>
                <w:color w:val="auto"/>
              </w:rPr>
            </w:pPr>
          </w:p>
        </w:tc>
        <w:tc>
          <w:tcPr>
            <w:tcW w:w="2520" w:type="dxa"/>
            <w:vAlign w:val="bottom"/>
            <w:tcBorders>
              <w:right w:val="single" w:sz="8" w:color="454545"/>
            </w:tcBorders>
            <w:vMerge w:val="continue"/>
          </w:tcPr>
          <w:p>
            <w:pPr>
              <w:spacing w:after="0"/>
              <w:rPr>
                <w:sz w:val="3"/>
                <w:szCs w:val="3"/>
                <w:color w:val="auto"/>
              </w:rPr>
            </w:pPr>
          </w:p>
        </w:tc>
        <w:tc>
          <w:tcPr>
            <w:tcW w:w="1920" w:type="dxa"/>
            <w:vAlign w:val="bottom"/>
            <w:tcBorders>
              <w:right w:val="single" w:sz="8" w:color="454545"/>
            </w:tcBorders>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160" w:type="dxa"/>
            <w:vAlign w:val="bottom"/>
            <w:tcBorders>
              <w:right w:val="single" w:sz="8" w:color="454545"/>
            </w:tcBorders>
          </w:tcPr>
          <w:p>
            <w:pPr>
              <w:spacing w:after="0"/>
              <w:rPr>
                <w:sz w:val="14"/>
                <w:szCs w:val="14"/>
                <w:color w:val="auto"/>
              </w:rPr>
            </w:pPr>
          </w:p>
        </w:tc>
        <w:tc>
          <w:tcPr>
            <w:tcW w:w="640" w:type="dxa"/>
            <w:vAlign w:val="bottom"/>
            <w:tcBorders>
              <w:right w:val="single" w:sz="8" w:color="454545"/>
            </w:tcBorders>
          </w:tcPr>
          <w:p>
            <w:pPr>
              <w:spacing w:after="0"/>
              <w:rPr>
                <w:sz w:val="14"/>
                <w:szCs w:val="14"/>
                <w:color w:val="auto"/>
              </w:rPr>
            </w:pPr>
          </w:p>
        </w:tc>
        <w:tc>
          <w:tcPr>
            <w:tcW w:w="2520" w:type="dxa"/>
            <w:vAlign w:val="bottom"/>
            <w:tcBorders>
              <w:right w:val="single" w:sz="8" w:color="454545"/>
            </w:tcBorders>
          </w:tcPr>
          <w:p>
            <w:pPr>
              <w:ind w:left="80"/>
              <w:spacing w:after="0"/>
              <w:rPr>
                <w:sz w:val="20"/>
                <w:szCs w:val="20"/>
                <w:color w:val="auto"/>
              </w:rPr>
            </w:pPr>
            <w:r>
              <w:rPr>
                <w:rFonts w:ascii="Arial" w:cs="Arial" w:eastAsia="Arial" w:hAnsi="Arial"/>
                <w:sz w:val="14"/>
                <w:szCs w:val="14"/>
                <w:color w:val="auto"/>
              </w:rPr>
              <w:t>Corporation</w:t>
            </w:r>
          </w:p>
        </w:tc>
        <w:tc>
          <w:tcPr>
            <w:tcW w:w="1920" w:type="dxa"/>
            <w:vAlign w:val="bottom"/>
            <w:tcBorders>
              <w:right w:val="single" w:sz="8" w:color="454545"/>
            </w:tcBorders>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60" w:type="dxa"/>
            <w:vAlign w:val="bottom"/>
            <w:tcBorders>
              <w:bottom w:val="single" w:sz="8" w:color="454545"/>
              <w:right w:val="single" w:sz="8" w:color="454545"/>
            </w:tcBorders>
          </w:tcPr>
          <w:p>
            <w:pPr>
              <w:spacing w:after="0"/>
              <w:rPr>
                <w:sz w:val="10"/>
                <w:szCs w:val="10"/>
                <w:color w:val="auto"/>
              </w:rPr>
            </w:pPr>
          </w:p>
        </w:tc>
        <w:tc>
          <w:tcPr>
            <w:tcW w:w="640" w:type="dxa"/>
            <w:vAlign w:val="bottom"/>
            <w:tcBorders>
              <w:bottom w:val="single" w:sz="8" w:color="454545"/>
              <w:right w:val="single" w:sz="8" w:color="454545"/>
            </w:tcBorders>
          </w:tcPr>
          <w:p>
            <w:pPr>
              <w:spacing w:after="0"/>
              <w:rPr>
                <w:sz w:val="10"/>
                <w:szCs w:val="10"/>
                <w:color w:val="auto"/>
              </w:rPr>
            </w:pPr>
          </w:p>
        </w:tc>
        <w:tc>
          <w:tcPr>
            <w:tcW w:w="2520" w:type="dxa"/>
            <w:vAlign w:val="bottom"/>
            <w:tcBorders>
              <w:bottom w:val="single" w:sz="8" w:color="454545"/>
              <w:right w:val="single" w:sz="8" w:color="454545"/>
            </w:tcBorders>
          </w:tcPr>
          <w:p>
            <w:pPr>
              <w:spacing w:after="0"/>
              <w:rPr>
                <w:sz w:val="10"/>
                <w:szCs w:val="10"/>
                <w:color w:val="auto"/>
              </w:rPr>
            </w:pPr>
          </w:p>
        </w:tc>
        <w:tc>
          <w:tcPr>
            <w:tcW w:w="1920" w:type="dxa"/>
            <w:vAlign w:val="bottom"/>
            <w:tcBorders>
              <w:bottom w:val="single" w:sz="8" w:color="454545"/>
              <w:right w:val="single" w:sz="8" w:color="454545"/>
            </w:tcBorders>
          </w:tcPr>
          <w:p>
            <w:pPr>
              <w:spacing w:after="0"/>
              <w:rPr>
                <w:sz w:val="10"/>
                <w:szCs w:val="10"/>
                <w:color w:val="auto"/>
              </w:rPr>
            </w:pPr>
          </w:p>
        </w:tc>
        <w:tc>
          <w:tcPr>
            <w:tcW w:w="3000" w:type="dxa"/>
            <w:vAlign w:val="bottom"/>
            <w:tcBorders>
              <w:bottom w:val="single" w:sz="8" w:color="45454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-5691505</wp:posOffset>
            </wp:positionV>
            <wp:extent cx="325755" cy="403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-5083175</wp:posOffset>
            </wp:positionV>
            <wp:extent cx="325755" cy="402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-4483100</wp:posOffset>
            </wp:positionV>
            <wp:extent cx="325755" cy="394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-3959860</wp:posOffset>
            </wp:positionV>
            <wp:extent cx="325755" cy="40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755" cy="4025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-3368675</wp:posOffset>
            </wp:positionV>
            <wp:extent cx="325755"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-2785745</wp:posOffset>
            </wp:positionV>
            <wp:extent cx="325755" cy="403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-2193925</wp:posOffset>
            </wp:positionV>
            <wp:extent cx="32575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-1610995</wp:posOffset>
            </wp:positionV>
            <wp:extent cx="325755" cy="403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403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-1079500</wp:posOffset>
            </wp:positionV>
            <wp:extent cx="32575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394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755" cy="394335"/>
                    </a:xfrm>
                    <a:prstGeom prst="rect">
                      <a:avLst/>
                    </a:prstGeom>
                    <a:noFill/>
                  </pic:spPr>
                </pic:pic>
              </a:graphicData>
            </a:graphic>
          </wp:anchor>
        </w:drawing>
      </w:r>
    </w:p>
    <w:p>
      <w:pPr>
        <w:spacing w:after="0" w:line="82" w:lineRule="exact"/>
        <w:rPr>
          <w:sz w:val="20"/>
          <w:szCs w:val="20"/>
          <w:color w:val="auto"/>
        </w:rPr>
      </w:pPr>
    </w:p>
    <w:p>
      <w:pPr>
        <w:ind w:left="260" w:right="40" w:hanging="252"/>
        <w:spacing w:after="0" w:line="213" w:lineRule="auto"/>
        <w:tabs>
          <w:tab w:leader="none" w:pos="249"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Director of a heritage company of the Firm as follows: Bank One Corporation: Mr. Burke (2003–2004), Mr. Crown (1996–2004), Mr. Dimon, Chairman of the Board (2000–2004); First Chicago Corp.: Mr. Crown (1991–1996).</w:t>
      </w:r>
    </w:p>
    <w:p>
      <w:pPr>
        <w:ind w:left="260" w:hanging="252"/>
        <w:spacing w:after="0" w:line="194" w:lineRule="auto"/>
        <w:tabs>
          <w:tab w:leader="none" w:pos="26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Principal standing committee</w:t>
      </w:r>
    </w:p>
    <w:p>
      <w:pPr>
        <w:ind w:left="260" w:hanging="252"/>
        <w:spacing w:after="0" w:line="199" w:lineRule="auto"/>
        <w:tabs>
          <w:tab w:leader="none" w:pos="26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Retired from JPMorgan Chase &amp; Co. in 2005</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2021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7</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978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2: Advisory resolution to approve executive compensation – page 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74A75"/>
        </w:rPr>
        <w:t>We believe shareholders should consider three key factors in their evaluation of this year’s proposal: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074A75"/>
        </w:rPr>
        <w:t>1. How we think about pay decisions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Firm’s How We Do Business Principles ("Business Principles") and strategic framework form the basis of our Operating Committee ("OC") members’ strategic priorities. The Compensation &amp; Management Development Committee ("CMDC") references those strategic priorities and the Firm’s compensation philosophy to assess OC members’ performance and to determine their respective total compensation levels and pay mix.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074A75"/>
        </w:rPr>
        <w:t>2. How we performed against our business strategy</w:t>
      </w:r>
    </w:p>
    <w:p>
      <w:pPr>
        <w:spacing w:after="0" w:line="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74A75"/>
        </w:rPr>
        <w:t>3. How performance determined pay in 2020</w:t>
      </w:r>
    </w:p>
    <w:p>
      <w:pPr>
        <w:spacing w:after="0" w:line="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determining OC member pay, the CMDC took into account performance across four broad performance dimensions: Business Results; Risk, Controls &amp; Conduct; Client/Customer/Stakeholder; and Teamwork &amp; Leadership. CEO pay is strongly aligned to the Firm’s short-, medium- and long-term performance, with approximately 83% of the CEO’s variable pay deferred into equity, of which 100% is in at-risk performance share units ("PSUs"). Other NEO pay is also strongly aligned to Firm and line of business ("LOB") performance, with a majority of variable pay deferred into equity, of which 50% is in at-risk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74A75"/>
        </w:rPr>
        <w:t>Disciplined performance assessment process to determine pay</w:t>
      </w:r>
    </w:p>
    <w:p>
      <w:pPr>
        <w:spacing w:after="0" w:line="2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CMDC uses a balanced discretionary approach to determine annual compensation, which includes a disciplined assessment of performance against the aforementioned four broad dimensions over a sustained period of time. For 2020, compensation awarded to the OC members also represents a balance between the outstanding efforts and performance of the Firm during COVID-19 with the impact of the pandemic on the Firm's other stakeholders.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salary and incentive compensation awarded to our NEOs for 2020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Borders>
              <w:bottom w:val="single" w:sz="8" w:color="58585A"/>
            </w:tcBorders>
          </w:tcPr>
          <w:p>
            <w:pPr>
              <w:spacing w:after="0"/>
              <w:rPr>
                <w:sz w:val="15"/>
                <w:szCs w:val="15"/>
                <w:color w:val="auto"/>
              </w:rPr>
            </w:pPr>
          </w:p>
        </w:tc>
        <w:tc>
          <w:tcPr>
            <w:tcW w:w="880" w:type="dxa"/>
            <w:vAlign w:val="bottom"/>
            <w:tcBorders>
              <w:bottom w:val="single" w:sz="8" w:color="58585A"/>
            </w:tcBorders>
          </w:tcPr>
          <w:p>
            <w:pPr>
              <w:spacing w:after="0"/>
              <w:rPr>
                <w:sz w:val="15"/>
                <w:szCs w:val="15"/>
                <w:color w:val="auto"/>
              </w:rPr>
            </w:pPr>
          </w:p>
        </w:tc>
        <w:tc>
          <w:tcPr>
            <w:tcW w:w="1600" w:type="dxa"/>
            <w:vAlign w:val="bottom"/>
            <w:tcBorders>
              <w:bottom w:val="single" w:sz="8" w:color="58585A"/>
            </w:tcBorders>
            <w:gridSpan w:val="2"/>
          </w:tcPr>
          <w:p>
            <w:pPr>
              <w:jc w:val="right"/>
              <w:spacing w:after="0"/>
              <w:rPr>
                <w:sz w:val="20"/>
                <w:szCs w:val="20"/>
                <w:color w:val="auto"/>
              </w:rPr>
            </w:pPr>
            <w:r>
              <w:rPr>
                <w:rFonts w:ascii="Arial" w:cs="Arial" w:eastAsia="Arial" w:hAnsi="Arial"/>
                <w:sz w:val="14"/>
                <w:szCs w:val="14"/>
                <w:color w:val="auto"/>
              </w:rPr>
              <w:t>Incentive Compensation</w:t>
            </w:r>
          </w:p>
        </w:tc>
        <w:tc>
          <w:tcPr>
            <w:tcW w:w="120" w:type="dxa"/>
            <w:vAlign w:val="bottom"/>
            <w:tcBorders>
              <w:bottom w:val="single" w:sz="8" w:color="58585A"/>
            </w:tcBorders>
          </w:tcPr>
          <w:p>
            <w:pPr>
              <w:spacing w:after="0"/>
              <w:rPr>
                <w:sz w:val="15"/>
                <w:szCs w:val="15"/>
                <w:color w:val="auto"/>
              </w:rPr>
            </w:pPr>
          </w:p>
        </w:tc>
        <w:tc>
          <w:tcPr>
            <w:tcW w:w="1060" w:type="dxa"/>
            <w:vAlign w:val="bottom"/>
            <w:tcBorders>
              <w:bottom w:val="single" w:sz="8" w:color="58585A"/>
            </w:tcBorders>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074A75"/>
              </w:rPr>
              <w:t>Restricted</w:t>
            </w:r>
          </w:p>
        </w:tc>
        <w:tc>
          <w:tcPr>
            <w:tcW w:w="12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074A75"/>
              </w:rPr>
              <w:t>Performance</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80" w:type="dxa"/>
            <w:vAlign w:val="bottom"/>
            <w:tcBorders>
              <w:bottom w:val="single" w:sz="8" w:color="454545"/>
            </w:tcBorders>
          </w:tcPr>
          <w:p>
            <w:pPr>
              <w:ind w:left="20"/>
              <w:spacing w:after="0"/>
              <w:rPr>
                <w:sz w:val="20"/>
                <w:szCs w:val="20"/>
                <w:color w:val="auto"/>
              </w:rPr>
            </w:pPr>
            <w:r>
              <w:rPr>
                <w:rFonts w:ascii="Arial" w:cs="Arial" w:eastAsia="Arial" w:hAnsi="Arial"/>
                <w:sz w:val="14"/>
                <w:szCs w:val="14"/>
                <w:color w:val="074A75"/>
              </w:rPr>
              <w:t>Name and principal position</w:t>
            </w:r>
          </w:p>
        </w:tc>
        <w:tc>
          <w:tcPr>
            <w:tcW w:w="940" w:type="dxa"/>
            <w:vAlign w:val="bottom"/>
            <w:tcBorders>
              <w:bottom w:val="single" w:sz="8" w:color="454545"/>
            </w:tcBorders>
          </w:tcPr>
          <w:p>
            <w:pPr>
              <w:spacing w:after="0"/>
              <w:rPr>
                <w:sz w:val="15"/>
                <w:szCs w:val="15"/>
                <w:color w:val="auto"/>
              </w:rPr>
            </w:pPr>
          </w:p>
        </w:tc>
        <w:tc>
          <w:tcPr>
            <w:tcW w:w="1160" w:type="dxa"/>
            <w:vAlign w:val="bottom"/>
            <w:tcBorders>
              <w:bottom w:val="single" w:sz="8" w:color="454545"/>
            </w:tcBorders>
          </w:tcPr>
          <w:p>
            <w:pPr>
              <w:jc w:val="right"/>
              <w:ind w:right="548"/>
              <w:spacing w:after="0"/>
              <w:rPr>
                <w:sz w:val="20"/>
                <w:szCs w:val="20"/>
                <w:color w:val="auto"/>
              </w:rPr>
            </w:pPr>
            <w:r>
              <w:rPr>
                <w:rFonts w:ascii="Arial" w:cs="Arial" w:eastAsia="Arial" w:hAnsi="Arial"/>
                <w:sz w:val="14"/>
                <w:szCs w:val="14"/>
                <w:color w:val="074A75"/>
              </w:rPr>
              <w:t>Salary</w:t>
            </w:r>
          </w:p>
        </w:tc>
        <w:tc>
          <w:tcPr>
            <w:tcW w:w="240" w:type="dxa"/>
            <w:vAlign w:val="bottom"/>
            <w:tcBorders>
              <w:bottom w:val="single" w:sz="8" w:color="454545"/>
            </w:tcBorders>
          </w:tcPr>
          <w:p>
            <w:pPr>
              <w:spacing w:after="0"/>
              <w:rPr>
                <w:sz w:val="15"/>
                <w:szCs w:val="15"/>
                <w:color w:val="auto"/>
              </w:rPr>
            </w:pPr>
          </w:p>
        </w:tc>
        <w:tc>
          <w:tcPr>
            <w:tcW w:w="880" w:type="dxa"/>
            <w:vAlign w:val="bottom"/>
            <w:tcBorders>
              <w:bottom w:val="single" w:sz="8" w:color="454545"/>
            </w:tcBorders>
          </w:tcPr>
          <w:p>
            <w:pPr>
              <w:jc w:val="right"/>
              <w:ind w:right="348"/>
              <w:spacing w:after="0"/>
              <w:rPr>
                <w:sz w:val="20"/>
                <w:szCs w:val="20"/>
                <w:color w:val="auto"/>
              </w:rPr>
            </w:pPr>
            <w:r>
              <w:rPr>
                <w:rFonts w:ascii="Arial" w:cs="Arial" w:eastAsia="Arial" w:hAnsi="Arial"/>
                <w:sz w:val="14"/>
                <w:szCs w:val="14"/>
                <w:color w:val="074A75"/>
              </w:rPr>
              <w:t>Cash</w:t>
            </w:r>
          </w:p>
        </w:tc>
        <w:tc>
          <w:tcPr>
            <w:tcW w:w="380" w:type="dxa"/>
            <w:vAlign w:val="bottom"/>
            <w:tcBorders>
              <w:bottom w:val="single" w:sz="8" w:color="454545"/>
            </w:tcBorders>
          </w:tcPr>
          <w:p>
            <w:pPr>
              <w:spacing w:after="0"/>
              <w:rPr>
                <w:sz w:val="15"/>
                <w:szCs w:val="15"/>
                <w:color w:val="auto"/>
              </w:rPr>
            </w:pPr>
          </w:p>
        </w:tc>
        <w:tc>
          <w:tcPr>
            <w:tcW w:w="1220" w:type="dxa"/>
            <w:vAlign w:val="bottom"/>
            <w:tcBorders>
              <w:bottom w:val="single" w:sz="8" w:color="454545"/>
            </w:tcBorders>
          </w:tcPr>
          <w:p>
            <w:pPr>
              <w:ind w:left="60"/>
              <w:spacing w:after="0"/>
              <w:rPr>
                <w:sz w:val="20"/>
                <w:szCs w:val="20"/>
                <w:color w:val="auto"/>
              </w:rPr>
            </w:pPr>
            <w:r>
              <w:rPr>
                <w:rFonts w:ascii="Arial" w:cs="Arial" w:eastAsia="Arial" w:hAnsi="Arial"/>
                <w:sz w:val="14"/>
                <w:szCs w:val="14"/>
                <w:color w:val="074A75"/>
              </w:rPr>
              <w:t>stock units</w:t>
            </w:r>
          </w:p>
        </w:tc>
        <w:tc>
          <w:tcPr>
            <w:tcW w:w="120" w:type="dxa"/>
            <w:vAlign w:val="bottom"/>
            <w:tcBorders>
              <w:bottom w:val="single" w:sz="8" w:color="454545"/>
            </w:tcBorders>
          </w:tcPr>
          <w:p>
            <w:pPr>
              <w:spacing w:after="0"/>
              <w:rPr>
                <w:sz w:val="15"/>
                <w:szCs w:val="15"/>
                <w:color w:val="auto"/>
              </w:rPr>
            </w:pPr>
          </w:p>
        </w:tc>
        <w:tc>
          <w:tcPr>
            <w:tcW w:w="1060" w:type="dxa"/>
            <w:vAlign w:val="bottom"/>
            <w:tcBorders>
              <w:bottom w:val="single" w:sz="8" w:color="454545"/>
            </w:tcBorders>
          </w:tcPr>
          <w:p>
            <w:pPr>
              <w:jc w:val="right"/>
              <w:ind w:right="168"/>
              <w:spacing w:after="0"/>
              <w:rPr>
                <w:sz w:val="20"/>
                <w:szCs w:val="20"/>
                <w:color w:val="auto"/>
              </w:rPr>
            </w:pPr>
            <w:r>
              <w:rPr>
                <w:rFonts w:ascii="Arial" w:cs="Arial" w:eastAsia="Arial" w:hAnsi="Arial"/>
                <w:sz w:val="14"/>
                <w:szCs w:val="14"/>
                <w:color w:val="074A75"/>
              </w:rPr>
              <w:t>share units</w:t>
            </w:r>
          </w:p>
        </w:tc>
        <w:tc>
          <w:tcPr>
            <w:tcW w:w="520" w:type="dxa"/>
            <w:vAlign w:val="bottom"/>
            <w:tcBorders>
              <w:bottom w:val="single" w:sz="8" w:color="454545"/>
            </w:tcBorders>
          </w:tcPr>
          <w:p>
            <w:pPr>
              <w:spacing w:after="0"/>
              <w:rPr>
                <w:sz w:val="15"/>
                <w:szCs w:val="15"/>
                <w:color w:val="auto"/>
              </w:rPr>
            </w:pPr>
          </w:p>
        </w:tc>
        <w:tc>
          <w:tcPr>
            <w:tcW w:w="1040" w:type="dxa"/>
            <w:vAlign w:val="bottom"/>
            <w:tcBorders>
              <w:bottom w:val="single" w:sz="8" w:color="454545"/>
            </w:tcBorders>
          </w:tcPr>
          <w:p>
            <w:pPr>
              <w:jc w:val="right"/>
              <w:ind w:right="468"/>
              <w:spacing w:after="0"/>
              <w:rPr>
                <w:sz w:val="20"/>
                <w:szCs w:val="20"/>
                <w:color w:val="auto"/>
              </w:rPr>
            </w:pPr>
            <w:r>
              <w:rPr>
                <w:rFonts w:ascii="Arial" w:cs="Arial" w:eastAsia="Arial" w:hAnsi="Arial"/>
                <w:sz w:val="14"/>
                <w:szCs w:val="14"/>
                <w:color w:val="074A75"/>
              </w:rPr>
              <w:t>Total</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auto"/>
              </w:rPr>
              <w:t>1,500,000</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5,000,000</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25,000,000</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31,500,000</w:t>
            </w:r>
          </w:p>
        </w:tc>
        <w:tc>
          <w:tcPr>
            <w:tcW w:w="0" w:type="dxa"/>
            <w:vAlign w:val="bottom"/>
          </w:tcPr>
          <w:p>
            <w:pPr>
              <w:spacing w:after="0"/>
              <w:rPr>
                <w:sz w:val="1"/>
                <w:szCs w:val="1"/>
                <w:color w:val="auto"/>
              </w:rPr>
            </w:pPr>
          </w:p>
        </w:tc>
      </w:tr>
      <w:tr>
        <w:trPr>
          <w:trHeight w:val="91"/>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Chairman and CEO</w:t>
            </w:r>
          </w:p>
        </w:tc>
        <w:tc>
          <w:tcPr>
            <w:tcW w:w="9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680" w:type="dxa"/>
            <w:vAlign w:val="bottom"/>
            <w:tcBorders>
              <w:bottom w:val="single" w:sz="8" w:color="454545"/>
            </w:tcBorders>
          </w:tcPr>
          <w:p>
            <w:pPr>
              <w:spacing w:after="0"/>
              <w:rPr>
                <w:sz w:val="5"/>
                <w:szCs w:val="5"/>
                <w:color w:val="auto"/>
              </w:rPr>
            </w:pPr>
          </w:p>
        </w:tc>
        <w:tc>
          <w:tcPr>
            <w:tcW w:w="940" w:type="dxa"/>
            <w:vAlign w:val="bottom"/>
            <w:tcBorders>
              <w:bottom w:val="single" w:sz="8" w:color="454545"/>
            </w:tcBorders>
          </w:tcPr>
          <w:p>
            <w:pPr>
              <w:spacing w:after="0"/>
              <w:rPr>
                <w:sz w:val="5"/>
                <w:szCs w:val="5"/>
                <w:color w:val="auto"/>
              </w:rPr>
            </w:pPr>
          </w:p>
        </w:tc>
        <w:tc>
          <w:tcPr>
            <w:tcW w:w="1160" w:type="dxa"/>
            <w:vAlign w:val="bottom"/>
            <w:tcBorders>
              <w:bottom w:val="single" w:sz="8" w:color="454545"/>
            </w:tcBorders>
          </w:tcPr>
          <w:p>
            <w:pPr>
              <w:spacing w:after="0"/>
              <w:rPr>
                <w:sz w:val="5"/>
                <w:szCs w:val="5"/>
                <w:color w:val="auto"/>
              </w:rPr>
            </w:pPr>
          </w:p>
        </w:tc>
        <w:tc>
          <w:tcPr>
            <w:tcW w:w="240" w:type="dxa"/>
            <w:vAlign w:val="bottom"/>
            <w:tcBorders>
              <w:bottom w:val="single" w:sz="8" w:color="454545"/>
            </w:tcBorders>
          </w:tcPr>
          <w:p>
            <w:pPr>
              <w:spacing w:after="0"/>
              <w:rPr>
                <w:sz w:val="5"/>
                <w:szCs w:val="5"/>
                <w:color w:val="auto"/>
              </w:rPr>
            </w:pPr>
          </w:p>
        </w:tc>
        <w:tc>
          <w:tcPr>
            <w:tcW w:w="880" w:type="dxa"/>
            <w:vAlign w:val="bottom"/>
            <w:tcBorders>
              <w:bottom w:val="single" w:sz="8" w:color="454545"/>
            </w:tcBorders>
          </w:tcPr>
          <w:p>
            <w:pPr>
              <w:spacing w:after="0"/>
              <w:rPr>
                <w:sz w:val="5"/>
                <w:szCs w:val="5"/>
                <w:color w:val="auto"/>
              </w:rPr>
            </w:pPr>
          </w:p>
        </w:tc>
        <w:tc>
          <w:tcPr>
            <w:tcW w:w="380" w:type="dxa"/>
            <w:vAlign w:val="bottom"/>
            <w:tcBorders>
              <w:bottom w:val="single" w:sz="8" w:color="454545"/>
            </w:tcBorders>
          </w:tcPr>
          <w:p>
            <w:pPr>
              <w:spacing w:after="0"/>
              <w:rPr>
                <w:sz w:val="5"/>
                <w:szCs w:val="5"/>
                <w:color w:val="auto"/>
              </w:rPr>
            </w:pPr>
          </w:p>
        </w:tc>
        <w:tc>
          <w:tcPr>
            <w:tcW w:w="1220" w:type="dxa"/>
            <w:vAlign w:val="bottom"/>
            <w:tcBorders>
              <w:bottom w:val="single" w:sz="8" w:color="454545"/>
            </w:tcBorders>
          </w:tcPr>
          <w:p>
            <w:pPr>
              <w:spacing w:after="0"/>
              <w:rPr>
                <w:sz w:val="5"/>
                <w:szCs w:val="5"/>
                <w:color w:val="auto"/>
              </w:rPr>
            </w:pPr>
          </w:p>
        </w:tc>
        <w:tc>
          <w:tcPr>
            <w:tcW w:w="120" w:type="dxa"/>
            <w:vAlign w:val="bottom"/>
            <w:tcBorders>
              <w:bottom w:val="single" w:sz="8" w:color="454545"/>
            </w:tcBorders>
          </w:tcPr>
          <w:p>
            <w:pPr>
              <w:spacing w:after="0"/>
              <w:rPr>
                <w:sz w:val="5"/>
                <w:szCs w:val="5"/>
                <w:color w:val="auto"/>
              </w:rPr>
            </w:pPr>
          </w:p>
        </w:tc>
        <w:tc>
          <w:tcPr>
            <w:tcW w:w="1060" w:type="dxa"/>
            <w:vAlign w:val="bottom"/>
            <w:tcBorders>
              <w:bottom w:val="single" w:sz="8" w:color="454545"/>
            </w:tcBorders>
          </w:tcPr>
          <w:p>
            <w:pPr>
              <w:spacing w:after="0"/>
              <w:rPr>
                <w:sz w:val="5"/>
                <w:szCs w:val="5"/>
                <w:color w:val="auto"/>
              </w:rPr>
            </w:pPr>
          </w:p>
        </w:tc>
        <w:tc>
          <w:tcPr>
            <w:tcW w:w="520" w:type="dxa"/>
            <w:vAlign w:val="bottom"/>
            <w:tcBorders>
              <w:bottom w:val="single" w:sz="8" w:color="454545"/>
            </w:tcBorders>
          </w:tcPr>
          <w:p>
            <w:pPr>
              <w:spacing w:after="0"/>
              <w:rPr>
                <w:sz w:val="5"/>
                <w:szCs w:val="5"/>
                <w:color w:val="auto"/>
              </w:rPr>
            </w:pPr>
          </w:p>
        </w:tc>
        <w:tc>
          <w:tcPr>
            <w:tcW w:w="1040" w:type="dxa"/>
            <w:vAlign w:val="bottom"/>
            <w:tcBorders>
              <w:bottom w:val="single" w:sz="8" w:color="454545"/>
            </w:tcBorders>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9"/>
                <w:szCs w:val="9"/>
                <w:b w:val="1"/>
                <w:bCs w:val="1"/>
                <w:color w:val="auto"/>
              </w:rPr>
              <w:t>1</w:t>
            </w:r>
          </w:p>
        </w:tc>
        <w:tc>
          <w:tcPr>
            <w:tcW w:w="940" w:type="dxa"/>
            <w:vAlign w:val="bottom"/>
          </w:tcPr>
          <w:p>
            <w:pPr>
              <w:spacing w:after="0"/>
              <w:rPr>
                <w:sz w:val="24"/>
                <w:szCs w:val="24"/>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auto"/>
              </w:rPr>
              <w:t>8,240,290</w:t>
            </w:r>
          </w:p>
        </w:tc>
        <w:tc>
          <w:tcPr>
            <w:tcW w:w="24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8,129,855</w:t>
            </w:r>
          </w:p>
        </w:tc>
        <w:tc>
          <w:tcPr>
            <w:tcW w:w="1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8,129,855</w:t>
            </w:r>
          </w:p>
        </w:tc>
        <w:tc>
          <w:tcPr>
            <w:tcW w:w="520" w:type="dxa"/>
            <w:vAlign w:val="bottom"/>
          </w:tcPr>
          <w:p>
            <w:pPr>
              <w:spacing w:after="0"/>
              <w:rPr>
                <w:sz w:val="24"/>
                <w:szCs w:val="2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24,500,000</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9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20"/>
              <w:spacing w:after="0"/>
              <w:rPr>
                <w:sz w:val="20"/>
                <w:szCs w:val="20"/>
                <w:color w:val="auto"/>
              </w:rPr>
            </w:pPr>
            <w:r>
              <w:rPr>
                <w:rFonts w:ascii="Arial" w:cs="Arial" w:eastAsia="Arial" w:hAnsi="Arial"/>
                <w:sz w:val="14"/>
                <w:szCs w:val="14"/>
                <w:color w:val="auto"/>
              </w:rPr>
              <w:t>CEO Corporate &amp; Investment Bank</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680" w:type="dxa"/>
            <w:vAlign w:val="bottom"/>
            <w:tcBorders>
              <w:bottom w:val="single" w:sz="8" w:color="454545"/>
            </w:tcBorders>
          </w:tcPr>
          <w:p>
            <w:pPr>
              <w:spacing w:after="0"/>
              <w:rPr>
                <w:sz w:val="5"/>
                <w:szCs w:val="5"/>
                <w:color w:val="auto"/>
              </w:rPr>
            </w:pPr>
          </w:p>
        </w:tc>
        <w:tc>
          <w:tcPr>
            <w:tcW w:w="940" w:type="dxa"/>
            <w:vAlign w:val="bottom"/>
            <w:tcBorders>
              <w:bottom w:val="single" w:sz="8" w:color="454545"/>
            </w:tcBorders>
          </w:tcPr>
          <w:p>
            <w:pPr>
              <w:spacing w:after="0"/>
              <w:rPr>
                <w:sz w:val="5"/>
                <w:szCs w:val="5"/>
                <w:color w:val="auto"/>
              </w:rPr>
            </w:pPr>
          </w:p>
        </w:tc>
        <w:tc>
          <w:tcPr>
            <w:tcW w:w="1160" w:type="dxa"/>
            <w:vAlign w:val="bottom"/>
            <w:tcBorders>
              <w:bottom w:val="single" w:sz="8" w:color="454545"/>
            </w:tcBorders>
          </w:tcPr>
          <w:p>
            <w:pPr>
              <w:spacing w:after="0"/>
              <w:rPr>
                <w:sz w:val="5"/>
                <w:szCs w:val="5"/>
                <w:color w:val="auto"/>
              </w:rPr>
            </w:pPr>
          </w:p>
        </w:tc>
        <w:tc>
          <w:tcPr>
            <w:tcW w:w="240" w:type="dxa"/>
            <w:vAlign w:val="bottom"/>
            <w:tcBorders>
              <w:bottom w:val="single" w:sz="8" w:color="454545"/>
            </w:tcBorders>
          </w:tcPr>
          <w:p>
            <w:pPr>
              <w:spacing w:after="0"/>
              <w:rPr>
                <w:sz w:val="5"/>
                <w:szCs w:val="5"/>
                <w:color w:val="auto"/>
              </w:rPr>
            </w:pPr>
          </w:p>
        </w:tc>
        <w:tc>
          <w:tcPr>
            <w:tcW w:w="880" w:type="dxa"/>
            <w:vAlign w:val="bottom"/>
            <w:tcBorders>
              <w:bottom w:val="single" w:sz="8" w:color="454545"/>
            </w:tcBorders>
          </w:tcPr>
          <w:p>
            <w:pPr>
              <w:spacing w:after="0"/>
              <w:rPr>
                <w:sz w:val="5"/>
                <w:szCs w:val="5"/>
                <w:color w:val="auto"/>
              </w:rPr>
            </w:pPr>
          </w:p>
        </w:tc>
        <w:tc>
          <w:tcPr>
            <w:tcW w:w="380" w:type="dxa"/>
            <w:vAlign w:val="bottom"/>
            <w:tcBorders>
              <w:bottom w:val="single" w:sz="8" w:color="454545"/>
            </w:tcBorders>
          </w:tcPr>
          <w:p>
            <w:pPr>
              <w:spacing w:after="0"/>
              <w:rPr>
                <w:sz w:val="5"/>
                <w:szCs w:val="5"/>
                <w:color w:val="auto"/>
              </w:rPr>
            </w:pPr>
          </w:p>
        </w:tc>
        <w:tc>
          <w:tcPr>
            <w:tcW w:w="1220" w:type="dxa"/>
            <w:vAlign w:val="bottom"/>
            <w:tcBorders>
              <w:bottom w:val="single" w:sz="8" w:color="454545"/>
            </w:tcBorders>
          </w:tcPr>
          <w:p>
            <w:pPr>
              <w:spacing w:after="0"/>
              <w:rPr>
                <w:sz w:val="5"/>
                <w:szCs w:val="5"/>
                <w:color w:val="auto"/>
              </w:rPr>
            </w:pPr>
          </w:p>
        </w:tc>
        <w:tc>
          <w:tcPr>
            <w:tcW w:w="120" w:type="dxa"/>
            <w:vAlign w:val="bottom"/>
            <w:tcBorders>
              <w:bottom w:val="single" w:sz="8" w:color="454545"/>
            </w:tcBorders>
          </w:tcPr>
          <w:p>
            <w:pPr>
              <w:spacing w:after="0"/>
              <w:rPr>
                <w:sz w:val="5"/>
                <w:szCs w:val="5"/>
                <w:color w:val="auto"/>
              </w:rPr>
            </w:pPr>
          </w:p>
        </w:tc>
        <w:tc>
          <w:tcPr>
            <w:tcW w:w="1060" w:type="dxa"/>
            <w:vAlign w:val="bottom"/>
            <w:tcBorders>
              <w:bottom w:val="single" w:sz="8" w:color="454545"/>
            </w:tcBorders>
          </w:tcPr>
          <w:p>
            <w:pPr>
              <w:spacing w:after="0"/>
              <w:rPr>
                <w:sz w:val="5"/>
                <w:szCs w:val="5"/>
                <w:color w:val="auto"/>
              </w:rPr>
            </w:pPr>
          </w:p>
        </w:tc>
        <w:tc>
          <w:tcPr>
            <w:tcW w:w="520" w:type="dxa"/>
            <w:vAlign w:val="bottom"/>
            <w:tcBorders>
              <w:bottom w:val="single" w:sz="8" w:color="454545"/>
            </w:tcBorders>
          </w:tcPr>
          <w:p>
            <w:pPr>
              <w:spacing w:after="0"/>
              <w:rPr>
                <w:sz w:val="5"/>
                <w:szCs w:val="5"/>
                <w:color w:val="auto"/>
              </w:rPr>
            </w:pPr>
          </w:p>
        </w:tc>
        <w:tc>
          <w:tcPr>
            <w:tcW w:w="1040" w:type="dxa"/>
            <w:vAlign w:val="bottom"/>
            <w:tcBorders>
              <w:bottom w:val="single" w:sz="8" w:color="454545"/>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9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8,700,000</w:t>
            </w:r>
          </w:p>
        </w:tc>
        <w:tc>
          <w:tcPr>
            <w:tcW w:w="38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6,525,000</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6,525,000</w:t>
            </w:r>
          </w:p>
        </w:tc>
        <w:tc>
          <w:tcPr>
            <w:tcW w:w="5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72"/>
        </w:trPr>
        <w:tc>
          <w:tcPr>
            <w:tcW w:w="3680" w:type="dxa"/>
            <w:vAlign w:val="bottom"/>
          </w:tcPr>
          <w:p>
            <w:pPr>
              <w:ind w:left="20"/>
              <w:spacing w:after="0"/>
              <w:rPr>
                <w:sz w:val="20"/>
                <w:szCs w:val="20"/>
                <w:color w:val="auto"/>
              </w:rPr>
            </w:pPr>
            <w:r>
              <w:rPr>
                <w:rFonts w:ascii="Arial" w:cs="Arial" w:eastAsia="Arial" w:hAnsi="Arial"/>
                <w:sz w:val="14"/>
                <w:szCs w:val="14"/>
                <w:color w:val="auto"/>
              </w:rPr>
              <w:t>CEO Consumer &amp; Community Banking</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680" w:type="dxa"/>
            <w:vAlign w:val="bottom"/>
            <w:tcBorders>
              <w:bottom w:val="single" w:sz="8" w:color="454545"/>
            </w:tcBorders>
          </w:tcPr>
          <w:p>
            <w:pPr>
              <w:spacing w:after="0"/>
              <w:rPr>
                <w:sz w:val="5"/>
                <w:szCs w:val="5"/>
                <w:color w:val="auto"/>
              </w:rPr>
            </w:pPr>
          </w:p>
        </w:tc>
        <w:tc>
          <w:tcPr>
            <w:tcW w:w="940" w:type="dxa"/>
            <w:vAlign w:val="bottom"/>
            <w:tcBorders>
              <w:bottom w:val="single" w:sz="8" w:color="454545"/>
            </w:tcBorders>
          </w:tcPr>
          <w:p>
            <w:pPr>
              <w:spacing w:after="0"/>
              <w:rPr>
                <w:sz w:val="5"/>
                <w:szCs w:val="5"/>
                <w:color w:val="auto"/>
              </w:rPr>
            </w:pPr>
          </w:p>
        </w:tc>
        <w:tc>
          <w:tcPr>
            <w:tcW w:w="1160" w:type="dxa"/>
            <w:vAlign w:val="bottom"/>
            <w:tcBorders>
              <w:bottom w:val="single" w:sz="8" w:color="454545"/>
            </w:tcBorders>
          </w:tcPr>
          <w:p>
            <w:pPr>
              <w:spacing w:after="0"/>
              <w:rPr>
                <w:sz w:val="5"/>
                <w:szCs w:val="5"/>
                <w:color w:val="auto"/>
              </w:rPr>
            </w:pPr>
          </w:p>
        </w:tc>
        <w:tc>
          <w:tcPr>
            <w:tcW w:w="240" w:type="dxa"/>
            <w:vAlign w:val="bottom"/>
            <w:tcBorders>
              <w:bottom w:val="single" w:sz="8" w:color="454545"/>
            </w:tcBorders>
          </w:tcPr>
          <w:p>
            <w:pPr>
              <w:spacing w:after="0"/>
              <w:rPr>
                <w:sz w:val="5"/>
                <w:szCs w:val="5"/>
                <w:color w:val="auto"/>
              </w:rPr>
            </w:pPr>
          </w:p>
        </w:tc>
        <w:tc>
          <w:tcPr>
            <w:tcW w:w="880" w:type="dxa"/>
            <w:vAlign w:val="bottom"/>
            <w:tcBorders>
              <w:bottom w:val="single" w:sz="8" w:color="454545"/>
            </w:tcBorders>
          </w:tcPr>
          <w:p>
            <w:pPr>
              <w:spacing w:after="0"/>
              <w:rPr>
                <w:sz w:val="5"/>
                <w:szCs w:val="5"/>
                <w:color w:val="auto"/>
              </w:rPr>
            </w:pPr>
          </w:p>
        </w:tc>
        <w:tc>
          <w:tcPr>
            <w:tcW w:w="380" w:type="dxa"/>
            <w:vAlign w:val="bottom"/>
            <w:tcBorders>
              <w:bottom w:val="single" w:sz="8" w:color="454545"/>
            </w:tcBorders>
          </w:tcPr>
          <w:p>
            <w:pPr>
              <w:spacing w:after="0"/>
              <w:rPr>
                <w:sz w:val="5"/>
                <w:szCs w:val="5"/>
                <w:color w:val="auto"/>
              </w:rPr>
            </w:pPr>
          </w:p>
        </w:tc>
        <w:tc>
          <w:tcPr>
            <w:tcW w:w="1220" w:type="dxa"/>
            <w:vAlign w:val="bottom"/>
            <w:tcBorders>
              <w:bottom w:val="single" w:sz="8" w:color="454545"/>
            </w:tcBorders>
          </w:tcPr>
          <w:p>
            <w:pPr>
              <w:spacing w:after="0"/>
              <w:rPr>
                <w:sz w:val="5"/>
                <w:szCs w:val="5"/>
                <w:color w:val="auto"/>
              </w:rPr>
            </w:pPr>
          </w:p>
        </w:tc>
        <w:tc>
          <w:tcPr>
            <w:tcW w:w="120" w:type="dxa"/>
            <w:vAlign w:val="bottom"/>
            <w:tcBorders>
              <w:bottom w:val="single" w:sz="8" w:color="454545"/>
            </w:tcBorders>
          </w:tcPr>
          <w:p>
            <w:pPr>
              <w:spacing w:after="0"/>
              <w:rPr>
                <w:sz w:val="5"/>
                <w:szCs w:val="5"/>
                <w:color w:val="auto"/>
              </w:rPr>
            </w:pPr>
          </w:p>
        </w:tc>
        <w:tc>
          <w:tcPr>
            <w:tcW w:w="1060" w:type="dxa"/>
            <w:vAlign w:val="bottom"/>
            <w:tcBorders>
              <w:bottom w:val="single" w:sz="8" w:color="454545"/>
            </w:tcBorders>
          </w:tcPr>
          <w:p>
            <w:pPr>
              <w:spacing w:after="0"/>
              <w:rPr>
                <w:sz w:val="5"/>
                <w:szCs w:val="5"/>
                <w:color w:val="auto"/>
              </w:rPr>
            </w:pPr>
          </w:p>
        </w:tc>
        <w:tc>
          <w:tcPr>
            <w:tcW w:w="520" w:type="dxa"/>
            <w:vAlign w:val="bottom"/>
            <w:tcBorders>
              <w:bottom w:val="single" w:sz="8" w:color="454545"/>
            </w:tcBorders>
          </w:tcPr>
          <w:p>
            <w:pPr>
              <w:spacing w:after="0"/>
              <w:rPr>
                <w:sz w:val="5"/>
                <w:szCs w:val="5"/>
                <w:color w:val="auto"/>
              </w:rPr>
            </w:pPr>
          </w:p>
        </w:tc>
        <w:tc>
          <w:tcPr>
            <w:tcW w:w="1040" w:type="dxa"/>
            <w:vAlign w:val="bottom"/>
            <w:tcBorders>
              <w:bottom w:val="single" w:sz="8" w:color="454545"/>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940" w:type="dxa"/>
            <w:vAlign w:val="bottom"/>
          </w:tcPr>
          <w:p>
            <w:pPr>
              <w:spacing w:after="0"/>
              <w:rPr>
                <w:sz w:val="19"/>
                <w:szCs w:val="19"/>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8,100,000</w:t>
            </w:r>
          </w:p>
        </w:tc>
        <w:tc>
          <w:tcPr>
            <w:tcW w:w="380" w:type="dxa"/>
            <w:vAlign w:val="bottom"/>
          </w:tcPr>
          <w:p>
            <w:pPr>
              <w:spacing w:after="0"/>
              <w:rPr>
                <w:sz w:val="19"/>
                <w:szCs w:val="19"/>
                <w:color w:val="auto"/>
              </w:rPr>
            </w:pP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6,075,000</w:t>
            </w:r>
          </w:p>
        </w:tc>
        <w:tc>
          <w:tcPr>
            <w:tcW w:w="1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6,075,000</w:t>
            </w:r>
          </w:p>
        </w:tc>
        <w:tc>
          <w:tcPr>
            <w:tcW w:w="520" w:type="dxa"/>
            <w:vAlign w:val="bottom"/>
          </w:tcPr>
          <w:p>
            <w:pPr>
              <w:spacing w:after="0"/>
              <w:rPr>
                <w:sz w:val="19"/>
                <w:szCs w:val="19"/>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91"/>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CEO Asset &amp; Wealth Management</w:t>
            </w:r>
          </w:p>
        </w:tc>
        <w:tc>
          <w:tcPr>
            <w:tcW w:w="9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680" w:type="dxa"/>
            <w:vAlign w:val="bottom"/>
            <w:tcBorders>
              <w:bottom w:val="single" w:sz="8" w:color="454545"/>
            </w:tcBorders>
          </w:tcPr>
          <w:p>
            <w:pPr>
              <w:spacing w:after="0"/>
              <w:rPr>
                <w:sz w:val="5"/>
                <w:szCs w:val="5"/>
                <w:color w:val="auto"/>
              </w:rPr>
            </w:pPr>
          </w:p>
        </w:tc>
        <w:tc>
          <w:tcPr>
            <w:tcW w:w="940" w:type="dxa"/>
            <w:vAlign w:val="bottom"/>
            <w:tcBorders>
              <w:bottom w:val="single" w:sz="8" w:color="454545"/>
            </w:tcBorders>
          </w:tcPr>
          <w:p>
            <w:pPr>
              <w:spacing w:after="0"/>
              <w:rPr>
                <w:sz w:val="5"/>
                <w:szCs w:val="5"/>
                <w:color w:val="auto"/>
              </w:rPr>
            </w:pPr>
          </w:p>
        </w:tc>
        <w:tc>
          <w:tcPr>
            <w:tcW w:w="1160" w:type="dxa"/>
            <w:vAlign w:val="bottom"/>
            <w:tcBorders>
              <w:bottom w:val="single" w:sz="8" w:color="454545"/>
            </w:tcBorders>
          </w:tcPr>
          <w:p>
            <w:pPr>
              <w:spacing w:after="0"/>
              <w:rPr>
                <w:sz w:val="5"/>
                <w:szCs w:val="5"/>
                <w:color w:val="auto"/>
              </w:rPr>
            </w:pPr>
          </w:p>
        </w:tc>
        <w:tc>
          <w:tcPr>
            <w:tcW w:w="240" w:type="dxa"/>
            <w:vAlign w:val="bottom"/>
            <w:tcBorders>
              <w:bottom w:val="single" w:sz="8" w:color="454545"/>
            </w:tcBorders>
          </w:tcPr>
          <w:p>
            <w:pPr>
              <w:spacing w:after="0"/>
              <w:rPr>
                <w:sz w:val="5"/>
                <w:szCs w:val="5"/>
                <w:color w:val="auto"/>
              </w:rPr>
            </w:pPr>
          </w:p>
        </w:tc>
        <w:tc>
          <w:tcPr>
            <w:tcW w:w="880" w:type="dxa"/>
            <w:vAlign w:val="bottom"/>
            <w:tcBorders>
              <w:bottom w:val="single" w:sz="8" w:color="454545"/>
            </w:tcBorders>
          </w:tcPr>
          <w:p>
            <w:pPr>
              <w:spacing w:after="0"/>
              <w:rPr>
                <w:sz w:val="5"/>
                <w:szCs w:val="5"/>
                <w:color w:val="auto"/>
              </w:rPr>
            </w:pPr>
          </w:p>
        </w:tc>
        <w:tc>
          <w:tcPr>
            <w:tcW w:w="380" w:type="dxa"/>
            <w:vAlign w:val="bottom"/>
            <w:tcBorders>
              <w:bottom w:val="single" w:sz="8" w:color="454545"/>
            </w:tcBorders>
          </w:tcPr>
          <w:p>
            <w:pPr>
              <w:spacing w:after="0"/>
              <w:rPr>
                <w:sz w:val="5"/>
                <w:szCs w:val="5"/>
                <w:color w:val="auto"/>
              </w:rPr>
            </w:pPr>
          </w:p>
        </w:tc>
        <w:tc>
          <w:tcPr>
            <w:tcW w:w="1220" w:type="dxa"/>
            <w:vAlign w:val="bottom"/>
            <w:tcBorders>
              <w:bottom w:val="single" w:sz="8" w:color="454545"/>
            </w:tcBorders>
          </w:tcPr>
          <w:p>
            <w:pPr>
              <w:spacing w:after="0"/>
              <w:rPr>
                <w:sz w:val="5"/>
                <w:szCs w:val="5"/>
                <w:color w:val="auto"/>
              </w:rPr>
            </w:pPr>
          </w:p>
        </w:tc>
        <w:tc>
          <w:tcPr>
            <w:tcW w:w="120" w:type="dxa"/>
            <w:vAlign w:val="bottom"/>
            <w:tcBorders>
              <w:bottom w:val="single" w:sz="8" w:color="454545"/>
            </w:tcBorders>
          </w:tcPr>
          <w:p>
            <w:pPr>
              <w:spacing w:after="0"/>
              <w:rPr>
                <w:sz w:val="5"/>
                <w:szCs w:val="5"/>
                <w:color w:val="auto"/>
              </w:rPr>
            </w:pPr>
          </w:p>
        </w:tc>
        <w:tc>
          <w:tcPr>
            <w:tcW w:w="1060" w:type="dxa"/>
            <w:vAlign w:val="bottom"/>
            <w:tcBorders>
              <w:bottom w:val="single" w:sz="8" w:color="454545"/>
            </w:tcBorders>
          </w:tcPr>
          <w:p>
            <w:pPr>
              <w:spacing w:after="0"/>
              <w:rPr>
                <w:sz w:val="5"/>
                <w:szCs w:val="5"/>
                <w:color w:val="auto"/>
              </w:rPr>
            </w:pPr>
          </w:p>
        </w:tc>
        <w:tc>
          <w:tcPr>
            <w:tcW w:w="520" w:type="dxa"/>
            <w:vAlign w:val="bottom"/>
            <w:tcBorders>
              <w:bottom w:val="single" w:sz="8" w:color="454545"/>
            </w:tcBorders>
          </w:tcPr>
          <w:p>
            <w:pPr>
              <w:spacing w:after="0"/>
              <w:rPr>
                <w:sz w:val="5"/>
                <w:szCs w:val="5"/>
                <w:color w:val="auto"/>
              </w:rPr>
            </w:pPr>
          </w:p>
        </w:tc>
        <w:tc>
          <w:tcPr>
            <w:tcW w:w="1040" w:type="dxa"/>
            <w:vAlign w:val="bottom"/>
            <w:tcBorders>
              <w:bottom w:val="single" w:sz="8" w:color="454545"/>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p>
        </w:tc>
        <w:tc>
          <w:tcPr>
            <w:tcW w:w="940" w:type="dxa"/>
            <w:vAlign w:val="bottom"/>
          </w:tcPr>
          <w:p>
            <w:pPr>
              <w:spacing w:after="0"/>
              <w:rPr>
                <w:sz w:val="19"/>
                <w:szCs w:val="19"/>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auto"/>
              </w:rPr>
              <w:t>750,000</w:t>
            </w:r>
          </w:p>
        </w:tc>
        <w:tc>
          <w:tcPr>
            <w:tcW w:w="2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4,500,000</w:t>
            </w:r>
          </w:p>
        </w:tc>
        <w:tc>
          <w:tcPr>
            <w:tcW w:w="380" w:type="dxa"/>
            <w:vAlign w:val="bottom"/>
          </w:tcPr>
          <w:p>
            <w:pPr>
              <w:spacing w:after="0"/>
              <w:rPr>
                <w:sz w:val="19"/>
                <w:szCs w:val="19"/>
                <w:color w:val="auto"/>
              </w:rPr>
            </w:pP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color w:val="auto"/>
              </w:rPr>
              <w:t>3,375,000</w:t>
            </w:r>
          </w:p>
        </w:tc>
        <w:tc>
          <w:tcPr>
            <w:tcW w:w="12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3,375,000</w:t>
            </w:r>
          </w:p>
        </w:tc>
        <w:tc>
          <w:tcPr>
            <w:tcW w:w="520" w:type="dxa"/>
            <w:vAlign w:val="bottom"/>
          </w:tcPr>
          <w:p>
            <w:pPr>
              <w:spacing w:after="0"/>
              <w:rPr>
                <w:sz w:val="19"/>
                <w:szCs w:val="19"/>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91"/>
        </w:trPr>
        <w:tc>
          <w:tcPr>
            <w:tcW w:w="3680" w:type="dxa"/>
            <w:vAlign w:val="bottom"/>
            <w:vMerge w:val="restart"/>
          </w:tcPr>
          <w:p>
            <w:pPr>
              <w:ind w:left="20"/>
              <w:spacing w:after="0"/>
              <w:rPr>
                <w:sz w:val="20"/>
                <w:szCs w:val="20"/>
                <w:color w:val="auto"/>
              </w:rPr>
            </w:pPr>
            <w:r>
              <w:rPr>
                <w:rFonts w:ascii="Arial" w:cs="Arial" w:eastAsia="Arial" w:hAnsi="Arial"/>
                <w:sz w:val="14"/>
                <w:szCs w:val="14"/>
                <w:color w:val="auto"/>
              </w:rPr>
              <w:t>Chief Financial Officer</w:t>
            </w:r>
          </w:p>
        </w:tc>
        <w:tc>
          <w:tcPr>
            <w:tcW w:w="9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680" w:type="dxa"/>
            <w:vAlign w:val="bottom"/>
            <w:tcBorders>
              <w:bottom w:val="single" w:sz="8" w:color="454545"/>
            </w:tcBorders>
          </w:tcPr>
          <w:p>
            <w:pPr>
              <w:spacing w:after="0"/>
              <w:rPr>
                <w:sz w:val="5"/>
                <w:szCs w:val="5"/>
                <w:color w:val="auto"/>
              </w:rPr>
            </w:pPr>
          </w:p>
        </w:tc>
        <w:tc>
          <w:tcPr>
            <w:tcW w:w="940" w:type="dxa"/>
            <w:vAlign w:val="bottom"/>
            <w:tcBorders>
              <w:bottom w:val="single" w:sz="8" w:color="454545"/>
            </w:tcBorders>
          </w:tcPr>
          <w:p>
            <w:pPr>
              <w:spacing w:after="0"/>
              <w:rPr>
                <w:sz w:val="5"/>
                <w:szCs w:val="5"/>
                <w:color w:val="auto"/>
              </w:rPr>
            </w:pPr>
          </w:p>
        </w:tc>
        <w:tc>
          <w:tcPr>
            <w:tcW w:w="1160" w:type="dxa"/>
            <w:vAlign w:val="bottom"/>
            <w:tcBorders>
              <w:bottom w:val="single" w:sz="8" w:color="454545"/>
            </w:tcBorders>
          </w:tcPr>
          <w:p>
            <w:pPr>
              <w:spacing w:after="0"/>
              <w:rPr>
                <w:sz w:val="5"/>
                <w:szCs w:val="5"/>
                <w:color w:val="auto"/>
              </w:rPr>
            </w:pPr>
          </w:p>
        </w:tc>
        <w:tc>
          <w:tcPr>
            <w:tcW w:w="240" w:type="dxa"/>
            <w:vAlign w:val="bottom"/>
            <w:tcBorders>
              <w:bottom w:val="single" w:sz="8" w:color="454545"/>
            </w:tcBorders>
          </w:tcPr>
          <w:p>
            <w:pPr>
              <w:spacing w:after="0"/>
              <w:rPr>
                <w:sz w:val="5"/>
                <w:szCs w:val="5"/>
                <w:color w:val="auto"/>
              </w:rPr>
            </w:pPr>
          </w:p>
        </w:tc>
        <w:tc>
          <w:tcPr>
            <w:tcW w:w="880" w:type="dxa"/>
            <w:vAlign w:val="bottom"/>
            <w:tcBorders>
              <w:bottom w:val="single" w:sz="8" w:color="454545"/>
            </w:tcBorders>
          </w:tcPr>
          <w:p>
            <w:pPr>
              <w:spacing w:after="0"/>
              <w:rPr>
                <w:sz w:val="5"/>
                <w:szCs w:val="5"/>
                <w:color w:val="auto"/>
              </w:rPr>
            </w:pPr>
          </w:p>
        </w:tc>
        <w:tc>
          <w:tcPr>
            <w:tcW w:w="380" w:type="dxa"/>
            <w:vAlign w:val="bottom"/>
            <w:tcBorders>
              <w:bottom w:val="single" w:sz="8" w:color="454545"/>
            </w:tcBorders>
          </w:tcPr>
          <w:p>
            <w:pPr>
              <w:spacing w:after="0"/>
              <w:rPr>
                <w:sz w:val="5"/>
                <w:szCs w:val="5"/>
                <w:color w:val="auto"/>
              </w:rPr>
            </w:pPr>
          </w:p>
        </w:tc>
        <w:tc>
          <w:tcPr>
            <w:tcW w:w="1220" w:type="dxa"/>
            <w:vAlign w:val="bottom"/>
            <w:tcBorders>
              <w:bottom w:val="single" w:sz="8" w:color="454545"/>
            </w:tcBorders>
          </w:tcPr>
          <w:p>
            <w:pPr>
              <w:spacing w:after="0"/>
              <w:rPr>
                <w:sz w:val="5"/>
                <w:szCs w:val="5"/>
                <w:color w:val="auto"/>
              </w:rPr>
            </w:pPr>
          </w:p>
        </w:tc>
        <w:tc>
          <w:tcPr>
            <w:tcW w:w="120" w:type="dxa"/>
            <w:vAlign w:val="bottom"/>
            <w:tcBorders>
              <w:bottom w:val="single" w:sz="8" w:color="454545"/>
            </w:tcBorders>
          </w:tcPr>
          <w:p>
            <w:pPr>
              <w:spacing w:after="0"/>
              <w:rPr>
                <w:sz w:val="5"/>
                <w:szCs w:val="5"/>
                <w:color w:val="auto"/>
              </w:rPr>
            </w:pPr>
          </w:p>
        </w:tc>
        <w:tc>
          <w:tcPr>
            <w:tcW w:w="1060" w:type="dxa"/>
            <w:vAlign w:val="bottom"/>
            <w:tcBorders>
              <w:bottom w:val="single" w:sz="8" w:color="454545"/>
            </w:tcBorders>
          </w:tcPr>
          <w:p>
            <w:pPr>
              <w:spacing w:after="0"/>
              <w:rPr>
                <w:sz w:val="5"/>
                <w:szCs w:val="5"/>
                <w:color w:val="auto"/>
              </w:rPr>
            </w:pPr>
          </w:p>
        </w:tc>
        <w:tc>
          <w:tcPr>
            <w:tcW w:w="520" w:type="dxa"/>
            <w:vAlign w:val="bottom"/>
            <w:tcBorders>
              <w:bottom w:val="single" w:sz="8" w:color="454545"/>
            </w:tcBorders>
          </w:tcPr>
          <w:p>
            <w:pPr>
              <w:spacing w:after="0"/>
              <w:rPr>
                <w:sz w:val="5"/>
                <w:szCs w:val="5"/>
                <w:color w:val="auto"/>
              </w:rPr>
            </w:pPr>
          </w:p>
        </w:tc>
        <w:tc>
          <w:tcPr>
            <w:tcW w:w="1040" w:type="dxa"/>
            <w:vAlign w:val="bottom"/>
            <w:tcBorders>
              <w:bottom w:val="single" w:sz="8" w:color="454545"/>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Mr. Pinto, who is based in the U.K., received a fixed allowance of $7,635,000 paid in British pound sterling and a salary of £475,000.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1158875</wp:posOffset>
            </wp:positionV>
            <wp:extent cx="274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color w:val="074A75"/>
        </w:rPr>
        <w:t xml:space="preserve">JPMORGAN CHASE &amp; CO.  </w:t>
      </w:r>
      <w:r>
        <w:rPr>
          <w:sz w:val="1"/>
          <w:szCs w:val="1"/>
          <w:color w:val="auto"/>
        </w:rPr>
        <w:drawing>
          <wp:inline distT="0" distB="0" distL="0" distR="0">
            <wp:extent cx="2211705" cy="1543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  </w:t>
      </w:r>
      <w:r>
        <w:rPr>
          <w:sz w:val="1"/>
          <w:szCs w:val="1"/>
          <w:color w:val="auto"/>
        </w:rPr>
        <w:drawing>
          <wp:inline distT="0" distB="0" distL="0" distR="0">
            <wp:extent cx="2203450" cy="1543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auto"/>
        </w:rPr>
        <w:t xml:space="preserve">  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89"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074A75"/>
        </w:rPr>
        <w:t>Proposal 3: Approval of Amended and Restated Long-Term Incentive Plan effective May 18, 2021 – page 84</w:t>
      </w:r>
    </w:p>
    <w:p>
      <w:pPr>
        <w:spacing w:after="0" w:line="22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seeking approval of our Amended and Restated Long-Term Incentive Plan (the “2021 Plan”), to renew the term of the Amended and Restated Long-Term Incentive Plan approved by shareholders on May 15, 2018 (the “2018 Plan”) by four years, to a term date of May 31, 2025, and to authorize approximately 29 million additional shares, bringing the total number of shares authorized under the Plan to 85 million shares (which is unchanged from the 2018 Plan). During our annual shareholder outreach program and discussion of our equity compensation practices, our shareholders indicated a preference for more frequent requests for approval of a smaller quantity of shares, as opposed to requesting larger quantities less frequently. As a result, the Compensation &amp; Management Development Committee and the Board considered this feedback in determining the number of shares to request for authorization under the 2021 Plan.</w:t>
      </w:r>
    </w:p>
    <w:p>
      <w:pPr>
        <w:spacing w:after="0" w:line="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2021 Plan would also continue to incorporate our compensation program for non-employee directors, with certain established retainers (both cash and equity) and certain limitations on future changes to those retainers (which are unchanged from the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074A75"/>
        </w:rPr>
        <w:t>Proposal 4: Ratification of Firm’s independent registered public accounting firm – page 92</w:t>
      </w:r>
    </w:p>
    <w:p>
      <w:pPr>
        <w:spacing w:after="0" w:line="2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2021. A resolution is being presented to our shareholders requesting ratification of PwC’s appointment.</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auto"/>
              </w:rPr>
              <w:t>2021 PROXY STATEMENT</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113"/>
              <w:spacing w:after="0"/>
              <w:rPr>
                <w:sz w:val="20"/>
                <w:szCs w:val="20"/>
                <w:color w:val="auto"/>
              </w:rPr>
            </w:pPr>
            <w:r>
              <w:rPr>
                <w:rFonts w:ascii="Arial" w:cs="Arial" w:eastAsia="Arial" w:hAnsi="Arial"/>
                <w:sz w:val="13"/>
                <w:szCs w:val="13"/>
                <w:b w:val="1"/>
                <w:bCs w:val="1"/>
                <w:color w:val="074A75"/>
              </w:rPr>
              <w:t>9</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40"/>
              <w:spacing w:after="0"/>
              <w:rPr>
                <w:sz w:val="20"/>
                <w:szCs w:val="20"/>
                <w:color w:val="auto"/>
              </w:rPr>
            </w:pPr>
            <w:r>
              <w:rPr>
                <w:rFonts w:ascii="Arial" w:cs="Arial" w:eastAsia="Arial" w:hAnsi="Arial"/>
                <w:sz w:val="14"/>
                <w:szCs w:val="14"/>
                <w:color w:val="074A75"/>
              </w:rPr>
              <w:t>JPMORGAN CHASE &amp; CO.</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color w:val="074A7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9"/>
          <w:szCs w:val="29"/>
          <w:color w:val="074A75"/>
        </w:rPr>
        <w:t>Proposal 1: Election of Directors</w:t>
      </w:r>
    </w:p>
    <w:p>
      <w:pPr>
        <w:spacing w:after="0" w:line="169" w:lineRule="exact"/>
        <w:rPr>
          <w:sz w:val="20"/>
          <w:szCs w:val="20"/>
          <w:color w:val="auto"/>
        </w:rPr>
      </w:pPr>
    </w:p>
    <w:p>
      <w:pPr>
        <w:ind w:left="20" w:right="960"/>
        <w:spacing w:after="0" w:line="256" w:lineRule="auto"/>
        <w:rPr>
          <w:sz w:val="20"/>
          <w:szCs w:val="20"/>
          <w:color w:val="auto"/>
        </w:rPr>
      </w:pPr>
      <w:r>
        <w:rPr>
          <w:rFonts w:ascii="Arial" w:cs="Arial" w:eastAsia="Arial" w:hAnsi="Arial"/>
          <w:sz w:val="18"/>
          <w:szCs w:val="18"/>
          <w:color w:val="auto"/>
        </w:rPr>
        <w:t>Our Board of Directors has nominated 10 directors, who, if elected by shareholders at our annual meeting, will be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-160020</wp:posOffset>
            </wp:positionV>
            <wp:extent cx="3060065"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60065" cy="3771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FFFFFF"/>
        </w:rPr>
        <w:t>Vote FOR all nominees</w:t>
      </w:r>
    </w:p>
    <w:p>
      <w:pPr>
        <w:spacing w:after="0" w:line="349" w:lineRule="exact"/>
        <w:rPr>
          <w:sz w:val="20"/>
          <w:szCs w:val="20"/>
          <w:color w:val="auto"/>
        </w:rPr>
      </w:pPr>
    </w:p>
    <w:p>
      <w:pPr>
        <w:sectPr>
          <w:pgSz w:w="11900" w:h="16838" w:orient="portrait"/>
          <w:cols w:equalWidth="0" w:num="2">
            <w:col w:w="6260" w:space="720"/>
            <w:col w:w="4240"/>
          </w:cols>
          <w:pgMar w:left="320"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Key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8803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8803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820" w:right="5580" w:hanging="403"/>
        <w:spacing w:after="0" w:line="187" w:lineRule="auto"/>
        <w:tabs>
          <w:tab w:leader="none" w:pos="820" w:val="left"/>
        </w:tabs>
        <w:numPr>
          <w:ilvl w:val="0"/>
          <w:numId w:val="30"/>
        </w:numPr>
        <w:rPr>
          <w:rFonts w:ascii="Arial" w:cs="Arial" w:eastAsia="Arial" w:hAnsi="Arial"/>
          <w:sz w:val="32"/>
          <w:szCs w:val="32"/>
          <w:color w:val="074A75"/>
        </w:rPr>
      </w:pPr>
      <w:r>
        <w:rPr>
          <w:rFonts w:ascii="Arial" w:cs="Arial" w:eastAsia="Arial" w:hAnsi="Arial"/>
          <w:sz w:val="20"/>
          <w:szCs w:val="20"/>
          <w:color w:val="074A75"/>
        </w:rPr>
        <w:t>Director nominees, Director independence, recruitment &amp; re-nomination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385445" cy="2091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5445" cy="2091690"/>
                    </a:xfrm>
                    <a:prstGeom prst="rect">
                      <a:avLst/>
                    </a:prstGeom>
                    <a:noFill/>
                  </pic:spPr>
                </pic:pic>
              </a:graphicData>
            </a:graphic>
          </wp:anchor>
        </w:drawing>
      </w:r>
    </w:p>
    <w:p>
      <w:pPr>
        <w:spacing w:after="0" w:line="87" w:lineRule="exact"/>
        <w:rPr>
          <w:sz w:val="20"/>
          <w:szCs w:val="20"/>
          <w:color w:val="auto"/>
        </w:rPr>
      </w:pPr>
    </w:p>
    <w:p>
      <w:pPr>
        <w:ind w:left="1020" w:right="5620" w:hanging="192"/>
        <w:spacing w:after="0" w:line="260" w:lineRule="auto"/>
        <w:tabs>
          <w:tab w:leader="none" w:pos="1017" w:val="left"/>
        </w:tabs>
        <w:numPr>
          <w:ilvl w:val="0"/>
          <w:numId w:val="31"/>
        </w:numPr>
        <w:rPr>
          <w:rFonts w:ascii="Arial" w:cs="Arial" w:eastAsia="Arial" w:hAnsi="Arial"/>
          <w:sz w:val="16"/>
          <w:szCs w:val="16"/>
          <w:color w:val="074A75"/>
        </w:rPr>
      </w:pPr>
      <w:r>
        <w:rPr>
          <w:rFonts w:ascii="Arial" w:cs="Arial" w:eastAsia="Arial" w:hAnsi="Arial"/>
          <w:sz w:val="16"/>
          <w:szCs w:val="16"/>
          <w:color w:val="auto"/>
        </w:rPr>
        <w:t>Nominees have executive experience and skills aligned with the Firm’s business and strategy</w:t>
      </w:r>
    </w:p>
    <w:p>
      <w:pPr>
        <w:spacing w:after="0" w:line="87" w:lineRule="exact"/>
        <w:rPr>
          <w:rFonts w:ascii="Arial" w:cs="Arial" w:eastAsia="Arial" w:hAnsi="Arial"/>
          <w:sz w:val="16"/>
          <w:szCs w:val="16"/>
          <w:color w:val="074A75"/>
        </w:rPr>
      </w:pPr>
    </w:p>
    <w:p>
      <w:pPr>
        <w:ind w:left="1020" w:right="5940" w:hanging="192"/>
        <w:spacing w:after="0" w:line="260" w:lineRule="auto"/>
        <w:tabs>
          <w:tab w:leader="none" w:pos="1017" w:val="left"/>
        </w:tabs>
        <w:numPr>
          <w:ilvl w:val="0"/>
          <w:numId w:val="31"/>
        </w:numPr>
        <w:rPr>
          <w:rFonts w:ascii="Arial" w:cs="Arial" w:eastAsia="Arial" w:hAnsi="Arial"/>
          <w:sz w:val="16"/>
          <w:szCs w:val="16"/>
          <w:color w:val="074A75"/>
        </w:rPr>
      </w:pPr>
      <w:r>
        <w:rPr>
          <w:rFonts w:ascii="Arial" w:cs="Arial" w:eastAsia="Arial" w:hAnsi="Arial"/>
          <w:sz w:val="16"/>
          <w:szCs w:val="16"/>
          <w:color w:val="auto"/>
        </w:rPr>
        <w:t>Ongoing recruitment and refreshment promote a balance of experience and fresh perspective</w:t>
      </w:r>
    </w:p>
    <w:p>
      <w:pPr>
        <w:spacing w:after="0" w:line="87" w:lineRule="exact"/>
        <w:rPr>
          <w:rFonts w:ascii="Arial" w:cs="Arial" w:eastAsia="Arial" w:hAnsi="Arial"/>
          <w:sz w:val="16"/>
          <w:szCs w:val="16"/>
          <w:color w:val="074A75"/>
        </w:rPr>
      </w:pPr>
    </w:p>
    <w:p>
      <w:pPr>
        <w:ind w:left="1020" w:right="6140" w:hanging="192"/>
        <w:spacing w:after="0" w:line="260" w:lineRule="auto"/>
        <w:tabs>
          <w:tab w:leader="none" w:pos="1017" w:val="left"/>
        </w:tabs>
        <w:numPr>
          <w:ilvl w:val="0"/>
          <w:numId w:val="31"/>
        </w:numPr>
        <w:rPr>
          <w:rFonts w:ascii="Arial" w:cs="Arial" w:eastAsia="Arial" w:hAnsi="Arial"/>
          <w:sz w:val="16"/>
          <w:szCs w:val="16"/>
          <w:color w:val="074A75"/>
        </w:rPr>
      </w:pPr>
      <w:r>
        <w:rPr>
          <w:rFonts w:ascii="Arial" w:cs="Arial" w:eastAsia="Arial" w:hAnsi="Arial"/>
          <w:sz w:val="16"/>
          <w:szCs w:val="16"/>
          <w:color w:val="auto"/>
        </w:rPr>
        <w:t>Since the 2020 Annual Meeting, a new director has been nominated for election, and one director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1048385</wp:posOffset>
            </wp:positionV>
            <wp:extent cx="385445" cy="419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544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6"/>
          <w:szCs w:val="16"/>
          <w:color w:val="074A75"/>
        </w:rPr>
        <w:t>Pages</w:t>
      </w:r>
    </w:p>
    <w:p>
      <w:pPr>
        <w:ind w:left="280"/>
        <w:spacing w:after="0"/>
        <w:rPr>
          <w:sz w:val="20"/>
          <w:szCs w:val="20"/>
          <w:color w:val="auto"/>
        </w:rPr>
      </w:pPr>
      <w:r>
        <w:rPr>
          <w:rFonts w:ascii="Arial" w:cs="Arial" w:eastAsia="Arial" w:hAnsi="Arial"/>
          <w:sz w:val="13"/>
          <w:szCs w:val="13"/>
          <w:color w:val="074A75"/>
        </w:rPr>
        <w:t>12-21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28575</wp:posOffset>
            </wp:positionV>
            <wp:extent cx="3402965"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296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3633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32"/>
          <w:szCs w:val="32"/>
          <w:color w:val="074A7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94335" cy="865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43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Pages</w:t>
      </w:r>
    </w:p>
    <w:p>
      <w:pPr>
        <w:jc w:val="right"/>
        <w:spacing w:after="0"/>
        <w:rPr>
          <w:sz w:val="20"/>
          <w:szCs w:val="20"/>
          <w:color w:val="auto"/>
        </w:rPr>
      </w:pPr>
      <w:r>
        <w:rPr>
          <w:rFonts w:ascii="Arial" w:cs="Arial" w:eastAsia="Arial" w:hAnsi="Arial"/>
          <w:sz w:val="13"/>
          <w:szCs w:val="13"/>
          <w:color w:val="074A75"/>
        </w:rPr>
        <w:t>22-27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9433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43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074A75"/>
        </w:rPr>
        <w:t>Board Governance</w:t>
      </w:r>
    </w:p>
    <w:p>
      <w:pPr>
        <w:spacing w:after="0" w:line="167" w:lineRule="exact"/>
        <w:rPr>
          <w:sz w:val="20"/>
          <w:szCs w:val="20"/>
          <w:color w:val="auto"/>
        </w:rPr>
      </w:pPr>
    </w:p>
    <w:p>
      <w:pPr>
        <w:ind w:left="200" w:hanging="199"/>
        <w:spacing w:after="0" w:line="260" w:lineRule="auto"/>
        <w:tabs>
          <w:tab w:leader="none" w:pos="19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Lead Independent Director facilitates independent oversight of management</w:t>
      </w:r>
    </w:p>
    <w:p>
      <w:pPr>
        <w:spacing w:after="0" w:line="87" w:lineRule="exact"/>
        <w:rPr>
          <w:rFonts w:ascii="Arial" w:cs="Arial" w:eastAsia="Arial" w:hAnsi="Arial"/>
          <w:sz w:val="16"/>
          <w:szCs w:val="16"/>
          <w:color w:val="074A75"/>
        </w:rPr>
      </w:pPr>
    </w:p>
    <w:p>
      <w:pPr>
        <w:ind w:left="200" w:right="160" w:hanging="199"/>
        <w:spacing w:after="0" w:line="260" w:lineRule="auto"/>
        <w:tabs>
          <w:tab w:leader="none" w:pos="197"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Board conducts an annual self-assessment and review of its leadership structure</w:t>
      </w:r>
    </w:p>
    <w:p>
      <w:pPr>
        <w:spacing w:after="0" w:line="87" w:lineRule="exact"/>
        <w:rPr>
          <w:rFonts w:ascii="Arial" w:cs="Arial" w:eastAsia="Arial" w:hAnsi="Arial"/>
          <w:sz w:val="16"/>
          <w:szCs w:val="16"/>
          <w:color w:val="074A75"/>
        </w:rPr>
      </w:pPr>
    </w:p>
    <w:p>
      <w:pPr>
        <w:ind w:left="200" w:hanging="199"/>
        <w:spacing w:after="0"/>
        <w:tabs>
          <w:tab w:leader="none" w:pos="200" w:val="left"/>
        </w:tabs>
        <w:numPr>
          <w:ilvl w:val="0"/>
          <w:numId w:val="32"/>
        </w:numPr>
        <w:rPr>
          <w:rFonts w:ascii="Arial" w:cs="Arial" w:eastAsia="Arial" w:hAnsi="Arial"/>
          <w:sz w:val="16"/>
          <w:szCs w:val="16"/>
          <w:color w:val="074A75"/>
        </w:rPr>
      </w:pPr>
      <w:r>
        <w:rPr>
          <w:rFonts w:ascii="Arial" w:cs="Arial" w:eastAsia="Arial" w:hAnsi="Arial"/>
          <w:sz w:val="16"/>
          <w:szCs w:val="16"/>
          <w:color w:val="auto"/>
        </w:rPr>
        <w:t>Board sets the cultural “tone at the top”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2" w:right="260" w:hanging="202"/>
        <w:spacing w:after="0" w:line="253" w:lineRule="auto"/>
        <w:tabs>
          <w:tab w:leader="none" w:pos="199" w:val="left"/>
        </w:tabs>
        <w:numPr>
          <w:ilvl w:val="0"/>
          <w:numId w:val="33"/>
        </w:numPr>
        <w:rPr>
          <w:rFonts w:ascii="Arial" w:cs="Arial" w:eastAsia="Arial" w:hAnsi="Arial"/>
          <w:sz w:val="16"/>
          <w:szCs w:val="16"/>
          <w:color w:val="074A75"/>
        </w:rPr>
      </w:pPr>
      <w:r>
        <w:rPr>
          <w:rFonts w:ascii="Arial" w:cs="Arial" w:eastAsia="Arial" w:hAnsi="Arial"/>
          <w:sz w:val="16"/>
          <w:szCs w:val="16"/>
          <w:color w:val="auto"/>
        </w:rPr>
        <w:t>Board carries out a significant portion of its oversight responsibilities through its committees, allowing more in-depth attention devoted to overseeing key issues</w:t>
      </w:r>
    </w:p>
    <w:p>
      <w:pPr>
        <w:spacing w:after="0" w:line="853" w:lineRule="exact"/>
        <w:rPr>
          <w:sz w:val="20"/>
          <w:szCs w:val="20"/>
          <w:color w:val="auto"/>
        </w:rPr>
      </w:pPr>
    </w:p>
    <w:p>
      <w:pPr>
        <w:sectPr>
          <w:pgSz w:w="11900" w:h="16838" w:orient="portrait"/>
          <w:cols w:equalWidth="0" w:num="3">
            <w:col w:w="620" w:space="220"/>
            <w:col w:w="4660" w:space="398"/>
            <w:col w:w="5322"/>
          </w:cols>
          <w:pgMar w:left="320" w:top="171" w:right="359" w:bottom="1440" w:gutter="0" w:footer="0" w:header="0"/>
          <w:type w:val="continuous"/>
        </w:sectPr>
      </w:pPr>
    </w:p>
    <w:p>
      <w:pPr>
        <w:spacing w:after="0" w:line="3" w:lineRule="exact"/>
        <w:rPr>
          <w:sz w:val="20"/>
          <w:szCs w:val="20"/>
          <w:color w:val="auto"/>
        </w:rPr>
      </w:pPr>
    </w:p>
    <w:p>
      <w:pPr>
        <w:ind w:left="840" w:hanging="409"/>
        <w:spacing w:after="0"/>
        <w:tabs>
          <w:tab w:leader="none" w:pos="840" w:val="left"/>
        </w:tabs>
        <w:numPr>
          <w:ilvl w:val="0"/>
          <w:numId w:val="34"/>
        </w:numPr>
        <w:rPr>
          <w:rFonts w:ascii="Arial" w:cs="Arial" w:eastAsia="Arial" w:hAnsi="Arial"/>
          <w:sz w:val="63"/>
          <w:szCs w:val="63"/>
          <w:color w:val="074A75"/>
          <w:vertAlign w:val="subscript"/>
        </w:rPr>
      </w:pPr>
      <w:r>
        <w:rPr>
          <w:rFonts w:ascii="Arial" w:cs="Arial" w:eastAsia="Arial" w:hAnsi="Arial"/>
          <w:sz w:val="19"/>
          <w:szCs w:val="19"/>
          <w:color w:val="074A75"/>
        </w:rPr>
        <w:t>Board oversight of the business and affairs of the Firm</w:t>
      </w:r>
    </w:p>
    <w:p>
      <w:pPr>
        <w:spacing w:after="0" w:line="308" w:lineRule="exact"/>
        <w:rPr>
          <w:rFonts w:ascii="Arial" w:cs="Arial" w:eastAsia="Arial" w:hAnsi="Arial"/>
          <w:sz w:val="63"/>
          <w:szCs w:val="63"/>
          <w:color w:val="074A75"/>
          <w:vertAlign w:val="subscript"/>
        </w:rPr>
      </w:pPr>
    </w:p>
    <w:p>
      <w:pPr>
        <w:ind w:left="1040" w:right="60" w:hanging="199"/>
        <w:spacing w:after="0" w:line="253" w:lineRule="auto"/>
        <w:tabs>
          <w:tab w:leader="none" w:pos="1037" w:val="left"/>
        </w:tabs>
        <w:numPr>
          <w:ilvl w:val="1"/>
          <w:numId w:val="34"/>
        </w:numPr>
        <w:rPr>
          <w:rFonts w:ascii="Arial" w:cs="Arial" w:eastAsia="Arial" w:hAnsi="Arial"/>
          <w:sz w:val="16"/>
          <w:szCs w:val="16"/>
          <w:color w:val="074A75"/>
        </w:rPr>
      </w:pPr>
      <w:r>
        <w:rPr>
          <w:rFonts w:ascii="Arial" w:cs="Arial" w:eastAsia="Arial" w:hAnsi="Arial"/>
          <w:sz w:val="16"/>
          <w:szCs w:val="16"/>
          <w:color w:val="auto"/>
        </w:rPr>
        <w:t>Board actively oversees the business and affairs of the Firm based on sound governance practices and effective leadership structure</w:t>
      </w:r>
    </w:p>
    <w:p>
      <w:pPr>
        <w:spacing w:after="0" w:line="93" w:lineRule="exact"/>
        <w:rPr>
          <w:rFonts w:ascii="Arial" w:cs="Arial" w:eastAsia="Arial" w:hAnsi="Arial"/>
          <w:sz w:val="16"/>
          <w:szCs w:val="16"/>
          <w:color w:val="074A75"/>
        </w:rPr>
      </w:pPr>
    </w:p>
    <w:p>
      <w:pPr>
        <w:ind w:left="1040" w:hanging="199"/>
        <w:spacing w:after="0"/>
        <w:tabs>
          <w:tab w:leader="none" w:pos="1040" w:val="left"/>
        </w:tabs>
        <w:numPr>
          <w:ilvl w:val="1"/>
          <w:numId w:val="34"/>
        </w:numPr>
        <w:rPr>
          <w:rFonts w:ascii="Arial" w:cs="Arial" w:eastAsia="Arial" w:hAnsi="Arial"/>
          <w:sz w:val="16"/>
          <w:szCs w:val="16"/>
          <w:color w:val="074A75"/>
        </w:rPr>
      </w:pPr>
      <w:r>
        <w:rPr>
          <w:rFonts w:ascii="Arial" w:cs="Arial" w:eastAsia="Arial" w:hAnsi="Arial"/>
          <w:sz w:val="16"/>
          <w:szCs w:val="16"/>
          <w:color w:val="auto"/>
        </w:rPr>
        <w:t>Board reviews the strategic objectives and plans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-1000125</wp:posOffset>
            </wp:positionV>
            <wp:extent cx="713232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394335" cy="10972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1097280"/>
                    </a:xfrm>
                    <a:prstGeom prst="rect">
                      <a:avLst/>
                    </a:prstGeom>
                    <a:noFill/>
                  </pic:spPr>
                </pic:pic>
              </a:graphicData>
            </a:graphic>
          </wp:anchor>
        </w:drawing>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074A75"/>
        </w:rPr>
        <w:t>Pages</w:t>
      </w:r>
    </w:p>
    <w:p>
      <w:pPr>
        <w:ind w:left="280"/>
        <w:spacing w:after="0"/>
        <w:rPr>
          <w:sz w:val="20"/>
          <w:szCs w:val="20"/>
          <w:color w:val="auto"/>
        </w:rPr>
      </w:pPr>
      <w:r>
        <w:rPr>
          <w:rFonts w:ascii="Arial" w:cs="Arial" w:eastAsia="Arial" w:hAnsi="Arial"/>
          <w:sz w:val="13"/>
          <w:szCs w:val="13"/>
          <w:color w:val="074A75"/>
        </w:rPr>
        <w:t>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543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2" w:hanging="202"/>
        <w:spacing w:after="0"/>
        <w:tabs>
          <w:tab w:leader="none" w:pos="202" w:val="left"/>
        </w:tabs>
        <w:numPr>
          <w:ilvl w:val="0"/>
          <w:numId w:val="35"/>
        </w:numPr>
        <w:rPr>
          <w:rFonts w:ascii="Arial" w:cs="Arial" w:eastAsia="Arial" w:hAnsi="Arial"/>
          <w:sz w:val="16"/>
          <w:szCs w:val="16"/>
          <w:color w:val="074A75"/>
        </w:rPr>
      </w:pPr>
      <w:r>
        <w:rPr>
          <w:rFonts w:ascii="Arial" w:cs="Arial" w:eastAsia="Arial" w:hAnsi="Arial"/>
          <w:sz w:val="16"/>
          <w:szCs w:val="16"/>
          <w:color w:val="auto"/>
        </w:rPr>
        <w:t>Board oversees the Firm’s financial performance and condition</w:t>
      </w:r>
    </w:p>
    <w:p>
      <w:pPr>
        <w:spacing w:after="0" w:line="113" w:lineRule="exact"/>
        <w:rPr>
          <w:rFonts w:ascii="Arial" w:cs="Arial" w:eastAsia="Arial" w:hAnsi="Arial"/>
          <w:sz w:val="16"/>
          <w:szCs w:val="16"/>
          <w:color w:val="074A75"/>
        </w:rPr>
      </w:pPr>
    </w:p>
    <w:p>
      <w:pPr>
        <w:ind w:left="202" w:right="540" w:hanging="202"/>
        <w:spacing w:after="0" w:line="260" w:lineRule="auto"/>
        <w:tabs>
          <w:tab w:leader="none" w:pos="199" w:val="left"/>
        </w:tabs>
        <w:numPr>
          <w:ilvl w:val="0"/>
          <w:numId w:val="35"/>
        </w:numPr>
        <w:rPr>
          <w:rFonts w:ascii="Arial" w:cs="Arial" w:eastAsia="Arial" w:hAnsi="Arial"/>
          <w:sz w:val="16"/>
          <w:szCs w:val="16"/>
          <w:color w:val="074A75"/>
        </w:rPr>
      </w:pPr>
      <w:r>
        <w:rPr>
          <w:rFonts w:ascii="Arial" w:cs="Arial" w:eastAsia="Arial" w:hAnsi="Arial"/>
          <w:sz w:val="16"/>
          <w:szCs w:val="16"/>
          <w:color w:val="auto"/>
        </w:rPr>
        <w:t>Board oversees the Firm’s risk management and internal control frameworks</w:t>
      </w:r>
    </w:p>
    <w:p>
      <w:pPr>
        <w:spacing w:after="0" w:line="87" w:lineRule="exact"/>
        <w:rPr>
          <w:rFonts w:ascii="Arial" w:cs="Arial" w:eastAsia="Arial" w:hAnsi="Arial"/>
          <w:sz w:val="16"/>
          <w:szCs w:val="16"/>
          <w:color w:val="074A75"/>
        </w:rPr>
      </w:pPr>
    </w:p>
    <w:p>
      <w:pPr>
        <w:ind w:left="202" w:right="880" w:hanging="202"/>
        <w:spacing w:after="0" w:line="260" w:lineRule="auto"/>
        <w:tabs>
          <w:tab w:leader="none" w:pos="199" w:val="left"/>
        </w:tabs>
        <w:numPr>
          <w:ilvl w:val="0"/>
          <w:numId w:val="35"/>
        </w:numPr>
        <w:rPr>
          <w:rFonts w:ascii="Arial" w:cs="Arial" w:eastAsia="Arial" w:hAnsi="Arial"/>
          <w:sz w:val="16"/>
          <w:szCs w:val="16"/>
          <w:color w:val="074A75"/>
        </w:rPr>
      </w:pPr>
      <w:r>
        <w:rPr>
          <w:rFonts w:ascii="Arial" w:cs="Arial" w:eastAsia="Arial" w:hAnsi="Arial"/>
          <w:sz w:val="16"/>
          <w:szCs w:val="16"/>
          <w:color w:val="auto"/>
        </w:rPr>
        <w:t>Board evaluates CEO performance and compensation, and oversees talent management for other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-1111250</wp:posOffset>
            </wp:positionV>
            <wp:extent cx="6737985" cy="137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7985" cy="137160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5580" w:space="318"/>
            <w:col w:w="5322"/>
          </w:cols>
          <w:pgMar w:left="320" w:top="171" w:right="359" w:bottom="1440" w:gutter="0" w:footer="0" w:header="0"/>
          <w:type w:val="continuous"/>
        </w:sectPr>
      </w:pPr>
    </w:p>
    <w:p>
      <w:pPr>
        <w:spacing w:after="0" w:line="308" w:lineRule="exact"/>
        <w:rPr>
          <w:sz w:val="20"/>
          <w:szCs w:val="20"/>
          <w:color w:val="auto"/>
        </w:rPr>
      </w:pPr>
    </w:p>
    <w:p>
      <w:pPr>
        <w:ind w:left="440"/>
        <w:spacing w:after="0"/>
        <w:rPr>
          <w:sz w:val="20"/>
          <w:szCs w:val="20"/>
          <w:color w:val="auto"/>
        </w:rPr>
      </w:pPr>
      <w:r>
        <w:rPr>
          <w:rFonts w:ascii="Arial" w:cs="Arial" w:eastAsia="Arial" w:hAnsi="Arial"/>
          <w:sz w:val="32"/>
          <w:szCs w:val="32"/>
          <w:color w:val="074A75"/>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Pages</w:t>
      </w:r>
    </w:p>
    <w:p>
      <w:pPr>
        <w:jc w:val="right"/>
        <w:spacing w:after="0"/>
        <w:rPr>
          <w:sz w:val="20"/>
          <w:szCs w:val="20"/>
          <w:color w:val="auto"/>
        </w:rPr>
      </w:pPr>
      <w:r>
        <w:rPr>
          <w:rFonts w:ascii="Arial" w:cs="Arial" w:eastAsia="Arial" w:hAnsi="Arial"/>
          <w:sz w:val="13"/>
          <w:szCs w:val="13"/>
          <w:color w:val="074A75"/>
        </w:rPr>
        <w:t>30-31</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074A75"/>
        </w:rPr>
        <w:t>Board engagement with the Firm’s stakeholders</w:t>
      </w:r>
    </w:p>
    <w:p>
      <w:pPr>
        <w:spacing w:after="0" w:line="316" w:lineRule="exact"/>
        <w:rPr>
          <w:sz w:val="20"/>
          <w:szCs w:val="20"/>
          <w:color w:val="auto"/>
        </w:rPr>
      </w:pPr>
    </w:p>
    <w:p>
      <w:pPr>
        <w:ind w:left="200" w:right="360" w:hanging="199"/>
        <w:spacing w:after="0" w:line="250" w:lineRule="auto"/>
        <w:tabs>
          <w:tab w:leader="none" w:pos="197" w:val="left"/>
        </w:tabs>
        <w:numPr>
          <w:ilvl w:val="0"/>
          <w:numId w:val="36"/>
        </w:numPr>
        <w:rPr>
          <w:rFonts w:ascii="Arial" w:cs="Arial" w:eastAsia="Arial" w:hAnsi="Arial"/>
          <w:sz w:val="16"/>
          <w:szCs w:val="16"/>
          <w:color w:val="074A75"/>
        </w:rPr>
      </w:pPr>
      <w:r>
        <w:rPr>
          <w:rFonts w:ascii="Arial" w:cs="Arial" w:eastAsia="Arial" w:hAnsi="Arial"/>
          <w:sz w:val="16"/>
          <w:szCs w:val="16"/>
          <w:color w:val="auto"/>
        </w:rPr>
        <w:t>We reached out to over 100 of our largest shareholders, representing over 50% of the Firm’s outstanding common stock, and proxy advisory firms. In approximately 100 engagements with nearly 60 shareholders representing approximately 45% of the Firm’s outstanding common stock, we received feedback on strategy, financial and operating performance, governance, executive compensation, and environmental and social matters, among other matters. Some of our directors, including our new Lead Independent Director, participated in discussions with several large shareholders</w:t>
      </w:r>
    </w:p>
    <w:p>
      <w:pPr>
        <w:spacing w:after="0" w:line="94" w:lineRule="exact"/>
        <w:rPr>
          <w:rFonts w:ascii="Arial" w:cs="Arial" w:eastAsia="Arial" w:hAnsi="Arial"/>
          <w:sz w:val="16"/>
          <w:szCs w:val="16"/>
          <w:color w:val="074A75"/>
        </w:rPr>
      </w:pPr>
    </w:p>
    <w:p>
      <w:pPr>
        <w:ind w:left="200" w:right="640" w:hanging="199"/>
        <w:spacing w:after="0" w:line="260" w:lineRule="auto"/>
        <w:tabs>
          <w:tab w:leader="none" w:pos="197" w:val="left"/>
        </w:tabs>
        <w:numPr>
          <w:ilvl w:val="0"/>
          <w:numId w:val="36"/>
        </w:numPr>
        <w:rPr>
          <w:rFonts w:ascii="Arial" w:cs="Arial" w:eastAsia="Arial" w:hAnsi="Arial"/>
          <w:sz w:val="16"/>
          <w:szCs w:val="16"/>
          <w:color w:val="074A75"/>
        </w:rPr>
      </w:pPr>
      <w:r>
        <w:rPr>
          <w:rFonts w:ascii="Arial" w:cs="Arial" w:eastAsia="Arial" w:hAnsi="Arial"/>
          <w:sz w:val="16"/>
          <w:szCs w:val="16"/>
          <w:color w:val="auto"/>
        </w:rPr>
        <w:t>The Board engages with, and reviews feedback from, our stakeholders, including shareholders, employees, customers, suppliers and communities in which we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431165</wp:posOffset>
            </wp:positionV>
            <wp:extent cx="274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620" w:space="220"/>
            <w:col w:w="10380"/>
          </w:cols>
          <w:pgMar w:left="320" w:top="171" w:right="359" w:bottom="1440" w:gutter="0" w:footer="0" w:header="0"/>
          <w:type w:val="continuous"/>
        </w:sect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  </w:t>
      </w:r>
      <w:r>
        <w:rPr>
          <w:sz w:val="1"/>
          <w:szCs w:val="1"/>
          <w:color w:val="auto"/>
        </w:rPr>
        <w:drawing>
          <wp:inline distT="0" distB="0" distL="0" distR="0">
            <wp:extent cx="2203450" cy="1543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color w:val="074A75"/>
        </w:rPr>
        <w:t>1. Director nominees</w:t>
      </w: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color w:val="074A75"/>
        </w:rPr>
        <w:t>Our Directors</w:t>
      </w:r>
    </w:p>
    <w:p>
      <w:pPr>
        <w:spacing w:after="0" w:line="2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JPMorgan Chase seeks director candidates who uphold the highest standards, are committed to the Firm’s values and are strong independent stewards of the long-term interests of shareholders, employees, customers, suppliers and communities in which we work. The Board, including the Corporate Governance &amp; Nominating Committee (“Governance Committee”), considers Board composition holistically, with a focus on recruiting directors who have the qualities required to effectively oversee the Firm, including its present and future strategy. The Board seeks directors with experience in executive fields who will bring experienced and fresh perspectives and insight, and come together to effectively challenge and provide independent oversight of management. The Board looks for candidates with a diversity of experience, perspectives and viewpoints, including diversity with respect to gender, race, ethnicity and nationality.</w:t>
      </w:r>
    </w:p>
    <w:p>
      <w:pPr>
        <w:spacing w:after="0" w:line="1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individuals presented on the following pages have been nominated for election because they possess the skills, experience, personal attributes and tenure needed to guide the Firm’s strategy, and to effectively oversee the Firm’s risk management and internal control framework, and management’s execution of its 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In the biographical information about our director nominees that follows, the ages indicated are as of May 18, 2021, and the other information is as of the date of this proxy statement. There are no family relationships among the director nominees or between the director nominees and any executive officer. Unless otherwise stated, all nominees have been continuously employed by their present employers for more than five years.</w:t>
      </w:r>
    </w:p>
    <w:p>
      <w:pPr>
        <w:spacing w:after="0" w:line="9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All of the nominees are currently directors of the Firm. Other than Ms. Novakovic, who was elected to the Board effective December 2020, each was elected to the Board by our shareholders at our 2020 annual meeting.</w:t>
      </w:r>
    </w:p>
    <w:p>
      <w:pPr>
        <w:spacing w:after="0" w:line="9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Each nominee has agreed to be named in this proxy statement and, if elected, to serve a one-year term expiring at our 2022 annual meeting.</w:t>
      </w:r>
    </w:p>
    <w:p>
      <w:pPr>
        <w:spacing w:after="0" w:line="9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Directors are expected to attend our annual shareholder meetings. Nine of the ten directors serving on our Board at the time of the 2020 annual meeting attended the meeting. One director was unable to attend due to a prior professional obligation.</w:t>
      </w:r>
    </w:p>
    <w:p>
      <w:pPr>
        <w:spacing w:after="0" w:line="632"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rPr>
          <w:sz w:val="20"/>
          <w:szCs w:val="20"/>
          <w:color w:val="auto"/>
        </w:rPr>
      </w:pPr>
      <w:r>
        <w:rPr>
          <w:rFonts w:ascii="Arial" w:cs="Arial" w:eastAsia="Arial" w:hAnsi="Arial"/>
          <w:sz w:val="20"/>
          <w:szCs w:val="20"/>
          <w:color w:val="074A75"/>
        </w:rPr>
        <w:t>COMPOSITION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70485</wp:posOffset>
            </wp:positionV>
            <wp:extent cx="5657850" cy="26574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ATTRIBUTES AND SKILLS OF THE NOMINEES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When selecting and recruiting candidates, the Board considers a wide range of attributes, executive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62" w:lineRule="exact"/>
        <w:rPr>
          <w:sz w:val="20"/>
          <w:szCs w:val="20"/>
          <w:color w:val="auto"/>
        </w:rPr>
      </w:pPr>
    </w:p>
    <w:p>
      <w:pPr>
        <w:jc w:val="center"/>
        <w:ind w:right="20"/>
        <w:spacing w:after="0" w:line="260" w:lineRule="auto"/>
        <w:rPr>
          <w:sz w:val="20"/>
          <w:szCs w:val="20"/>
          <w:color w:val="auto"/>
        </w:rPr>
      </w:pPr>
      <w:r>
        <w:rPr>
          <w:rFonts w:ascii="Arial" w:cs="Arial" w:eastAsia="Arial" w:hAnsi="Arial"/>
          <w:sz w:val="16"/>
          <w:szCs w:val="16"/>
          <w:color w:val="FFFFFF"/>
        </w:rPr>
        <w:t>All of our nominees possess: integrity, judgment, strong work ethic, strength of conviction, collaborative approach to engagement, inquisitiveness, independent perspective and willingness to appropriately challenge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5168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516890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FINANCE AND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7"/>
          <w:szCs w:val="17"/>
          <w:color w:val="FFFFFF"/>
        </w:rPr>
        <w:t>ACCOUNTING</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FINANCIAL SERVICES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280" w:firstLine="700"/>
        <w:spacing w:after="0" w:line="291" w:lineRule="auto"/>
        <w:rPr>
          <w:sz w:val="20"/>
          <w:szCs w:val="20"/>
          <w:color w:val="auto"/>
        </w:rPr>
      </w:pPr>
      <w:r>
        <w:rPr>
          <w:rFonts w:ascii="Arial" w:cs="Arial" w:eastAsia="Arial" w:hAnsi="Arial"/>
          <w:sz w:val="17"/>
          <w:szCs w:val="17"/>
          <w:color w:val="FFFFFF"/>
        </w:rPr>
        <w:t>INTERNATIONAL BUSINESS OPERATIONS</w:t>
      </w:r>
    </w:p>
    <w:p>
      <w:pPr>
        <w:spacing w:after="0" w:line="390" w:lineRule="exact"/>
        <w:rPr>
          <w:sz w:val="20"/>
          <w:szCs w:val="20"/>
          <w:color w:val="auto"/>
        </w:rPr>
      </w:pPr>
    </w:p>
    <w:p>
      <w:pPr>
        <w:jc w:val="right"/>
        <w:ind w:left="800"/>
        <w:spacing w:after="0" w:line="278" w:lineRule="auto"/>
        <w:rPr>
          <w:sz w:val="20"/>
          <w:szCs w:val="20"/>
          <w:color w:val="auto"/>
        </w:rPr>
      </w:pPr>
      <w:r>
        <w:rPr>
          <w:rFonts w:ascii="Arial" w:cs="Arial" w:eastAsia="Arial" w:hAnsi="Arial"/>
          <w:sz w:val="17"/>
          <w:szCs w:val="17"/>
          <w:color w:val="FFFFFF"/>
        </w:rPr>
        <w:t>LEADERSHIP OF A LARGE, COMPLEX ORGANIZATION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MANAGEMENT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DEVELOPMENT,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FFFFFF"/>
        </w:rPr>
        <w:t>SUCCESSION PLANNING,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COMPENSATION</w:t>
      </w:r>
    </w:p>
    <w:p>
      <w:pPr>
        <w:spacing w:after="0" w:line="158" w:lineRule="exact"/>
        <w:rPr>
          <w:sz w:val="20"/>
          <w:szCs w:val="20"/>
          <w:color w:val="auto"/>
        </w:rPr>
      </w:pPr>
    </w:p>
    <w:p>
      <w:pPr>
        <w:jc w:val="right"/>
        <w:ind w:left="820"/>
        <w:spacing w:after="0" w:line="291" w:lineRule="auto"/>
        <w:rPr>
          <w:sz w:val="20"/>
          <w:szCs w:val="20"/>
          <w:color w:val="auto"/>
        </w:rPr>
      </w:pPr>
      <w:r>
        <w:rPr>
          <w:rFonts w:ascii="Arial" w:cs="Arial" w:eastAsia="Arial" w:hAnsi="Arial"/>
          <w:sz w:val="17"/>
          <w:szCs w:val="17"/>
          <w:color w:val="FFFFFF"/>
        </w:rPr>
        <w:t>PUBLIC COMPANY GOVERNANCE</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TECHNOLOGY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spacing w:after="0"/>
        <w:rPr>
          <w:sz w:val="20"/>
          <w:szCs w:val="20"/>
          <w:color w:val="auto"/>
        </w:rPr>
      </w:pPr>
      <w:r>
        <w:rPr>
          <w:rFonts w:ascii="Arial" w:cs="Arial" w:eastAsia="Arial" w:hAnsi="Arial"/>
          <w:sz w:val="17"/>
          <w:szCs w:val="17"/>
          <w:color w:val="FFFFFF"/>
        </w:rPr>
        <w:t>REGULATED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INDUSTRIES</w:t>
      </w:r>
    </w:p>
    <w:p>
      <w:pPr>
        <w:spacing w:after="0" w:line="200" w:lineRule="exact"/>
        <w:rPr>
          <w:sz w:val="20"/>
          <w:szCs w:val="20"/>
          <w:color w:val="auto"/>
        </w:rPr>
      </w:pPr>
    </w:p>
    <w:p>
      <w:pPr>
        <w:spacing w:after="0" w:line="241" w:lineRule="exact"/>
        <w:rPr>
          <w:sz w:val="20"/>
          <w:szCs w:val="20"/>
          <w:color w:val="auto"/>
        </w:rPr>
      </w:pPr>
    </w:p>
    <w:p>
      <w:pPr>
        <w:jc w:val="both"/>
        <w:ind w:left="980" w:hanging="329"/>
        <w:spacing w:after="0" w:line="291" w:lineRule="auto"/>
        <w:rPr>
          <w:sz w:val="20"/>
          <w:szCs w:val="20"/>
          <w:color w:val="auto"/>
        </w:rPr>
      </w:pPr>
      <w:r>
        <w:rPr>
          <w:rFonts w:ascii="Arial" w:cs="Arial" w:eastAsia="Arial" w:hAnsi="Arial"/>
          <w:sz w:val="17"/>
          <w:szCs w:val="17"/>
          <w:color w:val="FFFFFF"/>
        </w:rPr>
        <w:t>RISK MANAGEMENT AND CONTROLS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90" w:right="200" w:hanging="190"/>
        <w:spacing w:after="0" w:line="247" w:lineRule="auto"/>
        <w:tabs>
          <w:tab w:leader="none" w:pos="181" w:val="left"/>
        </w:tabs>
        <w:numPr>
          <w:ilvl w:val="0"/>
          <w:numId w:val="37"/>
        </w:numPr>
        <w:rPr>
          <w:rFonts w:ascii="Arial" w:cs="Arial" w:eastAsia="Arial" w:hAnsi="Arial"/>
          <w:sz w:val="14"/>
          <w:szCs w:val="14"/>
          <w:color w:val="auto"/>
        </w:rPr>
      </w:pPr>
      <w:r>
        <w:rPr>
          <w:rFonts w:ascii="Arial" w:cs="Arial" w:eastAsia="Arial" w:hAnsi="Arial"/>
          <w:sz w:val="14"/>
          <w:szCs w:val="14"/>
          <w:color w:val="auto"/>
        </w:rPr>
        <w:t>Knowledge of or experience in accounting, financial reporting or auditing processes and standards is important to effectively oversee the Firm’s financial position and condition and the accurate reporting thereof, and to assess the Firm’s strategic objectives from a financial perspective</w:t>
      </w:r>
    </w:p>
    <w:p>
      <w:pPr>
        <w:spacing w:after="0" w:line="201" w:lineRule="exact"/>
        <w:rPr>
          <w:rFonts w:ascii="Arial" w:cs="Arial" w:eastAsia="Arial" w:hAnsi="Arial"/>
          <w:sz w:val="14"/>
          <w:szCs w:val="14"/>
          <w:color w:val="auto"/>
        </w:rPr>
      </w:pPr>
    </w:p>
    <w:p>
      <w:pPr>
        <w:ind w:left="190" w:hanging="190"/>
        <w:spacing w:after="0" w:line="249"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Experience in or with the financial services industry, including investment banking, global financial markets or consumer products and services, allows Board members to evaluate the Firm’s business model, strategies and the industry in which we compete</w:t>
      </w:r>
    </w:p>
    <w:p>
      <w:pPr>
        <w:spacing w:after="0" w:line="362" w:lineRule="exact"/>
        <w:rPr>
          <w:rFonts w:ascii="Arial" w:cs="Arial" w:eastAsia="Arial" w:hAnsi="Arial"/>
          <w:sz w:val="14"/>
          <w:szCs w:val="14"/>
          <w:color w:val="074A75"/>
        </w:rPr>
      </w:pPr>
    </w:p>
    <w:p>
      <w:pPr>
        <w:ind w:left="190" w:right="160" w:hanging="190"/>
        <w:spacing w:after="0" w:line="249"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Experience in diverse geographic, political and regulatory environments enables the Board to effectively oversee the Firm as it serves customers and clients across the globe</w:t>
      </w:r>
    </w:p>
    <w:p>
      <w:pPr>
        <w:spacing w:after="0" w:line="362" w:lineRule="exact"/>
        <w:rPr>
          <w:rFonts w:ascii="Arial" w:cs="Arial" w:eastAsia="Arial" w:hAnsi="Arial"/>
          <w:sz w:val="14"/>
          <w:szCs w:val="14"/>
          <w:color w:val="074A75"/>
        </w:rPr>
      </w:pPr>
    </w:p>
    <w:p>
      <w:pPr>
        <w:ind w:left="190" w:right="240" w:hanging="190"/>
        <w:spacing w:after="0" w:line="258"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Executive experience managing business operations and strategic planning allows Board members to effectively oversee the Firm’s complex worldwide operations</w:t>
      </w:r>
    </w:p>
    <w:p>
      <w:pPr>
        <w:spacing w:after="0" w:line="200" w:lineRule="exact"/>
        <w:rPr>
          <w:rFonts w:ascii="Arial" w:cs="Arial" w:eastAsia="Arial" w:hAnsi="Arial"/>
          <w:sz w:val="14"/>
          <w:szCs w:val="14"/>
          <w:color w:val="074A75"/>
        </w:rPr>
      </w:pPr>
    </w:p>
    <w:p>
      <w:pPr>
        <w:spacing w:after="0" w:line="317" w:lineRule="exact"/>
        <w:rPr>
          <w:rFonts w:ascii="Arial" w:cs="Arial" w:eastAsia="Arial" w:hAnsi="Arial"/>
          <w:sz w:val="14"/>
          <w:szCs w:val="14"/>
          <w:color w:val="074A75"/>
        </w:rPr>
      </w:pPr>
    </w:p>
    <w:p>
      <w:pPr>
        <w:ind w:left="190" w:right="80" w:hanging="190"/>
        <w:spacing w:after="0" w:line="247"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Experience in senior executive development, succession planning and compensation matters helps the Board to effectively oversee the Firm’s efforts to recruit, retain and develop key talent and provide valuable insight in determining compensation of the CEO and other executive officers</w:t>
      </w:r>
    </w:p>
    <w:p>
      <w:pPr>
        <w:spacing w:after="0" w:line="200" w:lineRule="exact"/>
        <w:rPr>
          <w:rFonts w:ascii="Arial" w:cs="Arial" w:eastAsia="Arial" w:hAnsi="Arial"/>
          <w:sz w:val="14"/>
          <w:szCs w:val="14"/>
          <w:color w:val="074A75"/>
        </w:rPr>
      </w:pPr>
    </w:p>
    <w:p>
      <w:pPr>
        <w:spacing w:after="0" w:line="365" w:lineRule="exact"/>
        <w:rPr>
          <w:rFonts w:ascii="Arial" w:cs="Arial" w:eastAsia="Arial" w:hAnsi="Arial"/>
          <w:sz w:val="14"/>
          <w:szCs w:val="14"/>
          <w:color w:val="074A75"/>
        </w:rPr>
      </w:pPr>
    </w:p>
    <w:p>
      <w:pPr>
        <w:ind w:left="190" w:right="20" w:hanging="190"/>
        <w:spacing w:after="0" w:line="247"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Knowledge of public company governance matters, policies and best practices assists the Board in considering and adopting applicable corporate governance practices, interacting with stakeholders and understanding the impact of various policies on the Firm’s functions</w:t>
      </w:r>
    </w:p>
    <w:p>
      <w:pPr>
        <w:spacing w:after="0" w:line="201" w:lineRule="exact"/>
        <w:rPr>
          <w:rFonts w:ascii="Arial" w:cs="Arial" w:eastAsia="Arial" w:hAnsi="Arial"/>
          <w:sz w:val="14"/>
          <w:szCs w:val="14"/>
          <w:color w:val="074A75"/>
        </w:rPr>
      </w:pPr>
    </w:p>
    <w:p>
      <w:pPr>
        <w:ind w:left="190" w:hanging="190"/>
        <w:spacing w:after="0" w:line="247"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Experience with or oversight of innovative technology, cybersecurity, information systems/data management, fintech or privacy is important in overseeing the security of the Firm’s operations, assets and systems as well as the Firm’s ongoing investment in and development of innovative technology</w:t>
      </w:r>
    </w:p>
    <w:p>
      <w:pPr>
        <w:spacing w:after="0" w:line="201" w:lineRule="exact"/>
        <w:rPr>
          <w:rFonts w:ascii="Arial" w:cs="Arial" w:eastAsia="Arial" w:hAnsi="Arial"/>
          <w:sz w:val="14"/>
          <w:szCs w:val="14"/>
          <w:color w:val="074A75"/>
        </w:rPr>
      </w:pPr>
    </w:p>
    <w:p>
      <w:pPr>
        <w:ind w:left="190" w:right="40" w:hanging="190"/>
        <w:spacing w:after="0" w:line="253"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Experience with regulated businesses, regulatory requirements and relationships with global regulators is important because the Firm operates in a heavily regulated industry</w:t>
      </w:r>
    </w:p>
    <w:p>
      <w:pPr>
        <w:spacing w:after="0" w:line="200" w:lineRule="exact"/>
        <w:rPr>
          <w:rFonts w:ascii="Arial" w:cs="Arial" w:eastAsia="Arial" w:hAnsi="Arial"/>
          <w:sz w:val="14"/>
          <w:szCs w:val="14"/>
          <w:color w:val="074A75"/>
        </w:rPr>
      </w:pPr>
    </w:p>
    <w:p>
      <w:pPr>
        <w:spacing w:after="0" w:line="324" w:lineRule="exact"/>
        <w:rPr>
          <w:rFonts w:ascii="Arial" w:cs="Arial" w:eastAsia="Arial" w:hAnsi="Arial"/>
          <w:sz w:val="14"/>
          <w:szCs w:val="14"/>
          <w:color w:val="074A75"/>
        </w:rPr>
      </w:pPr>
    </w:p>
    <w:p>
      <w:pPr>
        <w:ind w:left="190" w:right="120" w:hanging="190"/>
        <w:spacing w:after="0" w:line="249" w:lineRule="auto"/>
        <w:tabs>
          <w:tab w:leader="none" w:pos="181" w:val="left"/>
        </w:tabs>
        <w:numPr>
          <w:ilvl w:val="0"/>
          <w:numId w:val="37"/>
        </w:numPr>
        <w:rPr>
          <w:rFonts w:ascii="Arial" w:cs="Arial" w:eastAsia="Arial" w:hAnsi="Arial"/>
          <w:sz w:val="14"/>
          <w:szCs w:val="14"/>
          <w:color w:val="074A75"/>
        </w:rPr>
      </w:pPr>
      <w:r>
        <w:rPr>
          <w:rFonts w:ascii="Arial" w:cs="Arial" w:eastAsia="Arial" w:hAnsi="Arial"/>
          <w:sz w:val="14"/>
          <w:szCs w:val="14"/>
          <w:color w:val="auto"/>
        </w:rPr>
        <w:t>Skills and experience in assessment and management of business and financial risk factors allow the Board to effectively oversee risk management and understand the most significant risks facing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699135</wp:posOffset>
            </wp:positionV>
            <wp:extent cx="274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30" w:hanging="230"/>
        <w:spacing w:after="0"/>
        <w:tabs>
          <w:tab w:leader="none" w:pos="230" w:val="left"/>
        </w:tabs>
        <w:numPr>
          <w:ilvl w:val="0"/>
          <w:numId w:val="38"/>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91" w:lineRule="exact"/>
        <w:rPr>
          <w:rFonts w:ascii="Arial" w:cs="Arial" w:eastAsia="Arial" w:hAnsi="Arial"/>
          <w:sz w:val="15"/>
          <w:szCs w:val="15"/>
          <w:color w:val="074A75"/>
        </w:rPr>
      </w:pPr>
    </w:p>
    <w:p>
      <w:pPr>
        <w:ind w:left="10"/>
        <w:spacing w:after="0"/>
        <w:rPr>
          <w:rFonts w:ascii="Arial" w:cs="Arial" w:eastAsia="Arial" w:hAnsi="Arial"/>
          <w:sz w:val="15"/>
          <w:szCs w:val="15"/>
          <w:color w:val="074A75"/>
        </w:rPr>
      </w:pPr>
      <w:r>
        <w:rPr>
          <w:rFonts w:ascii="Arial" w:cs="Arial" w:eastAsia="Arial" w:hAnsi="Arial"/>
          <w:sz w:val="16"/>
          <w:szCs w:val="16"/>
          <w:color w:val="074A75"/>
        </w:rPr>
        <w:t>7 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80" w:lineRule="exact"/>
        <w:rPr>
          <w:rFonts w:ascii="Arial" w:cs="Arial" w:eastAsia="Arial" w:hAnsi="Arial"/>
          <w:sz w:val="15"/>
          <w:szCs w:val="15"/>
          <w:color w:val="074A75"/>
        </w:rPr>
      </w:pPr>
    </w:p>
    <w:p>
      <w:pPr>
        <w:ind w:left="10"/>
        <w:spacing w:after="0"/>
        <w:rPr>
          <w:rFonts w:ascii="Arial" w:cs="Arial" w:eastAsia="Arial" w:hAnsi="Arial"/>
          <w:sz w:val="15"/>
          <w:szCs w:val="15"/>
          <w:color w:val="074A75"/>
        </w:rPr>
      </w:pPr>
      <w:r>
        <w:rPr>
          <w:rFonts w:ascii="Arial" w:cs="Arial" w:eastAsia="Arial" w:hAnsi="Arial"/>
          <w:sz w:val="16"/>
          <w:szCs w:val="16"/>
          <w:color w:val="074A75"/>
        </w:rPr>
        <w:t>9 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80" w:lineRule="exact"/>
        <w:rPr>
          <w:rFonts w:ascii="Arial" w:cs="Arial" w:eastAsia="Arial" w:hAnsi="Arial"/>
          <w:sz w:val="15"/>
          <w:szCs w:val="15"/>
          <w:color w:val="074A75"/>
        </w:rPr>
      </w:pPr>
    </w:p>
    <w:p>
      <w:pPr>
        <w:ind w:left="230" w:hanging="230"/>
        <w:spacing w:after="0"/>
        <w:tabs>
          <w:tab w:leader="none" w:pos="230" w:val="left"/>
        </w:tabs>
        <w:numPr>
          <w:ilvl w:val="0"/>
          <w:numId w:val="39"/>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67" w:lineRule="exact"/>
        <w:rPr>
          <w:rFonts w:ascii="Arial" w:cs="Arial" w:eastAsia="Arial" w:hAnsi="Arial"/>
          <w:sz w:val="15"/>
          <w:szCs w:val="15"/>
          <w:color w:val="074A75"/>
        </w:rPr>
      </w:pPr>
    </w:p>
    <w:p>
      <w:pPr>
        <w:ind w:left="230" w:hanging="230"/>
        <w:spacing w:after="0"/>
        <w:tabs>
          <w:tab w:leader="none" w:pos="230" w:val="left"/>
        </w:tabs>
        <w:numPr>
          <w:ilvl w:val="0"/>
          <w:numId w:val="40"/>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-2141855</wp:posOffset>
            </wp:positionV>
            <wp:extent cx="1757680" cy="29146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57680" cy="29146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-2141855</wp:posOffset>
            </wp:positionV>
            <wp:extent cx="1757680" cy="29146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576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30" w:hanging="230"/>
        <w:spacing w:after="0"/>
        <w:tabs>
          <w:tab w:leader="none" w:pos="230" w:val="left"/>
        </w:tabs>
        <w:numPr>
          <w:ilvl w:val="0"/>
          <w:numId w:val="41"/>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91" w:lineRule="exact"/>
        <w:rPr>
          <w:rFonts w:ascii="Arial" w:cs="Arial" w:eastAsia="Arial" w:hAnsi="Arial"/>
          <w:sz w:val="15"/>
          <w:szCs w:val="15"/>
          <w:color w:val="074A75"/>
        </w:rPr>
      </w:pPr>
    </w:p>
    <w:p>
      <w:pPr>
        <w:ind w:left="10"/>
        <w:spacing w:after="0"/>
        <w:rPr>
          <w:rFonts w:ascii="Arial" w:cs="Arial" w:eastAsia="Arial" w:hAnsi="Arial"/>
          <w:sz w:val="15"/>
          <w:szCs w:val="15"/>
          <w:color w:val="074A75"/>
        </w:rPr>
      </w:pPr>
      <w:r>
        <w:rPr>
          <w:rFonts w:ascii="Arial" w:cs="Arial" w:eastAsia="Arial" w:hAnsi="Arial"/>
          <w:sz w:val="16"/>
          <w:szCs w:val="16"/>
          <w:color w:val="074A75"/>
        </w:rPr>
        <w:t>8 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80" w:lineRule="exact"/>
        <w:rPr>
          <w:rFonts w:ascii="Arial" w:cs="Arial" w:eastAsia="Arial" w:hAnsi="Arial"/>
          <w:sz w:val="15"/>
          <w:szCs w:val="15"/>
          <w:color w:val="074A75"/>
        </w:rPr>
      </w:pPr>
    </w:p>
    <w:p>
      <w:pPr>
        <w:ind w:left="230" w:hanging="230"/>
        <w:spacing w:after="0"/>
        <w:tabs>
          <w:tab w:leader="none" w:pos="230" w:val="left"/>
        </w:tabs>
        <w:numPr>
          <w:ilvl w:val="0"/>
          <w:numId w:val="42"/>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0" w:lineRule="exact"/>
        <w:rPr>
          <w:rFonts w:ascii="Arial" w:cs="Arial" w:eastAsia="Arial" w:hAnsi="Arial"/>
          <w:sz w:val="15"/>
          <w:szCs w:val="15"/>
          <w:color w:val="074A75"/>
        </w:rPr>
      </w:pPr>
    </w:p>
    <w:p>
      <w:pPr>
        <w:spacing w:after="0" w:line="200" w:lineRule="exact"/>
        <w:rPr>
          <w:rFonts w:ascii="Arial" w:cs="Arial" w:eastAsia="Arial" w:hAnsi="Arial"/>
          <w:sz w:val="15"/>
          <w:szCs w:val="15"/>
          <w:color w:val="074A75"/>
        </w:rPr>
      </w:pPr>
    </w:p>
    <w:p>
      <w:pPr>
        <w:spacing w:after="0" w:line="291" w:lineRule="exact"/>
        <w:rPr>
          <w:rFonts w:ascii="Arial" w:cs="Arial" w:eastAsia="Arial" w:hAnsi="Arial"/>
          <w:sz w:val="15"/>
          <w:szCs w:val="15"/>
          <w:color w:val="074A75"/>
        </w:rPr>
      </w:pPr>
    </w:p>
    <w:p>
      <w:pPr>
        <w:ind w:left="230" w:hanging="230"/>
        <w:spacing w:after="0"/>
        <w:tabs>
          <w:tab w:leader="none" w:pos="230" w:val="left"/>
        </w:tabs>
        <w:numPr>
          <w:ilvl w:val="0"/>
          <w:numId w:val="43"/>
        </w:numPr>
        <w:rPr>
          <w:rFonts w:ascii="Arial" w:cs="Arial" w:eastAsia="Arial" w:hAnsi="Arial"/>
          <w:sz w:val="15"/>
          <w:szCs w:val="15"/>
          <w:color w:val="074A75"/>
        </w:rPr>
      </w:pPr>
      <w:r>
        <w:rPr>
          <w:rFonts w:ascii="Arial" w:cs="Arial" w:eastAsia="Arial" w:hAnsi="Arial"/>
          <w:sz w:val="15"/>
          <w:szCs w:val="15"/>
          <w:color w:val="074A75"/>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-1481455</wp:posOffset>
            </wp:positionV>
            <wp:extent cx="1757680" cy="1585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57680" cy="15855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-1481455</wp:posOffset>
            </wp:positionV>
            <wp:extent cx="1757680" cy="1585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57680" cy="1585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400" w:space="230"/>
            <w:col w:w="5670" w:space="190"/>
            <w:col w:w="277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13  </w:t>
      </w:r>
      <w:r>
        <w:rPr>
          <w:sz w:val="1"/>
          <w:szCs w:val="1"/>
          <w:color w:val="auto"/>
        </w:rPr>
        <w:drawing>
          <wp:inline distT="0" distB="0" distL="0" distR="0">
            <wp:extent cx="2203450" cy="1543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197485</wp:posOffset>
            </wp:positionV>
            <wp:extent cx="8890" cy="33858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33858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213995</wp:posOffset>
            </wp:positionV>
            <wp:extent cx="737235" cy="900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7235" cy="90043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2013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color w:val="074A75"/>
        </w:rPr>
        <w:t>Linda B. Bammann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Deputy Head of Risk Management of JPMorgan Chase &amp; Co.</w:t>
      </w:r>
    </w:p>
    <w:p>
      <w:pPr>
        <w:spacing w:after="0" w:line="390"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Through her service on other boards, including as Chair of the Business and Risk Committee of the Federal Home Loan Mortgage Corporation and her management tenure at JPMorgan Chase and Bank One Corporation, Ms. Bammann has developed insight and wide-ranging experience in financial services and extensive expertise in risk management and regulatory issues.</w:t>
      </w:r>
    </w:p>
    <w:p>
      <w:pPr>
        <w:spacing w:after="0" w:line="202"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ind w:left="200" w:hanging="174"/>
        <w:spacing w:after="0"/>
        <w:tabs>
          <w:tab w:leader="none" w:pos="200"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Risk Committee (Chair)</w:t>
      </w:r>
    </w:p>
    <w:p>
      <w:pPr>
        <w:spacing w:after="0" w:line="5" w:lineRule="exact"/>
        <w:rPr>
          <w:rFonts w:ascii="Arial" w:cs="Arial" w:eastAsia="Arial" w:hAnsi="Arial"/>
          <w:sz w:val="16"/>
          <w:szCs w:val="16"/>
          <w:color w:val="074A75"/>
        </w:rPr>
      </w:pPr>
    </w:p>
    <w:p>
      <w:pPr>
        <w:ind w:left="180" w:hanging="154"/>
        <w:spacing w:after="0" w:line="253" w:lineRule="auto"/>
        <w:tabs>
          <w:tab w:leader="none" w:pos="182" w:val="left"/>
        </w:tabs>
        <w:numPr>
          <w:ilvl w:val="0"/>
          <w:numId w:val="44"/>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73" w:lineRule="exact"/>
        <w:rPr>
          <w:sz w:val="20"/>
          <w:szCs w:val="20"/>
          <w:color w:val="auto"/>
        </w:rPr>
      </w:pPr>
    </w:p>
    <w:p>
      <w:pPr>
        <w:ind w:left="20" w:right="460"/>
        <w:spacing w:after="0" w:line="259" w:lineRule="auto"/>
        <w:rPr>
          <w:sz w:val="20"/>
          <w:szCs w:val="20"/>
          <w:color w:val="auto"/>
        </w:rPr>
      </w:pPr>
      <w:r>
        <w:rPr>
          <w:rFonts w:ascii="Arial" w:cs="Arial" w:eastAsia="Arial" w:hAnsi="Arial"/>
          <w:sz w:val="16"/>
          <w:szCs w:val="16"/>
          <w:b w:val="1"/>
          <w:bCs w:val="1"/>
          <w:color w:val="074A75"/>
        </w:rPr>
        <w:t>Director Qualification Highlights</w:t>
      </w:r>
      <w:r>
        <w:rPr>
          <w:rFonts w:ascii="Arial" w:cs="Arial" w:eastAsia="Arial" w:hAnsi="Arial"/>
          <w:sz w:val="16"/>
          <w:szCs w:val="16"/>
          <w:color w:val="000000"/>
        </w:rPr>
        <w:t>:</w:t>
      </w:r>
    </w:p>
    <w:p>
      <w:pPr>
        <w:spacing w:after="0" w:line="1" w:lineRule="exact"/>
        <w:rPr>
          <w:sz w:val="20"/>
          <w:szCs w:val="20"/>
          <w:color w:val="auto"/>
        </w:rPr>
      </w:pPr>
    </w:p>
    <w:p>
      <w:pPr>
        <w:ind w:left="200" w:hanging="174"/>
        <w:spacing w:after="0"/>
        <w:tabs>
          <w:tab w:leader="none" w:pos="200"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ind w:left="200" w:hanging="174"/>
        <w:spacing w:after="0"/>
        <w:tabs>
          <w:tab w:leader="none" w:pos="200"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Regulated industries</w:t>
      </w:r>
    </w:p>
    <w:p>
      <w:pPr>
        <w:spacing w:after="0" w:line="5" w:lineRule="exact"/>
        <w:rPr>
          <w:rFonts w:ascii="Arial" w:cs="Arial" w:eastAsia="Arial" w:hAnsi="Arial"/>
          <w:sz w:val="16"/>
          <w:szCs w:val="16"/>
          <w:color w:val="074A75"/>
        </w:rPr>
      </w:pPr>
    </w:p>
    <w:p>
      <w:pPr>
        <w:ind w:left="180" w:right="320" w:hanging="154"/>
        <w:spacing w:after="0" w:line="260" w:lineRule="auto"/>
        <w:tabs>
          <w:tab w:leader="none" w:pos="182" w:val="left"/>
        </w:tabs>
        <w:numPr>
          <w:ilvl w:val="0"/>
          <w:numId w:val="45"/>
        </w:numPr>
        <w:rPr>
          <w:rFonts w:ascii="Arial" w:cs="Arial" w:eastAsia="Arial" w:hAnsi="Arial"/>
          <w:sz w:val="16"/>
          <w:szCs w:val="16"/>
          <w:color w:val="074A75"/>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688340</wp:posOffset>
            </wp:positionV>
            <wp:extent cx="737235" cy="900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7235"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9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47" w:lineRule="exact"/>
        <w:rPr>
          <w:sz w:val="20"/>
          <w:szCs w:val="20"/>
          <w:color w:val="auto"/>
        </w:rPr>
      </w:pPr>
    </w:p>
    <w:p>
      <w:pPr>
        <w:ind w:left="200" w:hanging="195"/>
        <w:spacing w:after="0"/>
        <w:tabs>
          <w:tab w:leader="none" w:pos="200"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Deputy Head of Risk Management (2004–2005)</w:t>
      </w:r>
    </w:p>
    <w:p>
      <w:pPr>
        <w:spacing w:after="0" w:line="86" w:lineRule="exact"/>
        <w:rPr>
          <w:rFonts w:ascii="Arial" w:cs="Arial" w:eastAsia="Arial" w:hAnsi="Arial"/>
          <w:sz w:val="16"/>
          <w:szCs w:val="16"/>
          <w:color w:val="074A75"/>
        </w:rPr>
      </w:pPr>
    </w:p>
    <w:p>
      <w:pPr>
        <w:ind w:left="200" w:right="140" w:hanging="195"/>
        <w:spacing w:after="0" w:line="260" w:lineRule="auto"/>
        <w:tabs>
          <w:tab w:leader="none" w:pos="197"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Chief Risk Management Officer and Executive Vice President, Bank One Corporation (2001–2004)</w:t>
      </w:r>
    </w:p>
    <w:p>
      <w:pPr>
        <w:spacing w:after="0" w:line="46" w:lineRule="exact"/>
        <w:rPr>
          <w:rFonts w:ascii="Arial" w:cs="Arial" w:eastAsia="Arial" w:hAnsi="Arial"/>
          <w:sz w:val="16"/>
          <w:szCs w:val="16"/>
          <w:color w:val="074A75"/>
        </w:rPr>
      </w:pPr>
    </w:p>
    <w:p>
      <w:pPr>
        <w:ind w:left="200" w:hanging="195"/>
        <w:spacing w:after="0" w:line="260" w:lineRule="auto"/>
        <w:tabs>
          <w:tab w:leader="none" w:pos="197" w:val="left"/>
        </w:tabs>
        <w:numPr>
          <w:ilvl w:val="0"/>
          <w:numId w:val="46"/>
        </w:numPr>
        <w:rPr>
          <w:rFonts w:ascii="Arial" w:cs="Arial" w:eastAsia="Arial" w:hAnsi="Arial"/>
          <w:sz w:val="16"/>
          <w:szCs w:val="16"/>
          <w:color w:val="074A75"/>
        </w:rPr>
      </w:pPr>
      <w:r>
        <w:rPr>
          <w:rFonts w:ascii="Arial" w:cs="Arial" w:eastAsia="Arial" w:hAnsi="Arial"/>
          <w:sz w:val="16"/>
          <w:szCs w:val="16"/>
          <w:color w:val="auto"/>
        </w:rPr>
        <w:t>Senior Managing Director, Banc One Capital Markets (2000–2001)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680085</wp:posOffset>
            </wp:positionV>
            <wp:extent cx="8890" cy="4097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4097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7" w:right="140"/>
        <w:spacing w:after="0" w:line="268"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28" w:lineRule="exact"/>
        <w:rPr>
          <w:sz w:val="20"/>
          <w:szCs w:val="20"/>
          <w:color w:val="auto"/>
        </w:rPr>
      </w:pPr>
    </w:p>
    <w:p>
      <w:pPr>
        <w:ind w:left="187" w:hanging="187"/>
        <w:spacing w:after="0"/>
        <w:tabs>
          <w:tab w:leader="none" w:pos="187" w:val="left"/>
        </w:tabs>
        <w:numPr>
          <w:ilvl w:val="0"/>
          <w:numId w:val="47"/>
        </w:numPr>
        <w:rPr>
          <w:rFonts w:ascii="Arial" w:cs="Arial" w:eastAsia="Arial" w:hAnsi="Arial"/>
          <w:sz w:val="16"/>
          <w:szCs w:val="16"/>
          <w:color w:val="074A75"/>
        </w:rPr>
      </w:pPr>
      <w:r>
        <w:rPr>
          <w:rFonts w:ascii="Arial" w:cs="Arial" w:eastAsia="Arial" w:hAnsi="Arial"/>
          <w:sz w:val="16"/>
          <w:szCs w:val="16"/>
          <w:color w:val="auto"/>
        </w:rPr>
        <w:t>None</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93" w:lineRule="exact"/>
        <w:rPr>
          <w:sz w:val="20"/>
          <w:szCs w:val="20"/>
          <w:color w:val="auto"/>
        </w:rPr>
      </w:pPr>
    </w:p>
    <w:p>
      <w:pPr>
        <w:ind w:left="187" w:hanging="187"/>
        <w:spacing w:after="0"/>
        <w:tabs>
          <w:tab w:leader="none" w:pos="187"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Former Board Member, Risk Management Association</w:t>
      </w:r>
    </w:p>
    <w:p>
      <w:pPr>
        <w:spacing w:after="0" w:line="59" w:lineRule="exact"/>
        <w:rPr>
          <w:rFonts w:ascii="Arial" w:cs="Arial" w:eastAsia="Arial" w:hAnsi="Arial"/>
          <w:sz w:val="16"/>
          <w:szCs w:val="16"/>
          <w:color w:val="074A75"/>
        </w:rPr>
      </w:pPr>
    </w:p>
    <w:p>
      <w:pPr>
        <w:ind w:left="187" w:right="740" w:hanging="187"/>
        <w:spacing w:after="0" w:line="242" w:lineRule="auto"/>
        <w:tabs>
          <w:tab w:leader="none" w:pos="184"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Former Chair, Loan Syndications and Trading Association</w:t>
      </w:r>
    </w:p>
    <w:p>
      <w:pPr>
        <w:spacing w:after="0" w:line="60" w:lineRule="exact"/>
        <w:rPr>
          <w:rFonts w:ascii="Arial" w:cs="Arial" w:eastAsia="Arial" w:hAnsi="Arial"/>
          <w:sz w:val="16"/>
          <w:szCs w:val="16"/>
          <w:color w:val="074A75"/>
        </w:rPr>
      </w:pPr>
    </w:p>
    <w:p>
      <w:pPr>
        <w:ind w:left="187" w:hanging="187"/>
        <w:spacing w:after="0"/>
        <w:tabs>
          <w:tab w:leader="none" w:pos="187" w:val="left"/>
        </w:tabs>
        <w:numPr>
          <w:ilvl w:val="0"/>
          <w:numId w:val="48"/>
        </w:numPr>
        <w:rPr>
          <w:rFonts w:ascii="Arial" w:cs="Arial" w:eastAsia="Arial" w:hAnsi="Arial"/>
          <w:sz w:val="16"/>
          <w:szCs w:val="16"/>
          <w:color w:val="074A75"/>
        </w:rPr>
      </w:pPr>
      <w:r>
        <w:rPr>
          <w:rFonts w:ascii="Arial" w:cs="Arial" w:eastAsia="Arial" w:hAnsi="Arial"/>
          <w:sz w:val="16"/>
          <w:szCs w:val="16"/>
          <w:color w:val="auto"/>
        </w:rPr>
        <w:t>Board Member, Travis Mills Foundation</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79" w:lineRule="exact"/>
        <w:rPr>
          <w:sz w:val="20"/>
          <w:szCs w:val="20"/>
          <w:color w:val="auto"/>
        </w:rPr>
      </w:pPr>
    </w:p>
    <w:p>
      <w:pPr>
        <w:ind w:left="187" w:hanging="187"/>
        <w:spacing w:after="0"/>
        <w:tabs>
          <w:tab w:leader="none" w:pos="187" w:val="left"/>
        </w:tabs>
        <w:numPr>
          <w:ilvl w:val="0"/>
          <w:numId w:val="49"/>
        </w:numPr>
        <w:rPr>
          <w:rFonts w:ascii="Arial" w:cs="Arial" w:eastAsia="Arial" w:hAnsi="Arial"/>
          <w:sz w:val="16"/>
          <w:szCs w:val="16"/>
          <w:color w:val="074A75"/>
        </w:rPr>
      </w:pPr>
      <w:r>
        <w:rPr>
          <w:rFonts w:ascii="Arial" w:cs="Arial" w:eastAsia="Arial" w:hAnsi="Arial"/>
          <w:sz w:val="16"/>
          <w:szCs w:val="16"/>
          <w:color w:val="auto"/>
        </w:rPr>
        <w:t>Graduate of Stanford University</w:t>
      </w:r>
    </w:p>
    <w:p>
      <w:pPr>
        <w:spacing w:after="0" w:line="59" w:lineRule="exact"/>
        <w:rPr>
          <w:rFonts w:ascii="Arial" w:cs="Arial" w:eastAsia="Arial" w:hAnsi="Arial"/>
          <w:sz w:val="16"/>
          <w:szCs w:val="16"/>
          <w:color w:val="074A75"/>
        </w:rPr>
      </w:pPr>
    </w:p>
    <w:p>
      <w:pPr>
        <w:ind w:left="187" w:hanging="187"/>
        <w:spacing w:after="0"/>
        <w:tabs>
          <w:tab w:leader="none" w:pos="187" w:val="left"/>
        </w:tabs>
        <w:numPr>
          <w:ilvl w:val="0"/>
          <w:numId w:val="49"/>
        </w:numPr>
        <w:rPr>
          <w:rFonts w:ascii="Arial" w:cs="Arial" w:eastAsia="Arial" w:hAnsi="Arial"/>
          <w:sz w:val="16"/>
          <w:szCs w:val="16"/>
          <w:color w:val="074A75"/>
        </w:rPr>
      </w:pPr>
      <w:r>
        <w:rPr>
          <w:rFonts w:ascii="Arial" w:cs="Arial" w:eastAsia="Arial" w:hAnsi="Arial"/>
          <w:sz w:val="16"/>
          <w:szCs w:val="16"/>
          <w:color w:val="auto"/>
        </w:rPr>
        <w:t>M.A., Public Policy, University of Michigan</w:t>
      </w:r>
    </w:p>
    <w:p>
      <w:pPr>
        <w:spacing w:after="0" w:line="200" w:lineRule="exact"/>
        <w:rPr>
          <w:sz w:val="20"/>
          <w:szCs w:val="20"/>
          <w:color w:val="auto"/>
        </w:rPr>
      </w:pPr>
    </w:p>
    <w:p>
      <w:pPr>
        <w:sectPr>
          <w:pgSz w:w="11900" w:h="16838" w:orient="portrait"/>
          <w:cols w:equalWidth="0" w:num="3">
            <w:col w:w="2140" w:space="540"/>
            <w:col w:w="4000" w:space="393"/>
            <w:col w:w="4187"/>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62</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Compensation &amp;</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3"/>
          <w:szCs w:val="43"/>
          <w:color w:val="074A75"/>
        </w:rPr>
        <w:t xml:space="preserve">Stephen B. Burke </w:t>
      </w:r>
      <w:r>
        <w:rPr>
          <w:rFonts w:ascii="Arial" w:cs="Arial" w:eastAsia="Arial" w:hAnsi="Arial"/>
          <w:sz w:val="30"/>
          <w:szCs w:val="30"/>
          <w:color w:val="074A75"/>
        </w:rPr>
        <w:t>(Lead Independent Director)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NBCUniversal, LLC</w:t>
      </w:r>
    </w:p>
    <w:p>
      <w:pPr>
        <w:spacing w:after="0" w:line="28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Mr. Burke’s roles at Comcast Corporation and his prior work at other large global media corporations have given him broad exposure to the challenges associated with managing large and diverse businesses. In these roles, he has dealt with a variety of issues including audit and financial reporting, risk management, executive compensation, sales and marketing, technology and operations. These experiences have also provided Mr. Burke a background in regulated industries and international business. Mr. Burke retired from his executive and board positions at NBCUniversal and Comcast in 2020.</w:t>
      </w:r>
    </w:p>
    <w:p>
      <w:pPr>
        <w:spacing w:after="0" w:line="285" w:lineRule="exact"/>
        <w:rPr>
          <w:sz w:val="20"/>
          <w:szCs w:val="20"/>
          <w:color w:val="auto"/>
        </w:rPr>
      </w:pPr>
    </w:p>
    <w:p>
      <w:pPr>
        <w:sectPr>
          <w:pgSz w:w="11900" w:h="16838" w:orient="portrait"/>
          <w:cols w:equalWidth="0" w:num="2">
            <w:col w:w="2140" w:space="540"/>
            <w:col w:w="8580"/>
          </w:cols>
          <w:pgMar w:left="320" w:top="171" w:right="31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Committee (Chair)</w:t>
      </w:r>
    </w:p>
    <w:p>
      <w:pPr>
        <w:spacing w:after="0" w:line="5" w:lineRule="exact"/>
        <w:rPr>
          <w:sz w:val="20"/>
          <w:szCs w:val="20"/>
          <w:color w:val="auto"/>
        </w:rPr>
      </w:pPr>
    </w:p>
    <w:p>
      <w:pPr>
        <w:jc w:val="center"/>
        <w:ind w:left="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Corporate Governance &amp;</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Nominating Committee</w:t>
      </w:r>
    </w:p>
    <w:p>
      <w:pPr>
        <w:spacing w:after="0" w:line="93" w:lineRule="exact"/>
        <w:rPr>
          <w:sz w:val="20"/>
          <w:szCs w:val="20"/>
          <w:color w:val="auto"/>
        </w:rPr>
      </w:pPr>
    </w:p>
    <w:p>
      <w:pPr>
        <w:ind w:left="20" w:right="32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50"/>
        </w:numPr>
        <w:rPr>
          <w:rFonts w:ascii="Arial" w:cs="Arial" w:eastAsia="Arial" w:hAnsi="Arial"/>
          <w:sz w:val="16"/>
          <w:szCs w:val="16"/>
          <w:color w:val="074A75"/>
        </w:rPr>
      </w:pPr>
      <w:r>
        <w:rPr>
          <w:rFonts w:ascii="Arial" w:cs="Arial" w:eastAsia="Arial" w:hAnsi="Arial"/>
          <w:sz w:val="16"/>
          <w:szCs w:val="16"/>
          <w:color w:val="auto"/>
        </w:rPr>
        <w:t>Finance and accounting</w:t>
      </w:r>
    </w:p>
    <w:p>
      <w:pPr>
        <w:spacing w:after="0" w:line="5" w:lineRule="exact"/>
        <w:rPr>
          <w:rFonts w:ascii="Arial" w:cs="Arial" w:eastAsia="Arial" w:hAnsi="Arial"/>
          <w:sz w:val="16"/>
          <w:szCs w:val="16"/>
          <w:color w:val="074A75"/>
        </w:rPr>
      </w:pPr>
    </w:p>
    <w:p>
      <w:pPr>
        <w:jc w:val="both"/>
        <w:ind w:left="180" w:right="240" w:hanging="154"/>
        <w:spacing w:after="0" w:line="246" w:lineRule="auto"/>
        <w:tabs>
          <w:tab w:leader="none" w:pos="182" w:val="left"/>
        </w:tabs>
        <w:numPr>
          <w:ilvl w:val="0"/>
          <w:numId w:val="50"/>
        </w:numPr>
        <w:rPr>
          <w:rFonts w:ascii="Arial" w:cs="Arial" w:eastAsia="Arial" w:hAnsi="Arial"/>
          <w:sz w:val="16"/>
          <w:szCs w:val="16"/>
          <w:color w:val="074A75"/>
        </w:rPr>
      </w:pPr>
      <w:r>
        <w:rPr>
          <w:rFonts w:ascii="Arial" w:cs="Arial" w:eastAsia="Arial" w:hAnsi="Arial"/>
          <w:sz w:val="16"/>
          <w:szCs w:val="16"/>
          <w:color w:val="auto"/>
        </w:rPr>
        <w:t>Leadership of a large, complex organization</w:t>
      </w:r>
    </w:p>
    <w:p>
      <w:pPr>
        <w:ind w:left="200" w:hanging="174"/>
        <w:spacing w:after="0"/>
        <w:tabs>
          <w:tab w:leader="none" w:pos="200" w:val="left"/>
        </w:tabs>
        <w:numPr>
          <w:ilvl w:val="0"/>
          <w:numId w:val="50"/>
        </w:numPr>
        <w:rPr>
          <w:rFonts w:ascii="Arial" w:cs="Arial" w:eastAsia="Arial" w:hAnsi="Arial"/>
          <w:sz w:val="16"/>
          <w:szCs w:val="16"/>
          <w:color w:val="074A75"/>
        </w:rPr>
      </w:pPr>
      <w:r>
        <w:rPr>
          <w:rFonts w:ascii="Arial" w:cs="Arial" w:eastAsia="Arial" w:hAnsi="Arial"/>
          <w:sz w:val="16"/>
          <w:szCs w:val="16"/>
          <w:color w:val="auto"/>
        </w:rPr>
        <w:t>Regulated industries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93"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Comcast Corporation/NBCUniversal, LLC, leading providers of entertainment, information and communication products and services</w:t>
      </w:r>
    </w:p>
    <w:p>
      <w:pPr>
        <w:spacing w:after="0" w:line="53" w:lineRule="exact"/>
        <w:rPr>
          <w:sz w:val="20"/>
          <w:szCs w:val="20"/>
          <w:color w:val="auto"/>
        </w:rPr>
      </w:pPr>
    </w:p>
    <w:p>
      <w:pPr>
        <w:ind w:left="200" w:hanging="195"/>
        <w:spacing w:after="0"/>
        <w:tabs>
          <w:tab w:leader="none" w:pos="200"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Senior Advisor, Comcast Corporation (since 2021)</w:t>
      </w:r>
    </w:p>
    <w:p>
      <w:pPr>
        <w:spacing w:after="0" w:line="113" w:lineRule="exact"/>
        <w:rPr>
          <w:rFonts w:ascii="Arial" w:cs="Arial" w:eastAsia="Arial" w:hAnsi="Arial"/>
          <w:sz w:val="16"/>
          <w:szCs w:val="16"/>
          <w:color w:val="074A75"/>
        </w:rPr>
      </w:pPr>
    </w:p>
    <w:p>
      <w:pPr>
        <w:ind w:left="200" w:right="240" w:hanging="195"/>
        <w:spacing w:after="0" w:line="260" w:lineRule="auto"/>
        <w:tabs>
          <w:tab w:leader="none" w:pos="197"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Chairman of NBCUniversal, LLC and NBCUniversal Media, LLC (2020)</w:t>
      </w:r>
    </w:p>
    <w:p>
      <w:pPr>
        <w:spacing w:after="0" w:line="87" w:lineRule="exact"/>
        <w:rPr>
          <w:rFonts w:ascii="Arial" w:cs="Arial" w:eastAsia="Arial" w:hAnsi="Arial"/>
          <w:sz w:val="16"/>
          <w:szCs w:val="16"/>
          <w:color w:val="074A75"/>
        </w:rPr>
      </w:pPr>
    </w:p>
    <w:p>
      <w:pPr>
        <w:ind w:left="200" w:hanging="195"/>
        <w:spacing w:after="0" w:line="260" w:lineRule="auto"/>
        <w:tabs>
          <w:tab w:leader="none" w:pos="197"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Senior executive officer of Comcast Corporation (2011-2020)</w:t>
      </w:r>
    </w:p>
    <w:p>
      <w:pPr>
        <w:spacing w:after="0" w:line="60" w:lineRule="exact"/>
        <w:rPr>
          <w:rFonts w:ascii="Arial" w:cs="Arial" w:eastAsia="Arial" w:hAnsi="Arial"/>
          <w:sz w:val="16"/>
          <w:szCs w:val="16"/>
          <w:color w:val="074A75"/>
        </w:rPr>
      </w:pPr>
    </w:p>
    <w:p>
      <w:pPr>
        <w:ind w:left="200" w:right="280" w:hanging="195"/>
        <w:spacing w:after="0" w:line="253" w:lineRule="auto"/>
        <w:tabs>
          <w:tab w:leader="none" w:pos="197"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Chief Executive Officer and President of NBCUniversal, LLC and NBCUniversal Media, LLC (2011-2019)</w:t>
      </w:r>
    </w:p>
    <w:p>
      <w:pPr>
        <w:spacing w:after="0" w:line="52" w:lineRule="exact"/>
        <w:rPr>
          <w:rFonts w:ascii="Arial" w:cs="Arial" w:eastAsia="Arial" w:hAnsi="Arial"/>
          <w:sz w:val="16"/>
          <w:szCs w:val="16"/>
          <w:color w:val="074A75"/>
        </w:rPr>
      </w:pPr>
    </w:p>
    <w:p>
      <w:pPr>
        <w:ind w:left="200" w:hanging="195"/>
        <w:spacing w:after="0"/>
        <w:tabs>
          <w:tab w:leader="none" w:pos="200"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Chief Operating Officer, Comcast (2004–2011)</w:t>
      </w:r>
    </w:p>
    <w:p>
      <w:pPr>
        <w:spacing w:after="0" w:line="72" w:lineRule="exact"/>
        <w:rPr>
          <w:rFonts w:ascii="Arial" w:cs="Arial" w:eastAsia="Arial" w:hAnsi="Arial"/>
          <w:sz w:val="16"/>
          <w:szCs w:val="16"/>
          <w:color w:val="074A75"/>
        </w:rPr>
      </w:pPr>
    </w:p>
    <w:p>
      <w:pPr>
        <w:ind w:left="200" w:right="500" w:hanging="195"/>
        <w:spacing w:after="0" w:line="260" w:lineRule="auto"/>
        <w:tabs>
          <w:tab w:leader="none" w:pos="197" w:val="left"/>
        </w:tabs>
        <w:numPr>
          <w:ilvl w:val="0"/>
          <w:numId w:val="51"/>
        </w:numPr>
        <w:rPr>
          <w:rFonts w:ascii="Arial" w:cs="Arial" w:eastAsia="Arial" w:hAnsi="Arial"/>
          <w:sz w:val="16"/>
          <w:szCs w:val="16"/>
          <w:color w:val="074A75"/>
        </w:rPr>
      </w:pPr>
      <w:r>
        <w:rPr>
          <w:rFonts w:ascii="Arial" w:cs="Arial" w:eastAsia="Arial" w:hAnsi="Arial"/>
          <w:sz w:val="16"/>
          <w:szCs w:val="16"/>
          <w:color w:val="auto"/>
        </w:rPr>
        <w:t>President, Comcast Cable Communications Inc. (1998–2010)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7" w:right="140"/>
        <w:spacing w:after="0" w:line="28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27" w:lineRule="exact"/>
        <w:rPr>
          <w:sz w:val="20"/>
          <w:szCs w:val="20"/>
          <w:color w:val="auto"/>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Berkshire Hathaway Inc. (since 2009)</w:t>
      </w:r>
    </w:p>
    <w:p>
      <w:pPr>
        <w:spacing w:after="0" w:line="52" w:lineRule="exact"/>
        <w:rPr>
          <w:rFonts w:ascii="Arial" w:cs="Arial" w:eastAsia="Arial" w:hAnsi="Arial"/>
          <w:sz w:val="16"/>
          <w:szCs w:val="16"/>
          <w:color w:val="074A75"/>
        </w:rPr>
      </w:pPr>
    </w:p>
    <w:p>
      <w:pPr>
        <w:ind w:left="7"/>
        <w:spacing w:after="0"/>
        <w:rPr>
          <w:rFonts w:ascii="Arial" w:cs="Arial" w:eastAsia="Arial" w:hAnsi="Arial"/>
          <w:sz w:val="16"/>
          <w:szCs w:val="16"/>
          <w:color w:val="074A75"/>
        </w:rPr>
      </w:pPr>
      <w:r>
        <w:rPr>
          <w:rFonts w:ascii="Arial" w:cs="Arial" w:eastAsia="Arial" w:hAnsi="Arial"/>
          <w:sz w:val="16"/>
          <w:szCs w:val="16"/>
          <w:b w:val="1"/>
          <w:bCs w:val="1"/>
          <w:color w:val="074A75"/>
        </w:rPr>
        <w:t>Education</w:t>
      </w:r>
    </w:p>
    <w:p>
      <w:pPr>
        <w:spacing w:after="0" w:line="106" w:lineRule="exact"/>
        <w:rPr>
          <w:rFonts w:ascii="Arial" w:cs="Arial" w:eastAsia="Arial" w:hAnsi="Arial"/>
          <w:sz w:val="16"/>
          <w:szCs w:val="16"/>
          <w:color w:val="074A75"/>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Graduate of Colgate University</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52"/>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2210" w:lineRule="exact"/>
        <w:rPr>
          <w:sz w:val="20"/>
          <w:szCs w:val="20"/>
          <w:color w:val="auto"/>
        </w:rPr>
      </w:pPr>
    </w:p>
    <w:p>
      <w:pPr>
        <w:sectPr>
          <w:pgSz w:w="11900" w:h="16838" w:orient="portrait"/>
          <w:cols w:equalWidth="0" w:num="3">
            <w:col w:w="2000" w:space="680"/>
            <w:col w:w="4140" w:space="253"/>
            <w:col w:w="4187"/>
          </w:cols>
          <w:pgMar w:left="320" w:top="171" w:right="319" w:bottom="1440" w:gutter="0" w:footer="0" w:header="0"/>
          <w:type w:val="continuous"/>
        </w:sect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197485</wp:posOffset>
            </wp:positionV>
            <wp:extent cx="8890" cy="3334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333438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265430</wp:posOffset>
            </wp:positionV>
            <wp:extent cx="737235" cy="908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43"/>
          <w:szCs w:val="43"/>
          <w:color w:val="074A75"/>
        </w:rPr>
        <w:t>Todd A. Combs</w:t>
      </w:r>
    </w:p>
    <w:p>
      <w:pPr>
        <w:spacing w:after="0" w:line="14" w:lineRule="exact"/>
        <w:rPr>
          <w:sz w:val="20"/>
          <w:szCs w:val="20"/>
          <w:color w:val="auto"/>
        </w:rPr>
      </w:pPr>
    </w:p>
    <w:p>
      <w:pPr>
        <w:ind w:right="540"/>
        <w:spacing w:after="0" w:line="249" w:lineRule="auto"/>
        <w:rPr>
          <w:sz w:val="20"/>
          <w:szCs w:val="20"/>
          <w:color w:val="auto"/>
        </w:rPr>
      </w:pPr>
      <w:r>
        <w:rPr>
          <w:rFonts w:ascii="Arial" w:cs="Arial" w:eastAsia="Arial" w:hAnsi="Arial"/>
          <w:sz w:val="22"/>
          <w:szCs w:val="22"/>
          <w:i w:val="1"/>
          <w:iCs w:val="1"/>
          <w:color w:val="074A75"/>
        </w:rPr>
        <w:t>President and Chief Executive Officer of GEICO and Investment Officer at Berkshire Hathaway Inc.</w:t>
      </w:r>
    </w:p>
    <w:p>
      <w:pPr>
        <w:spacing w:after="0" w:line="253"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Mr. Combs’ roles have provided him with extensive experience in financial markets, risk assessment and regulatory matters. His service on three of Berkshire Hathaway’s subsidiary boards has given him expertise and insight into matters such as corporate governance, strategy, succession planning and compensation.</w:t>
      </w:r>
    </w:p>
    <w:p>
      <w:pPr>
        <w:spacing w:after="0" w:line="275"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180" w:right="140" w:hanging="154"/>
        <w:spacing w:after="0" w:line="246" w:lineRule="auto"/>
        <w:tabs>
          <w:tab w:leader="none" w:pos="182"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Corporate Governance &amp; Nominating Committee (Chair)</w:t>
      </w:r>
    </w:p>
    <w:p>
      <w:pPr>
        <w:spacing w:after="0" w:line="1" w:lineRule="exact"/>
        <w:rPr>
          <w:rFonts w:ascii="Arial" w:cs="Arial" w:eastAsia="Arial" w:hAnsi="Arial"/>
          <w:sz w:val="16"/>
          <w:szCs w:val="16"/>
          <w:color w:val="074A75"/>
        </w:rPr>
      </w:pPr>
    </w:p>
    <w:p>
      <w:pPr>
        <w:ind w:left="180" w:hanging="154"/>
        <w:spacing w:after="0" w:line="253" w:lineRule="auto"/>
        <w:tabs>
          <w:tab w:leader="none" w:pos="182" w:val="left"/>
        </w:tabs>
        <w:numPr>
          <w:ilvl w:val="0"/>
          <w:numId w:val="53"/>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73" w:lineRule="exact"/>
        <w:rPr>
          <w:sz w:val="20"/>
          <w:szCs w:val="20"/>
          <w:color w:val="auto"/>
        </w:rPr>
      </w:pPr>
    </w:p>
    <w:p>
      <w:pPr>
        <w:ind w:left="20" w:right="46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ind w:left="200" w:hanging="174"/>
        <w:spacing w:after="0"/>
        <w:tabs>
          <w:tab w:leader="none" w:pos="200"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Regulated industries</w:t>
      </w:r>
    </w:p>
    <w:p>
      <w:pPr>
        <w:spacing w:after="0" w:line="5" w:lineRule="exact"/>
        <w:rPr>
          <w:rFonts w:ascii="Arial" w:cs="Arial" w:eastAsia="Arial" w:hAnsi="Arial"/>
          <w:sz w:val="16"/>
          <w:szCs w:val="16"/>
          <w:color w:val="074A75"/>
        </w:rPr>
      </w:pPr>
    </w:p>
    <w:p>
      <w:pPr>
        <w:ind w:left="180" w:right="320" w:hanging="154"/>
        <w:spacing w:after="0" w:line="260" w:lineRule="auto"/>
        <w:tabs>
          <w:tab w:leader="none" w:pos="182" w:val="left"/>
        </w:tabs>
        <w:numPr>
          <w:ilvl w:val="0"/>
          <w:numId w:val="54"/>
        </w:numPr>
        <w:rPr>
          <w:rFonts w:ascii="Arial" w:cs="Arial" w:eastAsia="Arial" w:hAnsi="Arial"/>
          <w:sz w:val="16"/>
          <w:szCs w:val="16"/>
          <w:color w:val="074A75"/>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388620</wp:posOffset>
            </wp:positionV>
            <wp:extent cx="737235" cy="908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9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Berkshire Hathaway Inc., a holding company whose subsidiaries engage in a number of diverse business activities including finance, insurance and reinsurance, utilities and energy, freight rail transportation, manufacturing, retailing and other services</w:t>
      </w:r>
    </w:p>
    <w:p>
      <w:pPr>
        <w:spacing w:after="0" w:line="54" w:lineRule="exact"/>
        <w:rPr>
          <w:sz w:val="20"/>
          <w:szCs w:val="20"/>
          <w:color w:val="auto"/>
        </w:rPr>
      </w:pPr>
    </w:p>
    <w:p>
      <w:pPr>
        <w:ind w:left="200" w:hanging="195"/>
        <w:spacing w:after="0"/>
        <w:tabs>
          <w:tab w:leader="none" w:pos="200" w:val="left"/>
        </w:tabs>
        <w:numPr>
          <w:ilvl w:val="0"/>
          <w:numId w:val="55"/>
        </w:numPr>
        <w:rPr>
          <w:rFonts w:ascii="Arial" w:cs="Arial" w:eastAsia="Arial" w:hAnsi="Arial"/>
          <w:sz w:val="16"/>
          <w:szCs w:val="16"/>
          <w:color w:val="074A75"/>
        </w:rPr>
      </w:pPr>
      <w:r>
        <w:rPr>
          <w:rFonts w:ascii="Arial" w:cs="Arial" w:eastAsia="Arial" w:hAnsi="Arial"/>
          <w:sz w:val="16"/>
          <w:szCs w:val="16"/>
          <w:color w:val="auto"/>
        </w:rPr>
        <w:t>President and CEO, GEICO (since 2020)</w:t>
      </w:r>
    </w:p>
    <w:p>
      <w:pPr>
        <w:spacing w:after="0" w:line="59" w:lineRule="exact"/>
        <w:rPr>
          <w:rFonts w:ascii="Arial" w:cs="Arial" w:eastAsia="Arial" w:hAnsi="Arial"/>
          <w:sz w:val="16"/>
          <w:szCs w:val="16"/>
          <w:color w:val="074A75"/>
        </w:rPr>
      </w:pPr>
    </w:p>
    <w:p>
      <w:pPr>
        <w:ind w:left="200" w:hanging="195"/>
        <w:spacing w:after="0"/>
        <w:tabs>
          <w:tab w:leader="none" w:pos="200" w:val="left"/>
        </w:tabs>
        <w:numPr>
          <w:ilvl w:val="0"/>
          <w:numId w:val="55"/>
        </w:numPr>
        <w:rPr>
          <w:rFonts w:ascii="Arial" w:cs="Arial" w:eastAsia="Arial" w:hAnsi="Arial"/>
          <w:sz w:val="16"/>
          <w:szCs w:val="16"/>
          <w:color w:val="074A75"/>
        </w:rPr>
      </w:pPr>
      <w:r>
        <w:rPr>
          <w:rFonts w:ascii="Arial" w:cs="Arial" w:eastAsia="Arial" w:hAnsi="Arial"/>
          <w:sz w:val="16"/>
          <w:szCs w:val="16"/>
          <w:color w:val="auto"/>
        </w:rPr>
        <w:t>Investment Officer (since 2010)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Castle Point Capital Management</w:t>
      </w:r>
    </w:p>
    <w:p>
      <w:pPr>
        <w:spacing w:after="0" w:line="59" w:lineRule="exact"/>
        <w:rPr>
          <w:sz w:val="20"/>
          <w:szCs w:val="20"/>
          <w:color w:val="auto"/>
        </w:rPr>
      </w:pPr>
    </w:p>
    <w:p>
      <w:pPr>
        <w:ind w:left="200" w:hanging="195"/>
        <w:spacing w:after="0"/>
        <w:tabs>
          <w:tab w:leader="none" w:pos="200" w:val="left"/>
        </w:tabs>
        <w:numPr>
          <w:ilvl w:val="0"/>
          <w:numId w:val="56"/>
        </w:numPr>
        <w:rPr>
          <w:rFonts w:ascii="Arial" w:cs="Arial" w:eastAsia="Arial" w:hAnsi="Arial"/>
          <w:sz w:val="16"/>
          <w:szCs w:val="16"/>
          <w:color w:val="074A75"/>
        </w:rPr>
      </w:pPr>
      <w:r>
        <w:rPr>
          <w:rFonts w:ascii="Arial" w:cs="Arial" w:eastAsia="Arial" w:hAnsi="Arial"/>
          <w:sz w:val="16"/>
          <w:szCs w:val="16"/>
          <w:color w:val="auto"/>
        </w:rPr>
        <w:t>CEO and Managing Member (2005–2010)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516255</wp:posOffset>
            </wp:positionV>
            <wp:extent cx="8890" cy="384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384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7" w:right="140"/>
        <w:spacing w:after="0" w:line="28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27" w:lineRule="exact"/>
        <w:rPr>
          <w:sz w:val="20"/>
          <w:szCs w:val="20"/>
          <w:color w:val="auto"/>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None</w:t>
      </w:r>
    </w:p>
    <w:p>
      <w:pPr>
        <w:spacing w:after="0" w:line="52" w:lineRule="exact"/>
        <w:rPr>
          <w:rFonts w:ascii="Arial" w:cs="Arial" w:eastAsia="Arial" w:hAnsi="Arial"/>
          <w:sz w:val="16"/>
          <w:szCs w:val="16"/>
          <w:color w:val="074A75"/>
        </w:rPr>
      </w:pPr>
    </w:p>
    <w:p>
      <w:pPr>
        <w:ind w:left="7"/>
        <w:spacing w:after="0"/>
        <w:rPr>
          <w:rFonts w:ascii="Arial" w:cs="Arial" w:eastAsia="Arial" w:hAnsi="Arial"/>
          <w:sz w:val="16"/>
          <w:szCs w:val="16"/>
          <w:color w:val="074A75"/>
        </w:rPr>
      </w:pPr>
      <w:r>
        <w:rPr>
          <w:rFonts w:ascii="Arial" w:cs="Arial" w:eastAsia="Arial" w:hAnsi="Arial"/>
          <w:sz w:val="16"/>
          <w:szCs w:val="16"/>
          <w:b w:val="1"/>
          <w:bCs w:val="1"/>
          <w:color w:val="074A75"/>
        </w:rPr>
        <w:t>Education</w:t>
      </w:r>
    </w:p>
    <w:p>
      <w:pPr>
        <w:spacing w:after="0" w:line="106" w:lineRule="exact"/>
        <w:rPr>
          <w:rFonts w:ascii="Arial" w:cs="Arial" w:eastAsia="Arial" w:hAnsi="Arial"/>
          <w:sz w:val="16"/>
          <w:szCs w:val="16"/>
          <w:color w:val="074A75"/>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Graduate of Florida State University</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57"/>
        </w:numPr>
        <w:rPr>
          <w:rFonts w:ascii="Arial" w:cs="Arial" w:eastAsia="Arial" w:hAnsi="Arial"/>
          <w:sz w:val="16"/>
          <w:szCs w:val="16"/>
          <w:color w:val="074A75"/>
        </w:rPr>
      </w:pPr>
      <w:r>
        <w:rPr>
          <w:rFonts w:ascii="Arial" w:cs="Arial" w:eastAsia="Arial" w:hAnsi="Arial"/>
          <w:sz w:val="16"/>
          <w:szCs w:val="16"/>
          <w:color w:val="auto"/>
        </w:rPr>
        <w:t>M.B.A., Columbia Business School</w:t>
      </w:r>
    </w:p>
    <w:p>
      <w:pPr>
        <w:spacing w:after="0" w:line="1278" w:lineRule="exact"/>
        <w:rPr>
          <w:sz w:val="20"/>
          <w:szCs w:val="20"/>
          <w:color w:val="auto"/>
        </w:rPr>
      </w:pPr>
    </w:p>
    <w:p>
      <w:pPr>
        <w:sectPr>
          <w:pgSz w:w="11900" w:h="16838" w:orient="portrait"/>
          <w:cols w:equalWidth="0" w:num="3">
            <w:col w:w="2140" w:space="540"/>
            <w:col w:w="3920" w:space="473"/>
            <w:col w:w="4187"/>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67</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180" w:right="420" w:hanging="154"/>
        <w:spacing w:after="0" w:line="246" w:lineRule="auto"/>
        <w:tabs>
          <w:tab w:leader="none" w:pos="182"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Public Responsibility Committee (Chair)</w:t>
      </w:r>
    </w:p>
    <w:p>
      <w:pPr>
        <w:ind w:left="200" w:hanging="174"/>
        <w:spacing w:after="0"/>
        <w:tabs>
          <w:tab w:leader="none" w:pos="200" w:val="left"/>
        </w:tabs>
        <w:numPr>
          <w:ilvl w:val="0"/>
          <w:numId w:val="58"/>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53" w:lineRule="exact"/>
        <w:rPr>
          <w:sz w:val="20"/>
          <w:szCs w:val="20"/>
          <w:color w:val="auto"/>
        </w:rPr>
      </w:pPr>
    </w:p>
    <w:p>
      <w:pPr>
        <w:ind w:left="20" w:right="42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59"/>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ind w:left="180" w:hanging="154"/>
        <w:spacing w:after="0" w:line="246" w:lineRule="auto"/>
        <w:tabs>
          <w:tab w:leader="none" w:pos="182" w:val="left"/>
        </w:tabs>
        <w:numPr>
          <w:ilvl w:val="0"/>
          <w:numId w:val="59"/>
        </w:numPr>
        <w:rPr>
          <w:rFonts w:ascii="Arial" w:cs="Arial" w:eastAsia="Arial" w:hAnsi="Arial"/>
          <w:sz w:val="16"/>
          <w:szCs w:val="16"/>
          <w:color w:val="074A75"/>
        </w:rPr>
      </w:pPr>
      <w:r>
        <w:rPr>
          <w:rFonts w:ascii="Arial" w:cs="Arial" w:eastAsia="Arial" w:hAnsi="Arial"/>
          <w:sz w:val="16"/>
          <w:szCs w:val="16"/>
          <w:color w:val="auto"/>
        </w:rPr>
        <w:t>Management development and succession planning</w:t>
      </w:r>
    </w:p>
    <w:p>
      <w:pPr>
        <w:ind w:left="180" w:right="280" w:hanging="154"/>
        <w:spacing w:after="0" w:line="260" w:lineRule="auto"/>
        <w:tabs>
          <w:tab w:leader="none" w:pos="182" w:val="left"/>
        </w:tabs>
        <w:numPr>
          <w:ilvl w:val="0"/>
          <w:numId w:val="59"/>
        </w:numPr>
        <w:rPr>
          <w:rFonts w:ascii="Arial" w:cs="Arial" w:eastAsia="Arial" w:hAnsi="Arial"/>
          <w:sz w:val="16"/>
          <w:szCs w:val="16"/>
          <w:color w:val="074A75"/>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43"/>
          <w:szCs w:val="43"/>
          <w:color w:val="074A75"/>
        </w:rPr>
        <w:t>James S. Crown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Henry Crown and Company</w:t>
      </w:r>
    </w:p>
    <w:p>
      <w:pPr>
        <w:spacing w:after="0" w:line="390"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Mr. Crown’s position with Henry Crown and Company and his service on other public company boards have given him extensive experience with risk management, audit and financial reporting, investment management, capital markets activity and executive compensation matters.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gridSpan w:val="2"/>
          </w:tcPr>
          <w:p>
            <w:pPr>
              <w:spacing w:after="0"/>
              <w:rPr>
                <w:sz w:val="20"/>
                <w:szCs w:val="20"/>
                <w:color w:val="auto"/>
              </w:rPr>
            </w:pPr>
            <w:r>
              <w:rPr>
                <w:rFonts w:ascii="Arial" w:cs="Arial" w:eastAsia="Arial" w:hAnsi="Arial"/>
                <w:sz w:val="16"/>
                <w:szCs w:val="16"/>
                <w:b w:val="1"/>
                <w:bCs w:val="1"/>
                <w:color w:val="074A75"/>
              </w:rPr>
              <w:t>Career Highlights</w:t>
            </w:r>
          </w:p>
        </w:tc>
        <w:tc>
          <w:tcPr>
            <w:tcW w:w="4380" w:type="dxa"/>
            <w:vAlign w:val="bottom"/>
          </w:tcPr>
          <w:p>
            <w:pPr>
              <w:ind w:left="28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215"/>
        </w:trPr>
        <w:tc>
          <w:tcPr>
            <w:tcW w:w="4120" w:type="dxa"/>
            <w:vAlign w:val="bottom"/>
            <w:gridSpan w:val="2"/>
            <w:vMerge w:val="restart"/>
          </w:tcPr>
          <w:p>
            <w:pPr>
              <w:spacing w:after="0"/>
              <w:rPr>
                <w:sz w:val="20"/>
                <w:szCs w:val="20"/>
                <w:color w:val="auto"/>
              </w:rPr>
            </w:pPr>
            <w:r>
              <w:rPr>
                <w:rFonts w:ascii="Arial" w:cs="Arial" w:eastAsia="Arial" w:hAnsi="Arial"/>
                <w:sz w:val="16"/>
                <w:szCs w:val="16"/>
                <w:color w:val="auto"/>
              </w:rPr>
              <w:t>Henry Crown and Company, a privately owned</w:t>
            </w:r>
          </w:p>
        </w:tc>
        <w:tc>
          <w:tcPr>
            <w:tcW w:w="4380" w:type="dxa"/>
            <w:vAlign w:val="bottom"/>
          </w:tcPr>
          <w:p>
            <w:pPr>
              <w:ind w:left="28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62"/>
        </w:trPr>
        <w:tc>
          <w:tcPr>
            <w:tcW w:w="4120" w:type="dxa"/>
            <w:vAlign w:val="bottom"/>
            <w:gridSpan w:val="2"/>
            <w:vMerge w:val="continue"/>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spacing w:after="0"/>
              <w:rPr>
                <w:sz w:val="20"/>
                <w:szCs w:val="20"/>
                <w:color w:val="auto"/>
              </w:rPr>
            </w:pPr>
            <w:r>
              <w:rPr>
                <w:rFonts w:ascii="Arial" w:cs="Arial" w:eastAsia="Arial" w:hAnsi="Arial"/>
                <w:sz w:val="16"/>
                <w:szCs w:val="16"/>
                <w:color w:val="auto"/>
              </w:rPr>
              <w:t>investment company that invests in public and private</w:t>
            </w:r>
          </w:p>
        </w:tc>
        <w:tc>
          <w:tcPr>
            <w:tcW w:w="4380" w:type="dxa"/>
            <w:vAlign w:val="bottom"/>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General Dynamics (since 1987) — Lead Director since</w:t>
            </w:r>
          </w:p>
        </w:tc>
        <w:tc>
          <w:tcPr>
            <w:tcW w:w="0" w:type="dxa"/>
            <w:vAlign w:val="bottom"/>
          </w:tcPr>
          <w:p>
            <w:pPr>
              <w:spacing w:after="0"/>
              <w:rPr>
                <w:sz w:val="1"/>
                <w:szCs w:val="1"/>
                <w:color w:val="auto"/>
              </w:rPr>
            </w:pPr>
          </w:p>
        </w:tc>
      </w:tr>
      <w:tr>
        <w:trPr>
          <w:trHeight w:val="195"/>
        </w:trPr>
        <w:tc>
          <w:tcPr>
            <w:tcW w:w="4120" w:type="dxa"/>
            <w:vAlign w:val="bottom"/>
            <w:gridSpan w:val="2"/>
          </w:tcPr>
          <w:p>
            <w:pPr>
              <w:spacing w:after="0"/>
              <w:rPr>
                <w:sz w:val="20"/>
                <w:szCs w:val="20"/>
                <w:color w:val="auto"/>
              </w:rPr>
            </w:pPr>
            <w:r>
              <w:rPr>
                <w:rFonts w:ascii="Arial" w:cs="Arial" w:eastAsia="Arial" w:hAnsi="Arial"/>
                <w:sz w:val="16"/>
                <w:szCs w:val="16"/>
                <w:color w:val="auto"/>
              </w:rPr>
              <w:t>securities, real estate, and operating companies</w:t>
            </w:r>
          </w:p>
        </w:tc>
        <w:tc>
          <w:tcPr>
            <w:tcW w:w="4380" w:type="dxa"/>
            <w:vAlign w:val="bottom"/>
          </w:tcPr>
          <w:p>
            <w:pPr>
              <w:ind w:left="46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56"/>
        </w:trPr>
        <w:tc>
          <w:tcPr>
            <w:tcW w:w="4120" w:type="dxa"/>
            <w:vAlign w:val="bottom"/>
            <w:gridSpan w:val="2"/>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and Chief Executive Officer (since 2018)</w:t>
            </w:r>
          </w:p>
        </w:tc>
        <w:tc>
          <w:tcPr>
            <w:tcW w:w="4380" w:type="dxa"/>
            <w:vAlign w:val="bottom"/>
          </w:tcPr>
          <w:p>
            <w:pPr>
              <w:ind w:left="28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0"/>
                <w:szCs w:val="20"/>
                <w:color w:val="auto"/>
              </w:rPr>
            </w:pPr>
            <w:r>
              <w:rPr>
                <w:rFonts w:ascii="Arial" w:cs="Arial" w:eastAsia="Arial" w:hAnsi="Arial"/>
                <w:sz w:val="16"/>
                <w:szCs w:val="16"/>
                <w:color w:val="074A75"/>
              </w:rPr>
              <w:t>•</w:t>
            </w:r>
          </w:p>
        </w:tc>
        <w:tc>
          <w:tcPr>
            <w:tcW w:w="4000" w:type="dxa"/>
            <w:vAlign w:val="bottom"/>
          </w:tcPr>
          <w:p>
            <w:pPr>
              <w:ind w:left="80"/>
              <w:spacing w:after="0"/>
              <w:rPr>
                <w:sz w:val="20"/>
                <w:szCs w:val="20"/>
                <w:color w:val="auto"/>
              </w:rPr>
            </w:pPr>
            <w:r>
              <w:rPr>
                <w:rFonts w:ascii="Arial" w:cs="Arial" w:eastAsia="Arial" w:hAnsi="Arial"/>
                <w:sz w:val="16"/>
                <w:szCs w:val="16"/>
                <w:color w:val="auto"/>
              </w:rPr>
              <w:t>President (2002–2017)</w:t>
            </w:r>
          </w:p>
        </w:tc>
        <w:tc>
          <w:tcPr>
            <w:tcW w:w="4380" w:type="dxa"/>
            <w:vAlign w:val="bottom"/>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of the Board of Trustees, Aspen Institute</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6"/>
                <w:szCs w:val="16"/>
                <w:color w:val="074A75"/>
              </w:rPr>
              <w:t>•</w:t>
            </w:r>
          </w:p>
        </w:tc>
        <w:tc>
          <w:tcPr>
            <w:tcW w:w="4000" w:type="dxa"/>
            <w:vAlign w:val="bottom"/>
          </w:tcPr>
          <w:p>
            <w:pPr>
              <w:ind w:left="80"/>
              <w:spacing w:after="0"/>
              <w:rPr>
                <w:sz w:val="20"/>
                <w:szCs w:val="20"/>
                <w:color w:val="auto"/>
              </w:rPr>
            </w:pPr>
            <w:r>
              <w:rPr>
                <w:rFonts w:ascii="Arial" w:cs="Arial" w:eastAsia="Arial" w:hAnsi="Arial"/>
                <w:sz w:val="16"/>
                <w:szCs w:val="16"/>
                <w:color w:val="auto"/>
              </w:rPr>
              <w:t>Vice President (1985–2002)</w:t>
            </w:r>
          </w:p>
        </w:tc>
        <w:tc>
          <w:tcPr>
            <w:tcW w:w="4380" w:type="dxa"/>
            <w:vAlign w:val="bottom"/>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Trustee, Museum of Science and Industry</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4380" w:type="dxa"/>
            <w:vAlign w:val="bottom"/>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Trustee, University of Chicago</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Member, American Academy of Arts and Sciences</w:t>
      </w:r>
    </w:p>
    <w:p>
      <w:pPr>
        <w:spacing w:after="0" w:line="73"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Former member, President’s Intelligence Advisory</w:t>
      </w:r>
    </w:p>
    <w:p>
      <w:pPr>
        <w:spacing w:after="0" w:line="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Board</w:t>
      </w:r>
    </w:p>
    <w:p>
      <w:pPr>
        <w:spacing w:after="0" w:line="53"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074A75"/>
        </w:rPr>
        <w:t>Education</w:t>
      </w:r>
    </w:p>
    <w:p>
      <w:pPr>
        <w:spacing w:after="0" w:line="106"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Graduate of Hampshire College</w:t>
      </w:r>
    </w:p>
    <w:p>
      <w:pPr>
        <w:spacing w:after="0" w:line="73"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J.D., Stanford University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696595</wp:posOffset>
            </wp:positionV>
            <wp:extent cx="274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580"/>
            <w:col w:w="858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15  </w:t>
      </w:r>
      <w:r>
        <w:rPr>
          <w:sz w:val="1"/>
          <w:szCs w:val="1"/>
          <w:color w:val="auto"/>
        </w:rPr>
        <w:drawing>
          <wp:inline distT="0" distB="0" distL="0" distR="0">
            <wp:extent cx="2203450" cy="1543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197485</wp:posOffset>
            </wp:positionV>
            <wp:extent cx="8890" cy="3540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35401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265430</wp:posOffset>
            </wp:positionV>
            <wp:extent cx="737235" cy="908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90868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color w:val="074A75"/>
        </w:rPr>
        <w:t>James Dimon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JPMorgan Chase &amp; Co.</w:t>
      </w:r>
    </w:p>
    <w:p>
      <w:pPr>
        <w:spacing w:after="0" w:line="390"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Mr. Dimon is an experienced leader in the financial services industry and has extensive international business expertise. As CEO, he is knowledgeable about all aspects of the Firm’s business activities. His work has given him substantial insight into the regulatory process.</w:t>
      </w:r>
    </w:p>
    <w:p>
      <w:pPr>
        <w:spacing w:after="0" w:line="6"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ind w:left="20" w:right="20"/>
        <w:spacing w:after="0" w:line="266" w:lineRule="auto"/>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2004 and</w:t>
      </w:r>
      <w:r>
        <w:rPr>
          <w:rFonts w:ascii="Arial" w:cs="Arial" w:eastAsia="Arial" w:hAnsi="Arial"/>
          <w:sz w:val="16"/>
          <w:szCs w:val="16"/>
          <w:b w:val="1"/>
          <w:bCs w:val="1"/>
          <w:color w:val="074A75"/>
        </w:rPr>
        <w:t xml:space="preserve"> </w:t>
      </w:r>
      <w:r>
        <w:rPr>
          <w:rFonts w:ascii="Arial" w:cs="Arial" w:eastAsia="Arial" w:hAnsi="Arial"/>
          <w:sz w:val="16"/>
          <w:szCs w:val="16"/>
          <w:color w:val="000000"/>
        </w:rPr>
        <w:t>Chairman of the Board since 2006</w:t>
      </w:r>
    </w:p>
    <w:p>
      <w:pPr>
        <w:spacing w:after="0" w:line="63" w:lineRule="exact"/>
        <w:rPr>
          <w:sz w:val="20"/>
          <w:szCs w:val="20"/>
          <w:color w:val="auto"/>
        </w:rPr>
      </w:pPr>
    </w:p>
    <w:p>
      <w:pPr>
        <w:ind w:left="20" w:right="42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jc w:val="both"/>
        <w:ind w:left="180" w:right="340" w:hanging="154"/>
        <w:spacing w:after="0" w:line="246" w:lineRule="auto"/>
        <w:tabs>
          <w:tab w:leader="none" w:pos="182"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Leadership of a large, complex organization</w:t>
      </w:r>
    </w:p>
    <w:p>
      <w:pPr>
        <w:ind w:left="180" w:hanging="154"/>
        <w:spacing w:after="0" w:line="246" w:lineRule="auto"/>
        <w:tabs>
          <w:tab w:leader="none" w:pos="182"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Management development and succession planning</w:t>
      </w:r>
    </w:p>
    <w:p>
      <w:pPr>
        <w:ind w:left="200" w:hanging="174"/>
        <w:spacing w:after="0"/>
        <w:tabs>
          <w:tab w:leader="none" w:pos="200" w:val="left"/>
        </w:tabs>
        <w:numPr>
          <w:ilvl w:val="0"/>
          <w:numId w:val="60"/>
        </w:numPr>
        <w:rPr>
          <w:rFonts w:ascii="Arial" w:cs="Arial" w:eastAsia="Arial" w:hAnsi="Arial"/>
          <w:sz w:val="16"/>
          <w:szCs w:val="16"/>
          <w:color w:val="074A75"/>
        </w:rPr>
      </w:pPr>
      <w:r>
        <w:rPr>
          <w:rFonts w:ascii="Arial" w:cs="Arial" w:eastAsia="Arial" w:hAnsi="Arial"/>
          <w:sz w:val="16"/>
          <w:szCs w:val="16"/>
          <w:color w:val="auto"/>
        </w:rPr>
        <w:t>Regulated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1022350</wp:posOffset>
            </wp:positionV>
            <wp:extent cx="737235" cy="917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7235" cy="917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074A75"/>
        </w:rPr>
        <w:t>Career Highlights</w:t>
      </w:r>
    </w:p>
    <w:p>
      <w:pPr>
        <w:spacing w:after="0" w:line="9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47" w:lineRule="exact"/>
        <w:rPr>
          <w:sz w:val="20"/>
          <w:szCs w:val="20"/>
          <w:color w:val="auto"/>
        </w:rPr>
      </w:pPr>
    </w:p>
    <w:p>
      <w:pPr>
        <w:ind w:left="200" w:right="100" w:hanging="195"/>
        <w:spacing w:after="0" w:line="260" w:lineRule="auto"/>
        <w:tabs>
          <w:tab w:leader="none" w:pos="19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Chairman of the Board (since 2006) and Director (since 2004); Chief Executive Officer (since 2005)</w:t>
      </w:r>
    </w:p>
    <w:p>
      <w:pPr>
        <w:spacing w:after="0" w:line="60" w:lineRule="exact"/>
        <w:rPr>
          <w:rFonts w:ascii="Arial" w:cs="Arial" w:eastAsia="Arial" w:hAnsi="Arial"/>
          <w:sz w:val="16"/>
          <w:szCs w:val="16"/>
          <w:color w:val="074A75"/>
        </w:rPr>
      </w:pPr>
    </w:p>
    <w:p>
      <w:pPr>
        <w:ind w:left="200" w:hanging="195"/>
        <w:spacing w:after="0"/>
        <w:tabs>
          <w:tab w:leader="none" w:pos="200"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President (2004–2018)</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Chief Operating Officer (2004–2005)</w:t>
      </w:r>
    </w:p>
    <w:p>
      <w:pPr>
        <w:spacing w:after="0" w:line="72" w:lineRule="exact"/>
        <w:rPr>
          <w:rFonts w:ascii="Arial" w:cs="Arial" w:eastAsia="Arial" w:hAnsi="Arial"/>
          <w:sz w:val="16"/>
          <w:szCs w:val="16"/>
          <w:color w:val="074A75"/>
        </w:rPr>
      </w:pPr>
    </w:p>
    <w:p>
      <w:pPr>
        <w:ind w:left="200" w:right="20" w:hanging="195"/>
        <w:spacing w:after="0" w:line="260" w:lineRule="auto"/>
        <w:tabs>
          <w:tab w:leader="none" w:pos="197" w:val="left"/>
        </w:tabs>
        <w:numPr>
          <w:ilvl w:val="0"/>
          <w:numId w:val="61"/>
        </w:numPr>
        <w:rPr>
          <w:rFonts w:ascii="Arial" w:cs="Arial" w:eastAsia="Arial" w:hAnsi="Arial"/>
          <w:sz w:val="16"/>
          <w:szCs w:val="16"/>
          <w:color w:val="074A75"/>
        </w:rPr>
      </w:pPr>
      <w:r>
        <w:rPr>
          <w:rFonts w:ascii="Arial" w:cs="Arial" w:eastAsia="Arial" w:hAnsi="Arial"/>
          <w:sz w:val="16"/>
          <w:szCs w:val="16"/>
          <w:color w:val="auto"/>
        </w:rPr>
        <w:t>Chairman and Chief Executive Officer at Bank One Corporation (2000–2004)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791210</wp:posOffset>
            </wp:positionV>
            <wp:extent cx="8890" cy="41148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411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7" w:right="140"/>
        <w:spacing w:after="0" w:line="286"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27" w:lineRule="exact"/>
        <w:rPr>
          <w:sz w:val="20"/>
          <w:szCs w:val="20"/>
          <w:color w:val="auto"/>
        </w:rPr>
      </w:pPr>
    </w:p>
    <w:p>
      <w:pPr>
        <w:ind w:left="187" w:hanging="187"/>
        <w:spacing w:after="0"/>
        <w:tabs>
          <w:tab w:leader="none" w:pos="187" w:val="left"/>
        </w:tabs>
        <w:numPr>
          <w:ilvl w:val="0"/>
          <w:numId w:val="62"/>
        </w:numPr>
        <w:rPr>
          <w:rFonts w:ascii="Arial" w:cs="Arial" w:eastAsia="Arial" w:hAnsi="Arial"/>
          <w:sz w:val="16"/>
          <w:szCs w:val="16"/>
          <w:color w:val="074A75"/>
        </w:rPr>
      </w:pPr>
      <w:r>
        <w:rPr>
          <w:rFonts w:ascii="Arial" w:cs="Arial" w:eastAsia="Arial" w:hAnsi="Arial"/>
          <w:sz w:val="16"/>
          <w:szCs w:val="16"/>
          <w:color w:val="auto"/>
        </w:rPr>
        <w:t>None</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106" w:lineRule="exact"/>
        <w:rPr>
          <w:sz w:val="20"/>
          <w:szCs w:val="20"/>
          <w:color w:val="auto"/>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Member of Board of Deans, Harvard Business School</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Director, Catalyst</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Member, Business Roundtable</w:t>
      </w:r>
    </w:p>
    <w:p>
      <w:pPr>
        <w:spacing w:after="0" w:line="86"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Member, Business Council</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Trustee, New York University School of Medicine</w:t>
      </w:r>
    </w:p>
    <w:p>
      <w:pPr>
        <w:spacing w:after="0" w:line="52" w:lineRule="exact"/>
        <w:rPr>
          <w:rFonts w:ascii="Arial" w:cs="Arial" w:eastAsia="Arial" w:hAnsi="Arial"/>
          <w:sz w:val="16"/>
          <w:szCs w:val="16"/>
          <w:color w:val="074A75"/>
        </w:rPr>
      </w:pPr>
    </w:p>
    <w:p>
      <w:pPr>
        <w:ind w:left="7"/>
        <w:spacing w:after="0"/>
        <w:rPr>
          <w:rFonts w:ascii="Arial" w:cs="Arial" w:eastAsia="Arial" w:hAnsi="Arial"/>
          <w:sz w:val="16"/>
          <w:szCs w:val="16"/>
          <w:color w:val="074A75"/>
        </w:rPr>
      </w:pPr>
      <w:r>
        <w:rPr>
          <w:rFonts w:ascii="Arial" w:cs="Arial" w:eastAsia="Arial" w:hAnsi="Arial"/>
          <w:sz w:val="16"/>
          <w:szCs w:val="16"/>
          <w:b w:val="1"/>
          <w:bCs w:val="1"/>
          <w:color w:val="074A75"/>
        </w:rPr>
        <w:t>Education</w:t>
      </w:r>
    </w:p>
    <w:p>
      <w:pPr>
        <w:spacing w:after="0" w:line="106"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Graduate of Tufts University</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3"/>
        </w:numPr>
        <w:rPr>
          <w:rFonts w:ascii="Arial" w:cs="Arial" w:eastAsia="Arial" w:hAnsi="Arial"/>
          <w:sz w:val="16"/>
          <w:szCs w:val="16"/>
          <w:color w:val="074A75"/>
        </w:rPr>
      </w:pPr>
      <w:r>
        <w:rPr>
          <w:rFonts w:ascii="Arial" w:cs="Arial" w:eastAsia="Arial" w:hAnsi="Arial"/>
          <w:sz w:val="16"/>
          <w:szCs w:val="16"/>
          <w:color w:val="auto"/>
        </w:rPr>
        <w:t>M.B.A., Harvard Business School</w:t>
      </w:r>
    </w:p>
    <w:p>
      <w:pPr>
        <w:spacing w:after="0" w:line="200" w:lineRule="exact"/>
        <w:rPr>
          <w:sz w:val="20"/>
          <w:szCs w:val="20"/>
          <w:color w:val="auto"/>
        </w:rPr>
      </w:pPr>
    </w:p>
    <w:p>
      <w:pPr>
        <w:sectPr>
          <w:pgSz w:w="11900" w:h="16838" w:orient="portrait"/>
          <w:cols w:equalWidth="0" w:num="3">
            <w:col w:w="2100" w:space="580"/>
            <w:col w:w="3860" w:space="533"/>
            <w:col w:w="4187"/>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200" w:hanging="174"/>
        <w:spacing w:after="0"/>
        <w:tabs>
          <w:tab w:leader="none" w:pos="200" w:val="left"/>
        </w:tabs>
        <w:numPr>
          <w:ilvl w:val="0"/>
          <w:numId w:val="64"/>
        </w:numPr>
        <w:rPr>
          <w:rFonts w:ascii="Arial" w:cs="Arial" w:eastAsia="Arial" w:hAnsi="Arial"/>
          <w:sz w:val="16"/>
          <w:szCs w:val="16"/>
          <w:color w:val="074A75"/>
        </w:rPr>
      </w:pPr>
      <w:r>
        <w:rPr>
          <w:rFonts w:ascii="Arial" w:cs="Arial" w:eastAsia="Arial" w:hAnsi="Arial"/>
          <w:sz w:val="16"/>
          <w:szCs w:val="16"/>
          <w:color w:val="auto"/>
        </w:rPr>
        <w:t>Audit Committee (Chair)</w:t>
      </w:r>
    </w:p>
    <w:p>
      <w:pPr>
        <w:spacing w:after="0" w:line="93" w:lineRule="exact"/>
        <w:rPr>
          <w:sz w:val="20"/>
          <w:szCs w:val="20"/>
          <w:color w:val="auto"/>
        </w:rPr>
      </w:pPr>
    </w:p>
    <w:p>
      <w:pPr>
        <w:ind w:left="20" w:right="28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Finance and accounting</w:t>
      </w:r>
    </w:p>
    <w:p>
      <w:pPr>
        <w:spacing w:after="0" w:line="5" w:lineRule="exact"/>
        <w:rPr>
          <w:rFonts w:ascii="Arial" w:cs="Arial" w:eastAsia="Arial" w:hAnsi="Arial"/>
          <w:sz w:val="16"/>
          <w:szCs w:val="16"/>
          <w:color w:val="074A75"/>
        </w:rPr>
      </w:pPr>
    </w:p>
    <w:p>
      <w:pPr>
        <w:jc w:val="both"/>
        <w:ind w:left="180" w:right="200" w:hanging="154"/>
        <w:spacing w:after="0" w:line="246" w:lineRule="auto"/>
        <w:tabs>
          <w:tab w:leader="none" w:pos="182"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Leadership of a large, complex organization</w:t>
      </w:r>
    </w:p>
    <w:p>
      <w:pPr>
        <w:ind w:left="180" w:right="140" w:hanging="154"/>
        <w:spacing w:after="0" w:line="260" w:lineRule="auto"/>
        <w:tabs>
          <w:tab w:leader="none" w:pos="182" w:val="left"/>
        </w:tabs>
        <w:numPr>
          <w:ilvl w:val="0"/>
          <w:numId w:val="65"/>
        </w:numPr>
        <w:rPr>
          <w:rFonts w:ascii="Arial" w:cs="Arial" w:eastAsia="Arial" w:hAnsi="Arial"/>
          <w:sz w:val="16"/>
          <w:szCs w:val="16"/>
          <w:color w:val="074A75"/>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43"/>
          <w:szCs w:val="43"/>
          <w:color w:val="074A75"/>
        </w:rPr>
        <w:t>Timothy P. Flynn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Retired Chairman and Chief Executive Officer of KPMG International</w:t>
      </w:r>
    </w:p>
    <w:p>
      <w:pPr>
        <w:spacing w:after="0" w:line="39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Through his leadership positions at KPMG, Mr. Flynn gained perspective on the evolving business and regulatory environment, expertise in many of the issues facing complex, global companies, and extensive experience in financial services, auditing matters and risk management.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20"/>
                <w:szCs w:val="20"/>
                <w:color w:val="auto"/>
              </w:rPr>
            </w:pPr>
            <w:r>
              <w:rPr>
                <w:rFonts w:ascii="Arial" w:cs="Arial" w:eastAsia="Arial" w:hAnsi="Arial"/>
                <w:sz w:val="16"/>
                <w:szCs w:val="16"/>
                <w:b w:val="1"/>
                <w:bCs w:val="1"/>
                <w:color w:val="074A75"/>
              </w:rPr>
              <w:t>Career Highlights</w:t>
            </w:r>
          </w:p>
        </w:tc>
        <w:tc>
          <w:tcPr>
            <w:tcW w:w="4300" w:type="dxa"/>
            <w:vAlign w:val="bottom"/>
            <w:gridSpan w:val="2"/>
          </w:tcPr>
          <w:p>
            <w:pPr>
              <w:ind w:left="26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215"/>
        </w:trPr>
        <w:tc>
          <w:tcPr>
            <w:tcW w:w="4140" w:type="dxa"/>
            <w:vAlign w:val="bottom"/>
            <w:vMerge w:val="restart"/>
          </w:tcPr>
          <w:p>
            <w:pPr>
              <w:spacing w:after="0"/>
              <w:rPr>
                <w:sz w:val="20"/>
                <w:szCs w:val="20"/>
                <w:color w:val="auto"/>
              </w:rPr>
            </w:pPr>
            <w:r>
              <w:rPr>
                <w:rFonts w:ascii="Arial" w:cs="Arial" w:eastAsia="Arial" w:hAnsi="Arial"/>
                <w:sz w:val="16"/>
                <w:szCs w:val="16"/>
                <w:color w:val="auto"/>
              </w:rPr>
              <w:t>KPMG International, a global professional services</w:t>
            </w:r>
          </w:p>
        </w:tc>
        <w:tc>
          <w:tcPr>
            <w:tcW w:w="4300" w:type="dxa"/>
            <w:vAlign w:val="bottom"/>
            <w:gridSpan w:val="2"/>
          </w:tcPr>
          <w:p>
            <w:pPr>
              <w:ind w:left="26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62"/>
        </w:trPr>
        <w:tc>
          <w:tcPr>
            <w:tcW w:w="4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organization providing audit, tax and advisory services</w:t>
            </w:r>
          </w:p>
        </w:tc>
        <w:tc>
          <w:tcPr>
            <w:tcW w:w="4300" w:type="dxa"/>
            <w:vAlign w:val="bottom"/>
            <w:gridSpan w:val="2"/>
          </w:tcPr>
          <w:p>
            <w:pPr>
              <w:ind w:left="2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United Healthcare (since 2017)</w:t>
            </w:r>
          </w:p>
        </w:tc>
        <w:tc>
          <w:tcPr>
            <w:tcW w:w="0" w:type="dxa"/>
            <w:vAlign w:val="bottom"/>
          </w:tcPr>
          <w:p>
            <w:pPr>
              <w:spacing w:after="0"/>
              <w:rPr>
                <w:sz w:val="1"/>
                <w:szCs w:val="1"/>
                <w:color w:val="auto"/>
              </w:rPr>
            </w:pPr>
          </w:p>
        </w:tc>
      </w:tr>
      <w:tr>
        <w:trPr>
          <w:trHeight w:val="256"/>
        </w:trPr>
        <w:tc>
          <w:tcPr>
            <w:tcW w:w="414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KPMG International (2007–2011)</w:t>
            </w:r>
          </w:p>
        </w:tc>
        <w:tc>
          <w:tcPr>
            <w:tcW w:w="4300" w:type="dxa"/>
            <w:vAlign w:val="bottom"/>
            <w:gridSpan w:val="2"/>
          </w:tcPr>
          <w:p>
            <w:pPr>
              <w:ind w:left="2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Wal-Mart Stores, Inc. (since 2012)</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KPMG LLP (2005–2010)</w:t>
            </w:r>
          </w:p>
        </w:tc>
        <w:tc>
          <w:tcPr>
            <w:tcW w:w="380" w:type="dxa"/>
            <w:vAlign w:val="bottom"/>
          </w:tcPr>
          <w:p>
            <w:pPr>
              <w:ind w:left="260"/>
              <w:spacing w:after="0"/>
              <w:rPr>
                <w:sz w:val="20"/>
                <w:szCs w:val="20"/>
                <w:color w:val="auto"/>
              </w:rPr>
            </w:pPr>
            <w:r>
              <w:rPr>
                <w:rFonts w:ascii="Arial" w:cs="Arial" w:eastAsia="Arial" w:hAnsi="Arial"/>
                <w:sz w:val="16"/>
                <w:szCs w:val="16"/>
                <w:color w:val="074A75"/>
              </w:rPr>
              <w:t>•</w:t>
            </w:r>
          </w:p>
        </w:tc>
        <w:tc>
          <w:tcPr>
            <w:tcW w:w="3920" w:type="dxa"/>
            <w:vAlign w:val="bottom"/>
          </w:tcPr>
          <w:p>
            <w:pPr>
              <w:ind w:left="60"/>
              <w:spacing w:after="0"/>
              <w:rPr>
                <w:sz w:val="20"/>
                <w:szCs w:val="20"/>
                <w:color w:val="auto"/>
              </w:rPr>
            </w:pPr>
            <w:r>
              <w:rPr>
                <w:rFonts w:ascii="Arial" w:cs="Arial" w:eastAsia="Arial" w:hAnsi="Arial"/>
                <w:sz w:val="16"/>
                <w:szCs w:val="16"/>
                <w:color w:val="auto"/>
              </w:rPr>
              <w:t>Alcoa Corporation (2016–2021)</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Chief Executive Officer, KPMG LLP (2005–2008)</w:t>
            </w:r>
          </w:p>
        </w:tc>
        <w:tc>
          <w:tcPr>
            <w:tcW w:w="380" w:type="dxa"/>
            <w:vAlign w:val="bottom"/>
          </w:tcPr>
          <w:p>
            <w:pPr>
              <w:ind w:left="260"/>
              <w:spacing w:after="0"/>
              <w:rPr>
                <w:sz w:val="20"/>
                <w:szCs w:val="20"/>
                <w:color w:val="auto"/>
              </w:rPr>
            </w:pPr>
            <w:r>
              <w:rPr>
                <w:rFonts w:ascii="Arial" w:cs="Arial" w:eastAsia="Arial" w:hAnsi="Arial"/>
                <w:sz w:val="16"/>
                <w:szCs w:val="16"/>
                <w:color w:val="074A75"/>
              </w:rPr>
              <w:t>•</w:t>
            </w:r>
          </w:p>
        </w:tc>
        <w:tc>
          <w:tcPr>
            <w:tcW w:w="3920" w:type="dxa"/>
            <w:vAlign w:val="bottom"/>
          </w:tcPr>
          <w:p>
            <w:pPr>
              <w:ind w:left="60"/>
              <w:spacing w:after="0"/>
              <w:rPr>
                <w:sz w:val="20"/>
                <w:szCs w:val="20"/>
                <w:color w:val="auto"/>
              </w:rPr>
            </w:pPr>
            <w:r>
              <w:rPr>
                <w:rFonts w:ascii="Arial" w:cs="Arial" w:eastAsia="Arial" w:hAnsi="Arial"/>
                <w:sz w:val="16"/>
                <w:szCs w:val="16"/>
                <w:color w:val="auto"/>
              </w:rPr>
              <w:t>Chubb Corporation (2013–2016)</w:t>
            </w:r>
          </w:p>
        </w:tc>
        <w:tc>
          <w:tcPr>
            <w:tcW w:w="0" w:type="dxa"/>
            <w:vAlign w:val="bottom"/>
          </w:tcPr>
          <w:p>
            <w:pPr>
              <w:spacing w:after="0"/>
              <w:rPr>
                <w:sz w:val="1"/>
                <w:szCs w:val="1"/>
                <w:color w:val="auto"/>
              </w:rPr>
            </w:pPr>
          </w:p>
        </w:tc>
      </w:tr>
      <w:tr>
        <w:trPr>
          <w:trHeight w:val="251"/>
        </w:trPr>
        <w:tc>
          <w:tcPr>
            <w:tcW w:w="414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Vice Chairman, Audit and Risk Advisory Services,</w:t>
            </w:r>
          </w:p>
        </w:tc>
        <w:tc>
          <w:tcPr>
            <w:tcW w:w="4300" w:type="dxa"/>
            <w:vAlign w:val="bottom"/>
            <w:gridSpan w:val="2"/>
          </w:tcPr>
          <w:p>
            <w:pPr>
              <w:ind w:left="26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980" w:type="dxa"/>
            <w:vAlign w:val="bottom"/>
          </w:tcPr>
          <w:p>
            <w:pPr>
              <w:spacing w:after="0"/>
              <w:rPr>
                <w:sz w:val="20"/>
                <w:szCs w:val="20"/>
                <w:color w:val="auto"/>
              </w:rPr>
            </w:pPr>
            <w:r>
              <w:rPr>
                <w:rFonts w:ascii="Arial" w:cs="Arial" w:eastAsia="Arial" w:hAnsi="Arial"/>
                <w:sz w:val="16"/>
                <w:szCs w:val="16"/>
                <w:color w:val="auto"/>
              </w:rPr>
              <w:t>KPMG LLP (2001–2005)</w:t>
            </w:r>
          </w:p>
        </w:tc>
        <w:tc>
          <w:tcPr>
            <w:tcW w:w="5060" w:type="dxa"/>
            <w:vAlign w:val="bottom"/>
            <w:vMerge w:val="restart"/>
          </w:tcPr>
          <w:p>
            <w:pPr>
              <w:ind w:left="1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of Board of Trustees, The University of St.</w:t>
            </w:r>
          </w:p>
        </w:tc>
        <w:tc>
          <w:tcPr>
            <w:tcW w:w="0" w:type="dxa"/>
            <w:vAlign w:val="bottom"/>
          </w:tcPr>
          <w:p>
            <w:pPr>
              <w:spacing w:after="0"/>
              <w:rPr>
                <w:sz w:val="1"/>
                <w:szCs w:val="1"/>
                <w:color w:val="auto"/>
              </w:rPr>
            </w:pPr>
          </w:p>
        </w:tc>
      </w:tr>
      <w:tr>
        <w:trPr>
          <w:trHeight w:val="75"/>
        </w:trPr>
        <w:tc>
          <w:tcPr>
            <w:tcW w:w="298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5060" w:type="dxa"/>
            <w:vAlign w:val="bottom"/>
          </w:tcPr>
          <w:p>
            <w:pPr>
              <w:ind w:left="1400"/>
              <w:spacing w:after="0"/>
              <w:rPr>
                <w:sz w:val="20"/>
                <w:szCs w:val="20"/>
                <w:color w:val="auto"/>
              </w:rPr>
            </w:pPr>
            <w:r>
              <w:rPr>
                <w:rFonts w:ascii="Arial" w:cs="Arial" w:eastAsia="Arial" w:hAnsi="Arial"/>
                <w:sz w:val="16"/>
                <w:szCs w:val="16"/>
                <w:color w:val="auto"/>
              </w:rPr>
              <w:t>Thomas</w:t>
            </w: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1"/>
                <w:szCs w:val="21"/>
                <w:color w:val="auto"/>
              </w:rPr>
            </w:pPr>
          </w:p>
        </w:tc>
        <w:tc>
          <w:tcPr>
            <w:tcW w:w="5060" w:type="dxa"/>
            <w:vAlign w:val="bottom"/>
          </w:tcPr>
          <w:p>
            <w:pPr>
              <w:ind w:left="1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Trustee, Financial Accounting Standards</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5060" w:type="dxa"/>
            <w:vAlign w:val="bottom"/>
          </w:tcPr>
          <w:p>
            <w:pPr>
              <w:ind w:left="140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1"/>
                <w:szCs w:val="21"/>
                <w:color w:val="auto"/>
              </w:rPr>
            </w:pPr>
          </w:p>
        </w:tc>
        <w:tc>
          <w:tcPr>
            <w:tcW w:w="5060" w:type="dxa"/>
            <w:vAlign w:val="bottom"/>
          </w:tcPr>
          <w:p>
            <w:pPr>
              <w:ind w:left="1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Member, World Economic Forum’s</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5060" w:type="dxa"/>
            <w:vAlign w:val="bottom"/>
          </w:tcPr>
          <w:p>
            <w:pPr>
              <w:ind w:left="1400"/>
              <w:spacing w:after="0"/>
              <w:rPr>
                <w:sz w:val="20"/>
                <w:szCs w:val="20"/>
                <w:color w:val="auto"/>
              </w:rPr>
            </w:pPr>
            <w:r>
              <w:rPr>
                <w:rFonts w:ascii="Arial" w:cs="Arial" w:eastAsia="Arial" w:hAnsi="Arial"/>
                <w:sz w:val="16"/>
                <w:szCs w:val="16"/>
                <w:color w:val="auto"/>
              </w:rPr>
              <w:t>International Business Council</w:t>
            </w: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5060" w:type="dxa"/>
            <w:vAlign w:val="bottom"/>
          </w:tcPr>
          <w:p>
            <w:pPr>
              <w:ind w:left="1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Board Member, International Integrated</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5060" w:type="dxa"/>
            <w:vAlign w:val="bottom"/>
          </w:tcPr>
          <w:p>
            <w:pPr>
              <w:ind w:left="1400"/>
              <w:spacing w:after="0"/>
              <w:rPr>
                <w:sz w:val="20"/>
                <w:szCs w:val="20"/>
                <w:color w:val="auto"/>
              </w:rPr>
            </w:pPr>
            <w:r>
              <w:rPr>
                <w:rFonts w:ascii="Arial" w:cs="Arial" w:eastAsia="Arial" w:hAnsi="Arial"/>
                <w:sz w:val="16"/>
                <w:szCs w:val="16"/>
                <w:color w:val="auto"/>
              </w:rPr>
              <w:t>Reporting Council</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5060" w:type="dxa"/>
            <w:vAlign w:val="bottom"/>
          </w:tcPr>
          <w:p>
            <w:pPr>
              <w:ind w:left="1220"/>
              <w:spacing w:after="0"/>
              <w:rPr>
                <w:sz w:val="20"/>
                <w:szCs w:val="20"/>
                <w:color w:val="auto"/>
              </w:rPr>
            </w:pPr>
            <w:r>
              <w:rPr>
                <w:rFonts w:ascii="Arial" w:cs="Arial" w:eastAsia="Arial" w:hAnsi="Arial"/>
                <w:sz w:val="16"/>
                <w:szCs w:val="16"/>
                <w:b w:val="1"/>
                <w:bCs w:val="1"/>
                <w:color w:val="074A75"/>
              </w:rPr>
              <w:t>Education</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5060" w:type="dxa"/>
            <w:vAlign w:val="bottom"/>
          </w:tcPr>
          <w:p>
            <w:pPr>
              <w:ind w:left="12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Graduate of The University of St. Thomas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197485</wp:posOffset>
            </wp:positionV>
            <wp:extent cx="8890" cy="41833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41833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282575</wp:posOffset>
            </wp:positionV>
            <wp:extent cx="737235" cy="916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7235" cy="9169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52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color w:val="074A75"/>
        </w:rPr>
        <w:t>Mellody Hobson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Co-CEO and President of Ariel Investments, LLC</w:t>
      </w:r>
    </w:p>
    <w:p>
      <w:pPr>
        <w:spacing w:after="0" w:line="39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Ms. Hobson’s roles at Ariel Investments, LLC, as well as on public company boards, have provided her with significant experience in financial services and financial markets, corporate governance, strategic planning, operations, regulatory issues and international business.</w:t>
      </w:r>
    </w:p>
    <w:p>
      <w:pPr>
        <w:spacing w:after="0" w:line="289"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180" w:right="420" w:hanging="154"/>
        <w:spacing w:after="0" w:line="246" w:lineRule="auto"/>
        <w:tabs>
          <w:tab w:leader="none" w:pos="182" w:val="left"/>
        </w:tabs>
        <w:numPr>
          <w:ilvl w:val="0"/>
          <w:numId w:val="66"/>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ind w:left="200" w:hanging="174"/>
        <w:spacing w:after="0"/>
        <w:tabs>
          <w:tab w:leader="none" w:pos="200" w:val="left"/>
        </w:tabs>
        <w:numPr>
          <w:ilvl w:val="0"/>
          <w:numId w:val="66"/>
        </w:numPr>
        <w:rPr>
          <w:rFonts w:ascii="Arial" w:cs="Arial" w:eastAsia="Arial" w:hAnsi="Arial"/>
          <w:sz w:val="16"/>
          <w:szCs w:val="16"/>
          <w:color w:val="074A75"/>
        </w:rPr>
      </w:pPr>
      <w:r>
        <w:rPr>
          <w:rFonts w:ascii="Arial" w:cs="Arial" w:eastAsia="Arial" w:hAnsi="Arial"/>
          <w:sz w:val="16"/>
          <w:szCs w:val="16"/>
          <w:color w:val="auto"/>
        </w:rPr>
        <w:t>Risk Committee</w:t>
      </w:r>
    </w:p>
    <w:p>
      <w:pPr>
        <w:spacing w:after="0" w:line="93" w:lineRule="exact"/>
        <w:rPr>
          <w:sz w:val="20"/>
          <w:szCs w:val="20"/>
          <w:color w:val="auto"/>
        </w:rPr>
      </w:pPr>
    </w:p>
    <w:p>
      <w:pPr>
        <w:ind w:left="20" w:right="42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ind w:left="180" w:hanging="154"/>
        <w:spacing w:after="0" w:line="246" w:lineRule="auto"/>
        <w:tabs>
          <w:tab w:leader="none" w:pos="182"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Management development and succession planning</w:t>
      </w:r>
    </w:p>
    <w:p>
      <w:pPr>
        <w:ind w:left="200" w:hanging="174"/>
        <w:spacing w:after="0"/>
        <w:tabs>
          <w:tab w:leader="none" w:pos="200" w:val="left"/>
        </w:tabs>
        <w:numPr>
          <w:ilvl w:val="0"/>
          <w:numId w:val="67"/>
        </w:numPr>
        <w:rPr>
          <w:rFonts w:ascii="Arial" w:cs="Arial" w:eastAsia="Arial" w:hAnsi="Arial"/>
          <w:sz w:val="16"/>
          <w:szCs w:val="16"/>
          <w:color w:val="074A75"/>
        </w:rPr>
      </w:pPr>
      <w:r>
        <w:rPr>
          <w:rFonts w:ascii="Arial" w:cs="Arial" w:eastAsia="Arial" w:hAnsi="Arial"/>
          <w:sz w:val="16"/>
          <w:szCs w:val="16"/>
          <w:color w:val="auto"/>
        </w:rPr>
        <w:t>Regulated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1579245</wp:posOffset>
            </wp:positionV>
            <wp:extent cx="737235" cy="917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917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Ariel Investments, LLC, a global asset management firm</w:t>
      </w:r>
    </w:p>
    <w:p>
      <w:pPr>
        <w:spacing w:after="0" w:line="86" w:lineRule="exact"/>
        <w:rPr>
          <w:sz w:val="20"/>
          <w:szCs w:val="20"/>
          <w:color w:val="auto"/>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Co-CEO (since 2019)</w:t>
      </w:r>
    </w:p>
    <w:p>
      <w:pPr>
        <w:spacing w:after="0" w:line="72" w:lineRule="exact"/>
        <w:rPr>
          <w:rFonts w:ascii="Arial" w:cs="Arial" w:eastAsia="Arial" w:hAnsi="Arial"/>
          <w:sz w:val="16"/>
          <w:szCs w:val="16"/>
          <w:color w:val="074A75"/>
        </w:rPr>
      </w:pPr>
    </w:p>
    <w:p>
      <w:pPr>
        <w:ind w:left="200" w:hanging="195"/>
        <w:spacing w:after="0"/>
        <w:tabs>
          <w:tab w:leader="none" w:pos="200"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President and Director (since 2000)</w:t>
      </w:r>
    </w:p>
    <w:p>
      <w:pPr>
        <w:spacing w:after="0" w:line="72" w:lineRule="exact"/>
        <w:rPr>
          <w:rFonts w:ascii="Arial" w:cs="Arial" w:eastAsia="Arial" w:hAnsi="Arial"/>
          <w:sz w:val="16"/>
          <w:szCs w:val="16"/>
          <w:color w:val="074A75"/>
        </w:rPr>
      </w:pPr>
    </w:p>
    <w:p>
      <w:pPr>
        <w:ind w:left="200" w:hanging="195"/>
        <w:spacing w:after="0" w:line="260" w:lineRule="auto"/>
        <w:tabs>
          <w:tab w:leader="none" w:pos="197" w:val="left"/>
        </w:tabs>
        <w:numPr>
          <w:ilvl w:val="0"/>
          <w:numId w:val="68"/>
        </w:numPr>
        <w:rPr>
          <w:rFonts w:ascii="Arial" w:cs="Arial" w:eastAsia="Arial" w:hAnsi="Arial"/>
          <w:sz w:val="16"/>
          <w:szCs w:val="16"/>
          <w:color w:val="074A75"/>
        </w:rPr>
      </w:pPr>
      <w:r>
        <w:rPr>
          <w:rFonts w:ascii="Arial" w:cs="Arial" w:eastAsia="Arial" w:hAnsi="Arial"/>
          <w:sz w:val="16"/>
          <w:szCs w:val="16"/>
          <w:color w:val="auto"/>
        </w:rPr>
        <w:t>Chairman of the Board of Trustees of Ariel Investment Trust, a registered investment company (since 2006)</w:t>
      </w:r>
    </w:p>
    <w:p>
      <w:pPr>
        <w:spacing w:after="0" w:line="6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Regular contributor and analyst on finance, the markets and economic trends for CBS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1640205</wp:posOffset>
            </wp:positionV>
            <wp:extent cx="8890" cy="3094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3094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59"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right="400" w:hanging="187"/>
        <w:spacing w:after="0" w:line="260" w:lineRule="auto"/>
        <w:tabs>
          <w:tab w:leader="none" w:pos="184"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Starbucks Corporation — Chair (since 2021); Vice Chair (2018-2021); member (since 2005)</w:t>
      </w:r>
    </w:p>
    <w:p>
      <w:pPr>
        <w:spacing w:after="0" w:line="60" w:lineRule="exact"/>
        <w:rPr>
          <w:rFonts w:ascii="Arial" w:cs="Arial" w:eastAsia="Arial" w:hAnsi="Arial"/>
          <w:sz w:val="16"/>
          <w:szCs w:val="16"/>
          <w:color w:val="074A75"/>
        </w:rPr>
      </w:pP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DreamWorks Animation SKG, Inc. (2004–2016)</w:t>
      </w:r>
    </w:p>
    <w:p>
      <w:pPr>
        <w:spacing w:after="0" w:line="72" w:lineRule="exact"/>
        <w:rPr>
          <w:rFonts w:ascii="Arial" w:cs="Arial" w:eastAsia="Arial" w:hAnsi="Arial"/>
          <w:sz w:val="16"/>
          <w:szCs w:val="16"/>
          <w:color w:val="074A75"/>
        </w:rPr>
      </w:pPr>
    </w:p>
    <w:p>
      <w:pPr>
        <w:ind w:left="187" w:hanging="187"/>
        <w:spacing w:after="0"/>
        <w:tabs>
          <w:tab w:leader="none" w:pos="187" w:val="left"/>
        </w:tabs>
        <w:numPr>
          <w:ilvl w:val="0"/>
          <w:numId w:val="69"/>
        </w:numPr>
        <w:rPr>
          <w:rFonts w:ascii="Arial" w:cs="Arial" w:eastAsia="Arial" w:hAnsi="Arial"/>
          <w:sz w:val="16"/>
          <w:szCs w:val="16"/>
          <w:color w:val="074A75"/>
        </w:rPr>
      </w:pPr>
      <w:r>
        <w:rPr>
          <w:rFonts w:ascii="Arial" w:cs="Arial" w:eastAsia="Arial" w:hAnsi="Arial"/>
          <w:sz w:val="16"/>
          <w:szCs w:val="16"/>
          <w:color w:val="auto"/>
        </w:rPr>
        <w:t>The Estée Lauder Companies Inc. (2005–2018)</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5" w:lineRule="exact"/>
        <w:rPr>
          <w:sz w:val="20"/>
          <w:szCs w:val="20"/>
          <w:color w:val="auto"/>
        </w:rPr>
      </w:pPr>
    </w:p>
    <w:p>
      <w:pPr>
        <w:ind w:left="187" w:hanging="187"/>
        <w:spacing w:after="0"/>
        <w:tabs>
          <w:tab w:leader="none" w:pos="187"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Chair, After School Matters</w:t>
      </w:r>
    </w:p>
    <w:p>
      <w:pPr>
        <w:spacing w:after="0" w:line="86" w:lineRule="exact"/>
        <w:rPr>
          <w:rFonts w:ascii="Arial" w:cs="Arial" w:eastAsia="Arial" w:hAnsi="Arial"/>
          <w:sz w:val="16"/>
          <w:szCs w:val="16"/>
          <w:color w:val="074A75"/>
        </w:rPr>
      </w:pPr>
    </w:p>
    <w:p>
      <w:pPr>
        <w:ind w:left="187" w:right="540" w:hanging="187"/>
        <w:spacing w:after="0" w:line="260"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Ex Officio / Former Chair, The Economic Club of Chicago</w:t>
      </w:r>
    </w:p>
    <w:p>
      <w:pPr>
        <w:spacing w:after="0" w:line="46" w:lineRule="exact"/>
        <w:rPr>
          <w:rFonts w:ascii="Arial" w:cs="Arial" w:eastAsia="Arial" w:hAnsi="Arial"/>
          <w:sz w:val="16"/>
          <w:szCs w:val="16"/>
          <w:color w:val="074A75"/>
        </w:rPr>
      </w:pPr>
    </w:p>
    <w:p>
      <w:pPr>
        <w:ind w:left="187" w:right="520" w:hanging="187"/>
        <w:spacing w:after="0" w:line="260"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Executive Committee of the Board of Governors, Investment Company Institute</w:t>
      </w:r>
    </w:p>
    <w:p>
      <w:pPr>
        <w:spacing w:after="0" w:line="46" w:lineRule="exact"/>
        <w:rPr>
          <w:rFonts w:ascii="Arial" w:cs="Arial" w:eastAsia="Arial" w:hAnsi="Arial"/>
          <w:sz w:val="16"/>
          <w:szCs w:val="16"/>
          <w:color w:val="074A75"/>
        </w:rPr>
      </w:pPr>
    </w:p>
    <w:p>
      <w:pPr>
        <w:ind w:left="187" w:hanging="187"/>
        <w:spacing w:after="0"/>
        <w:tabs>
          <w:tab w:leader="none" w:pos="187"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Vice Chair, World Business Chicago</w:t>
      </w:r>
    </w:p>
    <w:p>
      <w:pPr>
        <w:spacing w:after="0" w:line="86" w:lineRule="exact"/>
        <w:rPr>
          <w:rFonts w:ascii="Arial" w:cs="Arial" w:eastAsia="Arial" w:hAnsi="Arial"/>
          <w:sz w:val="16"/>
          <w:szCs w:val="16"/>
          <w:color w:val="074A75"/>
        </w:rPr>
      </w:pPr>
    </w:p>
    <w:p>
      <w:pPr>
        <w:ind w:left="187" w:right="140" w:hanging="187"/>
        <w:spacing w:after="0" w:line="260" w:lineRule="auto"/>
        <w:tabs>
          <w:tab w:leader="none" w:pos="184" w:val="left"/>
        </w:tabs>
        <w:numPr>
          <w:ilvl w:val="0"/>
          <w:numId w:val="70"/>
        </w:numPr>
        <w:rPr>
          <w:rFonts w:ascii="Arial" w:cs="Arial" w:eastAsia="Arial" w:hAnsi="Arial"/>
          <w:sz w:val="16"/>
          <w:szCs w:val="16"/>
          <w:color w:val="074A75"/>
        </w:rPr>
      </w:pPr>
      <w:r>
        <w:rPr>
          <w:rFonts w:ascii="Arial" w:cs="Arial" w:eastAsia="Arial" w:hAnsi="Arial"/>
          <w:sz w:val="16"/>
          <w:szCs w:val="16"/>
          <w:color w:val="auto"/>
        </w:rPr>
        <w:t>Former regular contributor and analyst on finance, the markets and economic trends for CBS news</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5" w:lineRule="exact"/>
        <w:rPr>
          <w:sz w:val="20"/>
          <w:szCs w:val="20"/>
          <w:color w:val="auto"/>
        </w:rPr>
      </w:pPr>
    </w:p>
    <w:p>
      <w:pPr>
        <w:ind w:left="187" w:right="420" w:hanging="187"/>
        <w:spacing w:after="0" w:line="260" w:lineRule="auto"/>
        <w:tabs>
          <w:tab w:leader="none" w:pos="184" w:val="left"/>
        </w:tabs>
        <w:numPr>
          <w:ilvl w:val="0"/>
          <w:numId w:val="71"/>
        </w:numPr>
        <w:rPr>
          <w:rFonts w:ascii="Arial" w:cs="Arial" w:eastAsia="Arial" w:hAnsi="Arial"/>
          <w:sz w:val="16"/>
          <w:szCs w:val="16"/>
          <w:color w:val="074A75"/>
        </w:rPr>
      </w:pPr>
      <w:r>
        <w:rPr>
          <w:rFonts w:ascii="Arial" w:cs="Arial" w:eastAsia="Arial" w:hAnsi="Arial"/>
          <w:sz w:val="16"/>
          <w:szCs w:val="16"/>
          <w:color w:val="auto"/>
        </w:rPr>
        <w:t>Graduate of the School of Public and International Affairs at Princeton University</w:t>
      </w:r>
    </w:p>
    <w:p>
      <w:pPr>
        <w:spacing w:after="0" w:line="200" w:lineRule="exact"/>
        <w:rPr>
          <w:sz w:val="20"/>
          <w:szCs w:val="20"/>
          <w:color w:val="auto"/>
        </w:rPr>
      </w:pPr>
    </w:p>
    <w:p>
      <w:pPr>
        <w:sectPr>
          <w:pgSz w:w="11900" w:h="16838" w:orient="portrait"/>
          <w:cols w:equalWidth="0" w:num="3">
            <w:col w:w="2100" w:space="580"/>
            <w:col w:w="4060" w:space="333"/>
            <w:col w:w="4187"/>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Age: </w:t>
      </w:r>
      <w:r>
        <w:rPr>
          <w:rFonts w:ascii="Arial" w:cs="Arial" w:eastAsia="Arial" w:hAnsi="Arial"/>
          <w:sz w:val="16"/>
          <w:szCs w:val="16"/>
          <w:color w:val="000000"/>
        </w:rPr>
        <w:t>68</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Director since: </w:t>
      </w:r>
      <w:r>
        <w:rPr>
          <w:rFonts w:ascii="Arial" w:cs="Arial" w:eastAsia="Arial" w:hAnsi="Arial"/>
          <w:sz w:val="16"/>
          <w:szCs w:val="16"/>
          <w:color w:val="000000"/>
        </w:rPr>
        <w:t>2014</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p>
    <w:p>
      <w:pPr>
        <w:spacing w:after="0" w:line="25" w:lineRule="exact"/>
        <w:rPr>
          <w:sz w:val="20"/>
          <w:szCs w:val="20"/>
          <w:color w:val="auto"/>
        </w:rPr>
      </w:pPr>
    </w:p>
    <w:p>
      <w:pPr>
        <w:ind w:left="200" w:hanging="174"/>
        <w:spacing w:after="0"/>
        <w:tabs>
          <w:tab w:leader="none" w:pos="200" w:val="left"/>
        </w:tabs>
        <w:numPr>
          <w:ilvl w:val="0"/>
          <w:numId w:val="72"/>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5" w:lineRule="exact"/>
        <w:rPr>
          <w:rFonts w:ascii="Arial" w:cs="Arial" w:eastAsia="Arial" w:hAnsi="Arial"/>
          <w:sz w:val="16"/>
          <w:szCs w:val="16"/>
          <w:color w:val="074A75"/>
        </w:rPr>
      </w:pPr>
    </w:p>
    <w:p>
      <w:pPr>
        <w:ind w:left="180" w:right="280" w:hanging="154"/>
        <w:spacing w:after="0" w:line="250" w:lineRule="auto"/>
        <w:tabs>
          <w:tab w:leader="none" w:pos="182" w:val="left"/>
        </w:tabs>
        <w:numPr>
          <w:ilvl w:val="0"/>
          <w:numId w:val="72"/>
        </w:numPr>
        <w:rPr>
          <w:rFonts w:ascii="Arial" w:cs="Arial" w:eastAsia="Arial" w:hAnsi="Arial"/>
          <w:sz w:val="16"/>
          <w:szCs w:val="16"/>
          <w:color w:val="074A75"/>
        </w:rPr>
      </w:pPr>
      <w:r>
        <w:rPr>
          <w:rFonts w:ascii="Arial" w:cs="Arial" w:eastAsia="Arial" w:hAnsi="Arial"/>
          <w:sz w:val="16"/>
          <w:szCs w:val="16"/>
          <w:color w:val="auto"/>
        </w:rPr>
        <w:t>Public Responsibility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43"/>
          <w:szCs w:val="43"/>
          <w:color w:val="074A75"/>
        </w:rPr>
        <w:t>Michael A. Neal</w:t>
      </w:r>
    </w:p>
    <w:p>
      <w:pPr>
        <w:spacing w:after="0" w:line="14" w:lineRule="exact"/>
        <w:rPr>
          <w:sz w:val="20"/>
          <w:szCs w:val="20"/>
          <w:color w:val="auto"/>
        </w:rPr>
      </w:pPr>
    </w:p>
    <w:p>
      <w:pPr>
        <w:ind w:right="420"/>
        <w:spacing w:after="0" w:line="249" w:lineRule="auto"/>
        <w:rPr>
          <w:sz w:val="20"/>
          <w:szCs w:val="20"/>
          <w:color w:val="auto"/>
        </w:rPr>
      </w:pPr>
      <w:r>
        <w:rPr>
          <w:rFonts w:ascii="Arial" w:cs="Arial" w:eastAsia="Arial" w:hAnsi="Arial"/>
          <w:sz w:val="22"/>
          <w:szCs w:val="22"/>
          <w:i w:val="1"/>
          <w:iCs w:val="1"/>
          <w:color w:val="074A75"/>
        </w:rPr>
        <w:t>Retired Vice Chairman of General Electric Company and Retired Chairman and Chief Executive Officer of GE Capital</w:t>
      </w:r>
    </w:p>
    <w:p>
      <w:pPr>
        <w:spacing w:after="0" w:line="200" w:lineRule="exact"/>
        <w:rPr>
          <w:sz w:val="20"/>
          <w:szCs w:val="20"/>
          <w:color w:val="auto"/>
        </w:rPr>
      </w:pPr>
    </w:p>
    <w:p>
      <w:pPr>
        <w:spacing w:after="0" w:line="24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Mr. Neal has extensive experience managing large, complex businesses in regulated industries around the world. During his career with General Electric and GE Capital, Mr. Neal oversaw the provision of financial services and products to consumers and businesses of all sizes globally. His professional background has provided him with extensive expertise and insight in risk management, strategic planning and operations, finance and financial reporting, government and regulatory relations, and management development and succession planning.</w:t>
      </w:r>
    </w:p>
    <w:p>
      <w:pPr>
        <w:spacing w:after="0" w:line="317"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spacing w:after="0" w:line="41" w:lineRule="exact"/>
        <w:rPr>
          <w:sz w:val="20"/>
          <w:szCs w:val="20"/>
          <w:color w:val="auto"/>
        </w:rPr>
      </w:pPr>
    </w:p>
    <w:p>
      <w:pPr>
        <w:ind w:left="20" w:right="280"/>
        <w:spacing w:after="0" w:line="259" w:lineRule="auto"/>
        <w:rPr>
          <w:sz w:val="20"/>
          <w:szCs w:val="20"/>
          <w:color w:val="auto"/>
        </w:rPr>
      </w:pPr>
      <w:r>
        <w:rPr>
          <w:rFonts w:ascii="Arial" w:cs="Arial" w:eastAsia="Arial" w:hAnsi="Arial"/>
          <w:sz w:val="16"/>
          <w:szCs w:val="16"/>
          <w:b w:val="1"/>
          <w:bCs w:val="1"/>
          <w:color w:val="074A75"/>
        </w:rPr>
        <w:t>Director Qualification Highlights:</w:t>
      </w:r>
    </w:p>
    <w:p>
      <w:pPr>
        <w:spacing w:after="0" w:line="1" w:lineRule="exact"/>
        <w:rPr>
          <w:sz w:val="20"/>
          <w:szCs w:val="20"/>
          <w:color w:val="auto"/>
        </w:rPr>
      </w:pPr>
    </w:p>
    <w:p>
      <w:pPr>
        <w:ind w:left="200" w:hanging="174"/>
        <w:spacing w:after="0"/>
        <w:tabs>
          <w:tab w:leader="none" w:pos="200"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Financial services</w:t>
      </w:r>
    </w:p>
    <w:p>
      <w:pPr>
        <w:spacing w:after="0" w:line="5" w:lineRule="exact"/>
        <w:rPr>
          <w:rFonts w:ascii="Arial" w:cs="Arial" w:eastAsia="Arial" w:hAnsi="Arial"/>
          <w:sz w:val="16"/>
          <w:szCs w:val="16"/>
          <w:color w:val="074A75"/>
        </w:rPr>
      </w:pPr>
    </w:p>
    <w:p>
      <w:pPr>
        <w:ind w:left="180" w:right="200" w:hanging="154"/>
        <w:spacing w:after="0" w:line="246" w:lineRule="auto"/>
        <w:tabs>
          <w:tab w:leader="none" w:pos="182"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International business operations</w:t>
      </w:r>
    </w:p>
    <w:p>
      <w:pPr>
        <w:ind w:left="180" w:right="240" w:hanging="154"/>
        <w:spacing w:after="0" w:line="260" w:lineRule="auto"/>
        <w:tabs>
          <w:tab w:leader="none" w:pos="182" w:val="left"/>
        </w:tabs>
        <w:numPr>
          <w:ilvl w:val="0"/>
          <w:numId w:val="73"/>
        </w:numPr>
        <w:rPr>
          <w:rFonts w:ascii="Arial" w:cs="Arial" w:eastAsia="Arial" w:hAnsi="Arial"/>
          <w:sz w:val="16"/>
          <w:szCs w:val="16"/>
          <w:color w:val="074A75"/>
        </w:rPr>
      </w:pPr>
      <w:r>
        <w:rPr>
          <w:rFonts w:ascii="Arial" w:cs="Arial" w:eastAsia="Arial" w:hAnsi="Arial"/>
          <w:sz w:val="16"/>
          <w:szCs w:val="16"/>
          <w:color w:val="auto"/>
        </w:rPr>
        <w:t>Leadership of large, complex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74A75"/>
        </w:rPr>
        <w:t>Career Highlights</w:t>
      </w:r>
    </w:p>
    <w:p>
      <w:pPr>
        <w:spacing w:after="0" w:line="1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General Electric Company, a global industrial and financial services company</w:t>
      </w:r>
    </w:p>
    <w:p>
      <w:pPr>
        <w:spacing w:after="0" w:line="60" w:lineRule="exact"/>
        <w:rPr>
          <w:sz w:val="20"/>
          <w:szCs w:val="20"/>
          <w:color w:val="auto"/>
        </w:rPr>
      </w:pPr>
    </w:p>
    <w:p>
      <w:pPr>
        <w:ind w:left="200" w:hanging="195"/>
        <w:spacing w:after="0"/>
        <w:tabs>
          <w:tab w:leader="none" w:pos="200" w:val="left"/>
        </w:tabs>
        <w:numPr>
          <w:ilvl w:val="0"/>
          <w:numId w:val="74"/>
        </w:numPr>
        <w:rPr>
          <w:rFonts w:ascii="Arial" w:cs="Arial" w:eastAsia="Arial" w:hAnsi="Arial"/>
          <w:sz w:val="16"/>
          <w:szCs w:val="16"/>
          <w:color w:val="074A75"/>
        </w:rPr>
      </w:pPr>
      <w:r>
        <w:rPr>
          <w:rFonts w:ascii="Arial" w:cs="Arial" w:eastAsia="Arial" w:hAnsi="Arial"/>
          <w:sz w:val="16"/>
          <w:szCs w:val="16"/>
          <w:color w:val="auto"/>
        </w:rPr>
        <w:t>Vice Chairman (2005–2013)</w:t>
      </w:r>
    </w:p>
    <w:p>
      <w:pPr>
        <w:spacing w:after="0" w:line="72" w:lineRule="exact"/>
        <w:rPr>
          <w:rFonts w:ascii="Arial" w:cs="Arial" w:eastAsia="Arial" w:hAnsi="Arial"/>
          <w:sz w:val="16"/>
          <w:szCs w:val="16"/>
          <w:color w:val="074A75"/>
        </w:rPr>
      </w:pPr>
    </w:p>
    <w:p>
      <w:pPr>
        <w:ind w:left="200" w:hanging="195"/>
        <w:spacing w:after="0" w:line="260" w:lineRule="auto"/>
        <w:tabs>
          <w:tab w:leader="none" w:pos="197" w:val="left"/>
        </w:tabs>
        <w:numPr>
          <w:ilvl w:val="0"/>
          <w:numId w:val="74"/>
        </w:numPr>
        <w:rPr>
          <w:rFonts w:ascii="Arial" w:cs="Arial" w:eastAsia="Arial" w:hAnsi="Arial"/>
          <w:sz w:val="16"/>
          <w:szCs w:val="16"/>
          <w:color w:val="074A75"/>
        </w:rPr>
      </w:pPr>
      <w:r>
        <w:rPr>
          <w:rFonts w:ascii="Arial" w:cs="Arial" w:eastAsia="Arial" w:hAnsi="Arial"/>
          <w:sz w:val="16"/>
          <w:szCs w:val="16"/>
          <w:color w:val="auto"/>
        </w:rPr>
        <w:t>Chairman and Chief Executive Officer, GE Capital (2007–2013)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585470</wp:posOffset>
            </wp:positionV>
            <wp:extent cx="247777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777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140"/>
        <w:spacing w:after="0" w:line="251" w:lineRule="auto"/>
        <w:rPr>
          <w:sz w:val="20"/>
          <w:szCs w:val="20"/>
          <w:color w:val="auto"/>
        </w:rPr>
      </w:pPr>
      <w:r>
        <w:rPr>
          <w:rFonts w:ascii="Arial" w:cs="Arial" w:eastAsia="Arial" w:hAnsi="Arial"/>
          <w:sz w:val="16"/>
          <w:szCs w:val="16"/>
          <w:b w:val="1"/>
          <w:bCs w:val="1"/>
          <w:color w:val="074A75"/>
        </w:rPr>
        <w:t>Other Public Company Directorships Within the Past Five Years</w:t>
      </w:r>
    </w:p>
    <w:p>
      <w:pPr>
        <w:spacing w:after="0" w:line="1" w:lineRule="exact"/>
        <w:rPr>
          <w:sz w:val="20"/>
          <w:szCs w:val="20"/>
          <w:color w:val="auto"/>
        </w:rPr>
      </w:pPr>
    </w:p>
    <w:p>
      <w:pPr>
        <w:ind w:left="187" w:hanging="187"/>
        <w:spacing w:after="0"/>
        <w:tabs>
          <w:tab w:leader="none" w:pos="187" w:val="left"/>
        </w:tabs>
        <w:numPr>
          <w:ilvl w:val="0"/>
          <w:numId w:val="75"/>
        </w:numPr>
        <w:rPr>
          <w:rFonts w:ascii="Arial" w:cs="Arial" w:eastAsia="Arial" w:hAnsi="Arial"/>
          <w:sz w:val="16"/>
          <w:szCs w:val="16"/>
          <w:color w:val="074A75"/>
        </w:rPr>
      </w:pPr>
      <w:r>
        <w:rPr>
          <w:rFonts w:ascii="Arial" w:cs="Arial" w:eastAsia="Arial" w:hAnsi="Arial"/>
          <w:sz w:val="16"/>
          <w:szCs w:val="16"/>
          <w:color w:val="auto"/>
        </w:rPr>
        <w:t>None</w:t>
      </w:r>
    </w:p>
    <w:p>
      <w:pPr>
        <w:spacing w:after="0" w:line="6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Other Experience</w:t>
      </w:r>
    </w:p>
    <w:p>
      <w:pPr>
        <w:spacing w:after="0" w:line="25" w:lineRule="exact"/>
        <w:rPr>
          <w:sz w:val="20"/>
          <w:szCs w:val="20"/>
          <w:color w:val="auto"/>
        </w:rPr>
      </w:pPr>
    </w:p>
    <w:p>
      <w:pPr>
        <w:ind w:left="187" w:right="100" w:hanging="187"/>
        <w:spacing w:after="0" w:line="260" w:lineRule="auto"/>
        <w:tabs>
          <w:tab w:leader="none" w:pos="184" w:val="left"/>
        </w:tabs>
        <w:numPr>
          <w:ilvl w:val="0"/>
          <w:numId w:val="76"/>
        </w:numPr>
        <w:rPr>
          <w:rFonts w:ascii="Arial" w:cs="Arial" w:eastAsia="Arial" w:hAnsi="Arial"/>
          <w:sz w:val="16"/>
          <w:szCs w:val="16"/>
          <w:color w:val="074A75"/>
        </w:rPr>
      </w:pPr>
      <w:r>
        <w:rPr>
          <w:rFonts w:ascii="Arial" w:cs="Arial" w:eastAsia="Arial" w:hAnsi="Arial"/>
          <w:sz w:val="16"/>
          <w:szCs w:val="16"/>
          <w:color w:val="auto"/>
        </w:rPr>
        <w:t>Trustee, The GT Foundation of the Georgia Institute of Technology</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4A75"/>
        </w:rPr>
        <w:t>Education</w:t>
      </w:r>
    </w:p>
    <w:p>
      <w:pPr>
        <w:spacing w:after="0" w:line="25" w:lineRule="exact"/>
        <w:rPr>
          <w:sz w:val="20"/>
          <w:szCs w:val="20"/>
          <w:color w:val="auto"/>
        </w:rPr>
      </w:pPr>
    </w:p>
    <w:p>
      <w:pPr>
        <w:ind w:left="187" w:hanging="187"/>
        <w:spacing w:after="0"/>
        <w:tabs>
          <w:tab w:leader="none" w:pos="187" w:val="left"/>
        </w:tabs>
        <w:numPr>
          <w:ilvl w:val="0"/>
          <w:numId w:val="77"/>
        </w:numPr>
        <w:rPr>
          <w:rFonts w:ascii="Arial" w:cs="Arial" w:eastAsia="Arial" w:hAnsi="Arial"/>
          <w:sz w:val="16"/>
          <w:szCs w:val="16"/>
          <w:color w:val="074A75"/>
        </w:rPr>
      </w:pPr>
      <w:r>
        <w:rPr>
          <w:rFonts w:ascii="Arial" w:cs="Arial" w:eastAsia="Arial" w:hAnsi="Arial"/>
          <w:sz w:val="16"/>
          <w:szCs w:val="16"/>
          <w:color w:val="auto"/>
        </w:rPr>
        <w:t>Graduate of the Georgia Institute of Technology</w:t>
      </w:r>
    </w:p>
    <w:p>
      <w:pPr>
        <w:spacing w:after="0" w:line="200" w:lineRule="exact"/>
        <w:rPr>
          <w:sz w:val="20"/>
          <w:szCs w:val="20"/>
          <w:color w:val="auto"/>
        </w:rPr>
      </w:pPr>
    </w:p>
    <w:p>
      <w:pPr>
        <w:sectPr>
          <w:pgSz w:w="11900" w:h="16838" w:orient="portrait"/>
          <w:cols w:equalWidth="0" w:num="3">
            <w:col w:w="1960" w:space="720"/>
            <w:col w:w="3760" w:space="633"/>
            <w:col w:w="4187"/>
          </w:cols>
          <w:pgMar w:left="320" w:top="171" w:right="3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 PROXY STATEMENT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b w:val="1"/>
          <w:bCs w:val="1"/>
          <w:color w:val="074A75"/>
        </w:rPr>
        <w:t xml:space="preserve">17  </w:t>
      </w:r>
      <w:r>
        <w:rPr>
          <w:sz w:val="1"/>
          <w:szCs w:val="1"/>
          <w:color w:val="auto"/>
        </w:rPr>
        <w:drawing>
          <wp:inline distT="0" distB="0" distL="0" distR="0">
            <wp:extent cx="2203450" cy="1543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ectPr>
          <w:pgSz w:w="11900" w:h="16838" w:orient="portrait"/>
          <w:cols w:equalWidth="0" w:num="2">
            <w:col w:w="4820" w:space="720"/>
            <w:col w:w="5720"/>
          </w:cols>
          <w:pgMar w:left="320" w:top="171" w:right="31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197485</wp:posOffset>
            </wp:positionV>
            <wp:extent cx="8890" cy="3608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36087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213995</wp:posOffset>
            </wp:positionV>
            <wp:extent cx="822960" cy="1020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960" cy="10204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5" w:lineRule="exact"/>
        <w:rPr>
          <w:sz w:val="20"/>
          <w:szCs w:val="20"/>
          <w:color w:val="auto"/>
        </w:rPr>
      </w:pPr>
    </w:p>
    <w:p>
      <w:pPr>
        <w:ind w:left="200" w:hanging="174"/>
        <w:spacing w:after="0"/>
        <w:tabs>
          <w:tab w:leader="none" w:pos="200" w:val="left"/>
        </w:tabs>
        <w:numPr>
          <w:ilvl w:val="0"/>
          <w:numId w:val="78"/>
        </w:numPr>
        <w:rPr>
          <w:rFonts w:ascii="Arial" w:cs="Arial" w:eastAsia="Arial" w:hAnsi="Arial"/>
          <w:sz w:val="16"/>
          <w:szCs w:val="16"/>
          <w:color w:val="074A75"/>
        </w:rPr>
      </w:pPr>
      <w:r>
        <w:rPr>
          <w:rFonts w:ascii="Arial" w:cs="Arial" w:eastAsia="Arial" w:hAnsi="Arial"/>
          <w:sz w:val="16"/>
          <w:szCs w:val="16"/>
          <w:color w:val="auto"/>
        </w:rPr>
        <w:t>Audit Committee</w:t>
      </w:r>
    </w:p>
    <w:p>
      <w:pPr>
        <w:spacing w:after="0" w:line="93" w:lineRule="exact"/>
        <w:rPr>
          <w:sz w:val="20"/>
          <w:szCs w:val="20"/>
          <w:color w:val="auto"/>
        </w:rPr>
      </w:pPr>
    </w:p>
    <w:p>
      <w:pPr>
        <w:ind w:left="20" w:right="280"/>
        <w:spacing w:after="0" w:line="259" w:lineRule="auto"/>
        <w:rPr>
          <w:sz w:val="20"/>
          <w:szCs w:val="20"/>
          <w:color w:val="auto"/>
        </w:rPr>
      </w:pPr>
      <w:r>
        <w:rPr>
          <w:rFonts w:ascii="Arial" w:cs="Arial" w:eastAsia="Arial" w:hAnsi="Arial"/>
          <w:sz w:val="16"/>
          <w:szCs w:val="16"/>
          <w:b w:val="1"/>
          <w:bCs w:val="1"/>
          <w:color w:val="074A75"/>
        </w:rPr>
        <w:t>Director Qualification Highlights</w:t>
      </w:r>
      <w:r>
        <w:rPr>
          <w:rFonts w:ascii="Arial" w:cs="Arial" w:eastAsia="Arial" w:hAnsi="Arial"/>
          <w:sz w:val="16"/>
          <w:szCs w:val="16"/>
          <w:color w:val="000000"/>
        </w:rPr>
        <w:t>:</w:t>
      </w:r>
    </w:p>
    <w:p>
      <w:pPr>
        <w:spacing w:after="0" w:line="1" w:lineRule="exact"/>
        <w:rPr>
          <w:sz w:val="20"/>
          <w:szCs w:val="20"/>
          <w:color w:val="auto"/>
        </w:rPr>
      </w:pPr>
    </w:p>
    <w:p>
      <w:pPr>
        <w:ind w:left="180" w:right="180" w:hanging="154"/>
        <w:spacing w:after="0" w:line="246" w:lineRule="auto"/>
        <w:tabs>
          <w:tab w:leader="none" w:pos="182"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International Business Operations</w:t>
      </w:r>
    </w:p>
    <w:p>
      <w:pPr>
        <w:jc w:val="both"/>
        <w:ind w:left="180" w:right="240" w:hanging="154"/>
        <w:spacing w:after="0" w:line="246" w:lineRule="auto"/>
        <w:tabs>
          <w:tab w:leader="none" w:pos="182"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Leadership of a large complex organization</w:t>
      </w:r>
    </w:p>
    <w:p>
      <w:pPr>
        <w:ind w:left="200" w:hanging="174"/>
        <w:spacing w:after="0"/>
        <w:tabs>
          <w:tab w:leader="none" w:pos="200" w:val="left"/>
        </w:tabs>
        <w:numPr>
          <w:ilvl w:val="0"/>
          <w:numId w:val="79"/>
        </w:numPr>
        <w:rPr>
          <w:rFonts w:ascii="Arial" w:cs="Arial" w:eastAsia="Arial" w:hAnsi="Arial"/>
          <w:sz w:val="16"/>
          <w:szCs w:val="16"/>
          <w:color w:val="074A75"/>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1022350</wp:posOffset>
            </wp:positionV>
            <wp:extent cx="822960" cy="10198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296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color w:val="074A75"/>
        </w:rPr>
        <w:t>Phebe N. Novakovic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074A75"/>
        </w:rPr>
        <w:t>Chairman and Chief Executive Officer of General Dynamics</w:t>
      </w:r>
    </w:p>
    <w:p>
      <w:pPr>
        <w:spacing w:after="0" w:line="268"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Ms. Novakovic's leadership roles at General Dynamics, as well as her tenure with the Office of Management and Budget and as Special Assistant to the Secretary and Deputy Secretary of Defense, have provided her with significant experience in international business operations, leadership of a large complex organization, and regulated industries and regulatory issues.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20"/>
                <w:szCs w:val="20"/>
                <w:color w:val="auto"/>
              </w:rPr>
            </w:pPr>
            <w:r>
              <w:rPr>
                <w:rFonts w:ascii="Arial" w:cs="Arial" w:eastAsia="Arial" w:hAnsi="Arial"/>
                <w:sz w:val="16"/>
                <w:szCs w:val="16"/>
                <w:b w:val="1"/>
                <w:bCs w:val="1"/>
                <w:color w:val="074A75"/>
              </w:rPr>
              <w:t>Career Highlights</w:t>
            </w:r>
          </w:p>
        </w:tc>
        <w:tc>
          <w:tcPr>
            <w:tcW w:w="4340" w:type="dxa"/>
            <w:vAlign w:val="bottom"/>
            <w:gridSpan w:val="2"/>
          </w:tcPr>
          <w:p>
            <w:pPr>
              <w:ind w:left="28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6"/>
                <w:szCs w:val="16"/>
                <w:color w:val="auto"/>
              </w:rPr>
              <w:t>General Dynamics, a global aerospace and defense</w:t>
            </w:r>
          </w:p>
        </w:tc>
        <w:tc>
          <w:tcPr>
            <w:tcW w:w="4340" w:type="dxa"/>
            <w:vAlign w:val="bottom"/>
            <w:gridSpan w:val="2"/>
          </w:tcPr>
          <w:p>
            <w:pPr>
              <w:ind w:left="28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company</w:t>
            </w:r>
          </w:p>
        </w:tc>
        <w:tc>
          <w:tcPr>
            <w:tcW w:w="4340" w:type="dxa"/>
            <w:vAlign w:val="bottom"/>
            <w:gridSpan w:val="2"/>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General Dynamics - Chairman since 2013; member</w:t>
            </w:r>
          </w:p>
        </w:tc>
        <w:tc>
          <w:tcPr>
            <w:tcW w:w="0" w:type="dxa"/>
            <w:vAlign w:val="bottom"/>
          </w:tcPr>
          <w:p>
            <w:pPr>
              <w:spacing w:after="0"/>
              <w:rPr>
                <w:sz w:val="1"/>
                <w:szCs w:val="1"/>
                <w:color w:val="auto"/>
              </w:rPr>
            </w:pPr>
          </w:p>
        </w:tc>
      </w:tr>
      <w:tr>
        <w:trPr>
          <w:trHeight w:val="189"/>
        </w:trPr>
        <w:tc>
          <w:tcPr>
            <w:tcW w:w="412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and Chief Executive Officer (since 2013)</w:t>
            </w:r>
          </w:p>
        </w:tc>
        <w:tc>
          <w:tcPr>
            <w:tcW w:w="400" w:type="dxa"/>
            <w:vAlign w:val="bottom"/>
          </w:tcPr>
          <w:p>
            <w:pPr>
              <w:spacing w:after="0"/>
              <w:rPr>
                <w:sz w:val="16"/>
                <w:szCs w:val="16"/>
                <w:color w:val="auto"/>
              </w:rPr>
            </w:pPr>
          </w:p>
        </w:tc>
        <w:tc>
          <w:tcPr>
            <w:tcW w:w="3940" w:type="dxa"/>
            <w:vAlign w:val="bottom"/>
          </w:tcPr>
          <w:p>
            <w:pPr>
              <w:ind w:left="60"/>
              <w:spacing w:after="0"/>
              <w:rPr>
                <w:sz w:val="20"/>
                <w:szCs w:val="20"/>
                <w:color w:val="auto"/>
              </w:rPr>
            </w:pPr>
            <w:r>
              <w:rPr>
                <w:rFonts w:ascii="Arial" w:cs="Arial" w:eastAsia="Arial" w:hAnsi="Arial"/>
                <w:sz w:val="16"/>
                <w:szCs w:val="16"/>
                <w:color w:val="auto"/>
              </w:rPr>
              <w:t>since 2012</w:t>
            </w:r>
          </w:p>
        </w:tc>
        <w:tc>
          <w:tcPr>
            <w:tcW w:w="0" w:type="dxa"/>
            <w:vAlign w:val="bottom"/>
          </w:tcPr>
          <w:p>
            <w:pPr>
              <w:spacing w:after="0"/>
              <w:rPr>
                <w:sz w:val="1"/>
                <w:szCs w:val="1"/>
                <w:color w:val="auto"/>
              </w:rPr>
            </w:pPr>
          </w:p>
        </w:tc>
      </w:tr>
      <w:tr>
        <w:trPr>
          <w:trHeight w:val="81"/>
        </w:trPr>
        <w:tc>
          <w:tcPr>
            <w:tcW w:w="4120" w:type="dxa"/>
            <w:vAlign w:val="bottom"/>
            <w:vMerge w:val="continue"/>
          </w:tcPr>
          <w:p>
            <w:pPr>
              <w:spacing w:after="0"/>
              <w:rPr>
                <w:sz w:val="7"/>
                <w:szCs w:val="7"/>
                <w:color w:val="auto"/>
              </w:rPr>
            </w:pPr>
          </w:p>
        </w:tc>
        <w:tc>
          <w:tcPr>
            <w:tcW w:w="400" w:type="dxa"/>
            <w:vAlign w:val="bottom"/>
            <w:vMerge w:val="restart"/>
          </w:tcPr>
          <w:p>
            <w:pPr>
              <w:ind w:left="280"/>
              <w:spacing w:after="0"/>
              <w:rPr>
                <w:sz w:val="20"/>
                <w:szCs w:val="20"/>
                <w:color w:val="auto"/>
              </w:rPr>
            </w:pPr>
            <w:r>
              <w:rPr>
                <w:rFonts w:ascii="Arial" w:cs="Arial" w:eastAsia="Arial" w:hAnsi="Arial"/>
                <w:sz w:val="16"/>
                <w:szCs w:val="16"/>
                <w:color w:val="074A75"/>
              </w:rPr>
              <w:t>•</w:t>
            </w:r>
          </w:p>
        </w:tc>
        <w:tc>
          <w:tcPr>
            <w:tcW w:w="3940" w:type="dxa"/>
            <w:vAlign w:val="bottom"/>
            <w:vMerge w:val="restart"/>
          </w:tcPr>
          <w:p>
            <w:pPr>
              <w:ind w:left="60"/>
              <w:spacing w:after="0"/>
              <w:rPr>
                <w:sz w:val="20"/>
                <w:szCs w:val="20"/>
                <w:color w:val="auto"/>
              </w:rPr>
            </w:pPr>
            <w:r>
              <w:rPr>
                <w:rFonts w:ascii="Arial" w:cs="Arial" w:eastAsia="Arial" w:hAnsi="Arial"/>
                <w:sz w:val="16"/>
                <w:szCs w:val="16"/>
                <w:color w:val="auto"/>
              </w:rPr>
              <w:t>Abbott Laboratories (2010-2021)</w:t>
            </w:r>
          </w:p>
        </w:tc>
        <w:tc>
          <w:tcPr>
            <w:tcW w:w="0" w:type="dxa"/>
            <w:vAlign w:val="bottom"/>
          </w:tcPr>
          <w:p>
            <w:pPr>
              <w:spacing w:after="0"/>
              <w:rPr>
                <w:sz w:val="1"/>
                <w:szCs w:val="1"/>
                <w:color w:val="auto"/>
              </w:rPr>
            </w:pPr>
          </w:p>
        </w:tc>
      </w:tr>
      <w:tr>
        <w:trPr>
          <w:trHeight w:val="114"/>
        </w:trPr>
        <w:tc>
          <w:tcPr>
            <w:tcW w:w="412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President and Chief Operating Officer (2012)</w:t>
            </w:r>
          </w:p>
        </w:tc>
        <w:tc>
          <w:tcPr>
            <w:tcW w:w="400" w:type="dxa"/>
            <w:vAlign w:val="bottom"/>
            <w:vMerge w:val="continue"/>
          </w:tcPr>
          <w:p>
            <w:pPr>
              <w:spacing w:after="0"/>
              <w:rPr>
                <w:sz w:val="9"/>
                <w:szCs w:val="9"/>
                <w:color w:val="auto"/>
              </w:rPr>
            </w:pPr>
          </w:p>
        </w:tc>
        <w:tc>
          <w:tcPr>
            <w:tcW w:w="3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120" w:type="dxa"/>
            <w:vAlign w:val="bottom"/>
            <w:vMerge w:val="continue"/>
          </w:tcPr>
          <w:p>
            <w:pPr>
              <w:spacing w:after="0"/>
              <w:rPr>
                <w:sz w:val="6"/>
                <w:szCs w:val="6"/>
                <w:color w:val="auto"/>
              </w:rPr>
            </w:pPr>
          </w:p>
        </w:tc>
        <w:tc>
          <w:tcPr>
            <w:tcW w:w="43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Executive Vice President, Marine Systems (2010-</w:t>
            </w:r>
          </w:p>
        </w:tc>
        <w:tc>
          <w:tcPr>
            <w:tcW w:w="4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2012)</w:t>
            </w:r>
          </w:p>
        </w:tc>
        <w:tc>
          <w:tcPr>
            <w:tcW w:w="4340" w:type="dxa"/>
            <w:vAlign w:val="bottom"/>
            <w:gridSpan w:val="2"/>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of the Board of Directors, Association of the</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Senior Vice President, Planning and Development</w:t>
            </w:r>
          </w:p>
        </w:tc>
        <w:tc>
          <w:tcPr>
            <w:tcW w:w="400" w:type="dxa"/>
            <w:vAlign w:val="bottom"/>
          </w:tcPr>
          <w:p>
            <w:pPr>
              <w:spacing w:after="0"/>
              <w:rPr>
                <w:sz w:val="16"/>
                <w:szCs w:val="16"/>
                <w:color w:val="auto"/>
              </w:rPr>
            </w:pPr>
          </w:p>
        </w:tc>
        <w:tc>
          <w:tcPr>
            <w:tcW w:w="3940" w:type="dxa"/>
            <w:vAlign w:val="bottom"/>
          </w:tcPr>
          <w:p>
            <w:pPr>
              <w:ind w:left="60"/>
              <w:spacing w:after="0"/>
              <w:rPr>
                <w:sz w:val="20"/>
                <w:szCs w:val="20"/>
                <w:color w:val="auto"/>
              </w:rPr>
            </w:pPr>
            <w:r>
              <w:rPr>
                <w:rFonts w:ascii="Arial" w:cs="Arial" w:eastAsia="Arial" w:hAnsi="Arial"/>
                <w:sz w:val="16"/>
                <w:szCs w:val="16"/>
                <w:color w:val="auto"/>
              </w:rPr>
              <w:t>United States Army</w:t>
            </w:r>
          </w:p>
        </w:tc>
        <w:tc>
          <w:tcPr>
            <w:tcW w:w="0" w:type="dxa"/>
            <w:vAlign w:val="bottom"/>
          </w:tcPr>
          <w:p>
            <w:pPr>
              <w:spacing w:after="0"/>
              <w:rPr>
                <w:sz w:val="1"/>
                <w:szCs w:val="1"/>
                <w:color w:val="auto"/>
              </w:rPr>
            </w:pPr>
          </w:p>
        </w:tc>
      </w:tr>
      <w:tr>
        <w:trPr>
          <w:trHeight w:val="189"/>
        </w:trPr>
        <w:tc>
          <w:tcPr>
            <w:tcW w:w="4120" w:type="dxa"/>
            <w:vAlign w:val="bottom"/>
          </w:tcPr>
          <w:p>
            <w:pPr>
              <w:ind w:left="200"/>
              <w:spacing w:after="0"/>
              <w:rPr>
                <w:sz w:val="20"/>
                <w:szCs w:val="20"/>
                <w:color w:val="auto"/>
              </w:rPr>
            </w:pPr>
            <w:r>
              <w:rPr>
                <w:rFonts w:ascii="Arial" w:cs="Arial" w:eastAsia="Arial" w:hAnsi="Arial"/>
                <w:sz w:val="16"/>
                <w:szCs w:val="16"/>
                <w:color w:val="auto"/>
              </w:rPr>
              <w:t>(2005-2012)</w:t>
            </w:r>
          </w:p>
        </w:tc>
        <w:tc>
          <w:tcPr>
            <w:tcW w:w="4340" w:type="dxa"/>
            <w:vAlign w:val="bottom"/>
            <w:gridSpan w:val="2"/>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of the Board of Trustees, Ford's Theatre</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Vice President (2002-2005)</w:t>
            </w:r>
          </w:p>
        </w:tc>
        <w:tc>
          <w:tcPr>
            <w:tcW w:w="400" w:type="dxa"/>
            <w:vAlign w:val="bottom"/>
          </w:tcPr>
          <w:p>
            <w:pPr>
              <w:ind w:left="280"/>
              <w:spacing w:after="0"/>
              <w:rPr>
                <w:sz w:val="20"/>
                <w:szCs w:val="20"/>
                <w:color w:val="auto"/>
              </w:rPr>
            </w:pPr>
            <w:r>
              <w:rPr>
                <w:rFonts w:ascii="Arial" w:cs="Arial" w:eastAsia="Arial" w:hAnsi="Arial"/>
                <w:sz w:val="16"/>
                <w:szCs w:val="16"/>
                <w:color w:val="074A75"/>
              </w:rPr>
              <w:t>•</w:t>
            </w:r>
          </w:p>
        </w:tc>
        <w:tc>
          <w:tcPr>
            <w:tcW w:w="3940" w:type="dxa"/>
            <w:vAlign w:val="bottom"/>
          </w:tcPr>
          <w:p>
            <w:pPr>
              <w:ind w:left="60"/>
              <w:spacing w:after="0"/>
              <w:rPr>
                <w:sz w:val="20"/>
                <w:szCs w:val="20"/>
                <w:color w:val="auto"/>
              </w:rPr>
            </w:pPr>
            <w:r>
              <w:rPr>
                <w:rFonts w:ascii="Arial" w:cs="Arial" w:eastAsia="Arial" w:hAnsi="Arial"/>
                <w:sz w:val="16"/>
                <w:szCs w:val="16"/>
                <w:color w:val="auto"/>
              </w:rPr>
              <w:t>Trustee, Northwestern University</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4340" w:type="dxa"/>
            <w:vAlign w:val="bottom"/>
            <w:gridSpan w:val="2"/>
          </w:tcPr>
          <w:p>
            <w:pPr>
              <w:ind w:left="2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Director, Northwestern Memorial Healthcare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400" w:type="dxa"/>
            <w:vAlign w:val="bottom"/>
          </w:tcPr>
          <w:p>
            <w:pPr>
              <w:ind w:left="280"/>
              <w:spacing w:after="0"/>
              <w:rPr>
                <w:sz w:val="20"/>
                <w:szCs w:val="20"/>
                <w:color w:val="auto"/>
              </w:rPr>
            </w:pPr>
            <w:r>
              <w:rPr>
                <w:rFonts w:ascii="Arial" w:cs="Arial" w:eastAsia="Arial" w:hAnsi="Arial"/>
                <w:sz w:val="16"/>
                <w:szCs w:val="16"/>
                <w:color w:val="074A75"/>
              </w:rPr>
              <w:t>•</w:t>
            </w:r>
          </w:p>
        </w:tc>
        <w:tc>
          <w:tcPr>
            <w:tcW w:w="3940" w:type="dxa"/>
            <w:vAlign w:val="bottom"/>
          </w:tcPr>
          <w:p>
            <w:pPr>
              <w:ind w:left="60"/>
              <w:spacing w:after="0"/>
              <w:rPr>
                <w:sz w:val="20"/>
                <w:szCs w:val="20"/>
                <w:color w:val="auto"/>
              </w:rPr>
            </w:pPr>
            <w:r>
              <w:rPr>
                <w:rFonts w:ascii="Arial" w:cs="Arial" w:eastAsia="Arial" w:hAnsi="Arial"/>
                <w:sz w:val="16"/>
                <w:szCs w:val="16"/>
                <w:color w:val="auto"/>
              </w:rPr>
              <w:t>Member, Business Roundtable</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074A75"/>
        </w:rPr>
        <w:t>Education</w:t>
      </w:r>
    </w:p>
    <w:p>
      <w:pPr>
        <w:spacing w:after="0" w:line="25"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Graduate of Smith College</w:t>
      </w:r>
    </w:p>
    <w:p>
      <w:pPr>
        <w:spacing w:after="0" w:line="5" w:lineRule="exact"/>
        <w:rPr>
          <w:sz w:val="20"/>
          <w:szCs w:val="20"/>
          <w:color w:val="auto"/>
        </w:rPr>
      </w:pPr>
    </w:p>
    <w:p>
      <w:pPr>
        <w:ind w:left="4400"/>
        <w:spacing w:after="0"/>
        <w:tabs>
          <w:tab w:leader="none" w:pos="456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M.B.A., University of Pennsylvania Wharton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405130</wp:posOffset>
            </wp:positionV>
            <wp:extent cx="8890" cy="382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3823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58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Age</w:t>
      </w:r>
      <w:r>
        <w:rPr>
          <w:rFonts w:ascii="Arial" w:cs="Arial" w:eastAsia="Arial" w:hAnsi="Arial"/>
          <w:sz w:val="16"/>
          <w:szCs w:val="16"/>
          <w:color w:val="000000"/>
        </w:rPr>
        <w:t>: 63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Director since</w:t>
      </w:r>
      <w:r>
        <w:rPr>
          <w:rFonts w:ascii="Arial" w:cs="Arial" w:eastAsia="Arial" w:hAnsi="Arial"/>
          <w:sz w:val="16"/>
          <w:szCs w:val="16"/>
          <w:color w:val="000000"/>
        </w:rPr>
        <w:t>: 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Committees</w:t>
      </w:r>
      <w:r>
        <w:rPr>
          <w:rFonts w:ascii="Arial" w:cs="Arial" w:eastAsia="Arial" w:hAnsi="Arial"/>
          <w:sz w:val="16"/>
          <w:szCs w:val="16"/>
          <w:color w:val="000000"/>
        </w:rPr>
        <w:t>:</w:t>
      </w:r>
    </w:p>
    <w:p>
      <w:pPr>
        <w:spacing w:after="0" w:line="25" w:lineRule="exact"/>
        <w:rPr>
          <w:sz w:val="20"/>
          <w:szCs w:val="20"/>
          <w:color w:val="auto"/>
        </w:rPr>
      </w:pPr>
    </w:p>
    <w:p>
      <w:pPr>
        <w:ind w:left="180" w:right="220" w:hanging="154"/>
        <w:spacing w:after="0" w:line="246" w:lineRule="auto"/>
        <w:tabs>
          <w:tab w:leader="none" w:pos="182"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Corporate Governance &amp; Nominating Committee</w:t>
      </w:r>
    </w:p>
    <w:p>
      <w:pPr>
        <w:ind w:left="180" w:right="80" w:hanging="154"/>
        <w:spacing w:after="0" w:line="253" w:lineRule="auto"/>
        <w:tabs>
          <w:tab w:leader="none" w:pos="182" w:val="left"/>
        </w:tabs>
        <w:numPr>
          <w:ilvl w:val="0"/>
          <w:numId w:val="80"/>
        </w:numPr>
        <w:rPr>
          <w:rFonts w:ascii="Arial" w:cs="Arial" w:eastAsia="Arial" w:hAnsi="Arial"/>
          <w:sz w:val="16"/>
          <w:szCs w:val="16"/>
          <w:color w:val="074A75"/>
        </w:rPr>
      </w:pPr>
      <w:r>
        <w:rPr>
          <w:rFonts w:ascii="Arial" w:cs="Arial" w:eastAsia="Arial" w:hAnsi="Arial"/>
          <w:sz w:val="16"/>
          <w:szCs w:val="16"/>
          <w:color w:val="auto"/>
        </w:rPr>
        <w:t>Compensation &amp; Management Development Committee</w:t>
      </w:r>
    </w:p>
    <w:p>
      <w:pPr>
        <w:spacing w:after="0" w:line="73" w:lineRule="exact"/>
        <w:rPr>
          <w:sz w:val="20"/>
          <w:szCs w:val="20"/>
          <w:color w:val="auto"/>
        </w:rPr>
      </w:pPr>
    </w:p>
    <w:p>
      <w:pPr>
        <w:ind w:left="20" w:right="540"/>
        <w:spacing w:after="0" w:line="286" w:lineRule="auto"/>
        <w:rPr>
          <w:sz w:val="20"/>
          <w:szCs w:val="20"/>
          <w:color w:val="auto"/>
        </w:rPr>
      </w:pPr>
      <w:r>
        <w:rPr>
          <w:rFonts w:ascii="Arial" w:cs="Arial" w:eastAsia="Arial" w:hAnsi="Arial"/>
          <w:sz w:val="16"/>
          <w:szCs w:val="16"/>
          <w:b w:val="1"/>
          <w:bCs w:val="1"/>
          <w:color w:val="074A75"/>
        </w:rPr>
        <w:t>Director Qualification Highlights</w:t>
      </w:r>
      <w:r>
        <w:rPr>
          <w:rFonts w:ascii="Arial" w:cs="Arial" w:eastAsia="Arial" w:hAnsi="Arial"/>
          <w:sz w:val="16"/>
          <w:szCs w:val="16"/>
          <w:color w:val="000000"/>
        </w:rPr>
        <w:t>:</w:t>
      </w:r>
    </w:p>
    <w:p>
      <w:pPr>
        <w:spacing w:after="0" w:line="68" w:lineRule="exact"/>
        <w:rPr>
          <w:sz w:val="20"/>
          <w:szCs w:val="20"/>
          <w:color w:val="auto"/>
        </w:rPr>
      </w:pPr>
    </w:p>
    <w:p>
      <w:pPr>
        <w:jc w:val="both"/>
        <w:ind w:left="180" w:right="460" w:hanging="154"/>
        <w:spacing w:after="0" w:line="246" w:lineRule="auto"/>
        <w:tabs>
          <w:tab w:leader="none" w:pos="182"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Leadership of a large, complex organization</w:t>
      </w:r>
    </w:p>
    <w:p>
      <w:pPr>
        <w:ind w:left="200" w:hanging="174"/>
        <w:spacing w:after="0"/>
        <w:tabs>
          <w:tab w:leader="none" w:pos="200"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Public company governance</w:t>
      </w:r>
    </w:p>
    <w:p>
      <w:pPr>
        <w:spacing w:after="0" w:line="5" w:lineRule="exact"/>
        <w:rPr>
          <w:rFonts w:ascii="Arial" w:cs="Arial" w:eastAsia="Arial" w:hAnsi="Arial"/>
          <w:sz w:val="16"/>
          <w:szCs w:val="16"/>
          <w:color w:val="074A75"/>
        </w:rPr>
      </w:pPr>
    </w:p>
    <w:p>
      <w:pPr>
        <w:ind w:left="200" w:hanging="174"/>
        <w:spacing w:after="0"/>
        <w:tabs>
          <w:tab w:leader="none" w:pos="200" w:val="left"/>
        </w:tabs>
        <w:numPr>
          <w:ilvl w:val="0"/>
          <w:numId w:val="81"/>
        </w:numPr>
        <w:rPr>
          <w:rFonts w:ascii="Arial" w:cs="Arial" w:eastAsia="Arial" w:hAnsi="Arial"/>
          <w:sz w:val="16"/>
          <w:szCs w:val="16"/>
          <w:color w:val="074A75"/>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43"/>
          <w:szCs w:val="43"/>
          <w:color w:val="074A75"/>
        </w:rPr>
        <w:t>Virginia M. Rometty</w:t>
      </w:r>
    </w:p>
    <w:p>
      <w:pPr>
        <w:spacing w:after="0" w:line="14" w:lineRule="exact"/>
        <w:rPr>
          <w:sz w:val="20"/>
          <w:szCs w:val="20"/>
          <w:color w:val="auto"/>
        </w:rPr>
      </w:pPr>
    </w:p>
    <w:p>
      <w:pPr>
        <w:ind w:right="680"/>
        <w:spacing w:after="0" w:line="249" w:lineRule="auto"/>
        <w:rPr>
          <w:sz w:val="20"/>
          <w:szCs w:val="20"/>
          <w:color w:val="auto"/>
        </w:rPr>
      </w:pPr>
      <w:r>
        <w:rPr>
          <w:rFonts w:ascii="Arial" w:cs="Arial" w:eastAsia="Arial" w:hAnsi="Arial"/>
          <w:sz w:val="22"/>
          <w:szCs w:val="22"/>
          <w:i w:val="1"/>
          <w:iCs w:val="1"/>
          <w:color w:val="074A75"/>
        </w:rPr>
        <w:t>Retired Executive Chairman, President and Chief Executive Officer of International Business Machines Corporation (“IBM”)</w:t>
      </w:r>
    </w:p>
    <w:p>
      <w:pPr>
        <w:spacing w:after="0" w:line="14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During her tenure spanning four decades at IBM, Mrs. Rometty has gained extensive expertise in technology, and in all aspects of leading a complex global business, including succession planning, public company governance, as well as operational and regulatory issues. Mrs. Rometty retired from the President and Chief Executive Officer roles at IBM on April 6, 2020 and as Executive Chairman of the Board on December 31, 2020.</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b w:val="1"/>
                <w:bCs w:val="1"/>
                <w:color w:val="074A75"/>
              </w:rPr>
              <w:t>Career Highlights</w:t>
            </w: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Other Public Company Directorships Within the Past</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IBM, a global information technology company</w:t>
            </w: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Five Years</w:t>
            </w:r>
          </w:p>
        </w:tc>
        <w:tc>
          <w:tcPr>
            <w:tcW w:w="0" w:type="dxa"/>
            <w:vAlign w:val="bottom"/>
          </w:tcPr>
          <w:p>
            <w:pPr>
              <w:spacing w:after="0"/>
              <w:rPr>
                <w:sz w:val="1"/>
                <w:szCs w:val="1"/>
                <w:color w:val="auto"/>
              </w:rPr>
            </w:pPr>
          </w:p>
        </w:tc>
      </w:tr>
      <w:tr>
        <w:trPr>
          <w:trHeight w:val="195"/>
        </w:trPr>
        <w:tc>
          <w:tcPr>
            <w:tcW w:w="404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Executive Chairman (2020)</w:t>
            </w: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IBM (2012-2020)</w:t>
            </w:r>
          </w:p>
        </w:tc>
        <w:tc>
          <w:tcPr>
            <w:tcW w:w="0" w:type="dxa"/>
            <w:vAlign w:val="bottom"/>
          </w:tcPr>
          <w:p>
            <w:pPr>
              <w:spacing w:after="0"/>
              <w:rPr>
                <w:sz w:val="1"/>
                <w:szCs w:val="1"/>
                <w:color w:val="auto"/>
              </w:rPr>
            </w:pPr>
          </w:p>
        </w:tc>
      </w:tr>
      <w:tr>
        <w:trPr>
          <w:trHeight w:val="129"/>
        </w:trPr>
        <w:tc>
          <w:tcPr>
            <w:tcW w:w="4040" w:type="dxa"/>
            <w:vAlign w:val="bottom"/>
            <w:vMerge w:val="continue"/>
          </w:tcPr>
          <w:p>
            <w:pPr>
              <w:spacing w:after="0"/>
              <w:rPr>
                <w:sz w:val="11"/>
                <w:szCs w:val="11"/>
                <w:color w:val="auto"/>
              </w:rPr>
            </w:pPr>
          </w:p>
        </w:tc>
        <w:tc>
          <w:tcPr>
            <w:tcW w:w="4480" w:type="dxa"/>
            <w:vAlign w:val="bottom"/>
            <w:vMerge w:val="restart"/>
          </w:tcPr>
          <w:p>
            <w:pPr>
              <w:ind w:left="360"/>
              <w:spacing w:after="0"/>
              <w:rPr>
                <w:sz w:val="20"/>
                <w:szCs w:val="20"/>
                <w:color w:val="auto"/>
              </w:rPr>
            </w:pPr>
            <w:r>
              <w:rPr>
                <w:rFonts w:ascii="Arial" w:cs="Arial" w:eastAsia="Arial" w:hAnsi="Arial"/>
                <w:sz w:val="16"/>
                <w:szCs w:val="16"/>
                <w:b w:val="1"/>
                <w:bCs w:val="1"/>
                <w:color w:val="074A75"/>
              </w:rPr>
              <w:t>Other Experience</w:t>
            </w:r>
          </w:p>
        </w:tc>
        <w:tc>
          <w:tcPr>
            <w:tcW w:w="0" w:type="dxa"/>
            <w:vAlign w:val="bottom"/>
          </w:tcPr>
          <w:p>
            <w:pPr>
              <w:spacing w:after="0"/>
              <w:rPr>
                <w:sz w:val="1"/>
                <w:szCs w:val="1"/>
                <w:color w:val="auto"/>
              </w:rPr>
            </w:pPr>
          </w:p>
        </w:tc>
      </w:tr>
      <w:tr>
        <w:trPr>
          <w:trHeight w:val="135"/>
        </w:trPr>
        <w:tc>
          <w:tcPr>
            <w:tcW w:w="4040" w:type="dxa"/>
            <w:vAlign w:val="bottom"/>
            <w:vMerge w:val="restart"/>
          </w:tcPr>
          <w:p>
            <w:pPr>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Chairman, President and Chief Executive Officer</w:t>
            </w:r>
          </w:p>
        </w:tc>
        <w:tc>
          <w:tcPr>
            <w:tcW w:w="4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tcPr>
          <w:p>
            <w:pPr>
              <w:spacing w:after="0"/>
              <w:rPr>
                <w:sz w:val="4"/>
                <w:szCs w:val="4"/>
                <w:color w:val="auto"/>
              </w:rPr>
            </w:pPr>
          </w:p>
        </w:tc>
        <w:tc>
          <w:tcPr>
            <w:tcW w:w="4480" w:type="dxa"/>
            <w:vAlign w:val="bottom"/>
            <w:vMerge w:val="restart"/>
          </w:tcPr>
          <w:p>
            <w:pPr>
              <w:ind w:left="360"/>
              <w:spacing w:after="0"/>
              <w:rPr>
                <w:sz w:val="20"/>
                <w:szCs w:val="20"/>
                <w:color w:val="auto"/>
              </w:rPr>
            </w:pPr>
            <w:r>
              <w:rPr>
                <w:rFonts w:ascii="Arial" w:cs="Arial" w:eastAsia="Arial" w:hAnsi="Arial"/>
                <w:sz w:val="16"/>
                <w:szCs w:val="16"/>
                <w:color w:val="auto"/>
              </w:rPr>
              <w:t>•  Co-Chair, OneTen</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0"/>
              <w:spacing w:after="0"/>
              <w:rPr>
                <w:sz w:val="20"/>
                <w:szCs w:val="20"/>
                <w:color w:val="auto"/>
              </w:rPr>
            </w:pPr>
            <w:r>
              <w:rPr>
                <w:rFonts w:ascii="Arial" w:cs="Arial" w:eastAsia="Arial" w:hAnsi="Arial"/>
                <w:sz w:val="16"/>
                <w:szCs w:val="16"/>
                <w:color w:val="auto"/>
              </w:rPr>
              <w:t>(2012-2020)</w:t>
            </w:r>
          </w:p>
        </w:tc>
        <w:tc>
          <w:tcPr>
            <w:tcW w:w="4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40" w:type="dxa"/>
            <w:vAlign w:val="bottom"/>
            <w:vMerge w:val="continue"/>
          </w:tcPr>
          <w:p>
            <w:pPr>
              <w:spacing w:after="0"/>
              <w:rPr>
                <w:sz w:val="5"/>
                <w:szCs w:val="5"/>
                <w:color w:val="auto"/>
              </w:rPr>
            </w:pPr>
          </w:p>
        </w:tc>
        <w:tc>
          <w:tcPr>
            <w:tcW w:w="4480" w:type="dxa"/>
            <w:vAlign w:val="bottom"/>
            <w:vMerge w:val="restart"/>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Business Roundtable</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4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Council on Foreign Relations</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Member, Peterson Institute for International Economics</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Vice Chairman, Board of Trustees, Northwestern</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540"/>
              <w:spacing w:after="0"/>
              <w:rPr>
                <w:sz w:val="20"/>
                <w:szCs w:val="20"/>
                <w:color w:val="auto"/>
              </w:rPr>
            </w:pPr>
            <w:r>
              <w:rPr>
                <w:rFonts w:ascii="Arial" w:cs="Arial" w:eastAsia="Arial" w:hAnsi="Arial"/>
                <w:sz w:val="16"/>
                <w:szCs w:val="16"/>
                <w:color w:val="auto"/>
              </w:rPr>
              <w:t>University</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Board of Trustees, Memorial Sloan-Kettering Cancer</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480" w:type="dxa"/>
            <w:vAlign w:val="bottom"/>
          </w:tcPr>
          <w:p>
            <w:pPr>
              <w:ind w:left="540"/>
              <w:spacing w:after="0"/>
              <w:rPr>
                <w:sz w:val="20"/>
                <w:szCs w:val="20"/>
                <w:color w:val="auto"/>
              </w:rPr>
            </w:pPr>
            <w:r>
              <w:rPr>
                <w:rFonts w:ascii="Arial" w:cs="Arial" w:eastAsia="Arial" w:hAnsi="Arial"/>
                <w:sz w:val="16"/>
                <w:szCs w:val="16"/>
                <w:color w:val="auto"/>
              </w:rPr>
              <w:t>Center</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Former Member, President’s Export Council</w:t>
            </w: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4480" w:type="dxa"/>
            <w:vAlign w:val="bottom"/>
          </w:tcPr>
          <w:p>
            <w:pPr>
              <w:ind w:left="360"/>
              <w:spacing w:after="0"/>
              <w:rPr>
                <w:sz w:val="20"/>
                <w:szCs w:val="20"/>
                <w:color w:val="auto"/>
              </w:rPr>
            </w:pPr>
            <w:r>
              <w:rPr>
                <w:rFonts w:ascii="Arial" w:cs="Arial" w:eastAsia="Arial" w:hAnsi="Arial"/>
                <w:sz w:val="16"/>
                <w:szCs w:val="16"/>
                <w:b w:val="1"/>
                <w:bCs w:val="1"/>
                <w:color w:val="074A75"/>
              </w:rPr>
              <w:t>Education</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448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Graduate of Northwestern University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20" w:space="460"/>
            <w:col w:w="858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18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Director independence</w:t>
      </w:r>
    </w:p>
    <w:p>
      <w:pPr>
        <w:sectPr>
          <w:pgSz w:w="11900" w:h="16838" w:orient="portrait"/>
          <w:cols w:equalWidth="0" w:num="1">
            <w:col w:w="11260"/>
          </w:cols>
          <w:pgMar w:left="320" w:top="171" w:right="319" w:bottom="1440" w:gutter="0" w:footer="0" w:header="0"/>
        </w:sectPr>
      </w:pPr>
    </w:p>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Firm’s non-management Board members are independent, under both the NYSE corporate governance listing standards and the Firm’s independence standards as set forth in its Governance Principles.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be considered independent, a director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 The Board considered:</w:t>
      </w:r>
    </w:p>
    <w:p>
      <w:pPr>
        <w:spacing w:after="0" w:line="101" w:lineRule="exact"/>
        <w:rPr>
          <w:sz w:val="20"/>
          <w:szCs w:val="20"/>
          <w:color w:val="auto"/>
        </w:rPr>
      </w:pPr>
    </w:p>
    <w:p>
      <w:pPr>
        <w:jc w:val="both"/>
        <w:ind w:left="200" w:right="360" w:hanging="192"/>
        <w:spacing w:after="0" w:line="256" w:lineRule="auto"/>
        <w:tabs>
          <w:tab w:leader="none" w:pos="204" w:val="left"/>
        </w:tabs>
        <w:numPr>
          <w:ilvl w:val="0"/>
          <w:numId w:val="82"/>
        </w:numPr>
        <w:rPr>
          <w:rFonts w:ascii="Arial" w:cs="Arial" w:eastAsia="Arial" w:hAnsi="Arial"/>
          <w:sz w:val="18"/>
          <w:szCs w:val="18"/>
          <w:color w:val="074A75"/>
        </w:rPr>
      </w:pPr>
      <w:r>
        <w:rPr>
          <w:rFonts w:ascii="Arial" w:cs="Arial" w:eastAsia="Arial" w:hAnsi="Arial"/>
          <w:sz w:val="18"/>
          <w:szCs w:val="18"/>
          <w:color w:val="auto"/>
        </w:rPr>
        <w:t>Consumer credit: credit cards issued to directors Bammann, Crown, Flynn, Hobson, Neal, Novakovic and their immediate family members</w:t>
      </w:r>
    </w:p>
    <w:p>
      <w:pPr>
        <w:spacing w:after="0" w:line="93" w:lineRule="exact"/>
        <w:rPr>
          <w:rFonts w:ascii="Arial" w:cs="Arial" w:eastAsia="Arial" w:hAnsi="Arial"/>
          <w:sz w:val="18"/>
          <w:szCs w:val="18"/>
          <w:color w:val="074A75"/>
        </w:rPr>
      </w:pPr>
    </w:p>
    <w:p>
      <w:pPr>
        <w:ind w:left="200" w:hanging="192"/>
        <w:spacing w:after="0"/>
        <w:tabs>
          <w:tab w:leader="none" w:pos="200" w:val="left"/>
        </w:tabs>
        <w:numPr>
          <w:ilvl w:val="0"/>
          <w:numId w:val="82"/>
        </w:numPr>
        <w:rPr>
          <w:rFonts w:ascii="Arial" w:cs="Arial" w:eastAsia="Arial" w:hAnsi="Arial"/>
          <w:sz w:val="18"/>
          <w:szCs w:val="18"/>
          <w:color w:val="074A75"/>
        </w:rPr>
      </w:pPr>
      <w:r>
        <w:rPr>
          <w:rFonts w:ascii="Arial" w:cs="Arial" w:eastAsia="Arial" w:hAnsi="Arial"/>
          <w:sz w:val="18"/>
          <w:szCs w:val="18"/>
          <w:color w:val="auto"/>
        </w:rPr>
        <w:t>Wholesale credit: extensions of credit and other financial and</w:t>
      </w:r>
    </w:p>
    <w:p>
      <w:pPr>
        <w:spacing w:after="0" w:line="9" w:lineRule="exact"/>
        <w:rPr>
          <w:rFonts w:ascii="Arial" w:cs="Arial" w:eastAsia="Arial" w:hAnsi="Arial"/>
          <w:sz w:val="18"/>
          <w:szCs w:val="18"/>
          <w:color w:val="074A75"/>
        </w:rPr>
      </w:pPr>
    </w:p>
    <w:p>
      <w:pPr>
        <w:ind w:left="200"/>
        <w:spacing w:after="0" w:line="251" w:lineRule="auto"/>
        <w:rPr>
          <w:rFonts w:ascii="Arial" w:cs="Arial" w:eastAsia="Arial" w:hAnsi="Arial"/>
          <w:sz w:val="18"/>
          <w:szCs w:val="18"/>
          <w:color w:val="074A75"/>
        </w:rPr>
      </w:pPr>
      <w:r>
        <w:rPr>
          <w:rFonts w:ascii="Arial" w:cs="Arial" w:eastAsia="Arial" w:hAnsi="Arial"/>
          <w:sz w:val="18"/>
          <w:szCs w:val="18"/>
          <w:color w:val="auto"/>
        </w:rPr>
        <w:t>financial advisory products and services provided to: Berkshire Hathaway Inc., for which Mr. Combs is an Investment Officer, and its subsidiaries; Henry Crown and Company, for which Mr. Crown is Chairman and Chief Executive Officer, and other Crown family-owned entities; Ariel Investments, LLC, for which Ms. Hobson is Co-Chief Executive Officer and President, and its subsidiaries and funds; certain entities wholly-owned by Ms. Hobson’s spouse; and General Dynamics Corporation, for which Ms. Novakovic is Chairman and Chief Executive Officer, and its subsidiaries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00" w:right="180" w:hanging="196"/>
        <w:spacing w:after="0" w:line="251" w:lineRule="auto"/>
        <w:tabs>
          <w:tab w:leader="none" w:pos="204" w:val="left"/>
        </w:tabs>
        <w:numPr>
          <w:ilvl w:val="0"/>
          <w:numId w:val="83"/>
        </w:numPr>
        <w:rPr>
          <w:rFonts w:ascii="Arial" w:cs="Arial" w:eastAsia="Arial" w:hAnsi="Arial"/>
          <w:sz w:val="18"/>
          <w:szCs w:val="18"/>
          <w:color w:val="074A75"/>
        </w:rPr>
      </w:pPr>
      <w:r>
        <w:rPr>
          <w:rFonts w:ascii="Arial" w:cs="Arial" w:eastAsia="Arial" w:hAnsi="Arial"/>
          <w:sz w:val="18"/>
          <w:szCs w:val="18"/>
          <w:color w:val="auto"/>
        </w:rPr>
        <w:t>Goods and services: commercial office space leased by the Firm from subsidiaries of companies in which Mr. Crown and members of his immediate family have indirect ownership interests; purchases from Berkshire Hathaway subsidiaries of private aviation services, professional services related to the Firm’s corporate-owned aircraft, and merchandising fixtures for retail branches; and purchases from General Dynamics subsidiaries of corporate aircraft and associated maintenance services and parts</w:t>
      </w:r>
    </w:p>
    <w:p>
      <w:pPr>
        <w:spacing w:after="0" w:line="10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Board, having reviewed the relevant relationships between the Firm and each director and nominee, determined, in accordance with the NYSE’s listing standards and the Firm’s independence standards, that each non-management director (Linda B. Bammann, Stephen B. Burke, Todd A. Combs, James S. Crown, Timothy P. Flynn, Mellody Hobson, Michael A. Neal, Phebe N. Novakovic and Virginia M. Rometty) had only immaterial relationships with JPMorgan Chase and accordingly is independent. James A. Bell and Laban P. Jackson, Jr., who retired in May 2020, and Lee R. Raymond who retired in December 2020, had only immaterial relationships with JPMorgan Chase and accordingly were independent directors.</w:t>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1847215</wp:posOffset>
            </wp:positionV>
            <wp:extent cx="274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788"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19  </w:t>
      </w:r>
      <w:r>
        <w:rPr>
          <w:sz w:val="1"/>
          <w:szCs w:val="1"/>
          <w:color w:val="auto"/>
        </w:rPr>
        <w:drawing>
          <wp:inline distT="0" distB="0" distL="0" distR="0">
            <wp:extent cx="2203450" cy="1543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Director recruitment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261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color w:val="074A75"/>
        </w:rPr>
        <w:t>Candidate recommendations</w:t>
      </w:r>
    </w:p>
    <w:p>
      <w:pPr>
        <w:spacing w:after="0" w:line="113" w:lineRule="exact"/>
        <w:rPr>
          <w:sz w:val="20"/>
          <w:szCs w:val="20"/>
          <w:color w:val="auto"/>
        </w:rPr>
      </w:pPr>
    </w:p>
    <w:p>
      <w:pPr>
        <w:ind w:left="20" w:right="380"/>
        <w:spacing w:after="0" w:line="260" w:lineRule="auto"/>
        <w:rPr>
          <w:sz w:val="20"/>
          <w:szCs w:val="20"/>
          <w:color w:val="auto"/>
        </w:rPr>
      </w:pPr>
      <w:r>
        <w:rPr>
          <w:rFonts w:ascii="Arial" w:cs="Arial" w:eastAsia="Arial" w:hAnsi="Arial"/>
          <w:sz w:val="16"/>
          <w:szCs w:val="16"/>
          <w:color w:val="auto"/>
        </w:rPr>
        <w:t>The Governance Committee solicits candidate recommendations from shareholders, directors, and management and has been assisted by a third-party advisor in identifying qualified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3462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0"/>
          <w:szCs w:val="20"/>
          <w:color w:val="074A75"/>
        </w:rPr>
        <w:t>Assessment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evaluating prospective directors, among other items, the Governance Committee considers:</w:t>
      </w:r>
    </w:p>
    <w:p>
      <w:pPr>
        <w:spacing w:after="0" w:line="73" w:lineRule="exact"/>
        <w:rPr>
          <w:sz w:val="20"/>
          <w:szCs w:val="20"/>
          <w:color w:val="auto"/>
        </w:rPr>
      </w:pPr>
    </w:p>
    <w:p>
      <w:pPr>
        <w:ind w:left="220" w:hanging="194"/>
        <w:spacing w:after="0"/>
        <w:tabs>
          <w:tab w:leader="none" w:pos="220"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The Firm’s Governance Principles</w:t>
      </w:r>
    </w:p>
    <w:p>
      <w:pPr>
        <w:spacing w:after="0" w:line="72" w:lineRule="exact"/>
        <w:rPr>
          <w:rFonts w:ascii="Arial" w:cs="Arial" w:eastAsia="Arial" w:hAnsi="Arial"/>
          <w:sz w:val="16"/>
          <w:szCs w:val="16"/>
          <w:color w:val="074A75"/>
        </w:rPr>
      </w:pPr>
    </w:p>
    <w:p>
      <w:pPr>
        <w:ind w:left="220" w:hanging="194"/>
        <w:spacing w:after="0"/>
        <w:tabs>
          <w:tab w:leader="none" w:pos="220"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The Firm’s strategy, risk profile and current Board composition</w:t>
      </w:r>
    </w:p>
    <w:p>
      <w:pPr>
        <w:spacing w:after="0" w:line="86" w:lineRule="exact"/>
        <w:rPr>
          <w:rFonts w:ascii="Arial" w:cs="Arial" w:eastAsia="Arial" w:hAnsi="Arial"/>
          <w:sz w:val="16"/>
          <w:szCs w:val="16"/>
          <w:color w:val="074A75"/>
        </w:rPr>
      </w:pPr>
    </w:p>
    <w:p>
      <w:pPr>
        <w:ind w:left="220" w:hanging="194"/>
        <w:spacing w:after="0"/>
        <w:tabs>
          <w:tab w:leader="none" w:pos="220"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Candidate’s specific skills and experiences based on the needs of the Firm</w:t>
      </w:r>
    </w:p>
    <w:p>
      <w:pPr>
        <w:spacing w:after="0" w:line="72" w:lineRule="exact"/>
        <w:rPr>
          <w:rFonts w:ascii="Arial" w:cs="Arial" w:eastAsia="Arial" w:hAnsi="Arial"/>
          <w:sz w:val="16"/>
          <w:szCs w:val="16"/>
          <w:color w:val="074A75"/>
        </w:rPr>
      </w:pPr>
    </w:p>
    <w:p>
      <w:pPr>
        <w:ind w:left="220" w:hanging="194"/>
        <w:spacing w:after="0"/>
        <w:tabs>
          <w:tab w:leader="none" w:pos="220" w:val="left"/>
        </w:tabs>
        <w:numPr>
          <w:ilvl w:val="0"/>
          <w:numId w:val="84"/>
        </w:numPr>
        <w:rPr>
          <w:rFonts w:ascii="Arial" w:cs="Arial" w:eastAsia="Arial" w:hAnsi="Arial"/>
          <w:sz w:val="16"/>
          <w:szCs w:val="16"/>
          <w:color w:val="074A75"/>
        </w:rPr>
      </w:pPr>
      <w:r>
        <w:rPr>
          <w:rFonts w:ascii="Arial" w:cs="Arial" w:eastAsia="Arial" w:hAnsi="Arial"/>
          <w:sz w:val="16"/>
          <w:szCs w:val="16"/>
          <w:color w:val="auto"/>
        </w:rPr>
        <w:t>Candidate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531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87630</wp:posOffset>
            </wp:positionV>
            <wp:extent cx="22288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28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0"/>
          <w:szCs w:val="20"/>
          <w:color w:val="074A75"/>
        </w:rPr>
        <w:t>Candidate meetings</w:t>
      </w:r>
    </w:p>
    <w:p>
      <w:pPr>
        <w:spacing w:after="0" w:line="86" w:lineRule="exact"/>
        <w:rPr>
          <w:sz w:val="20"/>
          <w:szCs w:val="20"/>
          <w:color w:val="auto"/>
        </w:rPr>
      </w:pPr>
    </w:p>
    <w:p>
      <w:pPr>
        <w:ind w:left="20" w:right="160"/>
        <w:spacing w:after="0" w:line="260" w:lineRule="auto"/>
        <w:rPr>
          <w:sz w:val="20"/>
          <w:szCs w:val="20"/>
          <w:color w:val="auto"/>
        </w:rPr>
      </w:pPr>
      <w:r>
        <w:rPr>
          <w:rFonts w:ascii="Arial" w:cs="Arial" w:eastAsia="Arial" w:hAnsi="Arial"/>
          <w:sz w:val="16"/>
          <w:szCs w:val="16"/>
          <w:color w:val="auto"/>
        </w:rPr>
        <w:t>The potential nominee meets with the Governance Committee, Lead Independent Director, Chairman of the Board, other members of the Board and senior management,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5060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5060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62865</wp:posOffset>
            </wp:positionV>
            <wp:extent cx="222885"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288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074A75"/>
        </w:rPr>
        <w:t>Full Board consideration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candidate is put forward for consideration by the full Board</w:t>
      </w:r>
    </w:p>
    <w:p>
      <w:pPr>
        <w:spacing w:after="0" w:line="19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By-laws also permit a shareholder group of up to 20 shareholders who have continuously owned at least 3% of the Firm’s outstanding shares for at least three years to nominate up to 20% of the Board (but in any event at least two directors). For further information, see page</w:t>
      </w:r>
    </w:p>
    <w:p>
      <w:pPr>
        <w:ind w:right="2480" w:firstLine="8"/>
        <w:spacing w:after="0" w:line="375" w:lineRule="auto"/>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All candidates recommended to the Governance Committee are evaluated based on the same standards. </w:t>
      </w:r>
      <w:r>
        <w:rPr>
          <w:rFonts w:ascii="Arial" w:cs="Arial" w:eastAsia="Arial" w:hAnsi="Arial"/>
          <w:sz w:val="18"/>
          <w:szCs w:val="18"/>
          <w:color w:val="074A75"/>
        </w:rPr>
        <w:t>Recent Board Refreshment</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Since our last annual shareholders meeting, the Board, using the process described above and taking into account, among other factors, shareholders’ interest in board refreshment and adding directors with experience in technology and leadership of large, complex organizations, elected Phebe N. Novakovic to the Board effective December 2020. Ms. Novakovic has been among a select group of individuals considered as part of the Governance Committee’s evaluation of prospective Board members in recent years and has been an active participant at Firm events, including as a featured speaker. Based on her background and the support of several directors familiar with Ms. Novakovic's diligence, efforts and effectiveness, Mr. Dimon suggested that the Governance Committee consider Ms. Novakovic as a prospective candidate. After members of the Board met with Ms. Novakovic and the Governance Committee reviewed her qualifications, as well as her constructive personal attributes and her independence, Ms. Novakovic was recommended for election to the Board. For information on Ms. Novakovic’s qualifications, see page 18.</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220345</wp:posOffset>
            </wp:positionV>
            <wp:extent cx="7683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220345</wp:posOffset>
            </wp:positionV>
            <wp:extent cx="7747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220345</wp:posOffset>
            </wp:positionV>
            <wp:extent cx="76835"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Director re-nomination</w:t>
      </w:r>
    </w:p>
    <w:p>
      <w:pPr>
        <w:spacing w:after="0" w:line="11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Governance Committee also oversees the re-nomination process. In determining whether to re-nominate a director for election at our annual meeting, the Governance Committee reviews each director, considering: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57785</wp:posOffset>
            </wp:positionV>
            <wp:extent cx="3171825" cy="31718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718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074A75"/>
        </w:rPr>
        <w:t>Retirement Policy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None of our director nominees will be 72 or older this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annual Board and committee self-assessment process, see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21  </w:t>
      </w:r>
      <w:r>
        <w:rPr>
          <w:sz w:val="1"/>
          <w:szCs w:val="1"/>
          <w:color w:val="auto"/>
        </w:rPr>
        <w:drawing>
          <wp:inline distT="0" distB="0" distL="0" distR="0">
            <wp:extent cx="2203450" cy="1543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151765</wp:posOffset>
            </wp:positionV>
            <wp:extent cx="7683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151765</wp:posOffset>
            </wp:positionV>
            <wp:extent cx="76835"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151765</wp:posOffset>
            </wp:positionV>
            <wp:extent cx="7747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43"/>
          <w:szCs w:val="43"/>
          <w:color w:val="074A75"/>
        </w:rPr>
        <w:t>2. Board governance</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074A75"/>
        </w:rPr>
        <w:t>Strong governance practices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Our Board is guided by the Firm’s Governance Principles, and we adhere to the Commonsense Corporate Governance Principles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54850" cy="3340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54850" cy="33401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Annual election of all directors by majority vote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100% principle standing committee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3411855" cy="1974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11855" cy="197485"/>
                    </a:xfrm>
                    <a:prstGeom prst="rect">
                      <a:avLst/>
                    </a:prstGeom>
                    <a:noFill/>
                  </pic:spPr>
                </pic:pic>
              </a:graphicData>
            </a:graphic>
          </wp:anchor>
        </w:drawing>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Lead Independent Director with clearly-defined responsibilities</w:t>
      </w:r>
    </w:p>
    <w:p>
      <w:pPr>
        <w:spacing w:after="0" w:line="100" w:lineRule="exact"/>
        <w:rPr>
          <w:sz w:val="20"/>
          <w:szCs w:val="20"/>
          <w:color w:val="auto"/>
        </w:rPr>
      </w:pPr>
    </w:p>
    <w:p>
      <w:pPr>
        <w:ind w:left="400" w:right="260"/>
        <w:spacing w:after="0" w:line="260" w:lineRule="auto"/>
        <w:rPr>
          <w:sz w:val="20"/>
          <w:szCs w:val="20"/>
          <w:color w:val="auto"/>
        </w:rPr>
      </w:pPr>
      <w:r>
        <w:rPr>
          <w:rFonts w:ascii="Arial" w:cs="Arial" w:eastAsia="Arial" w:hAnsi="Arial"/>
          <w:sz w:val="16"/>
          <w:szCs w:val="16"/>
          <w:color w:val="auto"/>
        </w:rPr>
        <w:t>Executive sessions of independent directors at each regular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-236855</wp:posOffset>
            </wp:positionV>
            <wp:extent cx="1371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3411855" cy="411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11855" cy="411480"/>
                    </a:xfrm>
                    <a:prstGeom prst="rect">
                      <a:avLst/>
                    </a:prstGeom>
                    <a:noFill/>
                  </pic:spPr>
                </pic:pic>
              </a:graphicData>
            </a:graphic>
          </wp:anchor>
        </w:drawing>
      </w:r>
    </w:p>
    <w:p>
      <w:pPr>
        <w:spacing w:after="0" w:line="13" w:lineRule="exact"/>
        <w:rPr>
          <w:sz w:val="20"/>
          <w:szCs w:val="20"/>
          <w:color w:val="auto"/>
        </w:rPr>
      </w:pPr>
    </w:p>
    <w:p>
      <w:pPr>
        <w:ind w:left="400" w:right="560"/>
        <w:spacing w:after="0" w:line="260" w:lineRule="auto"/>
        <w:rPr>
          <w:sz w:val="20"/>
          <w:szCs w:val="20"/>
          <w:color w:val="auto"/>
        </w:rPr>
      </w:pPr>
      <w:r>
        <w:rPr>
          <w:rFonts w:ascii="Arial" w:cs="Arial" w:eastAsia="Arial" w:hAnsi="Arial"/>
          <w:sz w:val="16"/>
          <w:szCs w:val="16"/>
          <w:color w:val="auto"/>
        </w:rPr>
        <w:t>Annual Board and committee self-assessment guided by Lead Independent Director</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3411855" cy="1974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11855" cy="197485"/>
                    </a:xfrm>
                    <a:prstGeom prst="rect">
                      <a:avLst/>
                    </a:prstGeom>
                    <a:noFill/>
                  </pic:spPr>
                </pic:pic>
              </a:graphicData>
            </a:graphic>
          </wp:anchor>
        </w:drawing>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Ongoing director education</w:t>
      </w:r>
    </w:p>
    <w:p>
      <w:pPr>
        <w:spacing w:after="0" w:line="100" w:lineRule="exact"/>
        <w:rPr>
          <w:sz w:val="20"/>
          <w:szCs w:val="20"/>
          <w:color w:val="auto"/>
        </w:rPr>
      </w:pPr>
    </w:p>
    <w:p>
      <w:pPr>
        <w:ind w:left="400" w:right="180"/>
        <w:spacing w:after="0" w:line="260" w:lineRule="auto"/>
        <w:rPr>
          <w:sz w:val="20"/>
          <w:szCs w:val="20"/>
          <w:color w:val="auto"/>
        </w:rPr>
      </w:pPr>
      <w:r>
        <w:rPr>
          <w:rFonts w:ascii="Arial" w:cs="Arial" w:eastAsia="Arial" w:hAnsi="Arial"/>
          <w:sz w:val="16"/>
          <w:szCs w:val="16"/>
          <w:color w:val="auto"/>
        </w:rPr>
        <w:t>Robust shareholder engagement process, including participation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-236855</wp:posOffset>
            </wp:positionV>
            <wp:extent cx="1371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Semi-annual Board review of investor feedback</w:t>
      </w:r>
    </w:p>
    <w:p>
      <w:pPr>
        <w:spacing w:after="0" w:line="100"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Ongoing consideration of Board composition and refreshment, including diversity in director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-236855</wp:posOffset>
            </wp:positionV>
            <wp:extent cx="13716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000000"/>
                        </a:clrFrom>
                        <a:clrTo>
                          <a:srgbClr val="000000">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-241300</wp:posOffset>
            </wp:positionH>
            <wp:positionV relativeFrom="paragraph">
              <wp:posOffset>-236855</wp:posOffset>
            </wp:positionV>
            <wp:extent cx="13716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2540</wp:posOffset>
            </wp:positionV>
            <wp:extent cx="3411855" cy="5314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11855" cy="531495"/>
                    </a:xfrm>
                    <a:prstGeom prst="rect">
                      <a:avLst/>
                    </a:prstGeom>
                    <a:noFill/>
                  </pic:spPr>
                </pic:pic>
              </a:graphicData>
            </a:graphic>
          </wp:anchor>
        </w:drawing>
      </w:r>
    </w:p>
    <w:p>
      <w:pPr>
        <w:spacing w:after="0" w:line="13"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Strong director attendance: each director attended 75% or more of total meetings of the Board and committees on which he or she served during 2020</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requirements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45085</wp:posOffset>
            </wp:positionV>
            <wp:extent cx="3411855" cy="3346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11855" cy="3346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 of corporate responsibility and ESG matters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Robust anti-hedging and anti-pledging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45085</wp:posOffset>
            </wp:positionV>
            <wp:extent cx="3411855" cy="1974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11855" cy="19748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Direct Board access to management</w:t>
      </w:r>
    </w:p>
    <w:p>
      <w:pPr>
        <w:spacing w:after="0" w:line="509" w:lineRule="exact"/>
        <w:rPr>
          <w:sz w:val="20"/>
          <w:szCs w:val="20"/>
          <w:color w:val="auto"/>
        </w:rPr>
      </w:pPr>
    </w:p>
    <w:p>
      <w:pPr>
        <w:sectPr>
          <w:pgSz w:w="11900" w:h="16838" w:orient="portrait"/>
          <w:cols w:equalWidth="0" w:num="2">
            <w:col w:w="5420" w:space="720"/>
            <w:col w:w="5120"/>
          </w:cols>
          <w:pgMar w:left="320" w:top="171" w:right="31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color w:val="074A75"/>
        </w:rPr>
        <w:t>Our Board’s leadership structure</w:t>
      </w:r>
    </w:p>
    <w:p>
      <w:pPr>
        <w:spacing w:after="0" w:line="6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believes it is important to retain flexibility to determine its leadership structure based on the particular composition of the Board, the individuals serving in leadership positions, the needs and opportunities of the Firm as they change over time and the additional factors described on the following page. The Board has separated the Chairman and CEO positions in the past and may do so again in the future if it believes that doing so would be in the best interest of the Firm and its shareholders.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Based on consideration of the factors described on the following page, our Board has determined that combining the roles of Chairman and CEO is the most effective leadership structure for the Board at this time. The Board believes the present structure provides the Firm and the Board with strong leadership, appropriate independent oversight of management, continuity of experience that complements ongoing Board refreshment, and the ability to communicate their business and strategy to shareholders, clients, employees, regulators and the public in a single voice.</w:t>
      </w:r>
    </w:p>
    <w:p>
      <w:pPr>
        <w:spacing w:after="0" w:line="10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required by the Firm’s Governance Principles when the role of the Chairman is combined with that of the CEO, the independent directors appointed a Lead Independent Director. Our Lead Independent Director focuses on the Board’s priorities and processes, facilitates independent oversight of management and promotes open dialogue among the independent directors during Board meetings,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executive sessions without the presence of the CEO and between Board meetings.</w:t>
      </w:r>
    </w:p>
    <w:p>
      <w:pPr>
        <w:spacing w:after="0" w:line="90"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 September 2020, the independent directors of the Board unanimously elected Stephen B. Burke as Lead Independent Director, succeeding Lee R. Raymond, effective January 1, 2021. In electing Mr. Burke as Lead Independent Director, the Board confirmed its March 2020 determination that its leadership structure, with a combined CEO and Chairman and Lead Independent Director, remains in the best interests of the Firm and its shareholders. The directors also considered the Board’s ongoing succession planning for the Lead Independent Director, the skills and attributes required of the role, and Mr. Burke’s background and experience, including his in-depth knowledge of the Firm and its businesses, strong interpersonal skills, demonstrated independent judgment and financial and operational track record as CEO of NBCUniversal. Mr. Raymond announced his resignation from the Board in December 2020, effective at the end of the year.</w:t>
      </w:r>
    </w:p>
    <w:p>
      <w:pPr>
        <w:spacing w:after="0" w:line="2663"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220345</wp:posOffset>
            </wp:positionV>
            <wp:extent cx="76835"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220345</wp:posOffset>
            </wp:positionV>
            <wp:extent cx="76835"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220345</wp:posOffset>
            </wp:positionV>
            <wp:extent cx="77470"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074A75"/>
        </w:rPr>
        <w:t>Factors the Board considers in reviewing its leadership structure</w:t>
      </w:r>
    </w:p>
    <w:p>
      <w:pPr>
        <w:spacing w:after="0" w:line="11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2021, considering the following factors:</w:t>
      </w:r>
    </w:p>
    <w:p>
      <w:pPr>
        <w:spacing w:after="0" w:line="90"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current composition of the Board</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respective responsibilities for the positions of Chairman and Lead Independent Director (see table below for detailed information)</w:t>
      </w:r>
    </w:p>
    <w:p>
      <w:pPr>
        <w:spacing w:after="0" w:line="76" w:lineRule="exact"/>
        <w:rPr>
          <w:rFonts w:ascii="Arial" w:cs="Arial" w:eastAsia="Arial" w:hAnsi="Arial"/>
          <w:sz w:val="18"/>
          <w:szCs w:val="18"/>
          <w:color w:val="074A75"/>
        </w:rPr>
      </w:pPr>
    </w:p>
    <w:p>
      <w:pPr>
        <w:ind w:left="200" w:right="380" w:hanging="192"/>
        <w:spacing w:after="0" w:line="261"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people currently in the roles of Chairman and Lead Independent Director and their record of strong leadership and performance in their roles</w:t>
      </w:r>
    </w:p>
    <w:p>
      <w:pPr>
        <w:spacing w:after="0" w:line="49" w:lineRule="exact"/>
        <w:rPr>
          <w:rFonts w:ascii="Arial" w:cs="Arial" w:eastAsia="Arial" w:hAnsi="Arial"/>
          <w:sz w:val="18"/>
          <w:szCs w:val="18"/>
          <w:color w:val="074A75"/>
        </w:rPr>
      </w:pPr>
    </w:p>
    <w:p>
      <w:pPr>
        <w:ind w:left="200" w:right="60" w:hanging="192"/>
        <w:spacing w:after="0" w:line="256"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66" w:lineRule="exact"/>
        <w:rPr>
          <w:rFonts w:ascii="Arial" w:cs="Arial" w:eastAsia="Arial" w:hAnsi="Arial"/>
          <w:sz w:val="18"/>
          <w:szCs w:val="18"/>
          <w:color w:val="074A75"/>
        </w:rPr>
      </w:pPr>
    </w:p>
    <w:p>
      <w:pPr>
        <w:ind w:left="200" w:hanging="192"/>
        <w:spacing w:after="0"/>
        <w:tabs>
          <w:tab w:leader="none" w:pos="200"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Firm’s circumstances, including its financial performance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The views of our stakeholders, including shareholders</w:t>
      </w:r>
    </w:p>
    <w:p>
      <w:pPr>
        <w:spacing w:after="0" w:line="76" w:lineRule="exact"/>
        <w:rPr>
          <w:rFonts w:ascii="Arial" w:cs="Arial" w:eastAsia="Arial" w:hAnsi="Arial"/>
          <w:sz w:val="18"/>
          <w:szCs w:val="18"/>
          <w:color w:val="074A75"/>
        </w:rPr>
      </w:pPr>
    </w:p>
    <w:p>
      <w:pPr>
        <w:ind w:left="200" w:right="500" w:hanging="192"/>
        <w:spacing w:after="0" w:line="261" w:lineRule="auto"/>
        <w:tabs>
          <w:tab w:leader="none" w:pos="204"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62" w:lineRule="exact"/>
        <w:rPr>
          <w:rFonts w:ascii="Arial" w:cs="Arial" w:eastAsia="Arial" w:hAnsi="Arial"/>
          <w:sz w:val="18"/>
          <w:szCs w:val="18"/>
          <w:color w:val="074A75"/>
        </w:rPr>
      </w:pPr>
    </w:p>
    <w:p>
      <w:pPr>
        <w:ind w:left="200" w:hanging="192"/>
        <w:spacing w:after="0"/>
        <w:tabs>
          <w:tab w:leader="none" w:pos="200" w:val="left"/>
        </w:tabs>
        <w:numPr>
          <w:ilvl w:val="0"/>
          <w:numId w:val="86"/>
        </w:numPr>
        <w:rPr>
          <w:rFonts w:ascii="Arial" w:cs="Arial" w:eastAsia="Arial" w:hAnsi="Arial"/>
          <w:sz w:val="18"/>
          <w:szCs w:val="18"/>
          <w:color w:val="074A75"/>
        </w:rPr>
      </w:pPr>
      <w:r>
        <w:rPr>
          <w:rFonts w:ascii="Arial" w:cs="Arial" w:eastAsia="Arial" w:hAnsi="Arial"/>
          <w:sz w:val="18"/>
          <w:szCs w:val="18"/>
          <w:color w:val="auto"/>
        </w:rPr>
        <w:t>Such other factors as the Board determines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74A75"/>
        </w:rPr>
        <w:t>Respective duties and responsibilities of the Chairman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920" w:type="dxa"/>
            <w:vAlign w:val="bottom"/>
          </w:tcPr>
          <w:p>
            <w:pPr>
              <w:spacing w:after="0"/>
              <w:rPr>
                <w:sz w:val="20"/>
                <w:szCs w:val="20"/>
                <w:color w:val="auto"/>
              </w:rPr>
            </w:pPr>
            <w:r>
              <w:rPr>
                <w:rFonts w:ascii="Arial" w:cs="Arial" w:eastAsia="Arial" w:hAnsi="Arial"/>
                <w:sz w:val="18"/>
                <w:szCs w:val="18"/>
                <w:b w:val="1"/>
                <w:bCs w:val="1"/>
                <w:color w:val="074A75"/>
              </w:rPr>
              <w:t>CHAIRMAN OF</w:t>
            </w:r>
          </w:p>
        </w:tc>
        <w:tc>
          <w:tcPr>
            <w:tcW w:w="9300" w:type="dxa"/>
            <w:vAlign w:val="bottom"/>
          </w:tcPr>
          <w:p>
            <w:pPr>
              <w:ind w:left="400"/>
              <w:spacing w:after="0"/>
              <w:rPr>
                <w:sz w:val="20"/>
                <w:szCs w:val="20"/>
                <w:color w:val="auto"/>
              </w:rPr>
            </w:pPr>
            <w:r>
              <w:rPr>
                <w:rFonts w:ascii="Arial" w:cs="Arial" w:eastAsia="Arial" w:hAnsi="Arial"/>
                <w:sz w:val="16"/>
                <w:szCs w:val="16"/>
                <w:color w:val="auto"/>
              </w:rPr>
              <w:t>calls Board and shareholder meetings</w:t>
            </w:r>
          </w:p>
        </w:tc>
        <w:tc>
          <w:tcPr>
            <w:tcW w:w="0" w:type="dxa"/>
            <w:vAlign w:val="bottom"/>
          </w:tcPr>
          <w:p>
            <w:pPr>
              <w:spacing w:after="0"/>
              <w:rPr>
                <w:sz w:val="1"/>
                <w:szCs w:val="1"/>
                <w:color w:val="auto"/>
              </w:rPr>
            </w:pPr>
          </w:p>
        </w:tc>
      </w:tr>
      <w:tr>
        <w:trPr>
          <w:trHeight w:val="135"/>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074A75"/>
              </w:rPr>
              <w:t>THE BOARD:</w:t>
            </w:r>
          </w:p>
        </w:tc>
        <w:tc>
          <w:tcPr>
            <w:tcW w:w="9300" w:type="dxa"/>
            <w:vAlign w:val="bottom"/>
            <w:tcBorders>
              <w:bottom w:val="single" w:sz="8" w:color="58585A"/>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93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-274955</wp:posOffset>
            </wp:positionV>
            <wp:extent cx="137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-34925</wp:posOffset>
            </wp:positionV>
            <wp:extent cx="137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6"/>
          <w:szCs w:val="16"/>
          <w:color w:val="auto"/>
        </w:rPr>
        <w:t>presides at Board and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62230</wp:posOffset>
            </wp:positionV>
            <wp:extent cx="59061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104775</wp:posOffset>
            </wp:positionV>
            <wp:extent cx="13716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LEAD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INDEPENDENT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4A75"/>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2672080</wp:posOffset>
            </wp:positionV>
            <wp:extent cx="9683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760"/>
        <w:spacing w:after="0" w:line="484" w:lineRule="auto"/>
        <w:rPr>
          <w:sz w:val="20"/>
          <w:szCs w:val="20"/>
          <w:color w:val="auto"/>
        </w:rPr>
      </w:pPr>
      <w:r>
        <w:rPr>
          <w:rFonts w:ascii="Arial" w:cs="Arial" w:eastAsia="Arial" w:hAnsi="Arial"/>
          <w:sz w:val="16"/>
          <w:szCs w:val="16"/>
          <w:color w:val="auto"/>
        </w:rPr>
        <w:t>presides at Board meetings in the Chairman’s absence or when otherwise appropriate acts as liaison between independent directors and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-60325</wp:posOffset>
            </wp:positionV>
            <wp:extent cx="59061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-300355</wp:posOffset>
            </wp:positionV>
            <wp:extent cx="59061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-506095</wp:posOffset>
            </wp:positionV>
            <wp:extent cx="13716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-274320</wp:posOffset>
            </wp:positionV>
            <wp:extent cx="137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-34290</wp:posOffset>
            </wp:positionV>
            <wp:extent cx="137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provides advice and guidance to the CEO on executing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performance review of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advises the CEO of the Board’s information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independent director consideration of Chairman/CEO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meets one-on-one with the Chairman/CEO following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06135" cy="8890"/>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guides the self-assessment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-245745</wp:posOffset>
            </wp:positionH>
            <wp:positionV relativeFrom="paragraph">
              <wp:posOffset>87630</wp:posOffset>
            </wp:positionV>
            <wp:extent cx="1371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62230</wp:posOffset>
            </wp:positionV>
            <wp:extent cx="59061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06135" cy="8255"/>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559435</wp:posOffset>
            </wp:positionV>
            <wp:extent cx="274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720"/>
            <w:col w:w="892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23  </w:t>
      </w:r>
      <w:r>
        <w:rPr>
          <w:sz w:val="1"/>
          <w:szCs w:val="1"/>
          <w:color w:val="auto"/>
        </w:rPr>
        <w:drawing>
          <wp:inline distT="0" distB="0" distL="0" distR="0">
            <wp:extent cx="2203450" cy="1543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220345</wp:posOffset>
            </wp:positionV>
            <wp:extent cx="76835"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220345</wp:posOffset>
            </wp:positionV>
            <wp:extent cx="76835" cy="146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220345</wp:posOffset>
            </wp:positionV>
            <wp:extent cx="7747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00" w:type="dxa"/>
            <w:vAlign w:val="bottom"/>
            <w:tcBorders>
              <w:top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c>
          <w:tcPr>
            <w:tcW w:w="20" w:type="dxa"/>
            <w:vAlign w:val="bottom"/>
            <w:tcBorders>
              <w:top w:val="single" w:sz="8" w:color="E7E7E8"/>
            </w:tcBorders>
            <w:shd w:val="clear" w:color="auto" w:fill="E7E7E8"/>
          </w:tcPr>
          <w:p>
            <w:pPr>
              <w:spacing w:after="0"/>
              <w:rPr>
                <w:sz w:val="22"/>
                <w:szCs w:val="22"/>
                <w:color w:val="auto"/>
              </w:rPr>
            </w:pP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00" w:type="dxa"/>
            <w:vAlign w:val="bottom"/>
            <w:tcBorders>
              <w:bottom w:val="single" w:sz="8" w:color="E7E7E8"/>
            </w:tcBorders>
          </w:tcPr>
          <w:p>
            <w:pPr>
              <w:spacing w:after="0"/>
              <w:rPr>
                <w:sz w:val="5"/>
                <w:szCs w:val="5"/>
                <w:color w:val="auto"/>
              </w:rPr>
            </w:pPr>
          </w:p>
        </w:tc>
        <w:tc>
          <w:tcPr>
            <w:tcW w:w="20" w:type="dxa"/>
            <w:vAlign w:val="bottom"/>
            <w:tcBorders>
              <w:bottom w:val="single" w:sz="8" w:color="E7E7E8"/>
            </w:tcBorders>
            <w:shd w:val="clear" w:color="auto" w:fill="E7E7E8"/>
          </w:tcPr>
          <w:p>
            <w:pPr>
              <w:spacing w:after="0"/>
              <w:rPr>
                <w:sz w:val="5"/>
                <w:szCs w:val="5"/>
                <w:color w:val="auto"/>
              </w:rPr>
            </w:pPr>
          </w:p>
        </w:tc>
      </w:tr>
      <w:tr>
        <w:trPr>
          <w:trHeight w:val="493"/>
        </w:trPr>
        <w:tc>
          <w:tcPr>
            <w:tcW w:w="2920" w:type="dxa"/>
            <w:vAlign w:val="bottom"/>
            <w:gridSpan w:val="2"/>
          </w:tcPr>
          <w:p>
            <w:pPr>
              <w:spacing w:after="0"/>
              <w:rPr>
                <w:sz w:val="20"/>
                <w:szCs w:val="20"/>
                <w:color w:val="auto"/>
              </w:rPr>
            </w:pPr>
            <w:r>
              <w:rPr>
                <w:rFonts w:ascii="Arial" w:cs="Arial" w:eastAsia="Arial" w:hAnsi="Arial"/>
                <w:sz w:val="18"/>
                <w:szCs w:val="18"/>
                <w:color w:val="074A75"/>
              </w:rPr>
              <w:t>Board meetings</w:t>
            </w: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2300" w:type="dxa"/>
            <w:vAlign w:val="bottom"/>
            <w:tcBorders>
              <w:left w:val="single" w:sz="8" w:color="E7E7E8"/>
              <w:right w:val="single" w:sz="8" w:color="E7E7E8"/>
            </w:tcBorders>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300" w:type="dxa"/>
            <w:vAlign w:val="bottom"/>
            <w:shd w:val="clear" w:color="auto" w:fill="E7E7E8"/>
          </w:tcPr>
          <w:p>
            <w:pPr>
              <w:spacing w:after="0"/>
              <w:rPr>
                <w:sz w:val="14"/>
                <w:szCs w:val="14"/>
                <w:color w:val="auto"/>
              </w:rPr>
            </w:pPr>
          </w:p>
        </w:tc>
        <w:tc>
          <w:tcPr>
            <w:tcW w:w="700" w:type="dxa"/>
            <w:vAlign w:val="bottom"/>
            <w:tcBorders>
              <w:right w:val="single" w:sz="8" w:color="E7E7E8"/>
            </w:tcBorders>
            <w:shd w:val="clear" w:color="auto" w:fill="E7E7E8"/>
          </w:tcPr>
          <w:p>
            <w:pPr>
              <w:spacing w:after="0"/>
              <w:rPr>
                <w:sz w:val="14"/>
                <w:szCs w:val="14"/>
                <w:color w:val="auto"/>
              </w:rPr>
            </w:pPr>
          </w:p>
        </w:tc>
        <w:tc>
          <w:tcPr>
            <w:tcW w:w="2320" w:type="dxa"/>
            <w:vAlign w:val="bottom"/>
            <w:tcBorders>
              <w:right w:val="single" w:sz="8" w:color="E7E7E8"/>
            </w:tcBorders>
            <w:shd w:val="clear" w:color="auto" w:fill="E7E7E8"/>
          </w:tcPr>
          <w:p>
            <w:pPr>
              <w:spacing w:after="0"/>
              <w:rPr>
                <w:sz w:val="14"/>
                <w:szCs w:val="14"/>
                <w:color w:val="auto"/>
              </w:rPr>
            </w:pPr>
          </w:p>
        </w:tc>
        <w:tc>
          <w:tcPr>
            <w:tcW w:w="700" w:type="dxa"/>
            <w:vAlign w:val="bottom"/>
            <w:tcBorders>
              <w:right w:val="single" w:sz="8" w:color="E7E7E8"/>
            </w:tcBorders>
            <w:shd w:val="clear" w:color="auto" w:fill="E7E7E8"/>
          </w:tcPr>
          <w:p>
            <w:pPr>
              <w:spacing w:after="0"/>
              <w:rPr>
                <w:sz w:val="14"/>
                <w:szCs w:val="14"/>
                <w:color w:val="auto"/>
              </w:rPr>
            </w:pPr>
          </w:p>
        </w:tc>
        <w:tc>
          <w:tcPr>
            <w:tcW w:w="2300" w:type="dxa"/>
            <w:vAlign w:val="bottom"/>
            <w:shd w:val="clear" w:color="auto" w:fill="E7E7E8"/>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68580" cy="1174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1741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531"/>
        </w:trPr>
        <w:tc>
          <w:tcPr>
            <w:tcW w:w="2660" w:type="dxa"/>
            <w:vAlign w:val="bottom"/>
          </w:tcPr>
          <w:p>
            <w:pPr>
              <w:jc w:val="center"/>
              <w:spacing w:after="0"/>
              <w:rPr>
                <w:sz w:val="20"/>
                <w:szCs w:val="20"/>
                <w:color w:val="auto"/>
              </w:rPr>
            </w:pPr>
            <w:r>
              <w:rPr>
                <w:rFonts w:ascii="Arial" w:cs="Arial" w:eastAsia="Arial" w:hAnsi="Arial"/>
                <w:sz w:val="31"/>
                <w:szCs w:val="31"/>
                <w:b w:val="1"/>
                <w:bCs w:val="1"/>
                <w:color w:val="074A75"/>
                <w:w w:val="98"/>
              </w:rPr>
              <w:t>13</w:t>
            </w:r>
          </w:p>
        </w:tc>
        <w:tc>
          <w:tcPr>
            <w:tcW w:w="120" w:type="dxa"/>
            <w:vAlign w:val="bottom"/>
            <w:shd w:val="clear" w:color="auto" w:fill="E7E7E8"/>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31"/>
                <w:szCs w:val="31"/>
                <w:b w:val="1"/>
                <w:bCs w:val="1"/>
                <w:color w:val="074A75"/>
              </w:rPr>
              <w:t>8</w:t>
            </w:r>
          </w:p>
        </w:tc>
        <w:tc>
          <w:tcPr>
            <w:tcW w:w="120" w:type="dxa"/>
            <w:vAlign w:val="bottom"/>
            <w:shd w:val="clear" w:color="auto" w:fill="E7E7E8"/>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31"/>
                <w:szCs w:val="31"/>
                <w:b w:val="1"/>
                <w:bCs w:val="1"/>
                <w:color w:val="074A75"/>
                <w:w w:val="98"/>
              </w:rPr>
              <w:t>43</w:t>
            </w:r>
          </w:p>
        </w:tc>
        <w:tc>
          <w:tcPr>
            <w:tcW w:w="120" w:type="dxa"/>
            <w:vAlign w:val="bottom"/>
            <w:shd w:val="clear" w:color="auto" w:fill="E7E7E8"/>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31"/>
                <w:szCs w:val="31"/>
                <w:b w:val="1"/>
                <w:bCs w:val="1"/>
                <w:color w:val="074A75"/>
                <w:w w:val="98"/>
              </w:rPr>
              <w:t>18</w:t>
            </w:r>
          </w:p>
        </w:tc>
        <w:tc>
          <w:tcPr>
            <w:tcW w:w="1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Board Meetings</w:t>
            </w:r>
          </w:p>
        </w:tc>
        <w:tc>
          <w:tcPr>
            <w:tcW w:w="120" w:type="dxa"/>
            <w:vAlign w:val="bottom"/>
            <w:shd w:val="clear" w:color="auto" w:fill="E7E7E8"/>
          </w:tcPr>
          <w:p>
            <w:pPr>
              <w:spacing w:after="0"/>
              <w:rPr>
                <w:sz w:val="21"/>
                <w:szCs w:val="21"/>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Executive sessions of</w:t>
            </w:r>
          </w:p>
        </w:tc>
        <w:tc>
          <w:tcPr>
            <w:tcW w:w="120" w:type="dxa"/>
            <w:vAlign w:val="bottom"/>
            <w:shd w:val="clear" w:color="auto" w:fill="E7E7E8"/>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Meetings of Principal</w:t>
            </w:r>
          </w:p>
        </w:tc>
        <w:tc>
          <w:tcPr>
            <w:tcW w:w="120" w:type="dxa"/>
            <w:vAlign w:val="bottom"/>
            <w:shd w:val="clear" w:color="auto" w:fill="E7E7E8"/>
          </w:tcPr>
          <w:p>
            <w:pPr>
              <w:spacing w:after="0"/>
              <w:rPr>
                <w:sz w:val="21"/>
                <w:szCs w:val="21"/>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Meetings of Specific</w:t>
            </w:r>
          </w:p>
        </w:tc>
        <w:tc>
          <w:tcPr>
            <w:tcW w:w="1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Communication between</w:t>
            </w:r>
          </w:p>
        </w:tc>
        <w:tc>
          <w:tcPr>
            <w:tcW w:w="120" w:type="dxa"/>
            <w:vAlign w:val="bottom"/>
            <w:shd w:val="clear" w:color="auto" w:fill="E7E7E8"/>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shd w:val="clear" w:color="auto" w:fill="E7E7E8"/>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Standing Committees</w:t>
            </w:r>
          </w:p>
        </w:tc>
        <w:tc>
          <w:tcPr>
            <w:tcW w:w="120" w:type="dxa"/>
            <w:vAlign w:val="bottom"/>
            <w:shd w:val="clear" w:color="auto" w:fill="E7E7E8"/>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Purpose Committees</w:t>
            </w: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60" w:type="dxa"/>
            <w:vAlign w:val="bottom"/>
          </w:tcPr>
          <w:p>
            <w:pPr>
              <w:jc w:val="center"/>
              <w:spacing w:after="0"/>
              <w:rPr>
                <w:sz w:val="20"/>
                <w:szCs w:val="20"/>
                <w:color w:val="auto"/>
              </w:rPr>
            </w:pPr>
            <w:r>
              <w:rPr>
                <w:rFonts w:ascii="Arial" w:cs="Arial" w:eastAsia="Arial" w:hAnsi="Arial"/>
                <w:sz w:val="14"/>
                <w:szCs w:val="14"/>
                <w:i w:val="1"/>
                <w:iCs w:val="1"/>
                <w:color w:val="auto"/>
              </w:rPr>
              <w:t>meetings as appropriate</w:t>
            </w:r>
          </w:p>
        </w:tc>
        <w:tc>
          <w:tcPr>
            <w:tcW w:w="120" w:type="dxa"/>
            <w:vAlign w:val="bottom"/>
            <w:shd w:val="clear" w:color="auto" w:fill="E7E7E8"/>
          </w:tcPr>
          <w:p>
            <w:pPr>
              <w:spacing w:after="0"/>
              <w:rPr>
                <w:sz w:val="16"/>
                <w:szCs w:val="16"/>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Led by Lead Independent Director</w:t>
            </w:r>
          </w:p>
        </w:tc>
        <w:tc>
          <w:tcPr>
            <w:tcW w:w="120" w:type="dxa"/>
            <w:vAlign w:val="bottom"/>
            <w:shd w:val="clear" w:color="auto" w:fill="E7E7E8"/>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60" w:type="dxa"/>
            <w:vAlign w:val="bottom"/>
            <w:vMerge w:val="continue"/>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8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66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6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26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Board conducts its business as a group and through a well-developed committee structure in adherence to our Governance Principles. The Board has established practices and processes to actively manage its information flow, set meeting agendas and promote sound, well-informed decisions.</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9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full Board met 13 times in 2020. For more information on committees, see below. Each director attended 75% or more of the total meetings of the Board and the committees on which he or she served in 2020.</w:t>
      </w:r>
    </w:p>
    <w:p>
      <w:pPr>
        <w:sectPr>
          <w:pgSz w:w="11900" w:h="16838" w:orient="portrait"/>
          <w:cols w:equalWidth="0" w:num="1">
            <w:col w:w="11260"/>
          </w:cols>
          <w:pgMar w:left="320" w:top="171" w:right="319" w:bottom="1440" w:gutter="0" w:footer="0" w:header="0"/>
        </w:sectPr>
      </w:pPr>
    </w:p>
    <w:p>
      <w:pPr>
        <w:spacing w:after="0" w:line="276" w:lineRule="exact"/>
        <w:rPr>
          <w:sz w:val="20"/>
          <w:szCs w:val="20"/>
          <w:color w:val="auto"/>
        </w:rPr>
      </w:pPr>
    </w:p>
    <w:p>
      <w:pPr>
        <w:spacing w:after="0"/>
        <w:rPr>
          <w:sz w:val="20"/>
          <w:szCs w:val="20"/>
          <w:color w:val="auto"/>
        </w:rPr>
      </w:pPr>
      <w:r>
        <w:rPr>
          <w:rFonts w:ascii="Arial" w:cs="Arial" w:eastAsia="Arial" w:hAnsi="Arial"/>
          <w:sz w:val="29"/>
          <w:szCs w:val="29"/>
          <w:color w:val="074A75"/>
        </w:rPr>
        <w:t>Committees of the Board</w:t>
      </w:r>
    </w:p>
    <w:p>
      <w:pPr>
        <w:spacing w:after="0" w:line="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significant portion of our Board’s oversight responsibilities is carried out through its five independent, principal standing committees: Audit Committee, CMDC, Governance Committee, Public Responsibility Committee ("PRC") and Risk Committee. Allocating responsibilities among committees allows more in-depth attention devoted to the Board’s oversight of the business and affairs of the Firm.</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jpmorganchase.com/about/governance/board-committees. Each charter is reviewed at least annually as part of the Board’s and each respective committee’s self-assessment.</w:t>
      </w:r>
    </w:p>
    <w:p>
      <w:pPr>
        <w:spacing w:after="0" w:line="9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Governance Committee annually reviews the allocation of responsibility among the committees as part of the Board and committee self-assessment. For more information about the self-assessment process, see page 27.</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committee has oversight of specific areas of business activities and risk, and engages with the Firm’s senior management responsible for those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All committee chairs are appointed at least annually by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chairs are responsible for:</w:t>
      </w:r>
    </w:p>
    <w:p>
      <w:pPr>
        <w:spacing w:after="0" w:line="117" w:lineRule="exact"/>
        <w:rPr>
          <w:sz w:val="20"/>
          <w:szCs w:val="20"/>
          <w:color w:val="auto"/>
        </w:rPr>
      </w:pPr>
    </w:p>
    <w:p>
      <w:pPr>
        <w:ind w:left="200" w:hanging="196"/>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Calling meetings of their committees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Approving agendas for their committee meetings</w:t>
      </w:r>
    </w:p>
    <w:p>
      <w:pPr>
        <w:spacing w:after="0" w:line="76" w:lineRule="exact"/>
        <w:rPr>
          <w:rFonts w:ascii="Arial" w:cs="Arial" w:eastAsia="Arial" w:hAnsi="Arial"/>
          <w:sz w:val="18"/>
          <w:szCs w:val="18"/>
          <w:color w:val="074A75"/>
        </w:rPr>
      </w:pPr>
    </w:p>
    <w:p>
      <w:pPr>
        <w:ind w:left="200" w:hanging="196"/>
        <w:spacing w:after="0"/>
        <w:tabs>
          <w:tab w:leader="none" w:pos="200"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Presiding at meetings of their committees</w:t>
      </w:r>
    </w:p>
    <w:p>
      <w:pPr>
        <w:spacing w:after="0" w:line="90" w:lineRule="exact"/>
        <w:rPr>
          <w:rFonts w:ascii="Arial" w:cs="Arial" w:eastAsia="Arial" w:hAnsi="Arial"/>
          <w:sz w:val="18"/>
          <w:szCs w:val="18"/>
          <w:color w:val="074A75"/>
        </w:rPr>
      </w:pPr>
    </w:p>
    <w:p>
      <w:pPr>
        <w:ind w:left="200" w:right="700" w:hanging="196"/>
        <w:spacing w:after="0" w:line="256" w:lineRule="auto"/>
        <w:tabs>
          <w:tab w:leader="none" w:pos="204"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53" w:lineRule="exact"/>
        <w:rPr>
          <w:rFonts w:ascii="Arial" w:cs="Arial" w:eastAsia="Arial" w:hAnsi="Arial"/>
          <w:sz w:val="18"/>
          <w:szCs w:val="18"/>
          <w:color w:val="074A75"/>
        </w:rPr>
      </w:pPr>
    </w:p>
    <w:p>
      <w:pPr>
        <w:ind w:left="200" w:right="500" w:hanging="196"/>
        <w:spacing w:after="0" w:line="261" w:lineRule="auto"/>
        <w:tabs>
          <w:tab w:leader="none" w:pos="204" w:val="left"/>
        </w:tabs>
        <w:numPr>
          <w:ilvl w:val="0"/>
          <w:numId w:val="87"/>
        </w:numPr>
        <w:rPr>
          <w:rFonts w:ascii="Arial" w:cs="Arial" w:eastAsia="Arial" w:hAnsi="Arial"/>
          <w:sz w:val="18"/>
          <w:szCs w:val="18"/>
          <w:color w:val="074A75"/>
        </w:rPr>
      </w:pPr>
      <w:r>
        <w:rPr>
          <w:rFonts w:ascii="Arial" w:cs="Arial" w:eastAsia="Arial" w:hAnsi="Arial"/>
          <w:sz w:val="18"/>
          <w:szCs w:val="18"/>
          <w:color w:val="auto"/>
        </w:rPr>
        <w:t>Working directly with the senior management responsible for committee mandates</w:t>
      </w:r>
    </w:p>
    <w:p>
      <w:pPr>
        <w:spacing w:after="0" w:line="4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Board determined each member of the Audit Committee in 2020 (Timothy P. Flynn, Todd A. Combs, Michael A. Neal and Phebe N. Novakovic) to be an audit committee financial expert in accordance with the definition established by the SEC,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1047" w:lineRule="exact"/>
        <w:rPr>
          <w:sz w:val="20"/>
          <w:szCs w:val="20"/>
          <w:color w:val="auto"/>
        </w:rPr>
      </w:pPr>
    </w:p>
    <w:p>
      <w:pPr>
        <w:sectPr>
          <w:pgSz w:w="11900" w:h="16838" w:orient="portrait"/>
          <w:cols w:equalWidth="0" w:num="2">
            <w:col w:w="5360" w:space="380"/>
            <w:col w:w="5520"/>
          </w:cols>
          <w:pgMar w:left="320" w:top="171" w:right="319" w:bottom="1440" w:gutter="0" w:footer="0" w:header="0"/>
          <w:type w:val="continuous"/>
        </w:sectPr>
      </w:pP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220345</wp:posOffset>
            </wp:positionV>
            <wp:extent cx="76835"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220345</wp:posOffset>
            </wp:positionV>
            <wp:extent cx="76835"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220345</wp:posOffset>
            </wp:positionV>
            <wp:extent cx="7747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074A75"/>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74930</wp:posOffset>
            </wp:positionV>
            <wp:extent cx="7098030" cy="383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98030" cy="3831590"/>
                    </a:xfrm>
                    <a:prstGeom prst="rect">
                      <a:avLst/>
                    </a:prstGeom>
                    <a:noFill/>
                  </pic:spPr>
                </pic:pic>
              </a:graphicData>
            </a:graphic>
          </wp:anchor>
        </w:drawing>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074A75"/>
        </w:rPr>
        <w:t>BOARD OF DIRECTORS</w:t>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3E693D"/>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center"/>
        <w:ind w:right="1080"/>
        <w:spacing w:after="0"/>
        <w:rPr>
          <w:sz w:val="20"/>
          <w:szCs w:val="20"/>
          <w:color w:val="auto"/>
        </w:rPr>
      </w:pPr>
      <w:r>
        <w:rPr>
          <w:rFonts w:ascii="Arial" w:cs="Arial" w:eastAsia="Arial" w:hAnsi="Arial"/>
          <w:sz w:val="16"/>
          <w:szCs w:val="16"/>
          <w:b w:val="1"/>
          <w:bCs w:val="1"/>
          <w:color w:val="3E693D"/>
        </w:rPr>
        <w:t>CMDC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320" w:type="dxa"/>
            <w:vAlign w:val="bottom"/>
            <w:tcBorders>
              <w:right w:val="single" w:sz="8" w:color="E7E7E8"/>
            </w:tcBorders>
          </w:tcPr>
          <w:p>
            <w:pPr>
              <w:spacing w:after="0"/>
              <w:rPr>
                <w:sz w:val="20"/>
                <w:szCs w:val="20"/>
                <w:color w:val="auto"/>
              </w:rPr>
            </w:pPr>
            <w:r>
              <w:rPr>
                <w:rFonts w:ascii="Arial" w:cs="Arial" w:eastAsia="Arial" w:hAnsi="Arial"/>
                <w:sz w:val="16"/>
                <w:szCs w:val="16"/>
                <w:b w:val="1"/>
                <w:bCs w:val="1"/>
                <w:color w:val="3E693D"/>
              </w:rPr>
              <w:t>Risk</w:t>
            </w:r>
          </w:p>
        </w:tc>
        <w:tc>
          <w:tcPr>
            <w:tcW w:w="2240" w:type="dxa"/>
            <w:vAlign w:val="bottom"/>
            <w:tcBorders>
              <w:right w:val="single" w:sz="8" w:color="E7E7E8"/>
            </w:tcBorders>
          </w:tcPr>
          <w:p>
            <w:pPr>
              <w:ind w:left="920"/>
              <w:spacing w:after="0"/>
              <w:rPr>
                <w:sz w:val="20"/>
                <w:szCs w:val="20"/>
                <w:color w:val="auto"/>
              </w:rPr>
            </w:pPr>
            <w:r>
              <w:rPr>
                <w:rFonts w:ascii="Arial" w:cs="Arial" w:eastAsia="Arial" w:hAnsi="Arial"/>
                <w:sz w:val="16"/>
                <w:szCs w:val="16"/>
                <w:b w:val="1"/>
                <w:bCs w:val="1"/>
                <w:color w:val="3E693D"/>
              </w:rPr>
              <w:t>PRC</w:t>
            </w:r>
          </w:p>
        </w:tc>
        <w:tc>
          <w:tcPr>
            <w:tcW w:w="1560" w:type="dxa"/>
            <w:vAlign w:val="bottom"/>
          </w:tcPr>
          <w:p>
            <w:pPr>
              <w:ind w:left="620"/>
              <w:spacing w:after="0"/>
              <w:rPr>
                <w:sz w:val="20"/>
                <w:szCs w:val="20"/>
                <w:color w:val="auto"/>
              </w:rPr>
            </w:pPr>
            <w:r>
              <w:rPr>
                <w:rFonts w:ascii="Arial" w:cs="Arial" w:eastAsia="Arial" w:hAnsi="Arial"/>
                <w:sz w:val="16"/>
                <w:szCs w:val="16"/>
                <w:b w:val="1"/>
                <w:bCs w:val="1"/>
                <w:color w:val="3E693D"/>
                <w:w w:val="99"/>
              </w:rPr>
              <w:t>Governance</w:t>
            </w:r>
          </w:p>
        </w:tc>
      </w:tr>
    </w:tbl>
    <w:p>
      <w:pPr>
        <w:spacing w:after="0" w:line="200" w:lineRule="exact"/>
        <w:rPr>
          <w:sz w:val="20"/>
          <w:szCs w:val="20"/>
          <w:color w:val="auto"/>
        </w:rPr>
      </w:pPr>
    </w:p>
    <w:p>
      <w:pPr>
        <w:sectPr>
          <w:pgSz w:w="11900" w:h="16838" w:orient="portrait"/>
          <w:cols w:equalWidth="0" w:num="3">
            <w:col w:w="2360" w:space="720"/>
            <w:col w:w="1560" w:space="720"/>
            <w:col w:w="5900"/>
          </w:cols>
          <w:pgMar w:left="320" w:top="171" w:right="319" w:bottom="1440" w:gutter="0" w:footer="0" w:header="0"/>
          <w:type w:val="continuous"/>
        </w:sectPr>
      </w:pPr>
    </w:p>
    <w:p>
      <w:pPr>
        <w:spacing w:after="0" w:line="7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16 meetings in 2020</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jc w:val="both"/>
        <w:ind w:left="320" w:right="600" w:hanging="190"/>
        <w:spacing w:after="0" w:line="245"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The independent registered public accounting firm’s qualifications and independence</w:t>
      </w:r>
    </w:p>
    <w:p>
      <w:pPr>
        <w:spacing w:after="0" w:line="42" w:lineRule="exact"/>
        <w:rPr>
          <w:rFonts w:ascii="Arial" w:cs="Arial" w:eastAsia="Arial" w:hAnsi="Arial"/>
          <w:sz w:val="14"/>
          <w:szCs w:val="14"/>
          <w:color w:val="074A75"/>
        </w:rPr>
      </w:pPr>
    </w:p>
    <w:p>
      <w:pPr>
        <w:ind w:left="320" w:right="60" w:hanging="190"/>
        <w:spacing w:after="0" w:line="247"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The performance of the internal audit function and the independent public accounting firm</w:t>
      </w:r>
    </w:p>
    <w:p>
      <w:pPr>
        <w:spacing w:after="0" w:line="39" w:lineRule="exact"/>
        <w:rPr>
          <w:rFonts w:ascii="Arial" w:cs="Arial" w:eastAsia="Arial" w:hAnsi="Arial"/>
          <w:sz w:val="14"/>
          <w:szCs w:val="14"/>
          <w:color w:val="074A75"/>
        </w:rPr>
      </w:pPr>
    </w:p>
    <w:p>
      <w:pPr>
        <w:ind w:left="320" w:right="140" w:hanging="190"/>
        <w:spacing w:after="0" w:line="247"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Management’s responsibilities to assure that there is an effective system of controls</w:t>
      </w:r>
    </w:p>
    <w:p>
      <w:pPr>
        <w:spacing w:after="0" w:line="39" w:lineRule="exact"/>
        <w:rPr>
          <w:rFonts w:ascii="Arial" w:cs="Arial" w:eastAsia="Arial" w:hAnsi="Arial"/>
          <w:sz w:val="14"/>
          <w:szCs w:val="14"/>
          <w:color w:val="074A75"/>
        </w:rPr>
      </w:pPr>
    </w:p>
    <w:p>
      <w:pPr>
        <w:ind w:left="320" w:hanging="190"/>
        <w:spacing w:after="0"/>
        <w:tabs>
          <w:tab w:leader="none" w:pos="320"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Internal control framework</w:t>
      </w:r>
    </w:p>
    <w:p>
      <w:pPr>
        <w:spacing w:after="0" w:line="55" w:lineRule="exact"/>
        <w:rPr>
          <w:rFonts w:ascii="Arial" w:cs="Arial" w:eastAsia="Arial" w:hAnsi="Arial"/>
          <w:sz w:val="14"/>
          <w:szCs w:val="14"/>
          <w:color w:val="074A75"/>
        </w:rPr>
      </w:pPr>
    </w:p>
    <w:p>
      <w:pPr>
        <w:ind w:left="320" w:right="480" w:hanging="190"/>
        <w:spacing w:after="0" w:line="258"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Integrity of financial statements</w:t>
      </w:r>
    </w:p>
    <w:p>
      <w:pPr>
        <w:spacing w:after="0" w:line="31" w:lineRule="exact"/>
        <w:rPr>
          <w:rFonts w:ascii="Arial" w:cs="Arial" w:eastAsia="Arial" w:hAnsi="Arial"/>
          <w:sz w:val="14"/>
          <w:szCs w:val="14"/>
          <w:color w:val="074A75"/>
        </w:rPr>
      </w:pPr>
    </w:p>
    <w:p>
      <w:pPr>
        <w:jc w:val="both"/>
        <w:ind w:left="320" w:hanging="190"/>
        <w:spacing w:after="0" w:line="247"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Compliance with the Firm’s ethical standards, policies, plans and procedures, and with laws and regulations</w:t>
      </w:r>
    </w:p>
    <w:p>
      <w:pPr>
        <w:spacing w:after="0" w:line="39" w:lineRule="exact"/>
        <w:rPr>
          <w:rFonts w:ascii="Arial" w:cs="Arial" w:eastAsia="Arial" w:hAnsi="Arial"/>
          <w:sz w:val="14"/>
          <w:szCs w:val="14"/>
          <w:color w:val="074A75"/>
        </w:rPr>
      </w:pPr>
    </w:p>
    <w:p>
      <w:pPr>
        <w:jc w:val="both"/>
        <w:ind w:left="320" w:right="280" w:hanging="190"/>
        <w:spacing w:after="0" w:line="249" w:lineRule="auto"/>
        <w:tabs>
          <w:tab w:leader="none" w:pos="311" w:val="left"/>
        </w:tabs>
        <w:numPr>
          <w:ilvl w:val="0"/>
          <w:numId w:val="88"/>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9"/>
        <w:spacing w:after="0"/>
        <w:rPr>
          <w:sz w:val="20"/>
          <w:szCs w:val="20"/>
          <w:color w:val="auto"/>
        </w:rPr>
      </w:pPr>
      <w:r>
        <w:rPr>
          <w:rFonts w:ascii="Arial" w:cs="Arial" w:eastAsia="Arial" w:hAnsi="Arial"/>
          <w:sz w:val="14"/>
          <w:szCs w:val="14"/>
          <w:color w:val="auto"/>
        </w:rPr>
        <w:t>7 meetings in 2020</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189" w:right="440" w:hanging="189"/>
        <w:spacing w:after="0" w:line="249"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Development of and succession for key executives</w:t>
      </w:r>
    </w:p>
    <w:p>
      <w:pPr>
        <w:spacing w:after="0" w:line="38" w:lineRule="exact"/>
        <w:rPr>
          <w:rFonts w:ascii="Arial" w:cs="Arial" w:eastAsia="Arial" w:hAnsi="Arial"/>
          <w:sz w:val="14"/>
          <w:szCs w:val="14"/>
          <w:color w:val="074A75"/>
        </w:rPr>
      </w:pPr>
    </w:p>
    <w:p>
      <w:pPr>
        <w:ind w:left="189" w:right="140" w:hanging="189"/>
        <w:spacing w:after="0" w:line="258"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Compensation principles and practices</w:t>
      </w:r>
    </w:p>
    <w:p>
      <w:pPr>
        <w:spacing w:after="0" w:line="31" w:lineRule="exact"/>
        <w:rPr>
          <w:rFonts w:ascii="Arial" w:cs="Arial" w:eastAsia="Arial" w:hAnsi="Arial"/>
          <w:sz w:val="14"/>
          <w:szCs w:val="14"/>
          <w:color w:val="074A75"/>
        </w:rPr>
      </w:pPr>
    </w:p>
    <w:p>
      <w:pPr>
        <w:ind w:left="189" w:right="60" w:hanging="189"/>
        <w:spacing w:after="0" w:line="258"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Compensation and qualified benefit programs</w:t>
      </w:r>
    </w:p>
    <w:p>
      <w:pPr>
        <w:spacing w:after="0" w:line="31" w:lineRule="exact"/>
        <w:rPr>
          <w:rFonts w:ascii="Arial" w:cs="Arial" w:eastAsia="Arial" w:hAnsi="Arial"/>
          <w:sz w:val="14"/>
          <w:szCs w:val="14"/>
          <w:color w:val="074A75"/>
        </w:rPr>
      </w:pPr>
    </w:p>
    <w:p>
      <w:pPr>
        <w:ind w:left="189" w:right="20" w:hanging="189"/>
        <w:spacing w:after="0" w:line="249"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Operating Committee performance assessments and compensation</w:t>
      </w:r>
    </w:p>
    <w:p>
      <w:pPr>
        <w:spacing w:after="0" w:line="38" w:lineRule="exact"/>
        <w:rPr>
          <w:rFonts w:ascii="Arial" w:cs="Arial" w:eastAsia="Arial" w:hAnsi="Arial"/>
          <w:sz w:val="14"/>
          <w:szCs w:val="14"/>
          <w:color w:val="074A75"/>
        </w:rPr>
      </w:pPr>
    </w:p>
    <w:p>
      <w:pPr>
        <w:ind w:left="189" w:hanging="189"/>
        <w:spacing w:after="0" w:line="247"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Firm’s Business Principles, culture and significant employee conduct issues and any related actions</w:t>
      </w:r>
    </w:p>
    <w:p>
      <w:pPr>
        <w:spacing w:after="0" w:line="39" w:lineRule="exact"/>
        <w:rPr>
          <w:rFonts w:ascii="Arial" w:cs="Arial" w:eastAsia="Arial" w:hAnsi="Arial"/>
          <w:sz w:val="14"/>
          <w:szCs w:val="14"/>
          <w:color w:val="074A75"/>
        </w:rPr>
      </w:pPr>
    </w:p>
    <w:p>
      <w:pPr>
        <w:jc w:val="both"/>
        <w:ind w:left="189" w:right="280" w:hanging="189"/>
        <w:spacing w:after="0" w:line="249" w:lineRule="auto"/>
        <w:tabs>
          <w:tab w:leader="none" w:pos="180" w:val="left"/>
        </w:tabs>
        <w:numPr>
          <w:ilvl w:val="0"/>
          <w:numId w:val="89"/>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7 meetings in 2020</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200" w:hanging="195"/>
        <w:spacing w:after="0" w:line="243" w:lineRule="auto"/>
        <w:tabs>
          <w:tab w:leader="none" w:pos="19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Management’s responsibility to implement an effective global risk management framework reasonably designed to identify, assess and manage the Firm’s risks, including:</w:t>
      </w:r>
    </w:p>
    <w:p>
      <w:pPr>
        <w:spacing w:after="0" w:line="45"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auto"/>
        </w:rPr>
        <w:t>–  Strategic risk</w:t>
      </w:r>
    </w:p>
    <w:p>
      <w:pPr>
        <w:spacing w:after="0" w:line="55"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auto"/>
        </w:rPr>
        <w:t>–  Market risk</w:t>
      </w:r>
    </w:p>
    <w:p>
      <w:pPr>
        <w:spacing w:after="0" w:line="55" w:lineRule="exact"/>
        <w:rPr>
          <w:rFonts w:ascii="Arial" w:cs="Arial" w:eastAsia="Arial" w:hAnsi="Arial"/>
          <w:sz w:val="14"/>
          <w:szCs w:val="14"/>
          <w:color w:val="074A75"/>
        </w:rPr>
      </w:pPr>
    </w:p>
    <w:p>
      <w:pPr>
        <w:ind w:left="400" w:right="100" w:hanging="194"/>
        <w:spacing w:after="0" w:line="258" w:lineRule="auto"/>
        <w:rPr>
          <w:rFonts w:ascii="Arial" w:cs="Arial" w:eastAsia="Arial" w:hAnsi="Arial"/>
          <w:sz w:val="14"/>
          <w:szCs w:val="14"/>
          <w:color w:val="074A75"/>
        </w:rPr>
      </w:pPr>
      <w:r>
        <w:rPr>
          <w:rFonts w:ascii="Arial" w:cs="Arial" w:eastAsia="Arial" w:hAnsi="Arial"/>
          <w:sz w:val="14"/>
          <w:szCs w:val="14"/>
          <w:color w:val="auto"/>
        </w:rPr>
        <w:t>– Credit and investment risk</w:t>
      </w:r>
    </w:p>
    <w:p>
      <w:pPr>
        <w:spacing w:after="0" w:line="31" w:lineRule="exact"/>
        <w:rPr>
          <w:rFonts w:ascii="Arial" w:cs="Arial" w:eastAsia="Arial" w:hAnsi="Arial"/>
          <w:sz w:val="14"/>
          <w:szCs w:val="14"/>
          <w:color w:val="074A75"/>
        </w:rPr>
      </w:pPr>
    </w:p>
    <w:p>
      <w:pPr>
        <w:ind w:left="200"/>
        <w:spacing w:after="0"/>
        <w:rPr>
          <w:rFonts w:ascii="Arial" w:cs="Arial" w:eastAsia="Arial" w:hAnsi="Arial"/>
          <w:sz w:val="14"/>
          <w:szCs w:val="14"/>
          <w:color w:val="074A75"/>
        </w:rPr>
      </w:pPr>
      <w:r>
        <w:rPr>
          <w:rFonts w:ascii="Arial" w:cs="Arial" w:eastAsia="Arial" w:hAnsi="Arial"/>
          <w:sz w:val="14"/>
          <w:szCs w:val="14"/>
          <w:color w:val="auto"/>
        </w:rPr>
        <w:t>–  Operational risk</w:t>
      </w:r>
    </w:p>
    <w:p>
      <w:pPr>
        <w:spacing w:after="0" w:line="55" w:lineRule="exact"/>
        <w:rPr>
          <w:rFonts w:ascii="Arial" w:cs="Arial" w:eastAsia="Arial" w:hAnsi="Arial"/>
          <w:sz w:val="14"/>
          <w:szCs w:val="14"/>
          <w:color w:val="074A75"/>
        </w:rPr>
      </w:pPr>
    </w:p>
    <w:p>
      <w:pPr>
        <w:ind w:left="200" w:right="260" w:hanging="195"/>
        <w:spacing w:after="0" w:line="258" w:lineRule="auto"/>
        <w:tabs>
          <w:tab w:leader="none" w:pos="19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Applicable primary risk management policies</w:t>
      </w:r>
    </w:p>
    <w:p>
      <w:pPr>
        <w:spacing w:after="0" w:line="31" w:lineRule="exact"/>
        <w:rPr>
          <w:rFonts w:ascii="Arial" w:cs="Arial" w:eastAsia="Arial" w:hAnsi="Arial"/>
          <w:sz w:val="14"/>
          <w:szCs w:val="14"/>
          <w:color w:val="074A75"/>
        </w:rPr>
      </w:pPr>
    </w:p>
    <w:p>
      <w:pPr>
        <w:ind w:left="200" w:right="140" w:hanging="195"/>
        <w:spacing w:after="0" w:line="258" w:lineRule="auto"/>
        <w:tabs>
          <w:tab w:leader="none" w:pos="19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Risk appetite results and breaches</w:t>
      </w:r>
    </w:p>
    <w:p>
      <w:pPr>
        <w:spacing w:after="0" w:line="31" w:lineRule="exact"/>
        <w:rPr>
          <w:rFonts w:ascii="Arial" w:cs="Arial" w:eastAsia="Arial" w:hAnsi="Arial"/>
          <w:sz w:val="14"/>
          <w:szCs w:val="14"/>
          <w:color w:val="074A75"/>
        </w:rPr>
      </w:pPr>
    </w:p>
    <w:p>
      <w:pPr>
        <w:ind w:left="200" w:right="300" w:hanging="195"/>
        <w:spacing w:after="0" w:line="249" w:lineRule="auto"/>
        <w:tabs>
          <w:tab w:leader="none" w:pos="19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The Firm’s capital and liquidity planning and analysis</w:t>
      </w:r>
    </w:p>
    <w:p>
      <w:pPr>
        <w:spacing w:after="0" w:line="38" w:lineRule="exact"/>
        <w:rPr>
          <w:rFonts w:ascii="Arial" w:cs="Arial" w:eastAsia="Arial" w:hAnsi="Arial"/>
          <w:sz w:val="14"/>
          <w:szCs w:val="14"/>
          <w:color w:val="074A75"/>
        </w:rPr>
      </w:pPr>
    </w:p>
    <w:p>
      <w:pPr>
        <w:jc w:val="both"/>
        <w:ind w:left="200" w:right="260" w:hanging="195"/>
        <w:spacing w:after="0" w:line="249" w:lineRule="auto"/>
        <w:tabs>
          <w:tab w:leader="none" w:pos="191" w:val="left"/>
        </w:tabs>
        <w:numPr>
          <w:ilvl w:val="0"/>
          <w:numId w:val="90"/>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8"/>
        <w:spacing w:after="0"/>
        <w:rPr>
          <w:sz w:val="20"/>
          <w:szCs w:val="20"/>
          <w:color w:val="auto"/>
        </w:rPr>
      </w:pPr>
      <w:r>
        <w:rPr>
          <w:rFonts w:ascii="Arial" w:cs="Arial" w:eastAsia="Arial" w:hAnsi="Arial"/>
          <w:sz w:val="14"/>
          <w:szCs w:val="14"/>
          <w:color w:val="auto"/>
        </w:rPr>
        <w:t>4 meetings in 2020</w:t>
      </w:r>
    </w:p>
    <w:p>
      <w:pPr>
        <w:spacing w:after="0" w:line="55" w:lineRule="exact"/>
        <w:rPr>
          <w:sz w:val="20"/>
          <w:szCs w:val="20"/>
          <w:color w:val="auto"/>
        </w:rPr>
      </w:pPr>
    </w:p>
    <w:p>
      <w:pPr>
        <w:ind w:left="8"/>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188" w:right="160" w:hanging="188"/>
        <w:spacing w:after="0" w:line="258" w:lineRule="auto"/>
        <w:tabs>
          <w:tab w:leader="none" w:pos="179"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Community investing and fair lending practices</w:t>
      </w:r>
    </w:p>
    <w:p>
      <w:pPr>
        <w:spacing w:after="0" w:line="31" w:lineRule="exact"/>
        <w:rPr>
          <w:rFonts w:ascii="Arial" w:cs="Arial" w:eastAsia="Arial" w:hAnsi="Arial"/>
          <w:sz w:val="14"/>
          <w:szCs w:val="14"/>
          <w:color w:val="074A75"/>
        </w:rPr>
      </w:pPr>
    </w:p>
    <w:p>
      <w:pPr>
        <w:ind w:left="188" w:hanging="188"/>
        <w:spacing w:after="0" w:line="245" w:lineRule="auto"/>
        <w:tabs>
          <w:tab w:leader="none" w:pos="179"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Political contributions, major lobbying priorities and principal trade association memberships related to public policy</w:t>
      </w:r>
    </w:p>
    <w:p>
      <w:pPr>
        <w:spacing w:after="0" w:line="42" w:lineRule="exact"/>
        <w:rPr>
          <w:rFonts w:ascii="Arial" w:cs="Arial" w:eastAsia="Arial" w:hAnsi="Arial"/>
          <w:sz w:val="14"/>
          <w:szCs w:val="14"/>
          <w:color w:val="074A75"/>
        </w:rPr>
      </w:pPr>
    </w:p>
    <w:p>
      <w:pPr>
        <w:ind w:left="188" w:right="80" w:hanging="188"/>
        <w:spacing w:after="0" w:line="258" w:lineRule="auto"/>
        <w:tabs>
          <w:tab w:leader="none" w:pos="179"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Sustainability, including ESG policies and activities</w:t>
      </w:r>
    </w:p>
    <w:p>
      <w:pPr>
        <w:spacing w:after="0" w:line="31" w:lineRule="exact"/>
        <w:rPr>
          <w:rFonts w:ascii="Arial" w:cs="Arial" w:eastAsia="Arial" w:hAnsi="Arial"/>
          <w:sz w:val="14"/>
          <w:szCs w:val="14"/>
          <w:color w:val="074A75"/>
        </w:rPr>
      </w:pPr>
    </w:p>
    <w:p>
      <w:pPr>
        <w:ind w:left="188" w:right="60" w:hanging="188"/>
        <w:spacing w:after="0" w:line="243" w:lineRule="auto"/>
        <w:tabs>
          <w:tab w:leader="none" w:pos="179"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Consumer practices, including consumer experience, consumer complaint resolution and consumer issues related to disclosures, fees or the introduction of major new products</w:t>
      </w:r>
    </w:p>
    <w:p>
      <w:pPr>
        <w:spacing w:after="0" w:line="45" w:lineRule="exact"/>
        <w:rPr>
          <w:rFonts w:ascii="Arial" w:cs="Arial" w:eastAsia="Arial" w:hAnsi="Arial"/>
          <w:sz w:val="14"/>
          <w:szCs w:val="14"/>
          <w:color w:val="074A75"/>
        </w:rPr>
      </w:pPr>
    </w:p>
    <w:p>
      <w:pPr>
        <w:jc w:val="both"/>
        <w:ind w:left="188" w:right="340" w:hanging="188"/>
        <w:spacing w:after="0" w:line="249" w:lineRule="auto"/>
        <w:tabs>
          <w:tab w:leader="none" w:pos="179" w:val="left"/>
        </w:tabs>
        <w:numPr>
          <w:ilvl w:val="0"/>
          <w:numId w:val="91"/>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
        <w:spacing w:after="0"/>
        <w:rPr>
          <w:sz w:val="20"/>
          <w:szCs w:val="20"/>
          <w:color w:val="auto"/>
        </w:rPr>
      </w:pPr>
      <w:r>
        <w:rPr>
          <w:rFonts w:ascii="Arial" w:cs="Arial" w:eastAsia="Arial" w:hAnsi="Arial"/>
          <w:sz w:val="14"/>
          <w:szCs w:val="14"/>
          <w:color w:val="auto"/>
        </w:rPr>
        <w:t>9 meetings in 2020</w:t>
      </w:r>
    </w:p>
    <w:p>
      <w:pPr>
        <w:spacing w:after="0" w:line="55" w:lineRule="exact"/>
        <w:rPr>
          <w:sz w:val="20"/>
          <w:szCs w:val="20"/>
          <w:color w:val="auto"/>
        </w:rPr>
      </w:pPr>
    </w:p>
    <w:p>
      <w:pPr>
        <w:ind w:left="7"/>
        <w:spacing w:after="0"/>
        <w:rPr>
          <w:sz w:val="20"/>
          <w:szCs w:val="20"/>
          <w:color w:val="auto"/>
        </w:rPr>
      </w:pPr>
      <w:r>
        <w:rPr>
          <w:rFonts w:ascii="Arial" w:cs="Arial" w:eastAsia="Arial" w:hAnsi="Arial"/>
          <w:sz w:val="14"/>
          <w:szCs w:val="14"/>
          <w:color w:val="auto"/>
        </w:rPr>
        <w:t>Oversees:</w:t>
      </w:r>
    </w:p>
    <w:p>
      <w:pPr>
        <w:spacing w:after="0" w:line="55" w:lineRule="exact"/>
        <w:rPr>
          <w:sz w:val="20"/>
          <w:szCs w:val="20"/>
          <w:color w:val="auto"/>
        </w:rPr>
      </w:pPr>
    </w:p>
    <w:p>
      <w:pPr>
        <w:ind w:left="187" w:right="580" w:hanging="187"/>
        <w:spacing w:after="0" w:line="258" w:lineRule="auto"/>
        <w:tabs>
          <w:tab w:leader="none" w:pos="178"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Proposed nominees for election to the Board</w:t>
      </w:r>
    </w:p>
    <w:p>
      <w:pPr>
        <w:spacing w:after="0" w:line="31" w:lineRule="exact"/>
        <w:rPr>
          <w:rFonts w:ascii="Arial" w:cs="Arial" w:eastAsia="Arial" w:hAnsi="Arial"/>
          <w:sz w:val="14"/>
          <w:szCs w:val="14"/>
          <w:color w:val="074A75"/>
        </w:rPr>
      </w:pPr>
    </w:p>
    <w:p>
      <w:pPr>
        <w:ind w:left="187" w:right="380" w:hanging="187"/>
        <w:spacing w:after="0" w:line="249" w:lineRule="auto"/>
        <w:tabs>
          <w:tab w:leader="none" w:pos="178"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Corporate governance practices applicable to the Firm</w:t>
      </w:r>
    </w:p>
    <w:p>
      <w:pPr>
        <w:spacing w:after="0" w:line="38" w:lineRule="exact"/>
        <w:rPr>
          <w:rFonts w:ascii="Arial" w:cs="Arial" w:eastAsia="Arial" w:hAnsi="Arial"/>
          <w:sz w:val="14"/>
          <w:szCs w:val="14"/>
          <w:color w:val="074A75"/>
        </w:rPr>
      </w:pPr>
    </w:p>
    <w:p>
      <w:pPr>
        <w:ind w:left="187" w:right="480" w:hanging="187"/>
        <w:spacing w:after="0" w:line="258" w:lineRule="auto"/>
        <w:tabs>
          <w:tab w:leader="none" w:pos="178"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The framework for the Board’s self-assessment</w:t>
      </w:r>
    </w:p>
    <w:p>
      <w:pPr>
        <w:spacing w:after="0" w:line="31" w:lineRule="exact"/>
        <w:rPr>
          <w:rFonts w:ascii="Arial" w:cs="Arial" w:eastAsia="Arial" w:hAnsi="Arial"/>
          <w:sz w:val="14"/>
          <w:szCs w:val="14"/>
          <w:color w:val="074A75"/>
        </w:rPr>
      </w:pPr>
    </w:p>
    <w:p>
      <w:pPr>
        <w:ind w:left="187" w:hanging="187"/>
        <w:spacing w:after="0"/>
        <w:tabs>
          <w:tab w:leader="none" w:pos="187"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Shareholder matters</w:t>
      </w:r>
    </w:p>
    <w:p>
      <w:pPr>
        <w:spacing w:after="0" w:line="55" w:lineRule="exact"/>
        <w:rPr>
          <w:rFonts w:ascii="Arial" w:cs="Arial" w:eastAsia="Arial" w:hAnsi="Arial"/>
          <w:sz w:val="14"/>
          <w:szCs w:val="14"/>
          <w:color w:val="074A75"/>
        </w:rPr>
      </w:pPr>
    </w:p>
    <w:p>
      <w:pPr>
        <w:ind w:left="187" w:right="580" w:hanging="187"/>
        <w:spacing w:after="0" w:line="258" w:lineRule="auto"/>
        <w:tabs>
          <w:tab w:leader="none" w:pos="178"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Board composition and nominees</w:t>
      </w:r>
    </w:p>
    <w:p>
      <w:pPr>
        <w:spacing w:after="0" w:line="31" w:lineRule="exact"/>
        <w:rPr>
          <w:rFonts w:ascii="Arial" w:cs="Arial" w:eastAsia="Arial" w:hAnsi="Arial"/>
          <w:sz w:val="14"/>
          <w:szCs w:val="14"/>
          <w:color w:val="074A75"/>
        </w:rPr>
      </w:pPr>
    </w:p>
    <w:p>
      <w:pPr>
        <w:jc w:val="both"/>
        <w:ind w:left="187" w:right="620" w:hanging="187"/>
        <w:spacing w:after="0" w:line="249" w:lineRule="auto"/>
        <w:tabs>
          <w:tab w:leader="none" w:pos="178" w:val="left"/>
        </w:tabs>
        <w:numPr>
          <w:ilvl w:val="0"/>
          <w:numId w:val="92"/>
        </w:numPr>
        <w:rPr>
          <w:rFonts w:ascii="Arial" w:cs="Arial" w:eastAsia="Arial" w:hAnsi="Arial"/>
          <w:sz w:val="14"/>
          <w:szCs w:val="14"/>
          <w:color w:val="074A75"/>
        </w:rPr>
      </w:pPr>
      <w:r>
        <w:rPr>
          <w:rFonts w:ascii="Arial" w:cs="Arial" w:eastAsia="Arial" w:hAnsi="Arial"/>
          <w:sz w:val="14"/>
          <w:szCs w:val="14"/>
          <w:color w:val="auto"/>
        </w:rPr>
        <w:t>Reputational risks and conduct risks within its scope of responsibility</w:t>
      </w:r>
    </w:p>
    <w:p>
      <w:pPr>
        <w:spacing w:after="0" w:line="1981" w:lineRule="exact"/>
        <w:rPr>
          <w:sz w:val="20"/>
          <w:szCs w:val="20"/>
          <w:color w:val="auto"/>
        </w:rPr>
      </w:pPr>
    </w:p>
    <w:p>
      <w:pPr>
        <w:sectPr>
          <w:pgSz w:w="11900" w:h="16838" w:orient="portrait"/>
          <w:cols w:equalWidth="0" w:num="5">
            <w:col w:w="2040" w:space="291"/>
            <w:col w:w="1909" w:space="300"/>
            <w:col w:w="1900" w:space="332"/>
            <w:col w:w="1968" w:space="273"/>
            <w:col w:w="2247"/>
          </w:cols>
          <w:pgMar w:left="320" w:top="171" w:right="319" w:bottom="1440" w:gutter="0" w:footer="0" w:header="0"/>
          <w:type w:val="continuous"/>
        </w:sectPr>
      </w:pPr>
    </w:p>
    <w:p>
      <w:pPr>
        <w:spacing w:after="0" w:line="2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more information about committee responsibilities, see Committee Charters available at: jpmorganchase.com/about/governance/board-committees.</w:t>
      </w:r>
    </w:p>
    <w:p>
      <w:pPr>
        <w:sectPr>
          <w:pgSz w:w="11900" w:h="16838" w:orient="portrait"/>
          <w:cols w:equalWidth="0" w:num="1">
            <w:col w:w="11260"/>
          </w:cols>
          <w:pgMar w:left="320" w:top="171" w:right="31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74A75"/>
        </w:rPr>
        <w:t>Other Standing Committees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has two additional standing committees: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Stock Committee: </w:t>
      </w:r>
      <w:r>
        <w:rPr>
          <w:rFonts w:ascii="Arial" w:cs="Arial" w:eastAsia="Arial" w:hAnsi="Arial"/>
          <w:sz w:val="18"/>
          <w:szCs w:val="18"/>
          <w:color w:val="auto"/>
        </w:rPr>
        <w:t>The committee is responsible for implementing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declaration of dividends, authorizing the issuance of stock, administering the dividend reinvestment plan and implementing share repurchase plans. The committee acts within Board-approved limitations and capital plans.</w:t>
      </w:r>
    </w:p>
    <w:p>
      <w:pPr>
        <w:spacing w:after="0" w:line="3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would not take material actions absent special circumstances.</w:t>
      </w:r>
    </w:p>
    <w:p>
      <w:pPr>
        <w:spacing w:after="0" w:line="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74A75"/>
        </w:rPr>
        <w:t>Specific Purpose Committees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Board establishes Specific Purpose Committees as appropriate to address specific issues. The Board currently has two such committees, the Markets Compliance Committee and the Omnibus Committee.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Markets Compliance Committee provides oversight in connection with certain markets-related matters, including the Federal Reserve Consent order and the Deferred Prosecution Agreement entered into with the U.S. Department of Justice to resolve its precious metals and U.S. Treasuries investigations. It oversees and provides guidance to management with respect to relevant aspects of the company’s control agenda and oversees and monitors progress under plans developed by management with respect to these matters.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Omnibus Committee reviews matters delegated by the Board.</w:t>
      </w:r>
    </w:p>
    <w:p>
      <w:pPr>
        <w:spacing w:after="0" w:line="7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subject to regulatory consent where applicable, the committee will be disbanded.</w:t>
      </w:r>
    </w:p>
    <w:p>
      <w:pPr>
        <w:spacing w:after="0" w:line="5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Additional Specific Purpose Committees may be established from time to time in the future to address particular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597535</wp:posOffset>
            </wp:positionV>
            <wp:extent cx="274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5360" w:space="380"/>
            <w:col w:w="5520"/>
          </w:cols>
          <w:pgMar w:left="320" w:top="171" w:right="319" w:bottom="1440" w:gutter="0" w:footer="0" w:header="0"/>
          <w:type w:val="continuous"/>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25  </w:t>
      </w:r>
      <w:r>
        <w:rPr>
          <w:sz w:val="1"/>
          <w:szCs w:val="1"/>
          <w:color w:val="auto"/>
        </w:rPr>
        <w:drawing>
          <wp:inline distT="0" distB="0" distL="0" distR="0">
            <wp:extent cx="2203450" cy="15430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220345</wp:posOffset>
            </wp:positionV>
            <wp:extent cx="76835"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220345</wp:posOffset>
            </wp:positionV>
            <wp:extent cx="76835"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220345</wp:posOffset>
            </wp:positionV>
            <wp:extent cx="77470"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074A75"/>
        </w:rPr>
        <w:t>Current Board committee membership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074A75"/>
              </w:rPr>
              <w:t>Specific</w:t>
            </w:r>
          </w:p>
        </w:tc>
      </w:tr>
      <w:tr>
        <w:trPr>
          <w:trHeight w:val="217"/>
        </w:trPr>
        <w:tc>
          <w:tcPr>
            <w:tcW w:w="31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Director</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8"/>
              </w:rPr>
              <w:t>Audit</w:t>
            </w:r>
          </w:p>
        </w:tc>
        <w:tc>
          <w:tcPr>
            <w:tcW w:w="15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w w:val="99"/>
              </w:rPr>
              <w:t>CMDC</w:t>
            </w:r>
          </w:p>
        </w:tc>
        <w:tc>
          <w:tcPr>
            <w:tcW w:w="136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Governance</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PRC</w:t>
            </w:r>
          </w:p>
        </w:tc>
        <w:tc>
          <w:tcPr>
            <w:tcW w:w="130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Risk</w:t>
            </w:r>
          </w:p>
        </w:tc>
        <w:tc>
          <w:tcPr>
            <w:tcW w:w="1280" w:type="dxa"/>
            <w:vAlign w:val="bottom"/>
            <w:tcBorders>
              <w:bottom w:val="single" w:sz="8" w:color="454545"/>
            </w:tcBorders>
          </w:tcPr>
          <w:p>
            <w:pPr>
              <w:jc w:val="center"/>
              <w:spacing w:after="0" w:line="217" w:lineRule="exact"/>
              <w:rPr>
                <w:sz w:val="20"/>
                <w:szCs w:val="20"/>
                <w:color w:val="auto"/>
              </w:rPr>
            </w:pPr>
            <w:r>
              <w:rPr>
                <w:rFonts w:ascii="Arial" w:cs="Arial" w:eastAsia="Arial" w:hAnsi="Arial"/>
                <w:sz w:val="16"/>
                <w:szCs w:val="16"/>
                <w:color w:val="074A75"/>
                <w:w w:val="97"/>
              </w:rPr>
              <w:t>Purpose</w:t>
            </w:r>
            <w:r>
              <w:rPr>
                <w:rFonts w:ascii="Arial" w:cs="Arial" w:eastAsia="Arial" w:hAnsi="Arial"/>
                <w:sz w:val="21"/>
                <w:szCs w:val="21"/>
                <w:color w:val="074A75"/>
                <w:w w:val="97"/>
                <w:vertAlign w:val="superscript"/>
              </w:rPr>
              <w:t>1</w:t>
            </w:r>
          </w:p>
        </w:tc>
      </w:tr>
      <w:tr>
        <w:trPr>
          <w:trHeight w:val="230"/>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43"/>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r>
              <w:rPr>
                <w:rFonts w:ascii="Arial" w:cs="Arial" w:eastAsia="Arial" w:hAnsi="Arial"/>
                <w:sz w:val="21"/>
                <w:szCs w:val="21"/>
                <w:b w:val="1"/>
                <w:bCs w:val="1"/>
                <w:color w:val="auto"/>
                <w:vertAlign w:val="superscript"/>
              </w:rPr>
              <w:t>2</w:t>
            </w:r>
          </w:p>
        </w:tc>
        <w:tc>
          <w:tcPr>
            <w:tcW w:w="1300" w:type="dxa"/>
            <w:vAlign w:val="bottom"/>
            <w:tcBorders>
              <w:bottom w:val="single" w:sz="8" w:color="454545"/>
              <w:right w:val="single" w:sz="8" w:color="454545"/>
            </w:tcBorders>
          </w:tcPr>
          <w:p>
            <w:pPr>
              <w:spacing w:after="0"/>
              <w:rPr>
                <w:sz w:val="21"/>
                <w:szCs w:val="21"/>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w w:val="99"/>
              </w:rPr>
              <w:t>Chair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1"/>
                <w:szCs w:val="21"/>
                <w:color w:val="auto"/>
              </w:rPr>
            </w:pPr>
          </w:p>
        </w:tc>
        <w:tc>
          <w:tcPr>
            <w:tcW w:w="1300" w:type="dxa"/>
            <w:vAlign w:val="bottom"/>
            <w:tcBorders>
              <w:bottom w:val="single" w:sz="8" w:color="454545"/>
              <w:right w:val="single" w:sz="8" w:color="454545"/>
            </w:tcBorders>
          </w:tcPr>
          <w:p>
            <w:pPr>
              <w:spacing w:after="0"/>
              <w:rPr>
                <w:sz w:val="21"/>
                <w:szCs w:val="21"/>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0"/>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Chair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B</w:t>
            </w:r>
          </w:p>
        </w:tc>
      </w:tr>
      <w:tr>
        <w:trPr>
          <w:trHeight w:val="236"/>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30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560" w:type="dxa"/>
            <w:vAlign w:val="bottom"/>
            <w:tcBorders>
              <w:bottom w:val="single" w:sz="8" w:color="454545"/>
              <w:right w:val="single" w:sz="8" w:color="454545"/>
            </w:tcBorders>
          </w:tcPr>
          <w:p>
            <w:pPr>
              <w:spacing w:after="0"/>
              <w:rPr>
                <w:sz w:val="20"/>
                <w:szCs w:val="20"/>
                <w:color w:val="auto"/>
              </w:rPr>
            </w:pPr>
          </w:p>
        </w:tc>
        <w:tc>
          <w:tcPr>
            <w:tcW w:w="136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spacing w:after="0"/>
              <w:rPr>
                <w:sz w:val="20"/>
                <w:szCs w:val="20"/>
                <w:color w:val="auto"/>
              </w:rPr>
            </w:pPr>
          </w:p>
        </w:tc>
      </w:tr>
      <w:tr>
        <w:trPr>
          <w:trHeight w:val="237"/>
        </w:trPr>
        <w:tc>
          <w:tcPr>
            <w:tcW w:w="314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300" w:type="dxa"/>
            <w:vAlign w:val="bottom"/>
            <w:tcBorders>
              <w:bottom w:val="single" w:sz="8" w:color="454545"/>
              <w:right w:val="single" w:sz="8" w:color="454545"/>
            </w:tcBorders>
          </w:tcPr>
          <w:p>
            <w:pPr>
              <w:spacing w:after="0"/>
              <w:rPr>
                <w:sz w:val="20"/>
                <w:szCs w:val="20"/>
                <w:color w:val="auto"/>
              </w:rPr>
            </w:pPr>
          </w:p>
        </w:tc>
        <w:tc>
          <w:tcPr>
            <w:tcW w:w="15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60" w:type="dxa"/>
            <w:vAlign w:val="bottom"/>
            <w:tcBorders>
              <w:bottom w:val="single" w:sz="8" w:color="454545"/>
              <w:right w:val="single" w:sz="8" w:color="454545"/>
            </w:tcBorders>
          </w:tcPr>
          <w:p>
            <w:pPr>
              <w:jc w:val="center"/>
              <w:spacing w:after="0"/>
              <w:rPr>
                <w:sz w:val="20"/>
                <w:szCs w:val="20"/>
                <w:color w:val="auto"/>
              </w:rPr>
            </w:pPr>
            <w:r>
              <w:rPr>
                <w:rFonts w:ascii="Arial" w:cs="Arial" w:eastAsia="Arial" w:hAnsi="Arial"/>
                <w:sz w:val="16"/>
                <w:szCs w:val="16"/>
                <w:color w:val="auto"/>
              </w:rPr>
              <w:t>Member</w:t>
            </w:r>
          </w:p>
        </w:tc>
        <w:tc>
          <w:tcPr>
            <w:tcW w:w="1300" w:type="dxa"/>
            <w:vAlign w:val="bottom"/>
            <w:tcBorders>
              <w:bottom w:val="single" w:sz="8" w:color="454545"/>
              <w:right w:val="single" w:sz="8" w:color="454545"/>
            </w:tcBorders>
          </w:tcPr>
          <w:p>
            <w:pPr>
              <w:spacing w:after="0"/>
              <w:rPr>
                <w:sz w:val="20"/>
                <w:szCs w:val="20"/>
                <w:color w:val="auto"/>
              </w:rPr>
            </w:pPr>
          </w:p>
        </w:tc>
        <w:tc>
          <w:tcPr>
            <w:tcW w:w="1300" w:type="dxa"/>
            <w:vAlign w:val="bottom"/>
            <w:tcBorders>
              <w:bottom w:val="single" w:sz="8" w:color="454545"/>
              <w:right w:val="single" w:sz="8" w:color="454545"/>
            </w:tcBorders>
          </w:tcPr>
          <w:p>
            <w:pPr>
              <w:spacing w:after="0"/>
              <w:rPr>
                <w:sz w:val="20"/>
                <w:szCs w:val="20"/>
                <w:color w:val="auto"/>
              </w:rPr>
            </w:pPr>
          </w:p>
        </w:tc>
        <w:tc>
          <w:tcPr>
            <w:tcW w:w="128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auto"/>
              </w:rPr>
              <w:t>A</w:t>
            </w:r>
          </w:p>
        </w:tc>
      </w:tr>
    </w:tbl>
    <w:p>
      <w:pPr>
        <w:spacing w:after="0" w:line="70"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6"/>
          <w:szCs w:val="16"/>
          <w:color w:val="auto"/>
          <w:vertAlign w:val="superscript"/>
        </w:rPr>
      </w:pPr>
      <w:r>
        <w:rPr>
          <w:rFonts w:ascii="Arial" w:cs="Arial" w:eastAsia="Arial" w:hAnsi="Arial"/>
          <w:sz w:val="13"/>
          <w:szCs w:val="13"/>
          <w:color w:val="auto"/>
        </w:rPr>
        <w:t>The Board’s Specific Purpose Committees in 2020 were:</w:t>
      </w:r>
    </w:p>
    <w:p>
      <w:pPr>
        <w:spacing w:after="0" w:line="262"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6"/>
          <w:szCs w:val="16"/>
          <w:color w:val="auto"/>
          <w:vertAlign w:val="superscript"/>
        </w:rPr>
      </w:pPr>
      <w:r>
        <w:rPr>
          <w:rFonts w:ascii="Arial" w:cs="Arial" w:eastAsia="Arial" w:hAnsi="Arial"/>
          <w:sz w:val="13"/>
          <w:szCs w:val="13"/>
          <w:color w:val="auto"/>
        </w:rPr>
        <w:t>Lead Independent Director</w:t>
      </w:r>
    </w:p>
    <w:p>
      <w:pPr>
        <w:spacing w:after="0" w:line="1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Ms. Novakovic was elected by the Board effective December 2020 and all other directors of the Firm were elected by shareholders in 2020. Ms. Novakovic joined the Audit Committee, and Ms. Rometty joined the CMDC and Governance Committee in January 2021. All of the directors of the Firm comprise the full Boards of JPMorgan Chase Bank, National Association (the “Bank”) and an intermediate holding company, JPMorgan Chase Holdings LLC (the “IHC”). Mr. Burke is the independent Chairman of the Board of the Bank; IHC does not have a Chairman of the Board.</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220345</wp:posOffset>
            </wp:positionV>
            <wp:extent cx="76835"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220345</wp:posOffset>
            </wp:positionV>
            <wp:extent cx="76835"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220345</wp:posOffset>
            </wp:positionV>
            <wp:extent cx="7747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20" w:type="dxa"/>
            <w:vAlign w:val="bottom"/>
          </w:tcPr>
          <w:p>
            <w:pPr>
              <w:spacing w:after="0"/>
              <w:rPr>
                <w:sz w:val="22"/>
                <w:szCs w:val="22"/>
                <w:color w:val="auto"/>
              </w:rPr>
            </w:pPr>
          </w:p>
        </w:tc>
        <w:tc>
          <w:tcPr>
            <w:tcW w:w="2300" w:type="dxa"/>
            <w:vAlign w:val="bottom"/>
            <w:tcBorders>
              <w:top w:val="single" w:sz="8" w:color="E7E7E8"/>
            </w:tcBorders>
            <w:shd w:val="clear" w:color="auto" w:fill="E7E7E8"/>
          </w:tcPr>
          <w:p>
            <w:pPr>
              <w:ind w:left="480"/>
              <w:spacing w:after="0"/>
              <w:rPr>
                <w:sz w:val="20"/>
                <w:szCs w:val="20"/>
                <w:color w:val="auto"/>
              </w:rPr>
            </w:pPr>
            <w:r>
              <w:rPr>
                <w:rFonts w:ascii="Arial" w:cs="Arial" w:eastAsia="Arial" w:hAnsi="Arial"/>
                <w:sz w:val="16"/>
                <w:szCs w:val="16"/>
                <w:color w:val="074A75"/>
              </w:rPr>
              <w:t>Board governance</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70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60"/>
              <w:spacing w:after="0"/>
              <w:rPr>
                <w:sz w:val="20"/>
                <w:szCs w:val="20"/>
                <w:color w:val="auto"/>
              </w:rPr>
            </w:pPr>
            <w:r>
              <w:rPr>
                <w:rFonts w:ascii="Arial" w:cs="Arial" w:eastAsia="Arial" w:hAnsi="Arial"/>
                <w:sz w:val="16"/>
                <w:szCs w:val="16"/>
                <w:color w:val="58585A"/>
              </w:rPr>
              <w:t>Board engagement</w:t>
            </w:r>
          </w:p>
        </w:tc>
      </w:tr>
      <w:tr>
        <w:trPr>
          <w:trHeight w:val="60"/>
        </w:trPr>
        <w:tc>
          <w:tcPr>
            <w:tcW w:w="2300" w:type="dxa"/>
            <w:vAlign w:val="bottom"/>
            <w:tcBorders>
              <w:left w:val="single" w:sz="8" w:color="E7E7E8"/>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00" w:type="dxa"/>
            <w:vAlign w:val="bottom"/>
            <w:tcBorders>
              <w:bottom w:val="single" w:sz="8" w:color="E7E7E8"/>
            </w:tcBorders>
            <w:shd w:val="clear" w:color="auto" w:fill="E7E7E8"/>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70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71" w:right="31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color w:val="074A75"/>
        </w:rPr>
        <w:t>Board and Committee self-assessment</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conducts an annual self-assessment aimed at enhancing its effectiveness. Through regular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3411855" cy="5575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11855" cy="557530"/>
                    </a:xfrm>
                    <a:prstGeom prst="rect">
                      <a:avLst/>
                    </a:prstGeom>
                    <a:noFill/>
                  </pic:spPr>
                </pic:pic>
              </a:graphicData>
            </a:graphic>
          </wp:anchor>
        </w:drawing>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Determine self-assessment framework</w:t>
      </w:r>
    </w:p>
    <w:p>
      <w:pPr>
        <w:spacing w:after="0" w:line="5" w:lineRule="exact"/>
        <w:rPr>
          <w:sz w:val="20"/>
          <w:szCs w:val="20"/>
          <w:color w:val="auto"/>
        </w:rPr>
      </w:pPr>
    </w:p>
    <w:p>
      <w:pPr>
        <w:ind w:left="100" w:right="320"/>
        <w:spacing w:after="0" w:line="260" w:lineRule="auto"/>
        <w:rPr>
          <w:sz w:val="20"/>
          <w:szCs w:val="20"/>
          <w:color w:val="auto"/>
        </w:rPr>
      </w:pPr>
      <w:r>
        <w:rPr>
          <w:rFonts w:ascii="Arial" w:cs="Arial" w:eastAsia="Arial" w:hAnsi="Arial"/>
          <w:sz w:val="16"/>
          <w:szCs w:val="16"/>
          <w:color w:val="auto"/>
        </w:rPr>
        <w:t>The Governance Committee reviews and provides feedback on the annual self-assessment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411855" cy="2322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11855" cy="2322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9"/>
          <w:szCs w:val="29"/>
          <w:color w:val="074A75"/>
        </w:rPr>
        <w:t>Director education</w:t>
      </w:r>
    </w:p>
    <w:p>
      <w:pPr>
        <w:spacing w:after="0" w:line="7"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color w:val="auto"/>
        </w:rPr>
        <w:t>Our director education program assists Board members in fulfilling their responsibilities. The director education program commences with an orientation program when a new director joins the Board.</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Ongoing education is provided through “deep dive” presentations from LOBs, discussions and presentations by subject matter experts and other opportunities, including events that take directors out of the boardroom and provide client, employee and other perspectives that can have a significant impact on the Firm. The program provides education on the Firm’s products, services and lines of business; cybersecurity and technology; significant and emerging risks; and relevant laws, regulations and supervisory requirements and other topics identified by the Board, including ESG issues.</w:t>
      </w:r>
    </w:p>
    <w:p>
      <w:pPr>
        <w:spacing w:after="0" w:line="146" w:lineRule="exact"/>
        <w:rPr>
          <w:sz w:val="20"/>
          <w:szCs w:val="20"/>
          <w:color w:val="auto"/>
        </w:rPr>
      </w:pPr>
    </w:p>
    <w:p>
      <w:pPr>
        <w:sectPr>
          <w:pgSz w:w="11900" w:h="16838" w:orient="portrait"/>
          <w:cols w:equalWidth="0" w:num="2">
            <w:col w:w="5220" w:space="520"/>
            <w:col w:w="5520"/>
          </w:cols>
          <w:pgMar w:left="320" w:top="171" w:right="319" w:bottom="1440" w:gutter="0" w:footer="0" w:header="0"/>
          <w:type w:val="continuous"/>
        </w:sectPr>
      </w:pPr>
    </w:p>
    <w:p>
      <w:pPr>
        <w:ind w:left="100"/>
        <w:spacing w:after="0"/>
        <w:rPr>
          <w:sz w:val="20"/>
          <w:szCs w:val="20"/>
          <w:color w:val="auto"/>
        </w:rPr>
      </w:pPr>
      <w:r>
        <w:rPr>
          <w:rFonts w:ascii="Arial" w:cs="Arial" w:eastAsia="Arial" w:hAnsi="Arial"/>
          <w:sz w:val="20"/>
          <w:szCs w:val="20"/>
          <w:color w:val="074A75"/>
        </w:rPr>
        <w:t>Conduct Board and Committee assessments</w:t>
      </w:r>
    </w:p>
    <w:p>
      <w:pPr>
        <w:ind w:left="100"/>
        <w:spacing w:after="0"/>
        <w:rPr>
          <w:sz w:val="20"/>
          <w:szCs w:val="20"/>
          <w:color w:val="auto"/>
        </w:rPr>
      </w:pPr>
      <w:r>
        <w:rPr>
          <w:rFonts w:ascii="Arial" w:cs="Arial" w:eastAsia="Arial" w:hAnsi="Arial"/>
          <w:sz w:val="16"/>
          <w:szCs w:val="16"/>
          <w:color w:val="auto"/>
        </w:rPr>
        <w:t>The Board reviews the actions taken in response to the previous year’s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self-assessment and reviews the Board’s performance against</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regulatory requirements including its responsibilities under the OCC’s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“Heightened Standards” for large national banks.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Board discussion topics include: strategic priorities; board structure;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how the board spends its time; oversight of and interaction with</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management; oversight of culture; diversity and talent and related risk</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controls framework; and committee effectiveness.</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Each principal standing committee conducts a self-assessment that</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includes a review of performance against committee charter</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requirements and focuses on committee agenda planning and the flow</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of information received from management. Committee discussion topics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include committee composition and effectiveness, leadership, and the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content and quality of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11855" cy="10801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118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Hold one-on-one discussions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directors hold private individual discussions with the General</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Counsel using a discussion guide that frames the self-assessment.</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review feedback</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from the individual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11855" cy="12001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1185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20"/>
          <w:szCs w:val="20"/>
          <w:color w:val="074A75"/>
        </w:rPr>
        <w:t>Present action items to full Board</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General Counsel and Lead Independent Director report the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feedback received to the Board.</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Appropriate action plans are developed to address the feedback</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received. Throughout the year, the Board and Committees partner with</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management to execute and evaluate progress on action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387985</wp:posOffset>
            </wp:positionV>
            <wp:extent cx="274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27  </w:t>
      </w:r>
      <w:r>
        <w:rPr>
          <w:sz w:val="1"/>
          <w:szCs w:val="1"/>
          <w:color w:val="auto"/>
        </w:rPr>
        <w:drawing>
          <wp:inline distT="0" distB="0" distL="0" distR="0">
            <wp:extent cx="2203450" cy="15430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2"/>
                <w:szCs w:val="22"/>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left w:val="single" w:sz="8" w:color="E7E7E8"/>
              <w:bottom w:val="single" w:sz="8" w:color="E7E7E8"/>
              <w:right w:val="single" w:sz="8" w:color="E7E7E8"/>
            </w:tcBorders>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4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color w:val="074A75"/>
        </w:rPr>
        <w:t>3. Board oversight</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is responsible for oversight of the business and affairs of the Firm. It is also responsible for setting the cultural “tone at the top.” Among its core responsibilities, the Board oversees:</w:t>
      </w: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Strategy</w:t>
      </w:r>
    </w:p>
    <w:p>
      <w:pPr>
        <w:spacing w:after="0" w:line="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of Directors oversees management’s formulation and implementation of the Firm’s strategic initiatives. Annual strategic plans include evaluation of performance against the prior year’s initiatives, assessment of the current operating environment, refinement of existing strategies and development of new strategic initiatives. Throughout the year, the CEO and CFO provide updates on the Firm’s overall strategic direction, and senior management provides updates on the strategic opportunities and performance, priorities and implementation of strategies in their respective LOBs and Corporate Functions. These management presentations and financial plans are the foundation of active dialogue with, and feedback from, the Board about the strategic risks and opportunities facing the Firm and its businesses.</w:t>
      </w:r>
    </w:p>
    <w:p>
      <w:pPr>
        <w:spacing w:after="0" w:line="274" w:lineRule="exact"/>
        <w:rPr>
          <w:sz w:val="20"/>
          <w:szCs w:val="20"/>
          <w:color w:val="auto"/>
        </w:rPr>
      </w:pPr>
    </w:p>
    <w:p>
      <w:pPr>
        <w:ind w:right="1080"/>
        <w:spacing w:after="0" w:line="244" w:lineRule="auto"/>
        <w:rPr>
          <w:sz w:val="20"/>
          <w:szCs w:val="20"/>
          <w:color w:val="auto"/>
        </w:rPr>
      </w:pPr>
      <w:r>
        <w:rPr>
          <w:rFonts w:ascii="Arial" w:cs="Arial" w:eastAsia="Arial" w:hAnsi="Arial"/>
          <w:sz w:val="29"/>
          <w:szCs w:val="29"/>
          <w:color w:val="074A75"/>
        </w:rPr>
        <w:t>Executive performance and talent management</w:t>
      </w:r>
    </w:p>
    <w:p>
      <w:pPr>
        <w:ind w:right="120"/>
        <w:spacing w:after="0" w:line="253" w:lineRule="auto"/>
        <w:rPr>
          <w:sz w:val="20"/>
          <w:szCs w:val="20"/>
          <w:color w:val="auto"/>
        </w:rPr>
      </w:pPr>
      <w:r>
        <w:rPr>
          <w:rFonts w:ascii="Arial" w:cs="Arial" w:eastAsia="Arial" w:hAnsi="Arial"/>
          <w:sz w:val="18"/>
          <w:szCs w:val="18"/>
          <w:color w:val="auto"/>
        </w:rPr>
        <w:t>The CMDC reviews the Firm’s performance periodically during the course of the year, and formally, at least annually. The CMDC’s review of the CEO’s performance is presented to the Board in connection with the Board’s review of executive officer annual compensation.</w:t>
      </w:r>
    </w:p>
    <w:p>
      <w:pPr>
        <w:spacing w:after="0" w:line="9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Succession planning for the CEO and other members of the OC is considered at least annually. The CMDC also discusses at least annually the talent pipeline for specific critical roles. The Board has numerous opportunities to meet with, and assess development plans for, members of the OC and other high potential senior management leaders. This occurs through various means, including informal meetings, presentations to the Board and its committees, and Board dinners. For further information, see Compensation discussion and analysis (“CD&amp;A”) on page 37.</w:t>
      </w:r>
    </w:p>
    <w:p>
      <w:pPr>
        <w:spacing w:after="0" w:line="276" w:lineRule="exact"/>
        <w:rPr>
          <w:sz w:val="20"/>
          <w:szCs w:val="20"/>
          <w:color w:val="auto"/>
        </w:rPr>
      </w:pPr>
    </w:p>
    <w:p>
      <w:pPr>
        <w:spacing w:after="0"/>
        <w:rPr>
          <w:sz w:val="20"/>
          <w:szCs w:val="20"/>
          <w:color w:val="auto"/>
        </w:rPr>
      </w:pPr>
      <w:r>
        <w:rPr>
          <w:rFonts w:ascii="Arial" w:cs="Arial" w:eastAsia="Arial" w:hAnsi="Arial"/>
          <w:sz w:val="29"/>
          <w:szCs w:val="29"/>
          <w:color w:val="074A75"/>
        </w:rPr>
        <w:t>Financial performance and condition</w:t>
      </w:r>
    </w:p>
    <w:p>
      <w:pPr>
        <w:spacing w:after="0" w:line="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Throughout the year, the Board reviews the Firm’s financial performance and condition, including overseeing management’s execution against the Firm’s capital, liquidity, strategic and financial operating plans.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Reports on the Firm’s financial performance and condition are presented at each regularly scheduled Board meeting. The Firm’s annual Comprehensive Capital Analysis and Review (“CCAR”) submission, which contains the Firm’s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proposed plans to make capital distributions, such as dividend payouts, stock repurchases and other capital actions, is reviewed and approved prior to its submission to the Federal Reserve. In addition, the Audit Committee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“Risk management and internal control framework” below.</w:t>
      </w:r>
    </w:p>
    <w:p>
      <w:pPr>
        <w:spacing w:after="0" w:line="289" w:lineRule="exact"/>
        <w:rPr>
          <w:sz w:val="20"/>
          <w:szCs w:val="20"/>
          <w:color w:val="auto"/>
        </w:rPr>
      </w:pPr>
    </w:p>
    <w:p>
      <w:pPr>
        <w:ind w:right="1620"/>
        <w:spacing w:after="0" w:line="244" w:lineRule="auto"/>
        <w:rPr>
          <w:sz w:val="20"/>
          <w:szCs w:val="20"/>
          <w:color w:val="auto"/>
        </w:rPr>
      </w:pPr>
      <w:r>
        <w:rPr>
          <w:rFonts w:ascii="Arial" w:cs="Arial" w:eastAsia="Arial" w:hAnsi="Arial"/>
          <w:sz w:val="29"/>
          <w:szCs w:val="29"/>
          <w:color w:val="074A75"/>
        </w:rPr>
        <w:t>Risk management and internal control framework</w:t>
      </w:r>
    </w:p>
    <w:p>
      <w:pPr>
        <w:ind w:right="260"/>
        <w:spacing w:after="0" w:line="252" w:lineRule="auto"/>
        <w:rPr>
          <w:sz w:val="20"/>
          <w:szCs w:val="20"/>
          <w:color w:val="auto"/>
        </w:rPr>
      </w:pPr>
      <w:r>
        <w:rPr>
          <w:rFonts w:ascii="Arial" w:cs="Arial" w:eastAsia="Arial" w:hAnsi="Arial"/>
          <w:sz w:val="18"/>
          <w:szCs w:val="18"/>
          <w:color w:val="auto"/>
        </w:rPr>
        <w:t>Risk is an inherent part of JPMorgan Chase’s business activities. When the Firm extends a consumer or wholesale loan, advises customers and clients on their investment decisions, makes markets in securities or offers other products or services, the Firm takes on some degree of risk. The Firm’s overall objective is to manage its businesses, and the associated risks, in a manner that balances serving the interests of its clients, customers and investors and protects the safety and soundness of the Firm.</w:t>
      </w:r>
    </w:p>
    <w:p>
      <w:pPr>
        <w:spacing w:after="0" w:line="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key risk areas of the Firm are managed on a Firmwide basis. Certain risks, such as strategic risk, are overseen by the full Board. Board committees support the Board’s oversight responsibility by overseeing the risk categories related to such committee’s specific area of focus.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oversight of risk may remain with the particular principal standing committee of the Board, the Board may establish or direct a Specific Purpose Committee to oversee management’s addressing of such risk matters, or the Board may ask management to present more frequently to the full Board on the issue.</w:t>
      </w:r>
    </w:p>
    <w:p>
      <w:pPr>
        <w:spacing w:after="0" w:line="9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Conduct risk is the risk that any action or inaction by an employee or employees could lead to unfair client or customer outcomes, impact the integrity of the markets in which the Firm operates or compromise the Firm’s reputation. Conduct risk is overseen by each of the five principal standing committees of the Board, with each committee overseeing conduct risks within that committee's scope of responsibility. Each LOB and Corporate Function is</w:t>
      </w:r>
    </w:p>
    <w:p>
      <w:pPr>
        <w:spacing w:after="0" w:line="3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accountable for identifying and managing its conduct risk to promote a culture consistent with the Business Principles. The full set of Business Principles is included in “How We Do</w:t>
      </w:r>
    </w:p>
    <w:p>
      <w:pPr>
        <w:spacing w:after="0" w:line="643"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28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20" w:type="dxa"/>
            <w:vAlign w:val="bottom"/>
          </w:tcPr>
          <w:p>
            <w:pPr>
              <w:spacing w:after="0"/>
              <w:rPr>
                <w:sz w:val="22"/>
                <w:szCs w:val="22"/>
                <w:color w:val="auto"/>
              </w:rPr>
            </w:pPr>
          </w:p>
        </w:tc>
        <w:tc>
          <w:tcPr>
            <w:tcW w:w="2340" w:type="dxa"/>
            <w:vAlign w:val="bottom"/>
            <w:tcBorders>
              <w:top w:val="single" w:sz="8" w:color="E7E7E8"/>
            </w:tcBorders>
            <w:shd w:val="clear" w:color="auto" w:fill="E7E7E8"/>
          </w:tcPr>
          <w:p>
            <w:pPr>
              <w:ind w:left="600"/>
              <w:spacing w:after="0"/>
              <w:rPr>
                <w:sz w:val="20"/>
                <w:szCs w:val="20"/>
                <w:color w:val="auto"/>
              </w:rPr>
            </w:pPr>
            <w:r>
              <w:rPr>
                <w:rFonts w:ascii="Arial" w:cs="Arial" w:eastAsia="Arial" w:hAnsi="Arial"/>
                <w:sz w:val="16"/>
                <w:szCs w:val="16"/>
                <w:color w:val="074A75"/>
              </w:rPr>
              <w:t>Board oversight</w:t>
            </w:r>
          </w:p>
        </w:tc>
        <w:tc>
          <w:tcPr>
            <w:tcW w:w="66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engagement</w:t>
            </w:r>
          </w:p>
        </w:tc>
      </w:tr>
      <w:tr>
        <w:trPr>
          <w:trHeight w:val="60"/>
        </w:trPr>
        <w:tc>
          <w:tcPr>
            <w:tcW w:w="2320" w:type="dxa"/>
            <w:vAlign w:val="bottom"/>
            <w:tcBorders>
              <w:left w:val="single" w:sz="8" w:color="E7E7E8"/>
              <w:bottom w:val="single" w:sz="8" w:color="E7E7E8"/>
              <w:right w:val="single" w:sz="8" w:color="E7E7E8"/>
            </w:tcBorders>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40" w:type="dxa"/>
            <w:vAlign w:val="bottom"/>
            <w:tcBorders>
              <w:bottom w:val="single" w:sz="8" w:color="E7E7E8"/>
            </w:tcBorders>
            <w:shd w:val="clear" w:color="auto" w:fill="E7E7E8"/>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3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 The Report,” which is posted on our website at jpmorganchase.com/about/governance. For more information about the Firm’s risk management, see the “Firmwide risk management” section of the 2020 Form 10-K.</w:t>
      </w:r>
    </w:p>
    <w:p>
      <w:pPr>
        <w:spacing w:after="0" w:line="282" w:lineRule="exact"/>
        <w:rPr>
          <w:sz w:val="20"/>
          <w:szCs w:val="20"/>
          <w:color w:val="auto"/>
        </w:rPr>
      </w:pPr>
    </w:p>
    <w:p>
      <w:pPr>
        <w:ind w:right="2080"/>
        <w:spacing w:after="0" w:line="252" w:lineRule="auto"/>
        <w:rPr>
          <w:sz w:val="20"/>
          <w:szCs w:val="20"/>
          <w:color w:val="auto"/>
        </w:rPr>
      </w:pPr>
      <w:r>
        <w:rPr>
          <w:rFonts w:ascii="Arial" w:cs="Arial" w:eastAsia="Arial" w:hAnsi="Arial"/>
          <w:sz w:val="29"/>
          <w:szCs w:val="29"/>
          <w:color w:val="074A75"/>
        </w:rPr>
        <w:t>Environmental, social and governance matters</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noted throughout this Proxy, oversight of ESG matters is an important part of the Board's work, and ESG matters are considered in setting the policies and principles that govern our business. More specifically, the Board oversees a range of matters including:</w:t>
      </w:r>
    </w:p>
    <w:p>
      <w:pPr>
        <w:spacing w:after="0" w:line="97"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8"/>
          <w:szCs w:val="18"/>
          <w:color w:val="074A75"/>
        </w:rPr>
      </w:pPr>
      <w:r>
        <w:rPr>
          <w:rFonts w:ascii="Arial" w:cs="Arial" w:eastAsia="Arial" w:hAnsi="Arial"/>
          <w:sz w:val="18"/>
          <w:szCs w:val="18"/>
          <w:color w:val="auto"/>
        </w:rPr>
        <w:t>the Firm’s governance-related policies and practices;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95"/>
        </w:numPr>
        <w:rPr>
          <w:rFonts w:ascii="Arial" w:cs="Arial" w:eastAsia="Arial" w:hAnsi="Arial"/>
          <w:sz w:val="18"/>
          <w:szCs w:val="18"/>
          <w:color w:val="074A75"/>
        </w:rPr>
      </w:pPr>
      <w:r>
        <w:rPr>
          <w:rFonts w:ascii="Arial" w:cs="Arial" w:eastAsia="Arial" w:hAnsi="Arial"/>
          <w:sz w:val="18"/>
          <w:szCs w:val="18"/>
          <w:color w:val="auto"/>
        </w:rPr>
        <w:t>our systems of risk management and controls;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95"/>
        </w:numPr>
        <w:rPr>
          <w:rFonts w:ascii="Arial" w:cs="Arial" w:eastAsia="Arial" w:hAnsi="Arial"/>
          <w:sz w:val="18"/>
          <w:szCs w:val="18"/>
          <w:color w:val="074A75"/>
        </w:rPr>
      </w:pPr>
      <w:r>
        <w:rPr>
          <w:rFonts w:ascii="Arial" w:cs="Arial" w:eastAsia="Arial" w:hAnsi="Arial"/>
          <w:sz w:val="18"/>
          <w:szCs w:val="18"/>
          <w:color w:val="auto"/>
        </w:rPr>
        <w:t>our investment in our employees;</w:t>
      </w:r>
    </w:p>
    <w:p>
      <w:pPr>
        <w:spacing w:after="0" w:line="90" w:lineRule="exact"/>
        <w:rPr>
          <w:rFonts w:ascii="Arial" w:cs="Arial" w:eastAsia="Arial" w:hAnsi="Arial"/>
          <w:sz w:val="18"/>
          <w:szCs w:val="18"/>
          <w:color w:val="074A75"/>
        </w:rPr>
      </w:pPr>
    </w:p>
    <w:p>
      <w:pPr>
        <w:ind w:left="200" w:right="300" w:hanging="192"/>
        <w:spacing w:after="0" w:line="261" w:lineRule="auto"/>
        <w:tabs>
          <w:tab w:leader="none" w:pos="204" w:val="left"/>
        </w:tabs>
        <w:numPr>
          <w:ilvl w:val="0"/>
          <w:numId w:val="95"/>
        </w:numPr>
        <w:rPr>
          <w:rFonts w:ascii="Arial" w:cs="Arial" w:eastAsia="Arial" w:hAnsi="Arial"/>
          <w:sz w:val="18"/>
          <w:szCs w:val="18"/>
          <w:color w:val="074A75"/>
        </w:rPr>
      </w:pPr>
      <w:r>
        <w:rPr>
          <w:rFonts w:ascii="Arial" w:cs="Arial" w:eastAsia="Arial" w:hAnsi="Arial"/>
          <w:sz w:val="18"/>
          <w:szCs w:val="18"/>
          <w:color w:val="auto"/>
        </w:rPr>
        <w:t>the manner in which we serve our customers and support our communities; and</w:t>
      </w:r>
    </w:p>
    <w:p>
      <w:pPr>
        <w:spacing w:after="0" w:line="49" w:lineRule="exact"/>
        <w:rPr>
          <w:rFonts w:ascii="Arial" w:cs="Arial" w:eastAsia="Arial" w:hAnsi="Arial"/>
          <w:sz w:val="18"/>
          <w:szCs w:val="18"/>
          <w:color w:val="074A75"/>
        </w:rPr>
      </w:pPr>
    </w:p>
    <w:p>
      <w:pPr>
        <w:ind w:left="200" w:hanging="192"/>
        <w:spacing w:after="0"/>
        <w:tabs>
          <w:tab w:leader="none" w:pos="200" w:val="left"/>
        </w:tabs>
        <w:numPr>
          <w:ilvl w:val="0"/>
          <w:numId w:val="95"/>
        </w:numPr>
        <w:rPr>
          <w:rFonts w:ascii="Arial" w:cs="Arial" w:eastAsia="Arial" w:hAnsi="Arial"/>
          <w:sz w:val="18"/>
          <w:szCs w:val="18"/>
          <w:color w:val="074A75"/>
        </w:rPr>
      </w:pPr>
      <w:r>
        <w:rPr>
          <w:rFonts w:ascii="Arial" w:cs="Arial" w:eastAsia="Arial" w:hAnsi="Arial"/>
          <w:sz w:val="18"/>
          <w:szCs w:val="18"/>
          <w:color w:val="auto"/>
        </w:rPr>
        <w:t>how we advance sustainability in our business and operations.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particular, the Board’s PRC provides oversight of the Firm’s positions and practices on public responsibility matters such as community investment, fair lending, consumer practices, sustainability and other public policy issues that reflect the Firm’s values and impact its reputation among all of its stakeholders. In the past year, in addition to the work of the PRC, the Board members contributed to discussions regarding the Firm’s approach to COVID-19, racial equity and climate change, as discussed on page 6.</w:t>
      </w:r>
    </w:p>
    <w:p>
      <w:pPr>
        <w:spacing w:after="0" w:line="10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Firm is committed to being transparent about our approach to and performance on ESG topics. One way we do this is by publishing an annual ESG Report, which provides information on how we are addressing the ESG matters that we and our stakeholders view as among the most important to our business. We continually monitor the evolving disclosure landscape and evaluate which frameworks best address our stakeholders' interest. As of 2020, our ESG disclosures are informed by the Global Reporting Initiative, Sustainability Accounting Standards Board and the Task Force on Climate-Related Financial Disclosures ("TCFD"). The ESG information page on our website provides links to numerous JPMorgan Chase publications, documents, policies and other sources of information about various ESG topics, which are available at jpmorganchase.com/about/governance/esg.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270510</wp:posOffset>
            </wp:positionV>
            <wp:extent cx="274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29  </w:t>
      </w:r>
      <w:r>
        <w:rPr>
          <w:sz w:val="1"/>
          <w:szCs w:val="1"/>
          <w:color w:val="auto"/>
        </w:rPr>
        <w:drawing>
          <wp:inline distT="0" distB="0" distL="0" distR="0">
            <wp:extent cx="2203450" cy="15430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760"/>
        <w:spacing w:after="0"/>
        <w:rPr>
          <w:sz w:val="20"/>
          <w:szCs w:val="20"/>
          <w:color w:val="auto"/>
        </w:rPr>
      </w:pPr>
      <w:r>
        <w:rPr>
          <w:rFonts w:ascii="Arial" w:cs="Arial" w:eastAsia="Arial" w:hAnsi="Arial"/>
          <w:sz w:val="16"/>
          <w:szCs w:val="16"/>
          <w:color w:val="074A75"/>
        </w:rPr>
        <w:t xml:space="preserve">ELECTION OF DIRECTORS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2"/>
                <w:szCs w:val="22"/>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60"/>
        </w:trPr>
        <w:tc>
          <w:tcPr>
            <w:tcW w:w="2320" w:type="dxa"/>
            <w:vAlign w:val="bottom"/>
            <w:tcBorders>
              <w:left w:val="single" w:sz="8" w:color="E7E7E8"/>
              <w:bottom w:val="single" w:sz="8" w:color="E7E7E8"/>
              <w:right w:val="single" w:sz="8" w:color="E7E7E8"/>
            </w:tcBorders>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6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43"/>
          <w:szCs w:val="43"/>
          <w:color w:val="074A75"/>
        </w:rPr>
        <w:t>4. Board engagement</w:t>
      </w:r>
    </w:p>
    <w:p>
      <w:pPr>
        <w:spacing w:after="0" w:line="100"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The Board, as a group or as a subset of one or more directors, meets periodically throughout the year with the Firm’s shareholders, employees, regulators, community and business leaders, and other persons interested in our strategy, business practices, governance, culture and performance. For more information, see the CD&amp;A on pages 37-71.</w:t>
      </w:r>
    </w:p>
    <w:p>
      <w:pPr>
        <w:spacing w:after="0" w:line="326" w:lineRule="exact"/>
        <w:rPr>
          <w:sz w:val="20"/>
          <w:szCs w:val="20"/>
          <w:color w:val="auto"/>
        </w:rPr>
      </w:pPr>
    </w:p>
    <w:p>
      <w:pPr>
        <w:ind w:right="420"/>
        <w:spacing w:after="0" w:line="245" w:lineRule="auto"/>
        <w:rPr>
          <w:sz w:val="20"/>
          <w:szCs w:val="20"/>
          <w:color w:val="auto"/>
        </w:rPr>
      </w:pPr>
      <w:r>
        <w:rPr>
          <w:rFonts w:ascii="Arial" w:cs="Arial" w:eastAsia="Arial" w:hAnsi="Arial"/>
          <w:sz w:val="17"/>
          <w:szCs w:val="17"/>
          <w:color w:val="auto"/>
        </w:rPr>
        <w:t>To contact our Board of Directors, any Board member, including the Lead Independent Director, any committee chair, or the independent directors as a group, email correspondence to the Office of the Secretary at corporate.secretary@jpmchase.com, or mail to: JPMorgan Chase &amp; Co., Attention (name of Board member(s)), Office of the Secretary, 4 New York Plaza, New York, NY 10004-2413.</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074A75"/>
        </w:rPr>
        <w:t>Shareholders and other interested parties</w:t>
      </w:r>
    </w:p>
    <w:p>
      <w:pPr>
        <w:spacing w:after="0" w:line="8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We have an active and ongoing approach to engagement on a wide variety of topics (e.g., strategy, performance, competitive environment, governance) throughout the year. We interact with and receive feedback from our shareholders and other interested parties. Our shareholder engagement efforts are outlined below.</w:t>
      </w: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155"/>
        </w:trPr>
        <w:tc>
          <w:tcPr>
            <w:tcW w:w="3460" w:type="dxa"/>
            <w:vAlign w:val="bottom"/>
            <w:tcBorders>
              <w:bottom w:val="single" w:sz="8" w:color="D2DBE7"/>
            </w:tcBorders>
            <w:gridSpan w:val="2"/>
            <w:vMerge w:val="restart"/>
            <w:shd w:val="clear" w:color="auto" w:fill="D2DBE7"/>
          </w:tcPr>
          <w:p>
            <w:pPr>
              <w:ind w:left="160"/>
              <w:spacing w:after="0"/>
              <w:rPr>
                <w:sz w:val="20"/>
                <w:szCs w:val="20"/>
                <w:color w:val="auto"/>
              </w:rPr>
            </w:pPr>
            <w:r>
              <w:rPr>
                <w:rFonts w:ascii="Arial" w:cs="Arial" w:eastAsia="Arial" w:hAnsi="Arial"/>
                <w:sz w:val="18"/>
                <w:szCs w:val="18"/>
                <w:color w:val="074A75"/>
              </w:rPr>
              <w:t>How we communicate:</w:t>
            </w:r>
          </w:p>
        </w:tc>
        <w:tc>
          <w:tcPr>
            <w:tcW w:w="200" w:type="dxa"/>
            <w:vAlign w:val="bottom"/>
            <w:tcBorders>
              <w:bottom w:val="single" w:sz="8" w:color="034877"/>
            </w:tcBorders>
          </w:tcPr>
          <w:p>
            <w:pPr>
              <w:spacing w:after="0"/>
              <w:rPr>
                <w:sz w:val="13"/>
                <w:szCs w:val="13"/>
                <w:color w:val="auto"/>
              </w:rPr>
            </w:pPr>
          </w:p>
        </w:tc>
        <w:tc>
          <w:tcPr>
            <w:tcW w:w="3460" w:type="dxa"/>
            <w:vAlign w:val="bottom"/>
            <w:tcBorders>
              <w:bottom w:val="single" w:sz="8" w:color="D2DBE7"/>
            </w:tcBorders>
            <w:gridSpan w:val="2"/>
            <w:vMerge w:val="restart"/>
            <w:shd w:val="clear" w:color="auto" w:fill="D2DBE7"/>
          </w:tcPr>
          <w:p>
            <w:pPr>
              <w:ind w:left="160"/>
              <w:spacing w:after="0"/>
              <w:rPr>
                <w:sz w:val="20"/>
                <w:szCs w:val="20"/>
                <w:color w:val="auto"/>
              </w:rPr>
            </w:pPr>
            <w:r>
              <w:rPr>
                <w:rFonts w:ascii="Arial" w:cs="Arial" w:eastAsia="Arial" w:hAnsi="Arial"/>
                <w:sz w:val="18"/>
                <w:szCs w:val="18"/>
                <w:color w:val="074A75"/>
              </w:rPr>
              <w:t>Who we engage:</w:t>
            </w:r>
          </w:p>
        </w:tc>
        <w:tc>
          <w:tcPr>
            <w:tcW w:w="200" w:type="dxa"/>
            <w:vAlign w:val="bottom"/>
            <w:tcBorders>
              <w:bottom w:val="single" w:sz="8" w:color="034877"/>
            </w:tcBorders>
          </w:tcPr>
          <w:p>
            <w:pPr>
              <w:spacing w:after="0"/>
              <w:rPr>
                <w:sz w:val="13"/>
                <w:szCs w:val="13"/>
                <w:color w:val="auto"/>
              </w:rPr>
            </w:pPr>
          </w:p>
        </w:tc>
        <w:tc>
          <w:tcPr>
            <w:tcW w:w="3480" w:type="dxa"/>
            <w:vAlign w:val="bottom"/>
            <w:tcBorders>
              <w:bottom w:val="single" w:sz="8" w:color="D2DBE7"/>
            </w:tcBorders>
            <w:gridSpan w:val="2"/>
            <w:vMerge w:val="restart"/>
            <w:shd w:val="clear" w:color="auto" w:fill="D2DBE7"/>
          </w:tcPr>
          <w:p>
            <w:pPr>
              <w:ind w:left="140"/>
              <w:spacing w:after="0"/>
              <w:rPr>
                <w:sz w:val="20"/>
                <w:szCs w:val="20"/>
                <w:color w:val="auto"/>
              </w:rPr>
            </w:pPr>
            <w:r>
              <w:rPr>
                <w:rFonts w:ascii="Arial" w:cs="Arial" w:eastAsia="Arial" w:hAnsi="Arial"/>
                <w:sz w:val="18"/>
                <w:szCs w:val="18"/>
                <w:color w:val="074A75"/>
              </w:rPr>
              <w:t>How we engage:</w:t>
            </w:r>
          </w:p>
        </w:tc>
        <w:tc>
          <w:tcPr>
            <w:tcW w:w="0" w:type="dxa"/>
            <w:vAlign w:val="bottom"/>
          </w:tcPr>
          <w:p>
            <w:pPr>
              <w:spacing w:after="0"/>
              <w:rPr>
                <w:sz w:val="1"/>
                <w:szCs w:val="1"/>
                <w:color w:val="auto"/>
              </w:rPr>
            </w:pPr>
          </w:p>
        </w:tc>
      </w:tr>
      <w:tr>
        <w:trPr>
          <w:trHeight w:val="102"/>
        </w:trPr>
        <w:tc>
          <w:tcPr>
            <w:tcW w:w="3460" w:type="dxa"/>
            <w:vAlign w:val="bottom"/>
            <w:tcBorders>
              <w:bottom w:val="single" w:sz="8" w:color="D2DBE7"/>
            </w:tcBorders>
            <w:gridSpan w:val="2"/>
            <w:vMerge w:val="continue"/>
            <w:shd w:val="clear" w:color="auto" w:fill="D2DBE7"/>
          </w:tcPr>
          <w:p>
            <w:pPr>
              <w:spacing w:after="0"/>
              <w:rPr>
                <w:sz w:val="8"/>
                <w:szCs w:val="8"/>
                <w:color w:val="auto"/>
              </w:rPr>
            </w:pPr>
          </w:p>
        </w:tc>
        <w:tc>
          <w:tcPr>
            <w:tcW w:w="200" w:type="dxa"/>
            <w:vAlign w:val="bottom"/>
          </w:tcPr>
          <w:p>
            <w:pPr>
              <w:spacing w:after="0"/>
              <w:rPr>
                <w:sz w:val="8"/>
                <w:szCs w:val="8"/>
                <w:color w:val="auto"/>
              </w:rPr>
            </w:pPr>
          </w:p>
        </w:tc>
        <w:tc>
          <w:tcPr>
            <w:tcW w:w="3460" w:type="dxa"/>
            <w:vAlign w:val="bottom"/>
            <w:tcBorders>
              <w:bottom w:val="single" w:sz="8" w:color="D2DBE7"/>
            </w:tcBorders>
            <w:gridSpan w:val="2"/>
            <w:vMerge w:val="continue"/>
            <w:shd w:val="clear" w:color="auto" w:fill="D2DBE7"/>
          </w:tcPr>
          <w:p>
            <w:pPr>
              <w:spacing w:after="0"/>
              <w:rPr>
                <w:sz w:val="8"/>
                <w:szCs w:val="8"/>
                <w:color w:val="auto"/>
              </w:rPr>
            </w:pPr>
          </w:p>
        </w:tc>
        <w:tc>
          <w:tcPr>
            <w:tcW w:w="200" w:type="dxa"/>
            <w:vAlign w:val="bottom"/>
          </w:tcPr>
          <w:p>
            <w:pPr>
              <w:spacing w:after="0"/>
              <w:rPr>
                <w:sz w:val="8"/>
                <w:szCs w:val="8"/>
                <w:color w:val="auto"/>
              </w:rPr>
            </w:pPr>
          </w:p>
        </w:tc>
        <w:tc>
          <w:tcPr>
            <w:tcW w:w="3480" w:type="dxa"/>
            <w:vAlign w:val="bottom"/>
            <w:tcBorders>
              <w:bottom w:val="single" w:sz="8" w:color="D2DBE7"/>
            </w:tcBorders>
            <w:gridSpan w:val="2"/>
            <w:vMerge w:val="continue"/>
            <w:shd w:val="clear" w:color="auto" w:fill="D2DBE7"/>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Annual Report</w:t>
            </w:r>
          </w:p>
        </w:tc>
        <w:tc>
          <w:tcPr>
            <w:tcW w:w="200" w:type="dxa"/>
            <w:vAlign w:val="bottom"/>
          </w:tcPr>
          <w:p>
            <w:pPr>
              <w:spacing w:after="0"/>
              <w:rPr>
                <w:sz w:val="24"/>
                <w:szCs w:val="24"/>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Institutional shareholders</w:t>
            </w:r>
          </w:p>
        </w:tc>
        <w:tc>
          <w:tcPr>
            <w:tcW w:w="200" w:type="dxa"/>
            <w:vAlign w:val="bottom"/>
          </w:tcPr>
          <w:p>
            <w:pPr>
              <w:spacing w:after="0"/>
              <w:rPr>
                <w:sz w:val="24"/>
                <w:szCs w:val="24"/>
                <w:color w:val="auto"/>
              </w:rPr>
            </w:pPr>
          </w:p>
        </w:tc>
        <w:tc>
          <w:tcPr>
            <w:tcW w:w="280" w:type="dxa"/>
            <w:vAlign w:val="bottom"/>
            <w:shd w:val="clear" w:color="auto" w:fill="EEEFEF"/>
          </w:tcPr>
          <w:p>
            <w:pPr>
              <w:ind w:left="140"/>
              <w:spacing w:after="0"/>
              <w:rPr>
                <w:sz w:val="20"/>
                <w:szCs w:val="20"/>
                <w:color w:val="auto"/>
              </w:rPr>
            </w:pPr>
            <w:r>
              <w:rPr>
                <w:rFonts w:ascii="Arial" w:cs="Arial" w:eastAsia="Arial" w:hAnsi="Arial"/>
                <w:sz w:val="17"/>
                <w:szCs w:val="17"/>
                <w:color w:val="114D97"/>
              </w:rPr>
              <w:t>•</w:t>
            </w:r>
          </w:p>
        </w:tc>
        <w:tc>
          <w:tcPr>
            <w:tcW w:w="3200" w:type="dxa"/>
            <w:vAlign w:val="bottom"/>
            <w:shd w:val="clear" w:color="auto" w:fill="EEEFEF"/>
          </w:tcPr>
          <w:p>
            <w:pPr>
              <w:ind w:left="60"/>
              <w:spacing w:after="0"/>
              <w:rPr>
                <w:sz w:val="20"/>
                <w:szCs w:val="20"/>
                <w:color w:val="auto"/>
              </w:rPr>
            </w:pPr>
            <w:r>
              <w:rPr>
                <w:rFonts w:ascii="Arial" w:cs="Arial" w:eastAsia="Arial" w:hAnsi="Arial"/>
                <w:sz w:val="17"/>
                <w:szCs w:val="17"/>
                <w:color w:val="auto"/>
              </w:rPr>
              <w:t>Quarterly earnings calls</w:t>
            </w:r>
          </w:p>
        </w:tc>
        <w:tc>
          <w:tcPr>
            <w:tcW w:w="0" w:type="dxa"/>
            <w:vAlign w:val="bottom"/>
          </w:tcPr>
          <w:p>
            <w:pPr>
              <w:spacing w:after="0"/>
              <w:rPr>
                <w:sz w:val="1"/>
                <w:szCs w:val="1"/>
                <w:color w:val="auto"/>
              </w:rPr>
            </w:pPr>
          </w:p>
        </w:tc>
      </w:tr>
      <w:tr>
        <w:trPr>
          <w:trHeight w:val="229"/>
        </w:trPr>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Proxy Statement</w:t>
            </w:r>
          </w:p>
        </w:tc>
        <w:tc>
          <w:tcPr>
            <w:tcW w:w="200" w:type="dxa"/>
            <w:vAlign w:val="bottom"/>
          </w:tcPr>
          <w:p>
            <w:pPr>
              <w:spacing w:after="0"/>
              <w:rPr>
                <w:sz w:val="19"/>
                <w:szCs w:val="19"/>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Retail shareholders</w:t>
            </w:r>
          </w:p>
        </w:tc>
        <w:tc>
          <w:tcPr>
            <w:tcW w:w="200" w:type="dxa"/>
            <w:vAlign w:val="bottom"/>
          </w:tcPr>
          <w:p>
            <w:pPr>
              <w:spacing w:after="0"/>
              <w:rPr>
                <w:sz w:val="19"/>
                <w:szCs w:val="19"/>
                <w:color w:val="auto"/>
              </w:rPr>
            </w:pPr>
          </w:p>
        </w:tc>
        <w:tc>
          <w:tcPr>
            <w:tcW w:w="3480" w:type="dxa"/>
            <w:vAlign w:val="bottom"/>
            <w:gridSpan w:val="2"/>
            <w:shd w:val="clear" w:color="auto" w:fill="EEEFEF"/>
          </w:tcPr>
          <w:p>
            <w:pPr>
              <w:ind w:left="140"/>
              <w:spacing w:after="0"/>
              <w:rPr>
                <w:sz w:val="20"/>
                <w:szCs w:val="20"/>
                <w:color w:val="auto"/>
              </w:rPr>
            </w:pPr>
            <w:r>
              <w:rPr>
                <w:rFonts w:ascii="Arial" w:cs="Arial" w:eastAsia="Arial" w:hAnsi="Arial"/>
                <w:sz w:val="17"/>
                <w:szCs w:val="17"/>
                <w:color w:val="114D97"/>
              </w:rPr>
              <w:t xml:space="preserve">•  </w:t>
            </w:r>
            <w:r>
              <w:rPr>
                <w:rFonts w:ascii="Arial" w:cs="Arial" w:eastAsia="Arial" w:hAnsi="Arial"/>
                <w:sz w:val="17"/>
                <w:szCs w:val="17"/>
                <w:color w:val="000000"/>
              </w:rPr>
              <w:t>Investor meetings and conferences</w:t>
            </w:r>
          </w:p>
        </w:tc>
        <w:tc>
          <w:tcPr>
            <w:tcW w:w="0" w:type="dxa"/>
            <w:vAlign w:val="bottom"/>
          </w:tcPr>
          <w:p>
            <w:pPr>
              <w:spacing w:after="0"/>
              <w:rPr>
                <w:sz w:val="1"/>
                <w:szCs w:val="1"/>
                <w:color w:val="auto"/>
              </w:rPr>
            </w:pPr>
          </w:p>
        </w:tc>
      </w:tr>
      <w:tr>
        <w:trPr>
          <w:trHeight w:val="230"/>
        </w:trPr>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SEC filings</w:t>
            </w:r>
          </w:p>
        </w:tc>
        <w:tc>
          <w:tcPr>
            <w:tcW w:w="200" w:type="dxa"/>
            <w:vAlign w:val="bottom"/>
          </w:tcPr>
          <w:p>
            <w:pPr>
              <w:spacing w:after="0"/>
              <w:rPr>
                <w:sz w:val="19"/>
                <w:szCs w:val="19"/>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Investors</w:t>
            </w:r>
          </w:p>
        </w:tc>
        <w:tc>
          <w:tcPr>
            <w:tcW w:w="200" w:type="dxa"/>
            <w:vAlign w:val="bottom"/>
          </w:tcPr>
          <w:p>
            <w:pPr>
              <w:spacing w:after="0"/>
              <w:rPr>
                <w:sz w:val="19"/>
                <w:szCs w:val="19"/>
                <w:color w:val="auto"/>
              </w:rPr>
            </w:pPr>
          </w:p>
        </w:tc>
        <w:tc>
          <w:tcPr>
            <w:tcW w:w="280" w:type="dxa"/>
            <w:vAlign w:val="bottom"/>
            <w:shd w:val="clear" w:color="auto" w:fill="EEEFEF"/>
          </w:tcPr>
          <w:p>
            <w:pPr>
              <w:ind w:left="140"/>
              <w:spacing w:after="0"/>
              <w:rPr>
                <w:sz w:val="20"/>
                <w:szCs w:val="20"/>
                <w:color w:val="auto"/>
              </w:rPr>
            </w:pPr>
            <w:r>
              <w:rPr>
                <w:rFonts w:ascii="Arial" w:cs="Arial" w:eastAsia="Arial" w:hAnsi="Arial"/>
                <w:sz w:val="17"/>
                <w:szCs w:val="17"/>
                <w:color w:val="114D97"/>
              </w:rPr>
              <w:t>•</w:t>
            </w:r>
          </w:p>
        </w:tc>
        <w:tc>
          <w:tcPr>
            <w:tcW w:w="3200" w:type="dxa"/>
            <w:vAlign w:val="bottom"/>
            <w:shd w:val="clear" w:color="auto" w:fill="EEEFEF"/>
          </w:tcPr>
          <w:p>
            <w:pPr>
              <w:ind w:left="60"/>
              <w:spacing w:after="0"/>
              <w:rPr>
                <w:sz w:val="20"/>
                <w:szCs w:val="20"/>
                <w:color w:val="auto"/>
              </w:rPr>
            </w:pPr>
            <w:r>
              <w:rPr>
                <w:rFonts w:ascii="Arial" w:cs="Arial" w:eastAsia="Arial" w:hAnsi="Arial"/>
                <w:sz w:val="17"/>
                <w:szCs w:val="17"/>
                <w:color w:val="auto"/>
              </w:rPr>
              <w:t>Shareholder Outreach Program</w:t>
            </w:r>
          </w:p>
        </w:tc>
        <w:tc>
          <w:tcPr>
            <w:tcW w:w="0" w:type="dxa"/>
            <w:vAlign w:val="bottom"/>
          </w:tcPr>
          <w:p>
            <w:pPr>
              <w:spacing w:after="0"/>
              <w:rPr>
                <w:sz w:val="1"/>
                <w:szCs w:val="1"/>
                <w:color w:val="auto"/>
              </w:rPr>
            </w:pPr>
          </w:p>
        </w:tc>
      </w:tr>
      <w:tr>
        <w:trPr>
          <w:trHeight w:val="229"/>
        </w:trPr>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Press releases</w:t>
            </w:r>
          </w:p>
        </w:tc>
        <w:tc>
          <w:tcPr>
            <w:tcW w:w="200" w:type="dxa"/>
            <w:vAlign w:val="bottom"/>
          </w:tcPr>
          <w:p>
            <w:pPr>
              <w:spacing w:after="0"/>
              <w:rPr>
                <w:sz w:val="19"/>
                <w:szCs w:val="19"/>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Proxy advisory firms</w:t>
            </w:r>
          </w:p>
        </w:tc>
        <w:tc>
          <w:tcPr>
            <w:tcW w:w="200" w:type="dxa"/>
            <w:vAlign w:val="bottom"/>
          </w:tcPr>
          <w:p>
            <w:pPr>
              <w:spacing w:after="0"/>
              <w:rPr>
                <w:sz w:val="19"/>
                <w:szCs w:val="19"/>
                <w:color w:val="auto"/>
              </w:rPr>
            </w:pPr>
          </w:p>
        </w:tc>
        <w:tc>
          <w:tcPr>
            <w:tcW w:w="280" w:type="dxa"/>
            <w:vAlign w:val="bottom"/>
            <w:shd w:val="clear" w:color="auto" w:fill="EEEFEF"/>
          </w:tcPr>
          <w:p>
            <w:pPr>
              <w:ind w:left="140"/>
              <w:spacing w:after="0"/>
              <w:rPr>
                <w:sz w:val="20"/>
                <w:szCs w:val="20"/>
                <w:color w:val="auto"/>
              </w:rPr>
            </w:pPr>
            <w:r>
              <w:rPr>
                <w:rFonts w:ascii="Arial" w:cs="Arial" w:eastAsia="Arial" w:hAnsi="Arial"/>
                <w:sz w:val="17"/>
                <w:szCs w:val="17"/>
                <w:color w:val="074A75"/>
              </w:rPr>
              <w:t>•</w:t>
            </w:r>
          </w:p>
        </w:tc>
        <w:tc>
          <w:tcPr>
            <w:tcW w:w="3200" w:type="dxa"/>
            <w:vAlign w:val="bottom"/>
            <w:shd w:val="clear" w:color="auto" w:fill="EEEFEF"/>
          </w:tcPr>
          <w:p>
            <w:pPr>
              <w:ind w:left="60"/>
              <w:spacing w:after="0"/>
              <w:rPr>
                <w:sz w:val="20"/>
                <w:szCs w:val="20"/>
                <w:color w:val="auto"/>
              </w:rPr>
            </w:pPr>
            <w:r>
              <w:rPr>
                <w:rFonts w:ascii="Arial" w:cs="Arial" w:eastAsia="Arial" w:hAnsi="Arial"/>
                <w:sz w:val="17"/>
                <w:szCs w:val="17"/>
                <w:color w:val="auto"/>
              </w:rPr>
              <w:t>Annual Shareholder Meeting</w:t>
            </w:r>
          </w:p>
        </w:tc>
        <w:tc>
          <w:tcPr>
            <w:tcW w:w="0" w:type="dxa"/>
            <w:vAlign w:val="bottom"/>
          </w:tcPr>
          <w:p>
            <w:pPr>
              <w:spacing w:after="0"/>
              <w:rPr>
                <w:sz w:val="1"/>
                <w:szCs w:val="1"/>
                <w:color w:val="auto"/>
              </w:rPr>
            </w:pPr>
          </w:p>
        </w:tc>
      </w:tr>
      <w:tr>
        <w:trPr>
          <w:trHeight w:val="229"/>
        </w:trPr>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Firm website</w:t>
            </w:r>
          </w:p>
        </w:tc>
        <w:tc>
          <w:tcPr>
            <w:tcW w:w="200" w:type="dxa"/>
            <w:vAlign w:val="bottom"/>
          </w:tcPr>
          <w:p>
            <w:pPr>
              <w:spacing w:after="0"/>
              <w:rPr>
                <w:sz w:val="19"/>
                <w:szCs w:val="19"/>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ESG rating firms</w:t>
            </w:r>
          </w:p>
        </w:tc>
        <w:tc>
          <w:tcPr>
            <w:tcW w:w="200" w:type="dxa"/>
            <w:vAlign w:val="bottom"/>
          </w:tcPr>
          <w:p>
            <w:pPr>
              <w:spacing w:after="0"/>
              <w:rPr>
                <w:sz w:val="19"/>
                <w:szCs w:val="19"/>
                <w:color w:val="auto"/>
              </w:rPr>
            </w:pPr>
          </w:p>
        </w:tc>
        <w:tc>
          <w:tcPr>
            <w:tcW w:w="280" w:type="dxa"/>
            <w:vAlign w:val="bottom"/>
            <w:shd w:val="clear" w:color="auto" w:fill="EEEFEF"/>
          </w:tcPr>
          <w:p>
            <w:pPr>
              <w:spacing w:after="0"/>
              <w:rPr>
                <w:sz w:val="19"/>
                <w:szCs w:val="19"/>
                <w:color w:val="auto"/>
              </w:rPr>
            </w:pPr>
          </w:p>
        </w:tc>
        <w:tc>
          <w:tcPr>
            <w:tcW w:w="3200" w:type="dxa"/>
            <w:vAlign w:val="bottom"/>
            <w:shd w:val="clear" w:color="auto" w:fill="EEEFE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60" w:type="dxa"/>
            <w:vAlign w:val="bottom"/>
            <w:gridSpan w:val="2"/>
            <w:shd w:val="clear" w:color="auto" w:fill="EEEFEF"/>
          </w:tcPr>
          <w:p>
            <w:pPr>
              <w:ind w:left="160"/>
              <w:spacing w:after="0"/>
              <w:rPr>
                <w:sz w:val="20"/>
                <w:szCs w:val="20"/>
                <w:color w:val="auto"/>
              </w:rPr>
            </w:pPr>
            <w:r>
              <w:rPr>
                <w:rFonts w:ascii="Arial" w:cs="Arial" w:eastAsia="Arial" w:hAnsi="Arial"/>
                <w:sz w:val="17"/>
                <w:szCs w:val="17"/>
                <w:color w:val="114D97"/>
              </w:rPr>
              <w:t xml:space="preserve">•  </w:t>
            </w:r>
            <w:r>
              <w:rPr>
                <w:rFonts w:ascii="Arial" w:cs="Arial" w:eastAsia="Arial" w:hAnsi="Arial"/>
                <w:sz w:val="17"/>
                <w:szCs w:val="17"/>
                <w:color w:val="000000"/>
              </w:rPr>
              <w:t>ESG, TCFD Climate and Corporate</w:t>
            </w:r>
          </w:p>
        </w:tc>
        <w:tc>
          <w:tcPr>
            <w:tcW w:w="200" w:type="dxa"/>
            <w:vAlign w:val="bottom"/>
          </w:tcPr>
          <w:p>
            <w:pPr>
              <w:spacing w:after="0"/>
              <w:rPr>
                <w:sz w:val="17"/>
                <w:szCs w:val="17"/>
                <w:color w:val="auto"/>
              </w:rPr>
            </w:pPr>
          </w:p>
        </w:tc>
        <w:tc>
          <w:tcPr>
            <w:tcW w:w="280" w:type="dxa"/>
            <w:vAlign w:val="bottom"/>
            <w:shd w:val="clear" w:color="auto" w:fill="EEEFEF"/>
          </w:tcPr>
          <w:p>
            <w:pPr>
              <w:ind w:left="160"/>
              <w:spacing w:after="0"/>
              <w:rPr>
                <w:sz w:val="20"/>
                <w:szCs w:val="20"/>
                <w:color w:val="auto"/>
              </w:rPr>
            </w:pPr>
            <w:r>
              <w:rPr>
                <w:rFonts w:ascii="Arial" w:cs="Arial" w:eastAsia="Arial" w:hAnsi="Arial"/>
                <w:sz w:val="17"/>
                <w:szCs w:val="17"/>
                <w:color w:val="114D97"/>
              </w:rPr>
              <w:t>•</w:t>
            </w: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Industry thought leaders</w:t>
            </w:r>
          </w:p>
        </w:tc>
        <w:tc>
          <w:tcPr>
            <w:tcW w:w="200" w:type="dxa"/>
            <w:vAlign w:val="bottom"/>
          </w:tcPr>
          <w:p>
            <w:pPr>
              <w:spacing w:after="0"/>
              <w:rPr>
                <w:sz w:val="17"/>
                <w:szCs w:val="17"/>
                <w:color w:val="auto"/>
              </w:rPr>
            </w:pPr>
          </w:p>
        </w:tc>
        <w:tc>
          <w:tcPr>
            <w:tcW w:w="280" w:type="dxa"/>
            <w:vAlign w:val="bottom"/>
            <w:shd w:val="clear" w:color="auto" w:fill="EEEFEF"/>
          </w:tcPr>
          <w:p>
            <w:pPr>
              <w:spacing w:after="0"/>
              <w:rPr>
                <w:sz w:val="17"/>
                <w:szCs w:val="17"/>
                <w:color w:val="auto"/>
              </w:rPr>
            </w:pPr>
          </w:p>
        </w:tc>
        <w:tc>
          <w:tcPr>
            <w:tcW w:w="3200" w:type="dxa"/>
            <w:vAlign w:val="bottom"/>
            <w:shd w:val="clear" w:color="auto" w:fill="EEEFE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80" w:type="dxa"/>
            <w:vAlign w:val="bottom"/>
            <w:shd w:val="clear" w:color="auto" w:fill="EEEFEF"/>
          </w:tcPr>
          <w:p>
            <w:pPr>
              <w:spacing w:after="0"/>
              <w:rPr>
                <w:sz w:val="17"/>
                <w:szCs w:val="17"/>
                <w:color w:val="auto"/>
              </w:rPr>
            </w:pPr>
          </w:p>
        </w:tc>
        <w:tc>
          <w:tcPr>
            <w:tcW w:w="3180" w:type="dxa"/>
            <w:vAlign w:val="bottom"/>
            <w:shd w:val="clear" w:color="auto" w:fill="EEEFEF"/>
          </w:tcPr>
          <w:p>
            <w:pPr>
              <w:ind w:left="60"/>
              <w:spacing w:after="0"/>
              <w:rPr>
                <w:sz w:val="20"/>
                <w:szCs w:val="20"/>
                <w:color w:val="auto"/>
              </w:rPr>
            </w:pPr>
            <w:r>
              <w:rPr>
                <w:rFonts w:ascii="Arial" w:cs="Arial" w:eastAsia="Arial" w:hAnsi="Arial"/>
                <w:sz w:val="17"/>
                <w:szCs w:val="17"/>
                <w:color w:val="auto"/>
              </w:rPr>
              <w:t>Responsibility Reports</w:t>
            </w:r>
          </w:p>
        </w:tc>
        <w:tc>
          <w:tcPr>
            <w:tcW w:w="200" w:type="dxa"/>
            <w:vAlign w:val="bottom"/>
          </w:tcPr>
          <w:p>
            <w:pPr>
              <w:spacing w:after="0"/>
              <w:rPr>
                <w:sz w:val="17"/>
                <w:szCs w:val="17"/>
                <w:color w:val="auto"/>
              </w:rPr>
            </w:pPr>
          </w:p>
        </w:tc>
        <w:tc>
          <w:tcPr>
            <w:tcW w:w="3460" w:type="dxa"/>
            <w:vAlign w:val="bottom"/>
            <w:gridSpan w:val="2"/>
            <w:vMerge w:val="restart"/>
            <w:shd w:val="clear" w:color="auto" w:fill="EEEFEF"/>
          </w:tcPr>
          <w:p>
            <w:pPr>
              <w:ind w:left="160"/>
              <w:spacing w:after="0"/>
              <w:rPr>
                <w:sz w:val="20"/>
                <w:szCs w:val="20"/>
                <w:color w:val="auto"/>
              </w:rPr>
            </w:pPr>
            <w:r>
              <w:rPr>
                <w:rFonts w:ascii="Arial" w:cs="Arial" w:eastAsia="Arial" w:hAnsi="Arial"/>
                <w:sz w:val="17"/>
                <w:szCs w:val="17"/>
                <w:color w:val="114D97"/>
              </w:rPr>
              <w:t xml:space="preserve">•  </w:t>
            </w:r>
            <w:r>
              <w:rPr>
                <w:rFonts w:ascii="Arial" w:cs="Arial" w:eastAsia="Arial" w:hAnsi="Arial"/>
                <w:sz w:val="17"/>
                <w:szCs w:val="17"/>
                <w:color w:val="000000"/>
              </w:rPr>
              <w:t>Community and business leaders</w:t>
            </w:r>
          </w:p>
        </w:tc>
        <w:tc>
          <w:tcPr>
            <w:tcW w:w="200" w:type="dxa"/>
            <w:vAlign w:val="bottom"/>
          </w:tcPr>
          <w:p>
            <w:pPr>
              <w:spacing w:after="0"/>
              <w:rPr>
                <w:sz w:val="17"/>
                <w:szCs w:val="17"/>
                <w:color w:val="auto"/>
              </w:rPr>
            </w:pPr>
          </w:p>
        </w:tc>
        <w:tc>
          <w:tcPr>
            <w:tcW w:w="280" w:type="dxa"/>
            <w:vAlign w:val="bottom"/>
            <w:shd w:val="clear" w:color="auto" w:fill="EEEFEF"/>
          </w:tcPr>
          <w:p>
            <w:pPr>
              <w:spacing w:after="0"/>
              <w:rPr>
                <w:sz w:val="17"/>
                <w:szCs w:val="17"/>
                <w:color w:val="auto"/>
              </w:rPr>
            </w:pPr>
          </w:p>
        </w:tc>
        <w:tc>
          <w:tcPr>
            <w:tcW w:w="3200" w:type="dxa"/>
            <w:vAlign w:val="bottom"/>
            <w:shd w:val="clear" w:color="auto" w:fill="EEEFE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80" w:type="dxa"/>
            <w:vAlign w:val="bottom"/>
            <w:shd w:val="clear" w:color="auto" w:fill="EEEFEF"/>
          </w:tcPr>
          <w:p>
            <w:pPr>
              <w:spacing w:after="0"/>
              <w:rPr>
                <w:sz w:val="4"/>
                <w:szCs w:val="4"/>
                <w:color w:val="auto"/>
              </w:rPr>
            </w:pPr>
          </w:p>
        </w:tc>
        <w:tc>
          <w:tcPr>
            <w:tcW w:w="3180" w:type="dxa"/>
            <w:vAlign w:val="bottom"/>
            <w:shd w:val="clear" w:color="auto" w:fill="EEEFEF"/>
          </w:tcPr>
          <w:p>
            <w:pPr>
              <w:spacing w:after="0"/>
              <w:rPr>
                <w:sz w:val="4"/>
                <w:szCs w:val="4"/>
                <w:color w:val="auto"/>
              </w:rPr>
            </w:pPr>
          </w:p>
        </w:tc>
        <w:tc>
          <w:tcPr>
            <w:tcW w:w="200" w:type="dxa"/>
            <w:vAlign w:val="bottom"/>
          </w:tcPr>
          <w:p>
            <w:pPr>
              <w:spacing w:after="0"/>
              <w:rPr>
                <w:sz w:val="4"/>
                <w:szCs w:val="4"/>
                <w:color w:val="auto"/>
              </w:rPr>
            </w:pPr>
          </w:p>
        </w:tc>
        <w:tc>
          <w:tcPr>
            <w:tcW w:w="3460" w:type="dxa"/>
            <w:vAlign w:val="bottom"/>
            <w:gridSpan w:val="2"/>
            <w:vMerge w:val="continue"/>
            <w:shd w:val="clear" w:color="auto" w:fill="EEEFEF"/>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shd w:val="clear" w:color="auto" w:fill="EEEFEF"/>
          </w:tcPr>
          <w:p>
            <w:pPr>
              <w:spacing w:after="0"/>
              <w:rPr>
                <w:sz w:val="4"/>
                <w:szCs w:val="4"/>
                <w:color w:val="auto"/>
              </w:rPr>
            </w:pPr>
          </w:p>
        </w:tc>
        <w:tc>
          <w:tcPr>
            <w:tcW w:w="3200" w:type="dxa"/>
            <w:vAlign w:val="bottom"/>
            <w:shd w:val="clear" w:color="auto" w:fill="EEEFEF"/>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0" w:type="dxa"/>
            <w:vAlign w:val="bottom"/>
            <w:shd w:val="clear" w:color="auto" w:fill="EEEFEF"/>
          </w:tcPr>
          <w:p>
            <w:pPr>
              <w:spacing w:after="0"/>
              <w:rPr>
                <w:sz w:val="10"/>
                <w:szCs w:val="10"/>
                <w:color w:val="auto"/>
              </w:rPr>
            </w:pPr>
          </w:p>
        </w:tc>
        <w:tc>
          <w:tcPr>
            <w:tcW w:w="3180" w:type="dxa"/>
            <w:vAlign w:val="bottom"/>
            <w:shd w:val="clear" w:color="auto" w:fill="EEEFEF"/>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shd w:val="clear" w:color="auto" w:fill="EEEFEF"/>
          </w:tcPr>
          <w:p>
            <w:pPr>
              <w:spacing w:after="0"/>
              <w:rPr>
                <w:sz w:val="10"/>
                <w:szCs w:val="10"/>
                <w:color w:val="auto"/>
              </w:rPr>
            </w:pPr>
          </w:p>
        </w:tc>
        <w:tc>
          <w:tcPr>
            <w:tcW w:w="3180" w:type="dxa"/>
            <w:vAlign w:val="bottom"/>
            <w:shd w:val="clear" w:color="auto" w:fill="EEEFEF"/>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shd w:val="clear" w:color="auto" w:fill="EEEFEF"/>
          </w:tcPr>
          <w:p>
            <w:pPr>
              <w:spacing w:after="0"/>
              <w:rPr>
                <w:sz w:val="10"/>
                <w:szCs w:val="10"/>
                <w:color w:val="auto"/>
              </w:rPr>
            </w:pPr>
          </w:p>
        </w:tc>
        <w:tc>
          <w:tcPr>
            <w:tcW w:w="3200" w:type="dxa"/>
            <w:vAlign w:val="bottom"/>
            <w:shd w:val="clear" w:color="auto" w:fill="EEEFE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-1268095</wp:posOffset>
            </wp:positionV>
            <wp:extent cx="7166610" cy="26917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6610" cy="2691765"/>
                    </a:xfrm>
                    <a:prstGeom prst="rect">
                      <a:avLst/>
                    </a:prstGeom>
                    <a:noFill/>
                  </pic:spPr>
                </pic:pic>
              </a:graphicData>
            </a:graphic>
          </wp:anchor>
        </w:drawing>
      </w:r>
    </w:p>
    <w:p>
      <w:pPr>
        <w:spacing w:after="0" w:line="384" w:lineRule="exact"/>
        <w:rPr>
          <w:sz w:val="20"/>
          <w:szCs w:val="20"/>
          <w:color w:val="auto"/>
        </w:rPr>
      </w:pPr>
    </w:p>
    <w:p>
      <w:pPr>
        <w:ind w:left="380"/>
        <w:spacing w:after="0"/>
        <w:rPr>
          <w:sz w:val="20"/>
          <w:szCs w:val="20"/>
          <w:color w:val="auto"/>
        </w:rPr>
      </w:pPr>
      <w:r>
        <w:rPr>
          <w:rFonts w:ascii="Arial" w:cs="Arial" w:eastAsia="Arial" w:hAnsi="Arial"/>
          <w:sz w:val="18"/>
          <w:szCs w:val="18"/>
          <w:color w:val="074A75"/>
        </w:rPr>
        <w:t>Semiannual Shareholder Outreach Program:</w:t>
      </w:r>
    </w:p>
    <w:p>
      <w:pPr>
        <w:spacing w:after="0" w:line="85" w:lineRule="exact"/>
        <w:rPr>
          <w:sz w:val="20"/>
          <w:szCs w:val="20"/>
          <w:color w:val="auto"/>
        </w:rPr>
      </w:pPr>
    </w:p>
    <w:p>
      <w:pPr>
        <w:ind w:left="560" w:right="620" w:hanging="188"/>
        <w:spacing w:after="0" w:line="233" w:lineRule="auto"/>
        <w:tabs>
          <w:tab w:leader="none" w:pos="560" w:val="left"/>
        </w:tabs>
        <w:numPr>
          <w:ilvl w:val="0"/>
          <w:numId w:val="96"/>
        </w:numPr>
        <w:rPr>
          <w:rFonts w:ascii="Arial" w:cs="Arial" w:eastAsia="Arial" w:hAnsi="Arial"/>
          <w:sz w:val="17"/>
          <w:szCs w:val="17"/>
          <w:color w:val="114D97"/>
        </w:rPr>
      </w:pPr>
      <w:r>
        <w:rPr>
          <w:rFonts w:ascii="Arial" w:cs="Arial" w:eastAsia="Arial" w:hAnsi="Arial"/>
          <w:sz w:val="17"/>
          <w:szCs w:val="17"/>
          <w:color w:val="auto"/>
        </w:rPr>
        <w:t>Twice a year, we conduct a comprehensive formal Shareholder Outreach Program focused on topics including corporate governance, shareholder rights, executive compensation as well as the Firm's social and environmental impact.</w:t>
      </w:r>
    </w:p>
    <w:p>
      <w:pPr>
        <w:spacing w:after="0" w:line="25" w:lineRule="exact"/>
        <w:rPr>
          <w:rFonts w:ascii="Arial" w:cs="Arial" w:eastAsia="Arial" w:hAnsi="Arial"/>
          <w:sz w:val="17"/>
          <w:szCs w:val="17"/>
          <w:color w:val="114D97"/>
        </w:rPr>
      </w:pPr>
    </w:p>
    <w:p>
      <w:pPr>
        <w:ind w:left="560" w:right="340" w:hanging="188"/>
        <w:spacing w:after="0" w:line="227" w:lineRule="auto"/>
        <w:tabs>
          <w:tab w:leader="none" w:pos="560" w:val="left"/>
        </w:tabs>
        <w:numPr>
          <w:ilvl w:val="0"/>
          <w:numId w:val="96"/>
        </w:numPr>
        <w:rPr>
          <w:rFonts w:ascii="Arial" w:cs="Arial" w:eastAsia="Arial" w:hAnsi="Arial"/>
          <w:sz w:val="17"/>
          <w:szCs w:val="17"/>
          <w:color w:val="114D97"/>
        </w:rPr>
      </w:pPr>
      <w:r>
        <w:rPr>
          <w:rFonts w:ascii="Arial" w:cs="Arial" w:eastAsia="Arial" w:hAnsi="Arial"/>
          <w:sz w:val="17"/>
          <w:szCs w:val="17"/>
          <w:color w:val="auto"/>
        </w:rPr>
        <w:t>We reach out to over 100 of our largest shareholders as well as proxy advisory firms. In these meetings, management shares information and provides updates on aforementioned topics, addresses questions and solicits shareholders' perspectives and feedback. Directors participate in these meetings as appropriate.</w:t>
      </w:r>
    </w:p>
    <w:p>
      <w:pPr>
        <w:spacing w:after="0" w:line="25" w:lineRule="exact"/>
        <w:rPr>
          <w:rFonts w:ascii="Arial" w:cs="Arial" w:eastAsia="Arial" w:hAnsi="Arial"/>
          <w:sz w:val="17"/>
          <w:szCs w:val="17"/>
          <w:color w:val="114D97"/>
        </w:rPr>
      </w:pPr>
    </w:p>
    <w:p>
      <w:pPr>
        <w:ind w:left="560" w:hanging="188"/>
        <w:spacing w:after="0"/>
        <w:tabs>
          <w:tab w:leader="none" w:pos="560" w:val="left"/>
        </w:tabs>
        <w:numPr>
          <w:ilvl w:val="0"/>
          <w:numId w:val="96"/>
        </w:numPr>
        <w:rPr>
          <w:rFonts w:ascii="Arial" w:cs="Arial" w:eastAsia="Arial" w:hAnsi="Arial"/>
          <w:sz w:val="17"/>
          <w:szCs w:val="17"/>
          <w:color w:val="114D97"/>
        </w:rPr>
      </w:pPr>
      <w:r>
        <w:rPr>
          <w:rFonts w:ascii="Arial" w:cs="Arial" w:eastAsia="Arial" w:hAnsi="Arial"/>
          <w:sz w:val="17"/>
          <w:szCs w:val="17"/>
          <w:color w:val="auto"/>
        </w:rPr>
        <w:t>Following each Shareholder Outreach Program, shareholders' areas of focus and feedback are provided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6849110" cy="2228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49110" cy="222885"/>
                    </a:xfrm>
                    <a:prstGeom prst="rect">
                      <a:avLst/>
                    </a:prstGeom>
                    <a:noFill/>
                  </pic:spPr>
                </pic:pic>
              </a:graphicData>
            </a:graphic>
          </wp:anchor>
        </w:drawing>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FFFFFF"/>
        </w:rPr>
        <w:t>2020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48895</wp:posOffset>
            </wp:positionV>
            <wp:extent cx="6849110" cy="22459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49110" cy="2245995"/>
                    </a:xfrm>
                    <a:prstGeom prst="rect">
                      <a:avLst/>
                    </a:prstGeom>
                    <a:noFill/>
                  </pic:spPr>
                </pic:pic>
              </a:graphicData>
            </a:graphic>
          </wp:anchor>
        </w:drawing>
      </w:r>
    </w:p>
    <w:p>
      <w:pPr>
        <w:spacing w:after="0" w:line="119" w:lineRule="exact"/>
        <w:rPr>
          <w:sz w:val="20"/>
          <w:szCs w:val="20"/>
          <w:color w:val="auto"/>
        </w:rPr>
      </w:pPr>
    </w:p>
    <w:p>
      <w:pPr>
        <w:ind w:left="560" w:hanging="188"/>
        <w:spacing w:after="0"/>
        <w:tabs>
          <w:tab w:leader="none" w:pos="560" w:val="left"/>
        </w:tabs>
        <w:numPr>
          <w:ilvl w:val="0"/>
          <w:numId w:val="97"/>
        </w:numPr>
        <w:rPr>
          <w:rFonts w:ascii="Arial" w:cs="Arial" w:eastAsia="Arial" w:hAnsi="Arial"/>
          <w:sz w:val="17"/>
          <w:szCs w:val="17"/>
          <w:color w:val="114D97"/>
        </w:rPr>
      </w:pPr>
      <w:r>
        <w:rPr>
          <w:rFonts w:ascii="Arial" w:cs="Arial" w:eastAsia="Arial" w:hAnsi="Arial"/>
          <w:sz w:val="17"/>
          <w:szCs w:val="17"/>
          <w:color w:val="auto"/>
        </w:rPr>
        <w:t>Senior Management</w:t>
      </w:r>
    </w:p>
    <w:p>
      <w:pPr>
        <w:spacing w:after="0" w:line="34" w:lineRule="exact"/>
        <w:rPr>
          <w:rFonts w:ascii="Arial" w:cs="Arial" w:eastAsia="Arial" w:hAnsi="Arial"/>
          <w:sz w:val="17"/>
          <w:szCs w:val="17"/>
          <w:color w:val="114D97"/>
        </w:rPr>
      </w:pPr>
    </w:p>
    <w:p>
      <w:pPr>
        <w:ind w:left="1220" w:hanging="200"/>
        <w:spacing w:after="0"/>
        <w:tabs>
          <w:tab w:leader="none" w:pos="1220"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Hosted approximately 40 investor meetings</w:t>
      </w:r>
    </w:p>
    <w:p>
      <w:pPr>
        <w:spacing w:after="0" w:line="34" w:lineRule="exact"/>
        <w:rPr>
          <w:rFonts w:ascii="Arial" w:cs="Arial" w:eastAsia="Arial" w:hAnsi="Arial"/>
          <w:sz w:val="17"/>
          <w:szCs w:val="17"/>
          <w:color w:val="114D97"/>
        </w:rPr>
      </w:pPr>
    </w:p>
    <w:p>
      <w:pPr>
        <w:ind w:left="1220" w:hanging="200"/>
        <w:spacing w:after="0"/>
        <w:tabs>
          <w:tab w:leader="none" w:pos="1220"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Presented at approximately 10 investor conferences as well as the Firm's 2020 Investor Day</w:t>
      </w:r>
    </w:p>
    <w:p>
      <w:pPr>
        <w:spacing w:after="0" w:line="34" w:lineRule="exact"/>
        <w:rPr>
          <w:rFonts w:ascii="Arial" w:cs="Arial" w:eastAsia="Arial" w:hAnsi="Arial"/>
          <w:sz w:val="17"/>
          <w:szCs w:val="17"/>
          <w:color w:val="114D97"/>
        </w:rPr>
      </w:pPr>
    </w:p>
    <w:p>
      <w:pPr>
        <w:ind w:left="1220" w:hanging="200"/>
        <w:spacing w:after="0"/>
        <w:tabs>
          <w:tab w:leader="none" w:pos="1220"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Met with shareholders and other interested parties around the world</w:t>
      </w:r>
    </w:p>
    <w:p>
      <w:pPr>
        <w:spacing w:after="0" w:line="34" w:lineRule="exact"/>
        <w:rPr>
          <w:rFonts w:ascii="Arial" w:cs="Arial" w:eastAsia="Arial" w:hAnsi="Arial"/>
          <w:sz w:val="17"/>
          <w:szCs w:val="17"/>
          <w:color w:val="114D97"/>
        </w:rPr>
      </w:pPr>
    </w:p>
    <w:p>
      <w:pPr>
        <w:ind w:left="560" w:hanging="188"/>
        <w:spacing w:after="0"/>
        <w:tabs>
          <w:tab w:leader="none" w:pos="560" w:val="left"/>
        </w:tabs>
        <w:numPr>
          <w:ilvl w:val="0"/>
          <w:numId w:val="97"/>
        </w:numPr>
        <w:rPr>
          <w:rFonts w:ascii="Arial" w:cs="Arial" w:eastAsia="Arial" w:hAnsi="Arial"/>
          <w:sz w:val="17"/>
          <w:szCs w:val="17"/>
          <w:color w:val="114D97"/>
        </w:rPr>
      </w:pPr>
      <w:r>
        <w:rPr>
          <w:rFonts w:ascii="Arial" w:cs="Arial" w:eastAsia="Arial" w:hAnsi="Arial"/>
          <w:sz w:val="17"/>
          <w:szCs w:val="17"/>
          <w:color w:val="auto"/>
        </w:rPr>
        <w:t>Shareholder Outreach Program</w:t>
      </w:r>
    </w:p>
    <w:p>
      <w:pPr>
        <w:spacing w:after="0" w:line="34" w:lineRule="exact"/>
        <w:rPr>
          <w:rFonts w:ascii="Arial" w:cs="Arial" w:eastAsia="Arial" w:hAnsi="Arial"/>
          <w:sz w:val="17"/>
          <w:szCs w:val="17"/>
          <w:color w:val="114D97"/>
        </w:rPr>
      </w:pPr>
    </w:p>
    <w:p>
      <w:pPr>
        <w:ind w:left="1220" w:right="300" w:hanging="200"/>
        <w:spacing w:after="0" w:line="233" w:lineRule="auto"/>
        <w:tabs>
          <w:tab w:leader="none" w:pos="1221"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Approximately 100 engagements with nearly 60 shareholders representing approximately 45% of the Firm's outstanding common stock</w:t>
      </w:r>
    </w:p>
    <w:p>
      <w:pPr>
        <w:spacing w:after="0" w:line="25" w:lineRule="exact"/>
        <w:rPr>
          <w:rFonts w:ascii="Arial" w:cs="Arial" w:eastAsia="Arial" w:hAnsi="Arial"/>
          <w:sz w:val="17"/>
          <w:szCs w:val="17"/>
          <w:color w:val="114D97"/>
        </w:rPr>
      </w:pPr>
    </w:p>
    <w:p>
      <w:pPr>
        <w:ind w:left="1220" w:hanging="200"/>
        <w:spacing w:after="0"/>
        <w:tabs>
          <w:tab w:leader="none" w:pos="1220"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Directors participated as appropriate</w:t>
      </w:r>
    </w:p>
    <w:p>
      <w:pPr>
        <w:spacing w:after="0" w:line="34" w:lineRule="exact"/>
        <w:rPr>
          <w:rFonts w:ascii="Arial" w:cs="Arial" w:eastAsia="Arial" w:hAnsi="Arial"/>
          <w:sz w:val="17"/>
          <w:szCs w:val="17"/>
          <w:color w:val="114D97"/>
        </w:rPr>
      </w:pPr>
    </w:p>
    <w:p>
      <w:pPr>
        <w:ind w:left="1220" w:hanging="200"/>
        <w:spacing w:after="0"/>
        <w:tabs>
          <w:tab w:leader="none" w:pos="1220" w:val="left"/>
        </w:tabs>
        <w:numPr>
          <w:ilvl w:val="1"/>
          <w:numId w:val="97"/>
        </w:numPr>
        <w:rPr>
          <w:rFonts w:ascii="Arial" w:cs="Arial" w:eastAsia="Arial" w:hAnsi="Arial"/>
          <w:sz w:val="17"/>
          <w:szCs w:val="17"/>
          <w:color w:val="114D97"/>
        </w:rPr>
      </w:pPr>
      <w:r>
        <w:rPr>
          <w:rFonts w:ascii="Arial" w:cs="Arial" w:eastAsia="Arial" w:hAnsi="Arial"/>
          <w:sz w:val="17"/>
          <w:szCs w:val="17"/>
          <w:color w:val="auto"/>
        </w:rPr>
        <w:t>Frequently discussed topics included:</w:t>
      </w:r>
    </w:p>
    <w:p>
      <w:pPr>
        <w:spacing w:after="0" w:line="34" w:lineRule="exact"/>
        <w:rPr>
          <w:rFonts w:ascii="Arial" w:cs="Arial" w:eastAsia="Arial" w:hAnsi="Arial"/>
          <w:sz w:val="17"/>
          <w:szCs w:val="17"/>
          <w:color w:val="114D97"/>
        </w:rPr>
      </w:pPr>
    </w:p>
    <w:p>
      <w:pPr>
        <w:ind w:left="1860" w:hanging="192"/>
        <w:spacing w:after="0"/>
        <w:tabs>
          <w:tab w:leader="none" w:pos="1860" w:val="left"/>
        </w:tabs>
        <w:numPr>
          <w:ilvl w:val="2"/>
          <w:numId w:val="97"/>
        </w:numPr>
        <w:rPr>
          <w:rFonts w:ascii="Arial" w:cs="Arial" w:eastAsia="Arial" w:hAnsi="Arial"/>
          <w:sz w:val="17"/>
          <w:szCs w:val="17"/>
          <w:color w:val="074A75"/>
        </w:rPr>
      </w:pPr>
      <w:r>
        <w:rPr>
          <w:rFonts w:ascii="Arial" w:cs="Arial" w:eastAsia="Arial" w:hAnsi="Arial"/>
          <w:sz w:val="17"/>
          <w:szCs w:val="17"/>
          <w:color w:val="auto"/>
        </w:rPr>
        <w:t>The Firm's strategy, financial and operating performance and risk management in light of COVID-19</w:t>
      </w:r>
    </w:p>
    <w:p>
      <w:pPr>
        <w:spacing w:after="0" w:line="34" w:lineRule="exact"/>
        <w:rPr>
          <w:rFonts w:ascii="Arial" w:cs="Arial" w:eastAsia="Arial" w:hAnsi="Arial"/>
          <w:sz w:val="17"/>
          <w:szCs w:val="17"/>
          <w:color w:val="074A75"/>
        </w:rPr>
      </w:pPr>
    </w:p>
    <w:p>
      <w:pPr>
        <w:ind w:left="1860" w:hanging="192"/>
        <w:spacing w:after="0"/>
        <w:tabs>
          <w:tab w:leader="none" w:pos="1860" w:val="left"/>
        </w:tabs>
        <w:numPr>
          <w:ilvl w:val="2"/>
          <w:numId w:val="97"/>
        </w:numPr>
        <w:rPr>
          <w:rFonts w:ascii="Arial" w:cs="Arial" w:eastAsia="Arial" w:hAnsi="Arial"/>
          <w:sz w:val="17"/>
          <w:szCs w:val="17"/>
          <w:color w:val="114D97"/>
        </w:rPr>
      </w:pPr>
      <w:r>
        <w:rPr>
          <w:rFonts w:ascii="Arial" w:cs="Arial" w:eastAsia="Arial" w:hAnsi="Arial"/>
          <w:sz w:val="17"/>
          <w:szCs w:val="17"/>
          <w:color w:val="auto"/>
        </w:rPr>
        <w:t>Board composition</w:t>
      </w:r>
    </w:p>
    <w:p>
      <w:pPr>
        <w:spacing w:after="0" w:line="34" w:lineRule="exact"/>
        <w:rPr>
          <w:rFonts w:ascii="Arial" w:cs="Arial" w:eastAsia="Arial" w:hAnsi="Arial"/>
          <w:sz w:val="17"/>
          <w:szCs w:val="17"/>
          <w:color w:val="114D97"/>
        </w:rPr>
      </w:pPr>
    </w:p>
    <w:p>
      <w:pPr>
        <w:ind w:left="1860" w:hanging="192"/>
        <w:spacing w:after="0"/>
        <w:tabs>
          <w:tab w:leader="none" w:pos="1860" w:val="left"/>
        </w:tabs>
        <w:numPr>
          <w:ilvl w:val="2"/>
          <w:numId w:val="97"/>
        </w:numPr>
        <w:rPr>
          <w:rFonts w:ascii="Arial" w:cs="Arial" w:eastAsia="Arial" w:hAnsi="Arial"/>
          <w:sz w:val="17"/>
          <w:szCs w:val="17"/>
          <w:color w:val="114D97"/>
        </w:rPr>
      </w:pPr>
      <w:r>
        <w:rPr>
          <w:rFonts w:ascii="Arial" w:cs="Arial" w:eastAsia="Arial" w:hAnsi="Arial"/>
          <w:sz w:val="17"/>
          <w:szCs w:val="17"/>
          <w:color w:val="auto"/>
        </w:rPr>
        <w:t>Board and management succession planning</w:t>
      </w:r>
    </w:p>
    <w:p>
      <w:pPr>
        <w:spacing w:after="0" w:line="34" w:lineRule="exact"/>
        <w:rPr>
          <w:rFonts w:ascii="Arial" w:cs="Arial" w:eastAsia="Arial" w:hAnsi="Arial"/>
          <w:sz w:val="17"/>
          <w:szCs w:val="17"/>
          <w:color w:val="114D97"/>
        </w:rPr>
      </w:pPr>
    </w:p>
    <w:p>
      <w:pPr>
        <w:ind w:left="1860" w:hanging="192"/>
        <w:spacing w:after="0"/>
        <w:tabs>
          <w:tab w:leader="none" w:pos="1860" w:val="left"/>
        </w:tabs>
        <w:numPr>
          <w:ilvl w:val="2"/>
          <w:numId w:val="97"/>
        </w:numPr>
        <w:rPr>
          <w:rFonts w:ascii="Arial" w:cs="Arial" w:eastAsia="Arial" w:hAnsi="Arial"/>
          <w:sz w:val="17"/>
          <w:szCs w:val="17"/>
          <w:color w:val="114D97"/>
        </w:rPr>
      </w:pPr>
      <w:r>
        <w:rPr>
          <w:rFonts w:ascii="Arial" w:cs="Arial" w:eastAsia="Arial" w:hAnsi="Arial"/>
          <w:sz w:val="17"/>
          <w:szCs w:val="17"/>
          <w:color w:val="auto"/>
        </w:rPr>
        <w:t>Enhancements to the executive compensation program and disclosures</w:t>
      </w:r>
    </w:p>
    <w:p>
      <w:pPr>
        <w:spacing w:after="0" w:line="34" w:lineRule="exact"/>
        <w:rPr>
          <w:rFonts w:ascii="Arial" w:cs="Arial" w:eastAsia="Arial" w:hAnsi="Arial"/>
          <w:sz w:val="17"/>
          <w:szCs w:val="17"/>
          <w:color w:val="114D97"/>
        </w:rPr>
      </w:pPr>
    </w:p>
    <w:p>
      <w:pPr>
        <w:ind w:left="1860" w:hanging="192"/>
        <w:spacing w:after="0"/>
        <w:tabs>
          <w:tab w:leader="none" w:pos="1860" w:val="left"/>
        </w:tabs>
        <w:numPr>
          <w:ilvl w:val="2"/>
          <w:numId w:val="97"/>
        </w:numPr>
        <w:rPr>
          <w:rFonts w:ascii="Arial" w:cs="Arial" w:eastAsia="Arial" w:hAnsi="Arial"/>
          <w:sz w:val="17"/>
          <w:szCs w:val="17"/>
          <w:color w:val="114D97"/>
        </w:rPr>
      </w:pPr>
      <w:r>
        <w:rPr>
          <w:rFonts w:ascii="Arial" w:cs="Arial" w:eastAsia="Arial" w:hAnsi="Arial"/>
          <w:sz w:val="17"/>
          <w:szCs w:val="17"/>
          <w:color w:val="auto"/>
        </w:rPr>
        <w:t>The Firm's sustainability efforts, including its Paris-aligned financing commitment</w:t>
      </w:r>
    </w:p>
    <w:p>
      <w:pPr>
        <w:spacing w:after="0" w:line="34" w:lineRule="exact"/>
        <w:rPr>
          <w:rFonts w:ascii="Arial" w:cs="Arial" w:eastAsia="Arial" w:hAnsi="Arial"/>
          <w:sz w:val="17"/>
          <w:szCs w:val="17"/>
          <w:color w:val="114D97"/>
        </w:rPr>
      </w:pPr>
    </w:p>
    <w:p>
      <w:pPr>
        <w:ind w:left="1860" w:hanging="192"/>
        <w:spacing w:after="0"/>
        <w:tabs>
          <w:tab w:leader="none" w:pos="1860" w:val="left"/>
        </w:tabs>
        <w:numPr>
          <w:ilvl w:val="2"/>
          <w:numId w:val="97"/>
        </w:numPr>
        <w:rPr>
          <w:rFonts w:ascii="Arial" w:cs="Arial" w:eastAsia="Arial" w:hAnsi="Arial"/>
          <w:sz w:val="17"/>
          <w:szCs w:val="17"/>
          <w:color w:val="114D97"/>
        </w:rPr>
      </w:pPr>
      <w:r>
        <w:rPr>
          <w:rFonts w:ascii="Arial" w:cs="Arial" w:eastAsia="Arial" w:hAnsi="Arial"/>
          <w:sz w:val="17"/>
          <w:szCs w:val="17"/>
          <w:color w:val="auto"/>
        </w:rPr>
        <w:t>The Firm's efforts to advance racial equity, including its $30 billion commitment</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E7E7E8"/>
              <w:left w:val="single" w:sz="8" w:color="E7E7E8"/>
              <w:right w:val="single" w:sz="8" w:color="E7E7E8"/>
            </w:tcBorders>
          </w:tcPr>
          <w:p>
            <w:pPr>
              <w:ind w:left="500"/>
              <w:spacing w:after="0"/>
              <w:rPr>
                <w:sz w:val="20"/>
                <w:szCs w:val="20"/>
                <w:color w:val="auto"/>
              </w:rPr>
            </w:pPr>
            <w:r>
              <w:rPr>
                <w:rFonts w:ascii="Arial" w:cs="Arial" w:eastAsia="Arial" w:hAnsi="Arial"/>
                <w:sz w:val="16"/>
                <w:szCs w:val="16"/>
                <w:color w:val="58585A"/>
              </w:rPr>
              <w:t>Director nominees</w:t>
            </w:r>
          </w:p>
        </w:tc>
        <w:tc>
          <w:tcPr>
            <w:tcW w:w="660" w:type="dxa"/>
            <w:vAlign w:val="bottom"/>
            <w:tcBorders>
              <w:right w:val="single" w:sz="8" w:color="E7E7E8"/>
            </w:tcBorders>
          </w:tcPr>
          <w:p>
            <w:pPr>
              <w:spacing w:after="0"/>
              <w:rPr>
                <w:sz w:val="22"/>
                <w:szCs w:val="22"/>
                <w:color w:val="auto"/>
              </w:rPr>
            </w:pPr>
          </w:p>
        </w:tc>
        <w:tc>
          <w:tcPr>
            <w:tcW w:w="2320" w:type="dxa"/>
            <w:vAlign w:val="bottom"/>
            <w:tcBorders>
              <w:top w:val="single" w:sz="8" w:color="E7E7E8"/>
              <w:right w:val="single" w:sz="8" w:color="E7E7E8"/>
            </w:tcBorders>
          </w:tcPr>
          <w:p>
            <w:pPr>
              <w:ind w:left="480"/>
              <w:spacing w:after="0"/>
              <w:rPr>
                <w:sz w:val="20"/>
                <w:szCs w:val="20"/>
                <w:color w:val="auto"/>
              </w:rPr>
            </w:pPr>
            <w:r>
              <w:rPr>
                <w:rFonts w:ascii="Arial" w:cs="Arial" w:eastAsia="Arial" w:hAnsi="Arial"/>
                <w:sz w:val="16"/>
                <w:szCs w:val="16"/>
                <w:color w:val="58585A"/>
              </w:rPr>
              <w:t>Board governance</w:t>
            </w:r>
          </w:p>
        </w:tc>
        <w:tc>
          <w:tcPr>
            <w:tcW w:w="640" w:type="dxa"/>
            <w:vAlign w:val="bottom"/>
            <w:tcBorders>
              <w:right w:val="single" w:sz="8" w:color="E7E7E8"/>
            </w:tcBorders>
          </w:tcPr>
          <w:p>
            <w:pPr>
              <w:spacing w:after="0"/>
              <w:rPr>
                <w:sz w:val="22"/>
                <w:szCs w:val="22"/>
                <w:color w:val="auto"/>
              </w:rPr>
            </w:pPr>
          </w:p>
        </w:tc>
        <w:tc>
          <w:tcPr>
            <w:tcW w:w="2340" w:type="dxa"/>
            <w:vAlign w:val="bottom"/>
            <w:tcBorders>
              <w:top w:val="single" w:sz="8" w:color="E7E7E8"/>
              <w:right w:val="single" w:sz="8" w:color="E7E7E8"/>
            </w:tcBorders>
          </w:tcPr>
          <w:p>
            <w:pPr>
              <w:ind w:left="580"/>
              <w:spacing w:after="0"/>
              <w:rPr>
                <w:sz w:val="20"/>
                <w:szCs w:val="20"/>
                <w:color w:val="auto"/>
              </w:rPr>
            </w:pPr>
            <w:r>
              <w:rPr>
                <w:rFonts w:ascii="Arial" w:cs="Arial" w:eastAsia="Arial" w:hAnsi="Arial"/>
                <w:sz w:val="16"/>
                <w:szCs w:val="16"/>
                <w:color w:val="58585A"/>
              </w:rPr>
              <w:t>Board oversight</w:t>
            </w:r>
          </w:p>
        </w:tc>
        <w:tc>
          <w:tcPr>
            <w:tcW w:w="620" w:type="dxa"/>
            <w:vAlign w:val="bottom"/>
          </w:tcPr>
          <w:p>
            <w:pPr>
              <w:spacing w:after="0"/>
              <w:rPr>
                <w:sz w:val="22"/>
                <w:szCs w:val="22"/>
                <w:color w:val="auto"/>
              </w:rPr>
            </w:pPr>
          </w:p>
        </w:tc>
        <w:tc>
          <w:tcPr>
            <w:tcW w:w="2360" w:type="dxa"/>
            <w:vAlign w:val="bottom"/>
            <w:tcBorders>
              <w:top w:val="single" w:sz="8" w:color="E7E7E8"/>
            </w:tcBorders>
            <w:shd w:val="clear" w:color="auto" w:fill="E7E7E8"/>
          </w:tcPr>
          <w:p>
            <w:pPr>
              <w:ind w:left="500"/>
              <w:spacing w:after="0"/>
              <w:rPr>
                <w:sz w:val="20"/>
                <w:szCs w:val="20"/>
                <w:color w:val="auto"/>
              </w:rPr>
            </w:pPr>
            <w:r>
              <w:rPr>
                <w:rFonts w:ascii="Arial" w:cs="Arial" w:eastAsia="Arial" w:hAnsi="Arial"/>
                <w:sz w:val="16"/>
                <w:szCs w:val="16"/>
                <w:color w:val="074A75"/>
              </w:rPr>
              <w:t>Board engagement</w:t>
            </w:r>
          </w:p>
        </w:tc>
      </w:tr>
      <w:tr>
        <w:trPr>
          <w:trHeight w:val="60"/>
        </w:trPr>
        <w:tc>
          <w:tcPr>
            <w:tcW w:w="2320" w:type="dxa"/>
            <w:vAlign w:val="bottom"/>
            <w:tcBorders>
              <w:left w:val="single" w:sz="8" w:color="E7E7E8"/>
              <w:bottom w:val="single" w:sz="8" w:color="E7E7E8"/>
              <w:right w:val="single" w:sz="8" w:color="E7E7E8"/>
            </w:tcBorders>
          </w:tcPr>
          <w:p>
            <w:pPr>
              <w:spacing w:after="0"/>
              <w:rPr>
                <w:sz w:val="5"/>
                <w:szCs w:val="5"/>
                <w:color w:val="auto"/>
              </w:rPr>
            </w:pPr>
          </w:p>
        </w:tc>
        <w:tc>
          <w:tcPr>
            <w:tcW w:w="660" w:type="dxa"/>
            <w:vAlign w:val="bottom"/>
            <w:tcBorders>
              <w:right w:val="single" w:sz="8" w:color="E7E7E8"/>
            </w:tcBorders>
          </w:tcPr>
          <w:p>
            <w:pPr>
              <w:spacing w:after="0"/>
              <w:rPr>
                <w:sz w:val="5"/>
                <w:szCs w:val="5"/>
                <w:color w:val="auto"/>
              </w:rPr>
            </w:pPr>
          </w:p>
        </w:tc>
        <w:tc>
          <w:tcPr>
            <w:tcW w:w="2320" w:type="dxa"/>
            <w:vAlign w:val="bottom"/>
            <w:tcBorders>
              <w:bottom w:val="single" w:sz="8" w:color="E7E7E8"/>
              <w:right w:val="single" w:sz="8" w:color="E7E7E8"/>
            </w:tcBorders>
          </w:tcPr>
          <w:p>
            <w:pPr>
              <w:spacing w:after="0"/>
              <w:rPr>
                <w:sz w:val="5"/>
                <w:szCs w:val="5"/>
                <w:color w:val="auto"/>
              </w:rPr>
            </w:pPr>
          </w:p>
        </w:tc>
        <w:tc>
          <w:tcPr>
            <w:tcW w:w="640" w:type="dxa"/>
            <w:vAlign w:val="bottom"/>
            <w:tcBorders>
              <w:right w:val="single" w:sz="8" w:color="E7E7E8"/>
            </w:tcBorders>
          </w:tcPr>
          <w:p>
            <w:pPr>
              <w:spacing w:after="0"/>
              <w:rPr>
                <w:sz w:val="5"/>
                <w:szCs w:val="5"/>
                <w:color w:val="auto"/>
              </w:rPr>
            </w:pPr>
          </w:p>
        </w:tc>
        <w:tc>
          <w:tcPr>
            <w:tcW w:w="2340" w:type="dxa"/>
            <w:vAlign w:val="bottom"/>
            <w:tcBorders>
              <w:bottom w:val="single" w:sz="8" w:color="E7E7E8"/>
              <w:right w:val="single" w:sz="8" w:color="E7E7E8"/>
            </w:tcBorders>
          </w:tcPr>
          <w:p>
            <w:pPr>
              <w:spacing w:after="0"/>
              <w:rPr>
                <w:sz w:val="5"/>
                <w:szCs w:val="5"/>
                <w:color w:val="auto"/>
              </w:rPr>
            </w:pPr>
          </w:p>
        </w:tc>
        <w:tc>
          <w:tcPr>
            <w:tcW w:w="620" w:type="dxa"/>
            <w:vAlign w:val="bottom"/>
          </w:tcPr>
          <w:p>
            <w:pPr>
              <w:spacing w:after="0"/>
              <w:rPr>
                <w:sz w:val="5"/>
                <w:szCs w:val="5"/>
                <w:color w:val="auto"/>
              </w:rPr>
            </w:pPr>
          </w:p>
        </w:tc>
        <w:tc>
          <w:tcPr>
            <w:tcW w:w="236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-213360</wp:posOffset>
            </wp:positionV>
            <wp:extent cx="76835"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wp:posOffset>
            </wp:positionV>
            <wp:extent cx="77470" cy="146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wp:posOffset>
            </wp:positionV>
            <wp:extent cx="76835" cy="146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29"/>
          <w:szCs w:val="29"/>
          <w:color w:val="074A75"/>
        </w:rPr>
        <w:t>Employees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is committed to maintaining a strong corporate culture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based on our core values of respect, integrity and inclusion,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instills and enhances a sense of personal accountability on the part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all of the Firm’s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discussions at Board meetings with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about these efforts, our directors participate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with employees to emphasize this commitment.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include employee town halls, lines of business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leadership team events, annual senior leaders’ meetings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informal sessions with members of the OC and other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leaders.</w:t>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color w:val="074A75"/>
        </w:rPr>
        <w:t>Regulators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and senior leaders commit significant time to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regulators. These interactions help us learn first-hand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regulators about matters of importance to them and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of us. It also gives the Board and management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forum for keeping our regulators well-informed about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 and business practices.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074A75"/>
        </w:rPr>
        <w:t>Stakeholders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share a fundamental commitment to all of our stakeholders,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including our customers, suppliers and communities in which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 As we strive to deliver value, management engages with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stakeholders on a range of issues in a variety of ways. These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participation in consumer advisory panels, town halls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with policy advocacy groups and nonprofit organizations.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actively seek feedback on key topics to help us better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understand what is important to our stakeholders and find ways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deliver value while also navigating financial, legal and regulatory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considerations. In recent years, we have engaged in extensive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stakeholder outreach pertaining to, among other topics, human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management including diversity, equity and inclusion,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 change risk and ESG-related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shares insights and feedback from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relationships and engagements with the Board, providing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valuable insights. Board members are also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opportunities to engage with stakeholders through client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town halls, business resource groups ("BRG"), and shareholder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31  </w:t>
      </w:r>
      <w:r>
        <w:rPr>
          <w:sz w:val="1"/>
          <w:szCs w:val="1"/>
          <w:color w:val="auto"/>
        </w:rPr>
        <w:drawing>
          <wp:inline distT="0" distB="0" distL="0" distR="0">
            <wp:extent cx="2203450" cy="15430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DIRECTOR COMPENSATION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43"/>
          <w:szCs w:val="43"/>
          <w:color w:val="074A75"/>
        </w:rPr>
        <w:t>Director compensation</w:t>
      </w:r>
    </w:p>
    <w:p>
      <w:pPr>
        <w:spacing w:after="0" w:line="11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same group of peer firms referenced with respect to the compensation of our NEOs. For more information see “Evaluating market practices” on page 45.</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believes a best practice is to link director compensation to the Firm’s performance; therefore, a significant portion of director compensation is paid in common stock.</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year we are also seeking shareholder approval of a proposed new Amended and Restated Long-Term Incentive Plan (“LTIP”), which includes our non-employee director compensation plan. The Firm's current LTIP, which was approved by the shareholders in 2018, also included non-employee director compensation. There has been no increase in non-employee director compensation since 2017. For additional information on the proposed new LTIP, see page 84.</w:t>
      </w: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color w:val="074A75"/>
        </w:rPr>
        <w:t>Annual compensation</w:t>
      </w:r>
    </w:p>
    <w:p>
      <w:pPr>
        <w:spacing w:after="0" w:line="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each calendar year of service on the Board, each non-employee director receives an annual cash retainer of $100,000 and if the non-employee director is on the board at the time when annual performance year equity awards are granted, an annual grant of deferred stock units valued at $250,000. Compensation paid during 2020, including additional cash compensation paid for certain committee and other service, is described in the following tables.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table summarizes the 2020 annual compensation for non-employee directors for service on the Boards of the Firm, the Bank and J.P. Morgan Securities plc. There is no additional compensation paid for service on the Board of IHC.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074A75"/>
              </w:rPr>
              <w:t>Compensation</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b w:val="1"/>
                <w:bCs w:val="1"/>
                <w:color w:val="074A75"/>
              </w:rPr>
              <w:t>Amount ($)</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100,000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Lead Independent Director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Audit and Risk Committee member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6"/>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All other committees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Deferred stock unit grant</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Bank Board’s chair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25,000</w:t>
            </w:r>
          </w:p>
        </w:tc>
      </w:tr>
      <w:tr>
        <w:trPr>
          <w:trHeight w:val="236"/>
        </w:trPr>
        <w:tc>
          <w:tcPr>
            <w:tcW w:w="412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color w:val="auto"/>
              </w:rPr>
              <w:t>J.P. Morgan Securities plc Board retainer</w:t>
            </w:r>
          </w:p>
        </w:tc>
        <w:tc>
          <w:tcPr>
            <w:tcW w:w="12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110,000</w:t>
            </w:r>
          </w:p>
        </w:tc>
      </w:tr>
    </w:tbl>
    <w:p>
      <w:pPr>
        <w:spacing w:after="0" w:line="1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“2020 Director compensation table” on the next page.</w:t>
      </w:r>
    </w:p>
    <w:p>
      <w:pPr>
        <w:spacing w:after="0" w:line="3469"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74A75"/>
        </w:rPr>
        <w:t>2020 Director compensation table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for each non-employee director in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660" w:type="dxa"/>
            <w:vAlign w:val="bottom"/>
            <w:gridSpan w:val="2"/>
            <w:vMerge w:val="restart"/>
          </w:tcPr>
          <w:p>
            <w:pPr>
              <w:jc w:val="right"/>
              <w:ind w:right="199"/>
              <w:spacing w:after="0"/>
              <w:rPr>
                <w:sz w:val="20"/>
                <w:szCs w:val="20"/>
                <w:color w:val="auto"/>
              </w:rPr>
            </w:pPr>
            <w:r>
              <w:rPr>
                <w:rFonts w:ascii="Arial" w:cs="Arial" w:eastAsia="Arial" w:hAnsi="Arial"/>
                <w:sz w:val="16"/>
                <w:szCs w:val="16"/>
                <w:b w:val="1"/>
                <w:bCs w:val="1"/>
                <w:color w:val="074A75"/>
              </w:rPr>
              <w:t>Fees earned or</w:t>
            </w:r>
          </w:p>
        </w:tc>
        <w:tc>
          <w:tcPr>
            <w:tcW w:w="1460" w:type="dxa"/>
            <w:vAlign w:val="bottom"/>
          </w:tcPr>
          <w:p>
            <w:pPr>
              <w:spacing w:after="0"/>
              <w:rPr>
                <w:sz w:val="16"/>
                <w:szCs w:val="16"/>
                <w:color w:val="auto"/>
              </w:rPr>
            </w:pPr>
          </w:p>
        </w:tc>
        <w:tc>
          <w:tcPr>
            <w:tcW w:w="1140" w:type="dxa"/>
            <w:vAlign w:val="bottom"/>
          </w:tcPr>
          <w:p>
            <w:pPr>
              <w:jc w:val="center"/>
              <w:ind w:left="480"/>
              <w:spacing w:after="0"/>
              <w:rPr>
                <w:sz w:val="20"/>
                <w:szCs w:val="20"/>
                <w:color w:val="auto"/>
              </w:rPr>
            </w:pPr>
            <w:r>
              <w:rPr>
                <w:rFonts w:ascii="Arial" w:cs="Arial" w:eastAsia="Arial" w:hAnsi="Arial"/>
                <w:sz w:val="16"/>
                <w:szCs w:val="16"/>
                <w:b w:val="1"/>
                <w:bCs w:val="1"/>
                <w:color w:val="074A75"/>
                <w:w w:val="98"/>
              </w:rPr>
              <w:t>Other</w:t>
            </w: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4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074A75"/>
              </w:rPr>
              <w:t>2020 Stock</w:t>
            </w:r>
          </w:p>
        </w:tc>
        <w:tc>
          <w:tcPr>
            <w:tcW w:w="1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74A75"/>
              </w:rPr>
              <w:t>fees earned or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280" w:type="dxa"/>
            <w:vAlign w:val="bottom"/>
            <w:vMerge w:val="restart"/>
          </w:tcPr>
          <w:p>
            <w:pPr>
              <w:ind w:left="20"/>
              <w:spacing w:after="0"/>
              <w:rPr>
                <w:sz w:val="20"/>
                <w:szCs w:val="20"/>
                <w:color w:val="auto"/>
              </w:rPr>
            </w:pPr>
            <w:r>
              <w:rPr>
                <w:rFonts w:ascii="Arial" w:cs="Arial" w:eastAsia="Arial" w:hAnsi="Arial"/>
                <w:sz w:val="16"/>
                <w:szCs w:val="16"/>
                <w:b w:val="1"/>
                <w:bCs w:val="1"/>
                <w:color w:val="074A75"/>
              </w:rPr>
              <w:t>Director</w:t>
            </w:r>
          </w:p>
        </w:tc>
        <w:tc>
          <w:tcPr>
            <w:tcW w:w="1660" w:type="dxa"/>
            <w:vAlign w:val="bottom"/>
            <w:gridSpan w:val="2"/>
          </w:tcPr>
          <w:p>
            <w:pPr>
              <w:jc w:val="right"/>
              <w:ind w:right="159"/>
              <w:spacing w:after="0" w:line="167" w:lineRule="exact"/>
              <w:rPr>
                <w:sz w:val="20"/>
                <w:szCs w:val="20"/>
                <w:color w:val="auto"/>
              </w:rPr>
            </w:pPr>
            <w:r>
              <w:rPr>
                <w:rFonts w:ascii="Arial" w:cs="Arial" w:eastAsia="Arial" w:hAnsi="Arial"/>
                <w:sz w:val="15"/>
                <w:szCs w:val="15"/>
                <w:b w:val="1"/>
                <w:bCs w:val="1"/>
                <w:color w:val="074A75"/>
              </w:rPr>
              <w:t>paid in cash ($)</w:t>
            </w:r>
            <w:r>
              <w:rPr>
                <w:rFonts w:ascii="Arial" w:cs="Arial" w:eastAsia="Arial" w:hAnsi="Arial"/>
                <w:sz w:val="19"/>
                <w:szCs w:val="19"/>
                <w:b w:val="1"/>
                <w:bCs w:val="1"/>
                <w:color w:val="074A75"/>
                <w:vertAlign w:val="superscript"/>
              </w:rPr>
              <w:t>1</w:t>
            </w:r>
          </w:p>
        </w:tc>
        <w:tc>
          <w:tcPr>
            <w:tcW w:w="14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74A75"/>
              </w:rPr>
              <w:t>Total ($)</w:t>
            </w:r>
          </w:p>
        </w:tc>
        <w:tc>
          <w:tcPr>
            <w:tcW w:w="0" w:type="dxa"/>
            <w:vAlign w:val="bottom"/>
          </w:tcPr>
          <w:p>
            <w:pPr>
              <w:spacing w:after="0"/>
              <w:rPr>
                <w:sz w:val="1"/>
                <w:szCs w:val="1"/>
                <w:color w:val="auto"/>
              </w:rPr>
            </w:pPr>
          </w:p>
        </w:tc>
      </w:tr>
      <w:tr>
        <w:trPr>
          <w:trHeight w:val="175"/>
        </w:trPr>
        <w:tc>
          <w:tcPr>
            <w:tcW w:w="5280" w:type="dxa"/>
            <w:vAlign w:val="bottom"/>
            <w:tcBorders>
              <w:bottom w:val="single" w:sz="8" w:color="454545"/>
            </w:tcBorders>
            <w:vMerge w:val="continue"/>
          </w:tcPr>
          <w:p>
            <w:pPr>
              <w:spacing w:after="0"/>
              <w:rPr>
                <w:sz w:val="15"/>
                <w:szCs w:val="15"/>
                <w:color w:val="auto"/>
              </w:rPr>
            </w:pPr>
          </w:p>
        </w:tc>
        <w:tc>
          <w:tcPr>
            <w:tcW w:w="820" w:type="dxa"/>
            <w:vAlign w:val="bottom"/>
            <w:tcBorders>
              <w:bottom w:val="single" w:sz="8" w:color="454545"/>
            </w:tcBorders>
          </w:tcPr>
          <w:p>
            <w:pPr>
              <w:spacing w:after="0"/>
              <w:rPr>
                <w:sz w:val="15"/>
                <w:szCs w:val="15"/>
                <w:color w:val="auto"/>
              </w:rPr>
            </w:pPr>
          </w:p>
        </w:tc>
        <w:tc>
          <w:tcPr>
            <w:tcW w:w="840" w:type="dxa"/>
            <w:vAlign w:val="bottom"/>
            <w:tcBorders>
              <w:bottom w:val="single" w:sz="8" w:color="454545"/>
            </w:tcBorders>
          </w:tcPr>
          <w:p>
            <w:pPr>
              <w:spacing w:after="0"/>
              <w:rPr>
                <w:sz w:val="15"/>
                <w:szCs w:val="15"/>
                <w:color w:val="auto"/>
              </w:rPr>
            </w:pPr>
          </w:p>
        </w:tc>
        <w:tc>
          <w:tcPr>
            <w:tcW w:w="1460" w:type="dxa"/>
            <w:vAlign w:val="bottom"/>
            <w:tcBorders>
              <w:bottom w:val="single" w:sz="8" w:color="454545"/>
            </w:tcBorders>
          </w:tcPr>
          <w:p>
            <w:pPr>
              <w:jc w:val="right"/>
              <w:ind w:right="279"/>
              <w:spacing w:after="0" w:line="176" w:lineRule="exact"/>
              <w:rPr>
                <w:sz w:val="20"/>
                <w:szCs w:val="20"/>
                <w:color w:val="auto"/>
              </w:rPr>
            </w:pPr>
            <w:r>
              <w:rPr>
                <w:rFonts w:ascii="Arial" w:cs="Arial" w:eastAsia="Arial" w:hAnsi="Arial"/>
                <w:sz w:val="15"/>
                <w:szCs w:val="15"/>
                <w:b w:val="1"/>
                <w:bCs w:val="1"/>
                <w:color w:val="074A75"/>
              </w:rPr>
              <w:t>award ($)</w:t>
            </w:r>
            <w:r>
              <w:rPr>
                <w:rFonts w:ascii="Arial" w:cs="Arial" w:eastAsia="Arial" w:hAnsi="Arial"/>
                <w:sz w:val="20"/>
                <w:szCs w:val="20"/>
                <w:b w:val="1"/>
                <w:bCs w:val="1"/>
                <w:color w:val="074A75"/>
                <w:vertAlign w:val="superscript"/>
              </w:rPr>
              <w:t>2</w:t>
            </w:r>
          </w:p>
        </w:tc>
        <w:tc>
          <w:tcPr>
            <w:tcW w:w="1740" w:type="dxa"/>
            <w:vAlign w:val="bottom"/>
            <w:tcBorders>
              <w:bottom w:val="single" w:sz="8" w:color="454545"/>
            </w:tcBorders>
            <w:gridSpan w:val="2"/>
          </w:tcPr>
          <w:p>
            <w:pPr>
              <w:jc w:val="center"/>
              <w:spacing w:after="0" w:line="176" w:lineRule="exact"/>
              <w:rPr>
                <w:sz w:val="20"/>
                <w:szCs w:val="20"/>
                <w:color w:val="auto"/>
              </w:rPr>
            </w:pPr>
            <w:r>
              <w:rPr>
                <w:rFonts w:ascii="Arial" w:cs="Arial" w:eastAsia="Arial" w:hAnsi="Arial"/>
                <w:sz w:val="15"/>
                <w:szCs w:val="15"/>
                <w:b w:val="1"/>
                <w:bCs w:val="1"/>
                <w:color w:val="074A75"/>
              </w:rPr>
              <w:t>paid in cash ($)</w:t>
            </w:r>
            <w:r>
              <w:rPr>
                <w:rFonts w:ascii="Arial" w:cs="Arial" w:eastAsia="Arial" w:hAnsi="Arial"/>
                <w:sz w:val="20"/>
                <w:szCs w:val="20"/>
                <w:b w:val="1"/>
                <w:bCs w:val="1"/>
                <w:color w:val="074A75"/>
                <w:vertAlign w:val="superscript"/>
              </w:rPr>
              <w:t>3</w:t>
            </w:r>
          </w:p>
        </w:tc>
        <w:tc>
          <w:tcPr>
            <w:tcW w:w="1100" w:type="dxa"/>
            <w:vAlign w:val="bottom"/>
            <w:tcBorders>
              <w:bottom w:val="single" w:sz="8" w:color="45454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820" w:type="dxa"/>
            <w:vAlign w:val="bottom"/>
            <w:tcBorders>
              <w:bottom w:val="single" w:sz="8" w:color="454545"/>
            </w:tcBorders>
          </w:tcPr>
          <w:p>
            <w:pPr>
              <w:jc w:val="right"/>
              <w:ind w:right="14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140,000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   250,000</w:t>
            </w:r>
          </w:p>
        </w:tc>
        <w:tc>
          <w:tcPr>
            <w:tcW w:w="1140" w:type="dxa"/>
            <w:vAlign w:val="bottom"/>
            <w:tcBorders>
              <w:bottom w:val="single" w:sz="8" w:color="454545"/>
            </w:tcBorders>
          </w:tcPr>
          <w:p>
            <w:pPr>
              <w:jc w:val="center"/>
              <w:ind w:left="4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405,000</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A. Bell</w:t>
            </w:r>
            <w:r>
              <w:rPr>
                <w:rFonts w:ascii="Arial" w:cs="Arial" w:eastAsia="Arial" w:hAnsi="Arial"/>
                <w:sz w:val="21"/>
                <w:szCs w:val="21"/>
                <w:color w:val="auto"/>
                <w:vertAlign w:val="superscript"/>
              </w:rPr>
              <w:t>4</w:t>
            </w:r>
          </w:p>
        </w:tc>
        <w:tc>
          <w:tcPr>
            <w:tcW w:w="820" w:type="dxa"/>
            <w:vAlign w:val="bottom"/>
            <w:tcBorders>
              <w:bottom w:val="single" w:sz="8" w:color="454545"/>
            </w:tcBorders>
          </w:tcPr>
          <w:p>
            <w:pPr>
              <w:spacing w:after="0"/>
              <w:rPr>
                <w:sz w:val="21"/>
                <w:szCs w:val="21"/>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53,461</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1"/>
                <w:szCs w:val="21"/>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15,396</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318,857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77,500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442,500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109,272</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374,272</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124,272</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389,272</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136,181</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78,462</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464,643</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52,500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417,500</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Laban P. Jackson, Jr.</w:t>
            </w:r>
            <w:r>
              <w:rPr>
                <w:rFonts w:ascii="Arial" w:cs="Arial" w:eastAsia="Arial" w:hAnsi="Arial"/>
                <w:sz w:val="21"/>
                <w:szCs w:val="21"/>
                <w:color w:val="auto"/>
                <w:vertAlign w:val="superscript"/>
              </w:rPr>
              <w:t>5</w:t>
            </w:r>
          </w:p>
        </w:tc>
        <w:tc>
          <w:tcPr>
            <w:tcW w:w="820" w:type="dxa"/>
            <w:vAlign w:val="bottom"/>
            <w:tcBorders>
              <w:bottom w:val="single" w:sz="8" w:color="454545"/>
            </w:tcBorders>
          </w:tcPr>
          <w:p>
            <w:pPr>
              <w:spacing w:after="0"/>
              <w:rPr>
                <w:sz w:val="21"/>
                <w:szCs w:val="21"/>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43,915</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1"/>
                <w:szCs w:val="21"/>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81,950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375,865</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115,000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6,793</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1,019</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7,812</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Lee R. Raymond</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145,000</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250,000</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52,500</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447,500</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820" w:type="dxa"/>
            <w:vAlign w:val="bottom"/>
            <w:tcBorders>
              <w:bottom w:val="single" w:sz="8" w:color="454545"/>
            </w:tcBorders>
          </w:tcPr>
          <w:p>
            <w:pPr>
              <w:spacing w:after="0"/>
              <w:rPr>
                <w:sz w:val="20"/>
                <w:szCs w:val="20"/>
                <w:color w:val="auto"/>
              </w:rPr>
            </w:pPr>
          </w:p>
        </w:tc>
        <w:tc>
          <w:tcPr>
            <w:tcW w:w="8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61,813</w:t>
            </w:r>
          </w:p>
        </w:tc>
        <w:tc>
          <w:tcPr>
            <w:tcW w:w="14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54545"/>
            </w:tcBorders>
          </w:tcPr>
          <w:p>
            <w:pPr>
              <w:spacing w:after="0"/>
              <w:rPr>
                <w:sz w:val="20"/>
                <w:szCs w:val="20"/>
                <w:color w:val="auto"/>
              </w:rPr>
            </w:pPr>
          </w:p>
        </w:tc>
        <w:tc>
          <w:tcPr>
            <w:tcW w:w="6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9,272</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71,085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6"/>
          <w:szCs w:val="16"/>
          <w:color w:val="auto"/>
          <w:vertAlign w:val="superscript"/>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 Chase, see</w:t>
      </w:r>
    </w:p>
    <w:p>
      <w:pPr>
        <w:ind w:left="260"/>
        <w:spacing w:after="0" w:line="237" w:lineRule="auto"/>
        <w:rPr>
          <w:sz w:val="20"/>
          <w:szCs w:val="20"/>
          <w:color w:val="auto"/>
        </w:rPr>
      </w:pPr>
      <w:r>
        <w:rPr>
          <w:rFonts w:ascii="Arial" w:cs="Arial" w:eastAsia="Arial" w:hAnsi="Arial"/>
          <w:sz w:val="13"/>
          <w:szCs w:val="13"/>
          <w:color w:val="auto"/>
        </w:rPr>
        <w:t>“Committees of the Board” on pages 24-26.</w:t>
      </w:r>
    </w:p>
    <w:p>
      <w:pPr>
        <w:spacing w:after="0" w:line="1" w:lineRule="exact"/>
        <w:rPr>
          <w:sz w:val="20"/>
          <w:szCs w:val="20"/>
          <w:color w:val="auto"/>
        </w:rPr>
      </w:pPr>
    </w:p>
    <w:p>
      <w:pPr>
        <w:ind w:left="260" w:right="200" w:hanging="252"/>
        <w:spacing w:after="0" w:line="225" w:lineRule="auto"/>
        <w:tabs>
          <w:tab w:leader="none" w:pos="249" w:val="left"/>
        </w:tabs>
        <w:numPr>
          <w:ilvl w:val="0"/>
          <w:numId w:val="99"/>
        </w:numPr>
        <w:rPr>
          <w:rFonts w:ascii="Arial" w:cs="Arial" w:eastAsia="Arial" w:hAnsi="Arial"/>
          <w:sz w:val="16"/>
          <w:szCs w:val="16"/>
          <w:color w:val="auto"/>
          <w:vertAlign w:val="superscript"/>
        </w:rPr>
      </w:pPr>
      <w:r>
        <w:rPr>
          <w:rFonts w:ascii="Arial" w:cs="Arial" w:eastAsia="Arial" w:hAnsi="Arial"/>
          <w:sz w:val="13"/>
          <w:szCs w:val="13"/>
          <w:color w:val="auto"/>
        </w:rPr>
        <w:t>On January 21, 2020, each non-employee director who was on the board at the time when annual performance year equity awards were granted, received an annual grant of deferred stock units valued at $250,000, based on a grant date fair market value of the Firm’s common stock of $137.38 per share. The aggregate number of stock and option awards outstanding at December 31, 2020, for each current director is included in the “Security ownership of directors and executive officers” table on page 82 under the columns “SARs/Options exercisable within 60 days” and “Additional underlying stock units,” respectively. All such awards are vested.</w:t>
      </w:r>
    </w:p>
    <w:p>
      <w:pPr>
        <w:spacing w:after="0" w:line="1" w:lineRule="exact"/>
        <w:rPr>
          <w:sz w:val="20"/>
          <w:szCs w:val="20"/>
          <w:color w:val="auto"/>
        </w:rPr>
      </w:pPr>
    </w:p>
    <w:p>
      <w:pPr>
        <w:ind w:left="260" w:right="20" w:hanging="252"/>
        <w:spacing w:after="0" w:line="229" w:lineRule="auto"/>
        <w:tabs>
          <w:tab w:leader="none" w:pos="249" w:val="left"/>
        </w:tabs>
        <w:numPr>
          <w:ilvl w:val="0"/>
          <w:numId w:val="100"/>
        </w:numPr>
        <w:rPr>
          <w:rFonts w:ascii="Arial" w:cs="Arial" w:eastAsia="Arial" w:hAnsi="Arial"/>
          <w:sz w:val="15"/>
          <w:szCs w:val="15"/>
          <w:color w:val="auto"/>
          <w:vertAlign w:val="superscript"/>
        </w:rPr>
      </w:pPr>
      <w:r>
        <w:rPr>
          <w:rFonts w:ascii="Arial" w:cs="Arial" w:eastAsia="Arial" w:hAnsi="Arial"/>
          <w:sz w:val="12"/>
          <w:szCs w:val="12"/>
          <w:color w:val="auto"/>
        </w:rPr>
        <w:t>Includes fees paid to the non-employee directors for their service on the Board of Directors of the Bank or who are members of one or more Specific Purpose Committees. A fee of $2,500 is paid for each Specific Purpose Committee meeting attended (with the exception of the Omnibus Committee). Also includes for Mr. Flynn and Mr. Jackson, pro-rated compensation during 2020 in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consideration of their services as directors of J.P. Morgan Securities plc, the Firm’s principal operating subsidiary outside the U.S. and a subsidiary of the Bank, which began on June 3, 2020, for Mr.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Flynn and ended on June 8, 2020, for Mr. Jackson.</w:t>
      </w:r>
    </w:p>
    <w:p>
      <w:pPr>
        <w:spacing w:after="0" w:line="1" w:lineRule="exact"/>
        <w:rPr>
          <w:sz w:val="20"/>
          <w:szCs w:val="20"/>
          <w:color w:val="auto"/>
        </w:rPr>
      </w:pPr>
    </w:p>
    <w:p>
      <w:pPr>
        <w:ind w:left="260" w:right="220" w:hanging="252"/>
        <w:spacing w:after="0" w:line="213" w:lineRule="auto"/>
        <w:tabs>
          <w:tab w:leader="none" w:pos="249" w:val="left"/>
        </w:tabs>
        <w:numPr>
          <w:ilvl w:val="0"/>
          <w:numId w:val="101"/>
        </w:numPr>
        <w:rPr>
          <w:rFonts w:ascii="Arial" w:cs="Arial" w:eastAsia="Arial" w:hAnsi="Arial"/>
          <w:sz w:val="16"/>
          <w:szCs w:val="16"/>
          <w:color w:val="auto"/>
          <w:vertAlign w:val="superscript"/>
        </w:rPr>
      </w:pPr>
      <w:r>
        <w:rPr>
          <w:rFonts w:ascii="Arial" w:cs="Arial" w:eastAsia="Arial" w:hAnsi="Arial"/>
          <w:sz w:val="13"/>
          <w:szCs w:val="13"/>
          <w:color w:val="auto"/>
        </w:rPr>
        <w:t>Mr. Bell retired from the Board in May 2020 on the eve of the 2020 annual meeting. Retainers for Board and committee service were pro-rated. Other fees paid to Mr. Bell include an amount for a commemorative item for his service on the Board and an amount to cover taxes for the item.</w:t>
      </w:r>
    </w:p>
    <w:p>
      <w:pPr>
        <w:spacing w:after="0" w:line="1" w:lineRule="exact"/>
        <w:rPr>
          <w:sz w:val="20"/>
          <w:szCs w:val="20"/>
          <w:color w:val="auto"/>
        </w:rPr>
      </w:pPr>
    </w:p>
    <w:p>
      <w:pPr>
        <w:ind w:left="260" w:right="440" w:hanging="252"/>
        <w:spacing w:after="0" w:line="216" w:lineRule="auto"/>
        <w:tabs>
          <w:tab w:leader="none" w:pos="249" w:val="left"/>
        </w:tabs>
        <w:numPr>
          <w:ilvl w:val="0"/>
          <w:numId w:val="102"/>
        </w:numPr>
        <w:rPr>
          <w:rFonts w:ascii="Arial" w:cs="Arial" w:eastAsia="Arial" w:hAnsi="Arial"/>
          <w:sz w:val="16"/>
          <w:szCs w:val="16"/>
          <w:color w:val="auto"/>
          <w:vertAlign w:val="superscript"/>
        </w:rPr>
      </w:pPr>
      <w:r>
        <w:rPr>
          <w:rFonts w:ascii="Arial" w:cs="Arial" w:eastAsia="Arial" w:hAnsi="Arial"/>
          <w:sz w:val="13"/>
          <w:szCs w:val="13"/>
          <w:color w:val="auto"/>
        </w:rPr>
        <w:t>Mr. Jackson retired from the Board in May 2020 on the eve of the 2020 annual meeting. Retainers for Board and committee service were pro-rated. Other fees paid to Mr. Jackson include an amount for a commemorative item for his service on the Board and an amount to cover taxes for the item.</w:t>
      </w:r>
    </w:p>
    <w:p>
      <w:pPr>
        <w:sectPr>
          <w:pgSz w:w="11900" w:h="16838" w:orient="portrait"/>
          <w:cols w:equalWidth="0" w:num="1">
            <w:col w:w="11240"/>
          </w:cols>
          <w:pgMar w:left="320" w:top="171" w:right="339" w:bottom="1440" w:gutter="0" w:footer="0" w:header="0"/>
        </w:sectPr>
      </w:pPr>
    </w:p>
    <w:p>
      <w:pPr>
        <w:spacing w:after="0" w:line="188" w:lineRule="exact"/>
        <w:rPr>
          <w:sz w:val="20"/>
          <w:szCs w:val="20"/>
          <w:color w:val="auto"/>
        </w:rPr>
      </w:pPr>
    </w:p>
    <w:p>
      <w:pPr>
        <w:ind w:right="340"/>
        <w:spacing w:after="0" w:line="244" w:lineRule="auto"/>
        <w:rPr>
          <w:sz w:val="20"/>
          <w:szCs w:val="20"/>
          <w:color w:val="auto"/>
        </w:rPr>
      </w:pPr>
      <w:r>
        <w:rPr>
          <w:rFonts w:ascii="Arial" w:cs="Arial" w:eastAsia="Arial" w:hAnsi="Arial"/>
          <w:sz w:val="29"/>
          <w:szCs w:val="29"/>
          <w:color w:val="074A75"/>
        </w:rPr>
        <w:t>Stock ownership: no sales, no hedging, no pledging</w:t>
      </w:r>
    </w:p>
    <w:p>
      <w:pPr>
        <w:ind w:right="80"/>
        <w:spacing w:after="0" w:line="237" w:lineRule="auto"/>
        <w:rPr>
          <w:sz w:val="20"/>
          <w:szCs w:val="20"/>
          <w:color w:val="auto"/>
        </w:rPr>
      </w:pPr>
      <w:r>
        <w:rPr>
          <w:rFonts w:ascii="Arial" w:cs="Arial" w:eastAsia="Arial" w:hAnsi="Arial"/>
          <w:sz w:val="18"/>
          <w:szCs w:val="18"/>
          <w:color w:val="auto"/>
        </w:rPr>
        <w:t>As stated in the Governance Principles and further described in “Anti-hedging/anti-pledging provisions” on page 33, each director agrees to retain all shares of the Firm’s common stock he or she purchased on the open market or received pursuant to his or her service as a Board member for as long as he or she serves on our Board.</w:t>
      </w:r>
    </w:p>
    <w:p>
      <w:pPr>
        <w:spacing w:after="0" w:line="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Shares held personally by a director may not be held in margin accounts or otherwise pledged as collateral, nor may the economic risk of such shares be hedged.</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detailed on page 82 under “Security ownership of directors and executive officers,” Mr. Crown has ownership of certain shares attributed to him that arise from the business of Henry Crown and Company, an investment company where Mr. Crown serves as Chairman and CEO, and trusts of which Mr. Crown serves as trustee (the “Attributed Shares”). Mr. Crown disclaims beneficial ownership of such Attributed Shares, except to the extent of his pecuniary interest. The Attributed Shares are distinct from shares Mr. Crown or his spouse own individually, or shares held in trusts for the benefit of his children (the “Crown Personally Held Shares”). The Firm has reviewed the potential pledging of the Attributed Shares with Mr. Crown, recognizes Mr. Crown’s distinct obligations with respect to Henry Crown and Company and the trusts, and believes such Attributed Shares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may be prudently pledged or held in margin loan accounts. Crown Personally Held Shares are not and may not be held in margin accounts or otherwise pledged as collateral, nor may the economic risk of such shares be hedged.</w:t>
      </w:r>
    </w:p>
    <w:p>
      <w:pPr>
        <w:spacing w:after="0" w:line="13" w:lineRule="exact"/>
        <w:rPr>
          <w:sz w:val="20"/>
          <w:szCs w:val="20"/>
          <w:color w:val="auto"/>
        </w:rPr>
      </w:pPr>
    </w:p>
    <w:p>
      <w:pPr>
        <w:spacing w:after="0"/>
        <w:rPr>
          <w:sz w:val="20"/>
          <w:szCs w:val="20"/>
          <w:color w:val="auto"/>
        </w:rPr>
      </w:pPr>
      <w:r>
        <w:rPr>
          <w:rFonts w:ascii="Arial" w:cs="Arial" w:eastAsia="Arial" w:hAnsi="Arial"/>
          <w:sz w:val="29"/>
          <w:szCs w:val="29"/>
          <w:color w:val="074A75"/>
        </w:rPr>
        <w:t>Deferred compensation</w:t>
      </w:r>
    </w:p>
    <w:p>
      <w:pPr>
        <w:spacing w:after="0" w:line="7"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Each year, non-employee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 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52" w:lineRule="exact"/>
        <w:rPr>
          <w:sz w:val="20"/>
          <w:szCs w:val="20"/>
          <w:color w:val="auto"/>
        </w:rPr>
      </w:pPr>
    </w:p>
    <w:p>
      <w:pPr>
        <w:spacing w:after="0"/>
        <w:rPr>
          <w:sz w:val="20"/>
          <w:szCs w:val="20"/>
          <w:color w:val="auto"/>
        </w:rPr>
      </w:pPr>
      <w:r>
        <w:rPr>
          <w:rFonts w:ascii="Arial" w:cs="Arial" w:eastAsia="Arial" w:hAnsi="Arial"/>
          <w:sz w:val="29"/>
          <w:szCs w:val="29"/>
          <w:color w:val="074A75"/>
        </w:rPr>
        <w:t>Reimbursements and insurance</w:t>
      </w:r>
    </w:p>
    <w:p>
      <w:pPr>
        <w:spacing w:after="0" w:line="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488950</wp:posOffset>
            </wp:positionV>
            <wp:extent cx="274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5360" w:space="380"/>
            <w:col w:w="5500"/>
          </w:cols>
          <w:pgMar w:left="320" w:top="171" w:right="33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33  </w:t>
      </w:r>
      <w:r>
        <w:rPr>
          <w:sz w:val="1"/>
          <w:szCs w:val="1"/>
          <w:color w:val="auto"/>
        </w:rPr>
        <w:drawing>
          <wp:inline distT="0" distB="0" distL="0" distR="0">
            <wp:extent cx="2203450" cy="15430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3880"/>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Other corporate governance policies and practices</w:t>
      </w:r>
    </w:p>
    <w:p>
      <w:pPr>
        <w:sectPr>
          <w:pgSz w:w="11900" w:h="16838" w:orient="portrait"/>
          <w:cols w:equalWidth="0" w:num="1">
            <w:col w:w="11220"/>
          </w:cols>
          <w:pgMar w:left="320" w:top="171" w:right="35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074A75"/>
        </w:rPr>
        <w:t>Shareholder rights</w:t>
      </w:r>
    </w:p>
    <w:p>
      <w:pPr>
        <w:spacing w:after="0" w:line="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90" w:lineRule="exact"/>
        <w:rPr>
          <w:sz w:val="20"/>
          <w:szCs w:val="20"/>
          <w:color w:val="auto"/>
        </w:rPr>
      </w:pPr>
    </w:p>
    <w:p>
      <w:pPr>
        <w:ind w:left="200" w:right="180" w:hanging="192"/>
        <w:spacing w:after="0" w:line="273" w:lineRule="auto"/>
        <w:tabs>
          <w:tab w:leader="none" w:pos="204" w:val="left"/>
        </w:tabs>
        <w:numPr>
          <w:ilvl w:val="0"/>
          <w:numId w:val="103"/>
        </w:numPr>
        <w:rPr>
          <w:rFonts w:ascii="Arial" w:cs="Arial" w:eastAsia="Arial" w:hAnsi="Arial"/>
          <w:sz w:val="17"/>
          <w:szCs w:val="17"/>
          <w:color w:val="074A75"/>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112, “Shareholder proposals and nominations for the 2022 annual meeting.”</w:t>
      </w:r>
    </w:p>
    <w:p>
      <w:pPr>
        <w:spacing w:after="0" w:line="42" w:lineRule="exact"/>
        <w:rPr>
          <w:rFonts w:ascii="Arial" w:cs="Arial" w:eastAsia="Arial" w:hAnsi="Arial"/>
          <w:sz w:val="17"/>
          <w:szCs w:val="17"/>
          <w:color w:val="074A75"/>
        </w:rPr>
      </w:pPr>
    </w:p>
    <w:p>
      <w:pPr>
        <w:ind w:left="200" w:right="40" w:hanging="192"/>
        <w:spacing w:after="0" w:line="256" w:lineRule="auto"/>
        <w:tabs>
          <w:tab w:leader="none" w:pos="204" w:val="left"/>
        </w:tabs>
        <w:numPr>
          <w:ilvl w:val="0"/>
          <w:numId w:val="103"/>
        </w:numPr>
        <w:rPr>
          <w:rFonts w:ascii="Arial" w:cs="Arial" w:eastAsia="Arial" w:hAnsi="Arial"/>
          <w:sz w:val="18"/>
          <w:szCs w:val="18"/>
          <w:color w:val="074A75"/>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66" w:lineRule="exact"/>
        <w:rPr>
          <w:rFonts w:ascii="Arial" w:cs="Arial" w:eastAsia="Arial" w:hAnsi="Arial"/>
          <w:sz w:val="18"/>
          <w:szCs w:val="18"/>
          <w:color w:val="074A75"/>
        </w:rPr>
      </w:pPr>
    </w:p>
    <w:p>
      <w:pPr>
        <w:ind w:left="200" w:right="20" w:hanging="192"/>
        <w:spacing w:after="0" w:line="253" w:lineRule="auto"/>
        <w:tabs>
          <w:tab w:leader="none" w:pos="204" w:val="left"/>
        </w:tabs>
        <w:numPr>
          <w:ilvl w:val="0"/>
          <w:numId w:val="103"/>
        </w:numPr>
        <w:rPr>
          <w:rFonts w:ascii="Arial" w:cs="Arial" w:eastAsia="Arial" w:hAnsi="Arial"/>
          <w:sz w:val="18"/>
          <w:szCs w:val="18"/>
          <w:color w:val="074A75"/>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56" w:lineRule="exact"/>
        <w:rPr>
          <w:rFonts w:ascii="Arial" w:cs="Arial" w:eastAsia="Arial" w:hAnsi="Arial"/>
          <w:sz w:val="18"/>
          <w:szCs w:val="18"/>
          <w:color w:val="074A75"/>
        </w:rPr>
      </w:pPr>
    </w:p>
    <w:p>
      <w:pPr>
        <w:ind w:left="200" w:hanging="192"/>
        <w:spacing w:after="0"/>
        <w:tabs>
          <w:tab w:leader="none" w:pos="200" w:val="left"/>
        </w:tabs>
        <w:numPr>
          <w:ilvl w:val="0"/>
          <w:numId w:val="103"/>
        </w:numPr>
        <w:rPr>
          <w:rFonts w:ascii="Arial" w:cs="Arial" w:eastAsia="Arial" w:hAnsi="Arial"/>
          <w:sz w:val="18"/>
          <w:szCs w:val="18"/>
          <w:color w:val="074A75"/>
        </w:rPr>
      </w:pPr>
      <w:r>
        <w:rPr>
          <w:rFonts w:ascii="Arial" w:cs="Arial" w:eastAsia="Arial" w:hAnsi="Arial"/>
          <w:sz w:val="18"/>
          <w:szCs w:val="18"/>
          <w:color w:val="auto"/>
        </w:rPr>
        <w:t>Majority election of directors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03"/>
        </w:numPr>
        <w:rPr>
          <w:rFonts w:ascii="Arial" w:cs="Arial" w:eastAsia="Arial" w:hAnsi="Arial"/>
          <w:sz w:val="18"/>
          <w:szCs w:val="18"/>
          <w:color w:val="074A75"/>
        </w:rPr>
      </w:pPr>
      <w:r>
        <w:rPr>
          <w:rFonts w:ascii="Arial" w:cs="Arial" w:eastAsia="Arial" w:hAnsi="Arial"/>
          <w:sz w:val="18"/>
          <w:szCs w:val="18"/>
          <w:color w:val="auto"/>
        </w:rPr>
        <w:t>No “poison pill” in effect</w:t>
      </w:r>
    </w:p>
    <w:p>
      <w:pPr>
        <w:spacing w:after="0" w:line="90" w:lineRule="exact"/>
        <w:rPr>
          <w:rFonts w:ascii="Arial" w:cs="Arial" w:eastAsia="Arial" w:hAnsi="Arial"/>
          <w:sz w:val="18"/>
          <w:szCs w:val="18"/>
          <w:color w:val="074A75"/>
        </w:rPr>
      </w:pPr>
    </w:p>
    <w:p>
      <w:pPr>
        <w:ind w:left="200" w:right="700" w:hanging="192"/>
        <w:spacing w:after="0" w:line="261" w:lineRule="auto"/>
        <w:tabs>
          <w:tab w:leader="none" w:pos="204" w:val="left"/>
        </w:tabs>
        <w:numPr>
          <w:ilvl w:val="0"/>
          <w:numId w:val="103"/>
        </w:numPr>
        <w:rPr>
          <w:rFonts w:ascii="Arial" w:cs="Arial" w:eastAsia="Arial" w:hAnsi="Arial"/>
          <w:sz w:val="18"/>
          <w:szCs w:val="18"/>
          <w:color w:val="074A75"/>
        </w:rPr>
      </w:pPr>
      <w:r>
        <w:rPr>
          <w:rFonts w:ascii="Arial" w:cs="Arial" w:eastAsia="Arial" w:hAnsi="Arial"/>
          <w:sz w:val="18"/>
          <w:szCs w:val="18"/>
          <w:color w:val="auto"/>
        </w:rPr>
        <w:t>No super-majority vote requirements in our Certificate of Incorporation or By-laws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Firm’s Certificate of Incorporation and By-laws are available on our website at jpmorganchase.com/about/governance.</w:t>
      </w:r>
    </w:p>
    <w:p>
      <w:pPr>
        <w:spacing w:after="0" w:line="262" w:lineRule="exact"/>
        <w:rPr>
          <w:sz w:val="20"/>
          <w:szCs w:val="20"/>
          <w:color w:val="auto"/>
        </w:rPr>
      </w:pPr>
    </w:p>
    <w:p>
      <w:pPr>
        <w:ind w:right="380"/>
        <w:spacing w:after="0" w:line="244" w:lineRule="auto"/>
        <w:rPr>
          <w:sz w:val="20"/>
          <w:szCs w:val="20"/>
          <w:color w:val="auto"/>
        </w:rPr>
      </w:pPr>
      <w:r>
        <w:rPr>
          <w:rFonts w:ascii="Arial" w:cs="Arial" w:eastAsia="Arial" w:hAnsi="Arial"/>
          <w:sz w:val="29"/>
          <w:szCs w:val="29"/>
          <w:color w:val="074A75"/>
        </w:rPr>
        <w:t>Policies and procedures for approval of related party transactions</w:t>
      </w:r>
    </w:p>
    <w:p>
      <w:pPr>
        <w:spacing w:after="0"/>
        <w:rPr>
          <w:sz w:val="20"/>
          <w:szCs w:val="20"/>
          <w:color w:val="auto"/>
        </w:rPr>
      </w:pPr>
      <w:r>
        <w:rPr>
          <w:rFonts w:ascii="Arial" w:cs="Arial" w:eastAsia="Arial" w:hAnsi="Arial"/>
          <w:sz w:val="18"/>
          <w:szCs w:val="18"/>
          <w:color w:val="auto"/>
        </w:rPr>
        <w:t>The Firm has adopted a written Transactions with Related Persons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Policy (“Policy”), which sets forth the Firm’s policies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reviewing and approving transactions with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persons – our directors, executive officers, their respective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 family members and 5% shareholders.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covered by the Policy include any financial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arrangement or relationship in which the Firm is a participant,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person has or will have a direct or indirect material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aggregate amount involved will or may be expected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exceed $120,000 in any fiscal year.</w:t>
      </w:r>
    </w:p>
    <w:p>
      <w:pPr>
        <w:spacing w:after="0" w:line="11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of the transaction and the related person’s interest in the transaction are provided to the Governance Committee. The transaction is then reviewed by the disinterested members of the Governance Committee, who determine whether approval or ratification of the transaction shall be granted. In reviewing a transaction, the Governance Committee considers facts and circumstances that it deems relevant to its determination, such as: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management’s assessment of the commercial reasonableness of the transaction; the materiality of the related person’s direct or indirect interest in the transaction; whether the transaction may involve an actual, or the appearance of, a conflict of interest; any controls associated with the transaction; and, if the transaction involves a director, the impact of the transaction on the director’s independence.</w:t>
      </w:r>
    </w:p>
    <w:p>
      <w:pPr>
        <w:spacing w:after="0" w:line="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271" w:lineRule="exact"/>
        <w:rPr>
          <w:sz w:val="20"/>
          <w:szCs w:val="20"/>
          <w:color w:val="auto"/>
        </w:rPr>
      </w:pPr>
    </w:p>
    <w:p>
      <w:pPr>
        <w:ind w:right="680"/>
        <w:spacing w:after="0" w:line="252" w:lineRule="auto"/>
        <w:rPr>
          <w:sz w:val="20"/>
          <w:szCs w:val="20"/>
          <w:color w:val="auto"/>
        </w:rPr>
      </w:pPr>
      <w:r>
        <w:rPr>
          <w:rFonts w:ascii="Arial" w:cs="Arial" w:eastAsia="Arial" w:hAnsi="Arial"/>
          <w:sz w:val="28"/>
          <w:szCs w:val="28"/>
          <w:color w:val="074A75"/>
        </w:rPr>
        <w:t>Transactions with directors, executive officers and 5% shareholders</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Inc. and affiliated entities ("BlackRock") and The Vanguard Group and affiliated entities ("Vanguard"), beneficial owners of more than 5% of our outstanding common stock, were customers of, or had transactions with or involving, JPMorgan Chase or our banking or other subsidiaries in the ordinary course of business during 2020. Additional transactions may be expected to take place in the future.</w:t>
      </w:r>
    </w:p>
    <w:p>
      <w:pPr>
        <w:spacing w:after="0" w:line="9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fiduciary committees for the JPMorgan Chase Retirement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for the JPMorgan Chase 401(k) Savings Plan (each, a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entered into agreements with BlackRock giving it discretionary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authority to manage certain assets on behalf of each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these agreements, fees of approximately $6.4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were paid by the Plans to BlackRock. in 2020. JPMorgan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Chase UK Retirement Plan paid BlackRock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$790,000 for the portfolio management services provided to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Trustee, JPMorgan Pension Trustees Limited. Subsidiaries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 have subscribed to information services and received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consulting</w:t>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CORPORATE GOVERNANCE | </w:t>
      </w:r>
      <w:r>
        <w:rPr>
          <w:rFonts w:ascii="Arial" w:cs="Arial" w:eastAsia="Arial" w:hAnsi="Arial"/>
          <w:sz w:val="16"/>
          <w:szCs w:val="16"/>
          <w:color w:val="074A75"/>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1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services from BlackRock, including and related to select market data, analytics and modeling, and paid BlackRock approximately $890,000 in 2020 for the services. JPMorgan Chase paid BlackRock approximately $6.8 million in 2020 to access its Aladdin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platform.</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$380,000 in 2020 for services rendered, primarily accounting, recordkeeping and administrative services.</w:t>
      </w:r>
    </w:p>
    <w:p>
      <w:pPr>
        <w:spacing w:after="0" w:line="9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2019, the Firm, as administrative agent and lender, entered into a senior secured reserve-based revolving loan facility (the "RBL") with Sable Land Company, LLC ("Sable"), which was partially owned by funds managed by The Energy and Minerals Group ("EMG"). Former Director Lee Raymond's son serves as Chief Executive Officer of EMG and held one of three EMG board seats on Sable's board. The RBL was entered into in the ordinary course of business, on terms prevailing in the market and, at the time, did not involve more than normal risk of collectability or present other unfavorable features. The Firm's maximum exposure during the period was $470 million of the aggregate $700 million RBL commitments. Prior to the bankruptcy noted below, EMG owned approximately 47% of Sable, and Director Raymond and his son together owned, directly or indirectly, less than 2% of Sable. In June 2020, Sable filed for Chapter 11 bankruptcy and the RBL lenders (including the Firm) provided super-priority debtor-in possession financing, and in January 2021, pursuant to a consensual plan of reorganization, the lenders exchanged this financing and the RBL loans for a $315 million senior-secured bankruptcy exit facility and 100% of the equity of reorganized Sable. EMG supported the plan although its equity in Sable was cancelled.</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January 2019, the Firm entered into agreements for the sale and redevelopment of a retail bank branch property in California to modernize the branch and monetize excess development rights. Following a solicitation and review of proposals from several major real estate developers, a company not affiliated with the Firm or its directors or executive officers was selected to lead the project. The development company is expected to make the purchase through an existing legal entity as a result of which Director James Crown and members of his immediate family are expected to hold indirect equity interests in the property which in the aggregate would exceed 10%. The purchase price will depend upon the development rights attained and is anticipated to exceed $32 million. The transaction has not been consummated and closing is subject to completion of the development entitlements process and satisfaction of other contractual conditions precedent. The transaction is not material to the overall investment holdings of Mr. Crown and members of his immediate family, and it was negotiated with the unaffiliated development company in the ordinary course of business.</w:t>
      </w:r>
    </w:p>
    <w:p>
      <w:pPr>
        <w:spacing w:after="0" w:line="9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December 2020, as part of the Firm’s plan to invest $30 billion to advance racial equity, the Firm approved 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investment of up to $200 million on a deal-by-deal basis in Black and Latinx-owned businesses alongside Project Black (the “Co-Invest Program”). Project Black is a private equity initiative of Ariel Alternatives, LLC, an affiliate of Ariel Investments, LLC, of which Director Mellody Hobson is Co-CEO and President. The purpose of the Co-Invest Program is to facilitate co-investments by the Firm in businesses that (i) are Black or Latinx-owned prior to any investment by Project Black or the Firm, or (ii) will become Black or Latinx-owned by virtue of the investment by Project Black and that will be managed so as to increase diversity into the acquired company’s leadership and management. In connection with the Co-Invest Program, the Firm will neither receive fees from nor pay fees to Ariel Investments, LLC or any of its affiliates. The Co-Invest Program is not material to Mellody Hobson or Ariel Investments, LLC.</w:t>
      </w:r>
    </w:p>
    <w:p>
      <w:pPr>
        <w:spacing w:after="0" w:line="278" w:lineRule="exact"/>
        <w:rPr>
          <w:sz w:val="20"/>
          <w:szCs w:val="20"/>
          <w:color w:val="auto"/>
        </w:rPr>
      </w:pPr>
    </w:p>
    <w:p>
      <w:pPr>
        <w:ind w:right="460"/>
        <w:spacing w:after="0" w:line="243" w:lineRule="auto"/>
        <w:rPr>
          <w:sz w:val="20"/>
          <w:szCs w:val="20"/>
          <w:color w:val="auto"/>
        </w:rPr>
      </w:pPr>
      <w:r>
        <w:rPr>
          <w:rFonts w:ascii="Arial" w:cs="Arial" w:eastAsia="Arial" w:hAnsi="Arial"/>
          <w:sz w:val="29"/>
          <w:szCs w:val="29"/>
          <w:color w:val="074A75"/>
        </w:rPr>
        <w:t>Compensation &amp; Management Development Committee interlocks and insider participation</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members of the CMDC are listed on page 26. No member of the CMDC is or ever was a JPMorgan Chase officer or employee, other than Linda B. Bammann, who joined the CMDC on January 1, 2021, and previously served as an officer of JPMorgan Chase 15 years before joining the CMDC and 8 years before joining the Board. No JPMorgan Chase executive officer is, or was during 2020, a member of the board of directors or compensation committee (or other committee serving an equivalent function) of another company that has, or had during 2020,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2020.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074A75"/>
        </w:rPr>
        <w:t>Political activities and lobbying</w:t>
      </w:r>
    </w:p>
    <w:p>
      <w:pPr>
        <w:spacing w:after="0" w:line="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Because of the potential impact public policy can have on our businesses, employees, communities and customers, we engage with policymakers in order to advance and protect the long-term interests of the Firm.</w:t>
      </w:r>
    </w:p>
    <w:p>
      <w:pPr>
        <w:spacing w:after="0" w:line="100"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The PRC oversees the Firm’s significant policies and practices regarding political contributions, major lobbying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359410</wp:posOffset>
            </wp:positionV>
            <wp:extent cx="274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474"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35  </w:t>
      </w:r>
      <w:r>
        <w:rPr>
          <w:sz w:val="1"/>
          <w:szCs w:val="1"/>
          <w:color w:val="auto"/>
        </w:rPr>
        <w:drawing>
          <wp:inline distT="0" distB="0" distL="0" distR="0">
            <wp:extent cx="2203450" cy="15430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OTHER CORPORATE GOVERNANCE POLICIES AND PRACTICES </w:t>
      </w:r>
      <w:r>
        <w:rPr>
          <w:rFonts w:ascii="Arial" w:cs="Arial" w:eastAsia="Arial" w:hAnsi="Arial"/>
          <w:sz w:val="16"/>
          <w:szCs w:val="16"/>
          <w:b w:val="1"/>
          <w:bCs w:val="1"/>
          <w:color w:val="074A75"/>
        </w:rPr>
        <w: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1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and principal trade association memberships that relate to the Firm’s public policy objectives.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117" w:lineRule="exact"/>
        <w:rPr>
          <w:sz w:val="20"/>
          <w:szCs w:val="20"/>
          <w:color w:val="auto"/>
        </w:rPr>
      </w:pPr>
    </w:p>
    <w:p>
      <w:pPr>
        <w:ind w:left="200" w:right="180" w:hanging="192"/>
        <w:spacing w:after="0" w:line="291" w:lineRule="auto"/>
        <w:tabs>
          <w:tab w:leader="none" w:pos="204" w:val="left"/>
        </w:tabs>
        <w:numPr>
          <w:ilvl w:val="0"/>
          <w:numId w:val="104"/>
        </w:numPr>
        <w:rPr>
          <w:rFonts w:ascii="Arial" w:cs="Arial" w:eastAsia="Arial" w:hAnsi="Arial"/>
          <w:sz w:val="17"/>
          <w:szCs w:val="17"/>
          <w:color w:val="074A75"/>
        </w:rPr>
      </w:pPr>
      <w:r>
        <w:rPr>
          <w:rFonts w:ascii="Arial" w:cs="Arial" w:eastAsia="Arial" w:hAnsi="Arial"/>
          <w:sz w:val="17"/>
          <w:szCs w:val="17"/>
          <w:color w:val="auto"/>
        </w:rPr>
        <w:t>Prohibit contributions of corporate funds to candidates, political party committees and political action committees ("PACs")</w:t>
      </w:r>
    </w:p>
    <w:p>
      <w:pPr>
        <w:spacing w:after="0" w:line="25" w:lineRule="exact"/>
        <w:rPr>
          <w:rFonts w:ascii="Arial" w:cs="Arial" w:eastAsia="Arial" w:hAnsi="Arial"/>
          <w:sz w:val="17"/>
          <w:szCs w:val="17"/>
          <w:color w:val="074A75"/>
        </w:rPr>
      </w:pPr>
    </w:p>
    <w:p>
      <w:pPr>
        <w:ind w:left="200" w:right="360" w:hanging="192"/>
        <w:spacing w:after="0" w:line="254"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68" w:lineRule="exact"/>
        <w:rPr>
          <w:rFonts w:ascii="Arial" w:cs="Arial" w:eastAsia="Arial" w:hAnsi="Arial"/>
          <w:sz w:val="18"/>
          <w:szCs w:val="18"/>
          <w:color w:val="074A75"/>
        </w:rPr>
      </w:pPr>
    </w:p>
    <w:p>
      <w:pPr>
        <w:ind w:left="200" w:right="80" w:hanging="192"/>
        <w:spacing w:after="0" w:line="254"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w:t>
      </w:r>
    </w:p>
    <w:p>
      <w:pPr>
        <w:spacing w:after="0" w:line="95" w:lineRule="exact"/>
        <w:rPr>
          <w:rFonts w:ascii="Arial" w:cs="Arial" w:eastAsia="Arial" w:hAnsi="Arial"/>
          <w:sz w:val="18"/>
          <w:szCs w:val="18"/>
          <w:color w:val="074A75"/>
        </w:rPr>
      </w:pPr>
    </w:p>
    <w:p>
      <w:pPr>
        <w:ind w:left="200" w:right="40" w:hanging="192"/>
        <w:spacing w:after="0" w:line="261" w:lineRule="auto"/>
        <w:tabs>
          <w:tab w:leader="none" w:pos="204" w:val="left"/>
        </w:tabs>
        <w:numPr>
          <w:ilvl w:val="0"/>
          <w:numId w:val="104"/>
        </w:numPr>
        <w:rPr>
          <w:rFonts w:ascii="Arial" w:cs="Arial" w:eastAsia="Arial" w:hAnsi="Arial"/>
          <w:sz w:val="18"/>
          <w:szCs w:val="18"/>
          <w:color w:val="074A75"/>
        </w:rPr>
      </w:pPr>
      <w:r>
        <w:rPr>
          <w:rFonts w:ascii="Arial" w:cs="Arial" w:eastAsia="Arial" w:hAnsi="Arial"/>
          <w:sz w:val="18"/>
          <w:szCs w:val="18"/>
          <w:color w:val="auto"/>
        </w:rPr>
        <w:t>Prohibit the use of corporate funds to make independent political expenditures, including electioneering communications</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Firm discloses on its website contributions made by the Firm’s PACs and contributions of corporate funds made in connection with ballot initiatives.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2021, violence at the U.S. Capitol prompted a six month pause of all contributions from our PAC. During this time, we will re-evaluate our PAC mission, governance and giving strategies. Conclusions stemming from our review will be publicly disclosed.</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further information regarding the Firm’s policy engagement, political contributions and lobbying activity, see our website at jpmorganchase.com/about/governance/political-engagement-and-public-policy.</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74A75"/>
        </w:rPr>
        <w:t>Code of Conduct</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Code of Conduct is a collection of principles designed to assist employees and directors in making decisions about their conduct in relation to the Firm’s business.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Employees and directors are trained on the principles, obligations, and requirements under the Code of Conduct. They must annually affirm that they have read, understand, and are in compliance with the Code of Conduct. They are required to raise concerns about misconduct and report any potential or actual violations of the Code of Conduct, any internal Firm policy, or any law or regulation applicable to the Firm’s business. The Code of Conduct prohibits intimidation or retaliation against anyone who raises an issue or concern in good faith or assists with an investigation.</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Employees and directors can report potential or actual violations of the Code of Conduct to management, Human Resources, the Office of the General Counsel, or via the JPMC Conduct Hotline, either by phone, online or mobile. The Hotline is anonymous, except in certain non-U.S. jurisdictions where anonymous reporting is prohibited. It is available 24/7 globally, with translation services. It is maintained by a third party service provider.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Employees in Human Resources and Global Security follow specific procedures when handling employee-initiated complaints. Suspected violations of the Code of Conduct, other Firm policy or the law are investigated by the Firm and may result in an employee being cleared of the suspected violation or in an escalating range of actions, including termination of employment, depending upon the facts and circumstances. Compliance and Human Resources report periodically to the Audit Committee on the Code of Conduct program. The CMDC periodically reviews reports from management regarding significant conduct issues and any related employee actions.</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color w:val="074A75"/>
        </w:rPr>
        <w:t>Code of Ethics for Finance Professionals</w:t>
      </w:r>
    </w:p>
    <w:p>
      <w:pPr>
        <w:spacing w:after="0" w:line="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Code of Ethics for Finance Professionals, a supplement to the Code of Conduct, applies to the CEO, CFO, Chairman, Controller and all other professionals of the Firm worldwide serving in a finance, accounting, treasury, tax or investor relations role. The purpose of our Code of Ethics is to promote honest and ethical conduct and adherence with the law in connection with the maintenance of the Firm’s financial books and records and the preparation of our financial statements. It also addresses the reporting of potential conflicts of interest and any suspected violations or other matters that would compromise the integrity of the Firm’s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29"/>
          <w:szCs w:val="29"/>
          <w:color w:val="074A75"/>
        </w:rPr>
        <w:t>Supplier Code of Conduct</w:t>
      </w:r>
    </w:p>
    <w:p>
      <w:pPr>
        <w:spacing w:after="0" w:line="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The Supplier Code of Conduct outlines the Firm’s expectation that suppliers demonstrate the highest standards of business conduct, integrity and adherence to the law. The Supplier Code of Conduct applies to our suppliers, vendors, consultants, contractors and other third parties working on behalf of the Firm, as well as to the owners, officers, directors, employees and contractors of these supplier organizations and entities. The Supplier Code provides specific guidance regarding suppliers’ responsibility to comply with all applicable laws and regulations and to have policies ensuring such compliance, their duty to escalate concerns, handle information properly and maintain accurate records, address potential conflicts of interest, and operate responsibly with respect to competition laws, taxes, anti-corruption, political activity, environmental, social and human rights, and other matters.</w:t>
      </w:r>
    </w:p>
    <w:p>
      <w:pPr>
        <w:spacing w:after="0" w:line="2538"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color w:val="074A75"/>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8"/>
          <w:szCs w:val="28"/>
          <w:color w:val="074A75"/>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98425</wp:posOffset>
            </wp:positionV>
            <wp:extent cx="2837180" cy="677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37180" cy="677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181" w:lineRule="exact"/>
        <w:rPr>
          <w:sz w:val="20"/>
          <w:szCs w:val="20"/>
          <w:color w:val="auto"/>
        </w:rPr>
      </w:pPr>
    </w:p>
    <w:p>
      <w:pPr>
        <w:ind w:left="20" w:right="980"/>
        <w:spacing w:after="0" w:line="253" w:lineRule="auto"/>
        <w:rPr>
          <w:sz w:val="20"/>
          <w:szCs w:val="20"/>
          <w:color w:val="auto"/>
        </w:rPr>
      </w:pPr>
      <w:r>
        <w:rPr>
          <w:rFonts w:ascii="Arial" w:cs="Arial" w:eastAsia="Arial" w:hAnsi="Arial"/>
          <w:sz w:val="18"/>
          <w:szCs w:val="18"/>
          <w:color w:val="auto"/>
        </w:rPr>
        <w:t>Approve the Firm’s compensation practices and principles and their implementation for 2020 for the compensation of the Firm’s Named Executive Officers as discussed and disclosed in the Compensation Discussion and Analysis, the compensation tables, and any related material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1442085</wp:posOffset>
            </wp:positionV>
            <wp:extent cx="274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-14605</wp:posOffset>
            </wp:positionV>
            <wp:extent cx="163195"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4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FFFFFF"/>
        </w:rPr>
        <w:t>Vote FOR approval of this advisory resolution to approve executive compensation</w:t>
      </w:r>
    </w:p>
    <w:p>
      <w:pPr>
        <w:spacing w:after="0" w:line="403" w:lineRule="exact"/>
        <w:rPr>
          <w:sz w:val="20"/>
          <w:szCs w:val="20"/>
          <w:color w:val="auto"/>
        </w:rPr>
      </w:pPr>
    </w:p>
    <w:p>
      <w:pPr>
        <w:sectPr>
          <w:pgSz w:w="11900" w:h="16838" w:orient="portrait"/>
          <w:cols w:equalWidth="0" w:num="2">
            <w:col w:w="6260" w:space="720"/>
            <w:col w:w="4240"/>
          </w:cols>
          <w:pgMar w:left="320" w:top="1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37  </w:t>
      </w:r>
      <w:r>
        <w:rPr>
          <w:sz w:val="1"/>
          <w:szCs w:val="1"/>
          <w:color w:val="auto"/>
        </w:rPr>
        <w:drawing>
          <wp:inline distT="0" distB="0" distL="0" distR="0">
            <wp:extent cx="2203450" cy="15430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43"/>
          <w:szCs w:val="43"/>
          <w:color w:val="074A75"/>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0"/>
        <w:spacing w:after="0" w:line="250" w:lineRule="auto"/>
        <w:rPr>
          <w:sz w:val="20"/>
          <w:szCs w:val="20"/>
          <w:color w:val="auto"/>
        </w:rPr>
      </w:pPr>
      <w:r>
        <w:rPr>
          <w:rFonts w:ascii="Arial" w:cs="Arial" w:eastAsia="Arial" w:hAnsi="Arial"/>
          <w:sz w:val="29"/>
          <w:szCs w:val="29"/>
          <w:i w:val="1"/>
          <w:iCs w:val="1"/>
          <w:color w:val="074A75"/>
        </w:rPr>
        <w:t>We believe our compensation philosophy promotes an equitable and well-governed, long-term approach to compensation, including pay-for-performance practices that attract and retain top talent, are responsive to and aligned with shareholders, and encourage a shared success culture in support of our Business Principles and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187325</wp:posOffset>
            </wp:positionV>
            <wp:extent cx="8890" cy="18002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180022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left="80"/>
        <w:spacing w:after="0" w:line="245" w:lineRule="auto"/>
        <w:rPr>
          <w:sz w:val="20"/>
          <w:szCs w:val="20"/>
          <w:color w:val="auto"/>
        </w:rPr>
      </w:pPr>
      <w:r>
        <w:rPr>
          <w:rFonts w:ascii="Arial" w:cs="Arial" w:eastAsia="Arial" w:hAnsi="Arial"/>
          <w:sz w:val="22"/>
          <w:szCs w:val="22"/>
          <w:color w:val="074A75"/>
        </w:rPr>
        <w:t>OUR LONG-TERM APPROACH TO EXECUTIVE COMPENSATION:</w:t>
      </w:r>
    </w:p>
    <w:p>
      <w:pPr>
        <w:spacing w:after="0" w:line="101" w:lineRule="exact"/>
        <w:rPr>
          <w:sz w:val="20"/>
          <w:szCs w:val="20"/>
          <w:color w:val="auto"/>
        </w:rPr>
      </w:pPr>
    </w:p>
    <w:p>
      <w:pPr>
        <w:jc w:val="right"/>
        <w:ind w:left="140"/>
        <w:spacing w:after="0" w:line="260" w:lineRule="auto"/>
        <w:rPr>
          <w:sz w:val="20"/>
          <w:szCs w:val="20"/>
          <w:color w:val="auto"/>
        </w:rPr>
      </w:pPr>
      <w:r>
        <w:rPr>
          <w:rFonts w:ascii="Arial" w:cs="Arial" w:eastAsia="Arial" w:hAnsi="Arial"/>
          <w:sz w:val="21"/>
          <w:szCs w:val="21"/>
          <w:color w:val="074A75"/>
        </w:rPr>
        <w:t>DISCIPLINED PERFORMANCE ASSESSMENT TO DETERMINE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The Firm’s Board of Directors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w:t>
      </w:r>
    </w:p>
    <w:p>
      <w:pPr>
        <w:spacing w:after="0" w:line="96" w:lineRule="exact"/>
        <w:rPr>
          <w:sz w:val="20"/>
          <w:szCs w:val="20"/>
          <w:color w:val="auto"/>
        </w:rPr>
      </w:pPr>
    </w:p>
    <w:p>
      <w:pPr>
        <w:ind w:right="900"/>
        <w:spacing w:after="0" w:line="256" w:lineRule="auto"/>
        <w:rPr>
          <w:sz w:val="20"/>
          <w:szCs w:val="20"/>
          <w:color w:val="auto"/>
        </w:rPr>
      </w:pPr>
      <w:r>
        <w:rPr>
          <w:rFonts w:ascii="Arial" w:cs="Arial" w:eastAsia="Arial" w:hAnsi="Arial"/>
          <w:sz w:val="18"/>
          <w:szCs w:val="18"/>
          <w:color w:val="auto"/>
        </w:rPr>
        <w:t>The foundations of our compensation practices are a focus on performance within a controlled environment, alignment with the interests of shareholders, sensitivity to the relevant marketplace and a long-term view consistent with our Business Principles and strategic framework.</w:t>
      </w:r>
    </w:p>
    <w:p>
      <w:pPr>
        <w:spacing w:after="0" w:line="94"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The Compensation Discussion and Analysis that follows describes our compensation philosophy and pay-for-performance framework, and discusses how compensation for the Firm’s Named Executive Officers is aligned with the Firm’s long-term performance and with our shareholders’ interests.</w:t>
      </w:r>
    </w:p>
    <w:p>
      <w:pPr>
        <w:spacing w:after="0" w:line="200" w:lineRule="exact"/>
        <w:rPr>
          <w:sz w:val="20"/>
          <w:szCs w:val="20"/>
          <w:color w:val="auto"/>
        </w:rPr>
      </w:pPr>
    </w:p>
    <w:p>
      <w:pPr>
        <w:sectPr>
          <w:pgSz w:w="11900" w:h="16838" w:orient="portrait"/>
          <w:cols w:equalWidth="0" w:num="2">
            <w:col w:w="1960" w:space="200"/>
            <w:col w:w="9080"/>
          </w:cols>
          <w:pgMar w:left="320" w:top="17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074A75"/>
        </w:rPr>
        <w:t>PROPOSAL 2 – ADVISORY RESOLUTION TO APPROVE EXECUTIVE COMPENSATION</w:t>
      </w:r>
    </w:p>
    <w:p>
      <w:pPr>
        <w:spacing w:after="0" w:line="1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required by Section 14A of the Securities Exchange Act of 1934, as amended, this proposal seeks a shareholder advisory vote to approve the compensation of our Named Executive Officers as disclosed pursuant to Item 402 of Regulation S-K through the following resolution:</w:t>
      </w:r>
    </w:p>
    <w:p>
      <w:pPr>
        <w:spacing w:after="0" w:line="6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2020 for the compensation of the Firm’s Named Executive Officers as discussed and disclosed in the Compensation Discussion and Analysis, the compensation tables, and any related material contained in this proxy statement.”</w:t>
      </w:r>
    </w:p>
    <w:p>
      <w:pPr>
        <w:spacing w:after="0" w:line="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This advisory vote will not be binding upon the Board of Directors. However, the Compensation &amp; Management Development Committee will take into account the outcome of the vote when considering future executive compensation arrangements.</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38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Compensation Discussion and Analysis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074A75"/>
        </w:rPr>
        <w:t>The following CD&amp;A is organized around three key factors for shareholders to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40575" cy="24434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0575" cy="244348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32"/>
          <w:szCs w:val="32"/>
          <w:color w:val="074A75"/>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right="80" w:hanging="44"/>
        <w:spacing w:after="0" w:line="260" w:lineRule="auto"/>
        <w:rPr>
          <w:sz w:val="20"/>
          <w:szCs w:val="20"/>
          <w:color w:val="auto"/>
        </w:rPr>
      </w:pPr>
      <w:r>
        <w:rPr>
          <w:rFonts w:ascii="Arial" w:cs="Arial" w:eastAsia="Arial" w:hAnsi="Arial"/>
          <w:sz w:val="16"/>
          <w:szCs w:val="16"/>
          <w:color w:val="074A75"/>
        </w:rPr>
        <w:t>Pages 40-52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shd w:val="clear" w:color="auto" w:fill="EEEFEF"/>
        </w:rPr>
        <w:t>HOW WE THINK ABOUT PAY DECISIONS</w:t>
      </w:r>
    </w:p>
    <w:p>
      <w:pPr>
        <w:spacing w:after="0" w:line="37" w:lineRule="exact"/>
        <w:rPr>
          <w:sz w:val="20"/>
          <w:szCs w:val="20"/>
          <w:color w:val="auto"/>
        </w:rPr>
      </w:pPr>
    </w:p>
    <w:p>
      <w:pPr>
        <w:ind w:left="20" w:right="60"/>
        <w:spacing w:after="0" w:line="252" w:lineRule="auto"/>
        <w:rPr>
          <w:sz w:val="20"/>
          <w:szCs w:val="20"/>
          <w:color w:val="auto"/>
        </w:rPr>
      </w:pPr>
      <w:r>
        <w:rPr>
          <w:rFonts w:ascii="Arial" w:cs="Arial" w:eastAsia="Arial" w:hAnsi="Arial"/>
          <w:sz w:val="15"/>
          <w:szCs w:val="15"/>
          <w:color w:val="auto"/>
          <w:shd w:val="clear" w:color="auto" w:fill="EEEFEF"/>
        </w:rPr>
        <w:t>The Firm’s Business Principles and strategic framework form the basis of our OC members’ strategic priorities. The CMDC references those strategic priorities and the Firm’s compensation philosophy to assess OC members’ performance and to determine their respective total compensation levels and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280" w:type="dxa"/>
            <w:vAlign w:val="bottom"/>
            <w:vMerge w:val="restart"/>
            <w:shd w:val="clear" w:color="auto" w:fill="EEEFEF"/>
          </w:tcPr>
          <w:p>
            <w:pPr>
              <w:ind w:left="20"/>
              <w:spacing w:after="0"/>
              <w:rPr>
                <w:sz w:val="20"/>
                <w:szCs w:val="20"/>
                <w:color w:val="auto"/>
              </w:rPr>
            </w:pPr>
            <w:r>
              <w:rPr>
                <w:rFonts w:ascii="Arial" w:cs="Arial" w:eastAsia="Arial" w:hAnsi="Arial"/>
                <w:sz w:val="17"/>
                <w:szCs w:val="17"/>
                <w:color w:val="074A75"/>
                <w:shd w:val="clear" w:color="auto" w:fill="EEEFEF"/>
              </w:rPr>
              <w:t>Pay Determination</w:t>
            </w:r>
          </w:p>
        </w:tc>
        <w:tc>
          <w:tcPr>
            <w:tcW w:w="94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322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5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shd w:val="clear" w:color="auto" w:fill="EEEFEF"/>
          </w:tcPr>
          <w:p>
            <w:pPr>
              <w:spacing w:after="0"/>
              <w:rPr>
                <w:sz w:val="16"/>
                <w:szCs w:val="16"/>
                <w:color w:val="auto"/>
              </w:rPr>
            </w:pPr>
          </w:p>
        </w:tc>
        <w:tc>
          <w:tcPr>
            <w:tcW w:w="940" w:type="dxa"/>
            <w:vAlign w:val="bottom"/>
            <w:shd w:val="clear" w:color="auto" w:fill="EEEFEF"/>
          </w:tcPr>
          <w:p>
            <w:pPr>
              <w:spacing w:after="0" w:line="189" w:lineRule="exact"/>
              <w:rPr>
                <w:sz w:val="20"/>
                <w:szCs w:val="20"/>
                <w:color w:val="auto"/>
              </w:rPr>
            </w:pPr>
            <w:r>
              <w:rPr>
                <w:rFonts w:ascii="Arial" w:cs="Arial" w:eastAsia="Arial" w:hAnsi="Arial"/>
                <w:sz w:val="17"/>
                <w:szCs w:val="17"/>
                <w:color w:val="074A75"/>
                <w:w w:val="99"/>
                <w:shd w:val="clear" w:color="auto" w:fill="EEEFEF"/>
              </w:rPr>
              <w:t>PSU Payout</w:t>
            </w:r>
          </w:p>
        </w:tc>
        <w:tc>
          <w:tcPr>
            <w:tcW w:w="120" w:type="dxa"/>
            <w:vAlign w:val="bottom"/>
            <w:vMerge w:val="continue"/>
          </w:tcPr>
          <w:p>
            <w:pPr>
              <w:spacing w:after="0"/>
              <w:rPr>
                <w:sz w:val="16"/>
                <w:szCs w:val="16"/>
                <w:color w:val="auto"/>
              </w:rPr>
            </w:pPr>
          </w:p>
        </w:tc>
        <w:tc>
          <w:tcPr>
            <w:tcW w:w="32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280" w:type="dxa"/>
            <w:vAlign w:val="bottom"/>
            <w:vMerge w:val="restart"/>
            <w:shd w:val="clear" w:color="auto" w:fill="EEEFEF"/>
          </w:tcPr>
          <w:p>
            <w:pPr>
              <w:ind w:left="20"/>
              <w:spacing w:after="0"/>
              <w:rPr>
                <w:sz w:val="20"/>
                <w:szCs w:val="20"/>
                <w:color w:val="auto"/>
              </w:rPr>
            </w:pPr>
            <w:r>
              <w:rPr>
                <w:rFonts w:ascii="Arial" w:cs="Arial" w:eastAsia="Arial" w:hAnsi="Arial"/>
                <w:sz w:val="15"/>
                <w:szCs w:val="15"/>
                <w:color w:val="auto"/>
                <w:shd w:val="clear" w:color="auto" w:fill="EEEFEF"/>
              </w:rPr>
              <w:t>The CMDC uses informed judgement to determine OC members’ pay based</w:t>
            </w:r>
          </w:p>
        </w:tc>
        <w:tc>
          <w:tcPr>
            <w:tcW w:w="1060" w:type="dxa"/>
            <w:vAlign w:val="bottom"/>
            <w:gridSpan w:val="2"/>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80" w:type="dxa"/>
            <w:vAlign w:val="bottom"/>
            <w:vMerge w:val="continue"/>
            <w:shd w:val="clear" w:color="auto" w:fill="EEEFEF"/>
          </w:tcPr>
          <w:p>
            <w:pPr>
              <w:spacing w:after="0"/>
              <w:rPr>
                <w:sz w:val="14"/>
                <w:szCs w:val="14"/>
                <w:color w:val="auto"/>
              </w:rPr>
            </w:pPr>
          </w:p>
        </w:tc>
        <w:tc>
          <w:tcPr>
            <w:tcW w:w="4280" w:type="dxa"/>
            <w:vAlign w:val="bottom"/>
            <w:gridSpan w:val="3"/>
            <w:shd w:val="clear" w:color="auto" w:fill="EEEFEF"/>
          </w:tcPr>
          <w:p>
            <w:pPr>
              <w:spacing w:after="0" w:line="162" w:lineRule="exact"/>
              <w:rPr>
                <w:sz w:val="20"/>
                <w:szCs w:val="20"/>
                <w:color w:val="auto"/>
              </w:rPr>
            </w:pPr>
            <w:r>
              <w:rPr>
                <w:rFonts w:ascii="Arial" w:cs="Arial" w:eastAsia="Arial" w:hAnsi="Arial"/>
                <w:sz w:val="15"/>
                <w:szCs w:val="15"/>
                <w:color w:val="auto"/>
                <w:shd w:val="clear" w:color="auto" w:fill="EEEFEF"/>
              </w:rPr>
              <w:t>The PSU calculation links the ultimate payout of awards to pre-</w:t>
            </w:r>
          </w:p>
        </w:tc>
        <w:tc>
          <w:tcPr>
            <w:tcW w:w="2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EEEFEF"/>
          </w:tcPr>
          <w:p>
            <w:pPr>
              <w:ind w:left="20"/>
              <w:spacing w:after="0"/>
              <w:rPr>
                <w:sz w:val="20"/>
                <w:szCs w:val="20"/>
                <w:color w:val="auto"/>
              </w:rPr>
            </w:pPr>
            <w:r>
              <w:rPr>
                <w:rFonts w:ascii="Arial" w:cs="Arial" w:eastAsia="Arial" w:hAnsi="Arial"/>
                <w:sz w:val="15"/>
                <w:szCs w:val="15"/>
                <w:color w:val="auto"/>
                <w:shd w:val="clear" w:color="auto" w:fill="EEEFEF"/>
              </w:rPr>
              <w:t>on four broad performance dimensions over the long-term (see section 2</w:t>
            </w:r>
          </w:p>
        </w:tc>
        <w:tc>
          <w:tcPr>
            <w:tcW w:w="4540" w:type="dxa"/>
            <w:vAlign w:val="bottom"/>
            <w:gridSpan w:val="4"/>
            <w:shd w:val="clear" w:color="auto" w:fill="EEEFEF"/>
          </w:tcPr>
          <w:p>
            <w:pPr>
              <w:spacing w:after="0"/>
              <w:rPr>
                <w:sz w:val="20"/>
                <w:szCs w:val="20"/>
                <w:color w:val="auto"/>
              </w:rPr>
            </w:pPr>
            <w:r>
              <w:rPr>
                <w:rFonts w:ascii="Arial" w:cs="Arial" w:eastAsia="Arial" w:hAnsi="Arial"/>
                <w:sz w:val="15"/>
                <w:szCs w:val="15"/>
                <w:color w:val="auto"/>
                <w:shd w:val="clear" w:color="auto" w:fill="EEEFEF"/>
              </w:rPr>
              <w:t>established absolute and relative ROTCE goals, subject to risk and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EEEFEF"/>
          </w:tcPr>
          <w:p>
            <w:pPr>
              <w:ind w:left="20"/>
              <w:spacing w:after="0"/>
              <w:rPr>
                <w:sz w:val="20"/>
                <w:szCs w:val="20"/>
                <w:color w:val="auto"/>
              </w:rPr>
            </w:pPr>
            <w:r>
              <w:rPr>
                <w:rFonts w:ascii="Arial" w:cs="Arial" w:eastAsia="Arial" w:hAnsi="Arial"/>
                <w:sz w:val="15"/>
                <w:szCs w:val="15"/>
                <w:color w:val="auto"/>
                <w:shd w:val="clear" w:color="auto" w:fill="EEEFEF"/>
              </w:rPr>
              <w:t>below), and after considering competitive market practices</w:t>
            </w:r>
          </w:p>
        </w:tc>
        <w:tc>
          <w:tcPr>
            <w:tcW w:w="1060" w:type="dxa"/>
            <w:vAlign w:val="bottom"/>
            <w:gridSpan w:val="2"/>
            <w:shd w:val="clear" w:color="auto" w:fill="EEEFEF"/>
          </w:tcPr>
          <w:p>
            <w:pPr>
              <w:spacing w:after="0"/>
              <w:rPr>
                <w:sz w:val="20"/>
                <w:szCs w:val="20"/>
                <w:color w:val="auto"/>
              </w:rPr>
            </w:pPr>
            <w:r>
              <w:rPr>
                <w:rFonts w:ascii="Arial" w:cs="Arial" w:eastAsia="Arial" w:hAnsi="Arial"/>
                <w:sz w:val="15"/>
                <w:szCs w:val="15"/>
                <w:color w:val="auto"/>
                <w:shd w:val="clear" w:color="auto" w:fill="EEEFEF"/>
              </w:rPr>
              <w:t>control features</w:t>
            </w:r>
          </w:p>
        </w:tc>
        <w:tc>
          <w:tcPr>
            <w:tcW w:w="39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280" w:type="dxa"/>
            <w:vAlign w:val="bottom"/>
            <w:tcBorders>
              <w:bottom w:val="single" w:sz="8" w:color="EEEFEF"/>
            </w:tcBorders>
            <w:shd w:val="clear" w:color="auto" w:fill="EEEFEF"/>
          </w:tcPr>
          <w:p>
            <w:pPr>
              <w:spacing w:after="0"/>
              <w:rPr>
                <w:sz w:val="8"/>
                <w:szCs w:val="8"/>
                <w:color w:val="auto"/>
              </w:rPr>
            </w:pPr>
          </w:p>
        </w:tc>
        <w:tc>
          <w:tcPr>
            <w:tcW w:w="940" w:type="dxa"/>
            <w:vAlign w:val="bottom"/>
            <w:tcBorders>
              <w:bottom w:val="single" w:sz="8" w:color="EEEFEF"/>
            </w:tcBorders>
          </w:tcPr>
          <w:p>
            <w:pPr>
              <w:spacing w:after="0"/>
              <w:rPr>
                <w:sz w:val="8"/>
                <w:szCs w:val="8"/>
                <w:color w:val="auto"/>
              </w:rPr>
            </w:pPr>
          </w:p>
        </w:tc>
        <w:tc>
          <w:tcPr>
            <w:tcW w:w="120" w:type="dxa"/>
            <w:vAlign w:val="bottom"/>
            <w:tcBorders>
              <w:bottom w:val="single" w:sz="8" w:color="EEEFEF"/>
            </w:tcBorders>
          </w:tcPr>
          <w:p>
            <w:pPr>
              <w:spacing w:after="0"/>
              <w:rPr>
                <w:sz w:val="8"/>
                <w:szCs w:val="8"/>
                <w:color w:val="auto"/>
              </w:rPr>
            </w:pPr>
          </w:p>
        </w:tc>
        <w:tc>
          <w:tcPr>
            <w:tcW w:w="3220" w:type="dxa"/>
            <w:vAlign w:val="bottom"/>
            <w:tcBorders>
              <w:bottom w:val="single" w:sz="8" w:color="EEEFEF"/>
            </w:tcBorders>
          </w:tcPr>
          <w:p>
            <w:pPr>
              <w:spacing w:after="0"/>
              <w:rPr>
                <w:sz w:val="8"/>
                <w:szCs w:val="8"/>
                <w:color w:val="auto"/>
              </w:rPr>
            </w:pPr>
          </w:p>
        </w:tc>
        <w:tc>
          <w:tcPr>
            <w:tcW w:w="260" w:type="dxa"/>
            <w:vAlign w:val="bottom"/>
            <w:tcBorders>
              <w:bottom w:val="single" w:sz="8" w:color="EEEFEF"/>
            </w:tcBorders>
          </w:tcPr>
          <w:p>
            <w:pPr>
              <w:spacing w:after="0"/>
              <w:rPr>
                <w:sz w:val="8"/>
                <w:szCs w:val="8"/>
                <w:color w:val="auto"/>
              </w:rPr>
            </w:pPr>
          </w:p>
        </w:tc>
        <w:tc>
          <w:tcPr>
            <w:tcW w:w="500" w:type="dxa"/>
            <w:vAlign w:val="bottom"/>
            <w:tcBorders>
              <w:bottom w:val="single" w:sz="8" w:color="EEEFE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074A75"/>
        </w:rPr>
        <w:t>2020 PSU Award Design and Disclosures</w:t>
      </w:r>
    </w:p>
    <w:p>
      <w:pPr>
        <w:spacing w:after="0" w:line="10" w:lineRule="exact"/>
        <w:rPr>
          <w:sz w:val="20"/>
          <w:szCs w:val="20"/>
          <w:color w:val="auto"/>
        </w:rPr>
      </w:pPr>
    </w:p>
    <w:p>
      <w:pPr>
        <w:ind w:left="20" w:right="40"/>
        <w:spacing w:after="0" w:line="252" w:lineRule="auto"/>
        <w:rPr>
          <w:sz w:val="20"/>
          <w:szCs w:val="20"/>
          <w:color w:val="auto"/>
        </w:rPr>
      </w:pPr>
      <w:r>
        <w:rPr>
          <w:rFonts w:ascii="Arial" w:cs="Arial" w:eastAsia="Arial" w:hAnsi="Arial"/>
          <w:sz w:val="15"/>
          <w:szCs w:val="15"/>
          <w:color w:val="auto"/>
        </w:rPr>
        <w:t>As part of its review of the PSU design in 2020, the CMDC considered the strong (92%) support our Say on Pay resolution received at our annual meeting of shareholders in May 2020 and decided to maintain the same design, including the several enhancements made in the previous year. Several executive compensation disclosure enhancements requested by shareholders have also been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248920</wp:posOffset>
            </wp:positionV>
            <wp:extent cx="7140575"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0575" cy="596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740" w:space="180"/>
            <w:col w:w="10320"/>
          </w:cols>
          <w:pgMar w:left="320" w:top="171" w:right="339" w:bottom="1440" w:gutter="0" w:footer="0" w:header="0"/>
          <w:type w:val="continuous"/>
        </w:sectPr>
      </w:pPr>
    </w:p>
    <w:p>
      <w:pPr>
        <w:spacing w:after="0" w:line="159" w:lineRule="exact"/>
        <w:rPr>
          <w:sz w:val="20"/>
          <w:szCs w:val="20"/>
          <w:color w:val="auto"/>
        </w:rPr>
      </w:pPr>
    </w:p>
    <w:p>
      <w:pPr>
        <w:ind w:left="560"/>
        <w:spacing w:after="0"/>
        <w:rPr>
          <w:sz w:val="20"/>
          <w:szCs w:val="20"/>
          <w:color w:val="auto"/>
        </w:rPr>
      </w:pPr>
      <w:r>
        <w:rPr>
          <w:rFonts w:ascii="Arial" w:cs="Arial" w:eastAsia="Arial" w:hAnsi="Arial"/>
          <w:sz w:val="32"/>
          <w:szCs w:val="32"/>
          <w:color w:val="074A75"/>
        </w:rPr>
        <w:t>2</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WE PERFORMED AGAINST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-137795</wp:posOffset>
            </wp:positionV>
            <wp:extent cx="7140575" cy="2708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0575" cy="270891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740" w:space="200"/>
            <w:col w:w="1030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0" w:hanging="44"/>
        <w:spacing w:after="0" w:line="260" w:lineRule="auto"/>
        <w:rPr>
          <w:sz w:val="20"/>
          <w:szCs w:val="20"/>
          <w:color w:val="auto"/>
        </w:rPr>
      </w:pPr>
      <w:r>
        <w:rPr>
          <w:rFonts w:ascii="Arial" w:cs="Arial" w:eastAsia="Arial" w:hAnsi="Arial"/>
          <w:sz w:val="16"/>
          <w:szCs w:val="16"/>
          <w:color w:val="074A75"/>
        </w:rPr>
        <w:t>Pages 53-64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17145" cy="603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7"/>
          <w:szCs w:val="17"/>
          <w:color w:val="074A75"/>
        </w:rPr>
        <w:t>2020 Business Results</w:t>
      </w:r>
    </w:p>
    <w:p>
      <w:pPr>
        <w:spacing w:after="0" w:line="18" w:lineRule="exact"/>
        <w:rPr>
          <w:sz w:val="20"/>
          <w:szCs w:val="20"/>
          <w:color w:val="auto"/>
        </w:rPr>
      </w:pPr>
    </w:p>
    <w:p>
      <w:pPr>
        <w:ind w:left="20" w:right="20"/>
        <w:spacing w:after="0" w:line="247" w:lineRule="auto"/>
        <w:rPr>
          <w:sz w:val="20"/>
          <w:szCs w:val="20"/>
          <w:color w:val="auto"/>
        </w:rPr>
      </w:pPr>
      <w:r>
        <w:rPr>
          <w:rFonts w:ascii="Arial" w:cs="Arial" w:eastAsia="Arial" w:hAnsi="Arial"/>
          <w:sz w:val="14"/>
          <w:szCs w:val="14"/>
          <w:color w:val="242424"/>
        </w:rPr>
        <w:t>The Firm continued to build upon its strong momentum from prior years amid the unprecedented health and economic consequences of COVID-19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645"/>
        </w:trPr>
        <w:tc>
          <w:tcPr>
            <w:tcW w:w="1600" w:type="dxa"/>
            <w:vAlign w:val="bottom"/>
            <w:tcBorders>
              <w:top w:val="single" w:sz="8" w:color="EEEFEF"/>
            </w:tcBorders>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29.1</w:t>
            </w:r>
            <w:r>
              <w:rPr>
                <w:rFonts w:ascii="Arial" w:cs="Arial" w:eastAsia="Arial" w:hAnsi="Arial"/>
                <w:sz w:val="23"/>
                <w:szCs w:val="23"/>
                <w:color w:val="074A75"/>
                <w:w w:val="95"/>
              </w:rPr>
              <w:t>B</w:t>
            </w:r>
          </w:p>
        </w:tc>
        <w:tc>
          <w:tcPr>
            <w:tcW w:w="100" w:type="dxa"/>
            <w:vAlign w:val="bottom"/>
            <w:tcBorders>
              <w:top w:val="single" w:sz="8" w:color="EEEFEF"/>
            </w:tcBorders>
            <w:shd w:val="clear" w:color="auto" w:fill="EEEFEF"/>
          </w:tcPr>
          <w:p>
            <w:pPr>
              <w:spacing w:after="0"/>
              <w:rPr>
                <w:sz w:val="24"/>
                <w:szCs w:val="24"/>
                <w:color w:val="auto"/>
              </w:rPr>
            </w:pPr>
          </w:p>
        </w:tc>
        <w:tc>
          <w:tcPr>
            <w:tcW w:w="1620" w:type="dxa"/>
            <w:vAlign w:val="bottom"/>
            <w:tcBorders>
              <w:top w:val="single" w:sz="8" w:color="EEEFEF"/>
            </w:tcBorders>
          </w:tcPr>
          <w:p>
            <w:pPr>
              <w:jc w:val="center"/>
              <w:spacing w:after="0"/>
              <w:rPr>
                <w:sz w:val="20"/>
                <w:szCs w:val="20"/>
                <w:color w:val="auto"/>
              </w:rPr>
            </w:pPr>
            <w:r>
              <w:rPr>
                <w:rFonts w:ascii="Arial" w:cs="Arial" w:eastAsia="Arial" w:hAnsi="Arial"/>
                <w:sz w:val="39"/>
                <w:szCs w:val="39"/>
                <w:color w:val="074A75"/>
                <w:w w:val="93"/>
                <w:vertAlign w:val="superscript"/>
              </w:rPr>
              <w:t>$</w:t>
            </w:r>
            <w:r>
              <w:rPr>
                <w:rFonts w:ascii="Arial" w:cs="Arial" w:eastAsia="Arial" w:hAnsi="Arial"/>
                <w:sz w:val="31"/>
                <w:szCs w:val="31"/>
                <w:color w:val="074A75"/>
                <w:w w:val="93"/>
              </w:rPr>
              <w:t>8.88</w:t>
            </w:r>
          </w:p>
        </w:tc>
      </w:tr>
      <w:tr>
        <w:trPr>
          <w:trHeight w:val="184"/>
        </w:trPr>
        <w:tc>
          <w:tcPr>
            <w:tcW w:w="1600" w:type="dxa"/>
            <w:vAlign w:val="bottom"/>
          </w:tcPr>
          <w:p>
            <w:pPr>
              <w:jc w:val="center"/>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EEEFEF"/>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w w:val="99"/>
              </w:rPr>
              <w:t>EPS</w:t>
            </w:r>
          </w:p>
        </w:tc>
      </w:tr>
      <w:tr>
        <w:trPr>
          <w:trHeight w:val="272"/>
        </w:trPr>
        <w:tc>
          <w:tcPr>
            <w:tcW w:w="1600" w:type="dxa"/>
            <w:vAlign w:val="bottom"/>
            <w:tcBorders>
              <w:bottom w:val="single" w:sz="8" w:color="EEEFEF"/>
            </w:tcBorders>
          </w:tcPr>
          <w:p>
            <w:pPr>
              <w:spacing w:after="0"/>
              <w:rPr>
                <w:sz w:val="23"/>
                <w:szCs w:val="23"/>
                <w:color w:val="auto"/>
              </w:rPr>
            </w:pPr>
          </w:p>
        </w:tc>
        <w:tc>
          <w:tcPr>
            <w:tcW w:w="100" w:type="dxa"/>
            <w:vAlign w:val="bottom"/>
            <w:tcBorders>
              <w:bottom w:val="single" w:sz="8" w:color="EEEFEF"/>
            </w:tcBorders>
            <w:shd w:val="clear" w:color="auto" w:fill="EEEFEF"/>
          </w:tcPr>
          <w:p>
            <w:pPr>
              <w:spacing w:after="0"/>
              <w:rPr>
                <w:sz w:val="23"/>
                <w:szCs w:val="23"/>
                <w:color w:val="auto"/>
              </w:rPr>
            </w:pPr>
          </w:p>
        </w:tc>
        <w:tc>
          <w:tcPr>
            <w:tcW w:w="1620" w:type="dxa"/>
            <w:vAlign w:val="bottom"/>
            <w:tcBorders>
              <w:bottom w:val="single" w:sz="8" w:color="EEEFEF"/>
            </w:tcBorders>
          </w:tcPr>
          <w:p>
            <w:pPr>
              <w:spacing w:after="0"/>
              <w:rPr>
                <w:sz w:val="23"/>
                <w:szCs w:val="23"/>
                <w:color w:val="auto"/>
              </w:rPr>
            </w:pPr>
          </w:p>
        </w:tc>
      </w:tr>
      <w:tr>
        <w:trPr>
          <w:trHeight w:val="666"/>
        </w:trPr>
        <w:tc>
          <w:tcPr>
            <w:tcW w:w="1600" w:type="dxa"/>
            <w:vAlign w:val="bottom"/>
          </w:tcPr>
          <w:p>
            <w:pPr>
              <w:jc w:val="center"/>
              <w:spacing w:after="0"/>
              <w:rPr>
                <w:sz w:val="20"/>
                <w:szCs w:val="20"/>
                <w:color w:val="auto"/>
              </w:rPr>
            </w:pPr>
            <w:r>
              <w:rPr>
                <w:rFonts w:ascii="Arial" w:cs="Arial" w:eastAsia="Arial" w:hAnsi="Arial"/>
                <w:sz w:val="31"/>
                <w:szCs w:val="31"/>
                <w:color w:val="074A75"/>
                <w:w w:val="86"/>
              </w:rPr>
              <w:t>12</w:t>
            </w:r>
            <w:r>
              <w:rPr>
                <w:rFonts w:ascii="Arial" w:cs="Arial" w:eastAsia="Arial" w:hAnsi="Arial"/>
                <w:sz w:val="39"/>
                <w:szCs w:val="39"/>
                <w:color w:val="074A75"/>
                <w:w w:val="86"/>
                <w:vertAlign w:val="superscript"/>
              </w:rPr>
              <w:t>%</w:t>
            </w:r>
            <w:r>
              <w:rPr>
                <w:rFonts w:ascii="Arial" w:cs="Arial" w:eastAsia="Arial" w:hAnsi="Arial"/>
                <w:sz w:val="31"/>
                <w:szCs w:val="31"/>
                <w:color w:val="074A75"/>
                <w:w w:val="86"/>
              </w:rPr>
              <w:t xml:space="preserve"> | 14</w:t>
            </w:r>
            <w:r>
              <w:rPr>
                <w:rFonts w:ascii="Arial" w:cs="Arial" w:eastAsia="Arial" w:hAnsi="Arial"/>
                <w:sz w:val="39"/>
                <w:szCs w:val="39"/>
                <w:color w:val="074A75"/>
                <w:w w:val="86"/>
                <w:vertAlign w:val="superscript"/>
              </w:rPr>
              <w:t>%</w:t>
            </w:r>
          </w:p>
        </w:tc>
        <w:tc>
          <w:tcPr>
            <w:tcW w:w="100" w:type="dxa"/>
            <w:vAlign w:val="bottom"/>
            <w:shd w:val="clear" w:color="auto" w:fill="EEEFEF"/>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16.3</w:t>
            </w:r>
            <w:r>
              <w:rPr>
                <w:rFonts w:ascii="Arial" w:cs="Arial" w:eastAsia="Arial" w:hAnsi="Arial"/>
                <w:sz w:val="23"/>
                <w:szCs w:val="23"/>
                <w:color w:val="074A75"/>
                <w:w w:val="95"/>
              </w:rPr>
              <w:t>B</w:t>
            </w:r>
          </w:p>
        </w:tc>
      </w:tr>
      <w:tr>
        <w:trPr>
          <w:trHeight w:val="203"/>
        </w:trPr>
        <w:tc>
          <w:tcPr>
            <w:tcW w:w="1600" w:type="dxa"/>
            <w:vAlign w:val="bottom"/>
          </w:tcPr>
          <w:p>
            <w:pPr>
              <w:ind w:left="360"/>
              <w:spacing w:after="0" w:line="203" w:lineRule="exact"/>
              <w:rPr>
                <w:sz w:val="20"/>
                <w:szCs w:val="20"/>
                <w:color w:val="auto"/>
              </w:rPr>
            </w:pPr>
            <w:r>
              <w:rPr>
                <w:rFonts w:ascii="Arial" w:cs="Arial" w:eastAsia="Arial" w:hAnsi="Arial"/>
                <w:sz w:val="15"/>
                <w:szCs w:val="15"/>
                <w:color w:val="auto"/>
              </w:rPr>
              <w:t>ROE ROTCE</w:t>
            </w:r>
            <w:r>
              <w:rPr>
                <w:rFonts w:ascii="Arial" w:cs="Arial" w:eastAsia="Arial" w:hAnsi="Arial"/>
                <w:sz w:val="19"/>
                <w:szCs w:val="19"/>
                <w:color w:val="auto"/>
                <w:vertAlign w:val="superscript"/>
              </w:rPr>
              <w:t>1</w:t>
            </w:r>
          </w:p>
        </w:tc>
        <w:tc>
          <w:tcPr>
            <w:tcW w:w="100" w:type="dxa"/>
            <w:vAlign w:val="bottom"/>
            <w:shd w:val="clear" w:color="auto" w:fill="EEEFEF"/>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rPr>
              <w:t>NET CAPITAL</w:t>
            </w:r>
          </w:p>
        </w:tc>
      </w:tr>
      <w:tr>
        <w:trPr>
          <w:trHeight w:val="255"/>
        </w:trPr>
        <w:tc>
          <w:tcPr>
            <w:tcW w:w="1600" w:type="dxa"/>
            <w:vAlign w:val="bottom"/>
          </w:tcPr>
          <w:p>
            <w:pPr>
              <w:spacing w:after="0"/>
              <w:rPr>
                <w:sz w:val="22"/>
                <w:szCs w:val="22"/>
                <w:color w:val="auto"/>
              </w:rPr>
            </w:pPr>
          </w:p>
        </w:tc>
        <w:tc>
          <w:tcPr>
            <w:tcW w:w="100" w:type="dxa"/>
            <w:vAlign w:val="bottom"/>
            <w:shd w:val="clear" w:color="auto" w:fill="EEEFEF"/>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5"/>
                <w:szCs w:val="15"/>
                <w:color w:val="auto"/>
                <w:w w:val="99"/>
              </w:rPr>
              <w:t>DISTRIBUTIONS</w:t>
            </w:r>
            <w:r>
              <w:rPr>
                <w:rFonts w:ascii="Arial" w:cs="Arial" w:eastAsia="Arial" w:hAnsi="Arial"/>
                <w:sz w:val="19"/>
                <w:szCs w:val="19"/>
                <w:color w:val="auto"/>
                <w:w w:val="99"/>
                <w:vertAlign w:val="superscript"/>
              </w:rPr>
              <w:t>2</w:t>
            </w:r>
          </w:p>
        </w:tc>
      </w:tr>
      <w:tr>
        <w:trPr>
          <w:trHeight w:val="38"/>
        </w:trPr>
        <w:tc>
          <w:tcPr>
            <w:tcW w:w="1600" w:type="dxa"/>
            <w:vAlign w:val="bottom"/>
          </w:tcPr>
          <w:p>
            <w:pPr>
              <w:spacing w:after="0"/>
              <w:rPr>
                <w:sz w:val="3"/>
                <w:szCs w:val="3"/>
                <w:color w:val="auto"/>
              </w:rPr>
            </w:pPr>
          </w:p>
        </w:tc>
        <w:tc>
          <w:tcPr>
            <w:tcW w:w="100" w:type="dxa"/>
            <w:vAlign w:val="bottom"/>
            <w:shd w:val="clear" w:color="auto" w:fill="EEEFEF"/>
          </w:tcPr>
          <w:p>
            <w:pPr>
              <w:spacing w:after="0"/>
              <w:rPr>
                <w:sz w:val="3"/>
                <w:szCs w:val="3"/>
                <w:color w:val="auto"/>
              </w:rPr>
            </w:pPr>
          </w:p>
        </w:tc>
        <w:tc>
          <w:tcPr>
            <w:tcW w:w="1620" w:type="dxa"/>
            <w:vAlign w:val="bottom"/>
          </w:tcPr>
          <w:p>
            <w:pPr>
              <w:spacing w:after="0"/>
              <w:rPr>
                <w:sz w:val="3"/>
                <w:szCs w:val="3"/>
                <w:color w:val="auto"/>
              </w:rPr>
            </w:pPr>
          </w:p>
        </w:tc>
      </w:tr>
      <w:tr>
        <w:trPr>
          <w:trHeight w:val="756"/>
        </w:trPr>
        <w:tc>
          <w:tcPr>
            <w:tcW w:w="1600" w:type="dxa"/>
            <w:vAlign w:val="bottom"/>
            <w:shd w:val="clear" w:color="auto" w:fill="EEEFEF"/>
          </w:tcPr>
          <w:p>
            <w:pPr>
              <w:spacing w:after="0"/>
              <w:rPr>
                <w:sz w:val="24"/>
                <w:szCs w:val="24"/>
                <w:color w:val="auto"/>
              </w:rPr>
            </w:pPr>
          </w:p>
        </w:tc>
        <w:tc>
          <w:tcPr>
            <w:tcW w:w="100" w:type="dxa"/>
            <w:vAlign w:val="bottom"/>
            <w:shd w:val="clear" w:color="auto" w:fill="EEEFEF"/>
          </w:tcPr>
          <w:p>
            <w:pPr>
              <w:spacing w:after="0"/>
              <w:rPr>
                <w:sz w:val="24"/>
                <w:szCs w:val="24"/>
                <w:color w:val="auto"/>
              </w:rPr>
            </w:pPr>
          </w:p>
        </w:tc>
        <w:tc>
          <w:tcPr>
            <w:tcW w:w="1620" w:type="dxa"/>
            <w:vAlign w:val="bottom"/>
            <w:shd w:val="clear" w:color="auto" w:fill="EEEFE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74A75"/>
        </w:rPr>
        <w:t>Risk, Controls &amp; Conduct</w:t>
      </w:r>
    </w:p>
    <w:p>
      <w:pPr>
        <w:spacing w:after="0" w:line="23" w:lineRule="exact"/>
        <w:rPr>
          <w:sz w:val="20"/>
          <w:szCs w:val="20"/>
          <w:color w:val="auto"/>
        </w:rPr>
      </w:pPr>
    </w:p>
    <w:p>
      <w:pPr>
        <w:ind w:left="180" w:hanging="180"/>
        <w:spacing w:after="0"/>
        <w:tabs>
          <w:tab w:leader="none" w:pos="180" w:val="left"/>
        </w:tabs>
        <w:numPr>
          <w:ilvl w:val="0"/>
          <w:numId w:val="105"/>
        </w:numPr>
        <w:rPr>
          <w:rFonts w:ascii="Arial" w:cs="Arial" w:eastAsia="Arial" w:hAnsi="Arial"/>
          <w:sz w:val="15"/>
          <w:szCs w:val="15"/>
          <w:color w:val="074A75"/>
        </w:rPr>
      </w:pPr>
      <w:r>
        <w:rPr>
          <w:rFonts w:ascii="Arial" w:cs="Arial" w:eastAsia="Arial" w:hAnsi="Arial"/>
          <w:sz w:val="15"/>
          <w:szCs w:val="15"/>
          <w:color w:val="auto"/>
        </w:rPr>
        <w:t>Continued to invest in our cyber defense capabilities, training and partnerships</w:t>
      </w:r>
    </w:p>
    <w:p>
      <w:pPr>
        <w:spacing w:after="0" w:line="30" w:lineRule="exact"/>
        <w:rPr>
          <w:rFonts w:ascii="Arial" w:cs="Arial" w:eastAsia="Arial" w:hAnsi="Arial"/>
          <w:sz w:val="15"/>
          <w:szCs w:val="15"/>
          <w:color w:val="074A75"/>
        </w:rPr>
      </w:pPr>
    </w:p>
    <w:p>
      <w:pPr>
        <w:ind w:left="200" w:right="140" w:hanging="200"/>
        <w:spacing w:after="0" w:line="251" w:lineRule="auto"/>
        <w:tabs>
          <w:tab w:leader="none" w:pos="194" w:val="left"/>
        </w:tabs>
        <w:numPr>
          <w:ilvl w:val="0"/>
          <w:numId w:val="105"/>
        </w:numPr>
        <w:rPr>
          <w:rFonts w:ascii="Arial" w:cs="Arial" w:eastAsia="Arial" w:hAnsi="Arial"/>
          <w:sz w:val="15"/>
          <w:szCs w:val="15"/>
          <w:color w:val="074A75"/>
        </w:rPr>
      </w:pPr>
      <w:r>
        <w:rPr>
          <w:rFonts w:ascii="Arial" w:cs="Arial" w:eastAsia="Arial" w:hAnsi="Arial"/>
          <w:sz w:val="15"/>
          <w:szCs w:val="15"/>
          <w:color w:val="auto"/>
        </w:rPr>
        <w:t>Continued to enhance risk, controls and conduct information provided to managers to use during performance reviews and employee conduct inquiry &amp; investigation processes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74A75"/>
        </w:rPr>
        <w:t>Client/Customer/Stakeholder</w:t>
      </w:r>
    </w:p>
    <w:p>
      <w:pPr>
        <w:spacing w:after="0" w:line="7" w:lineRule="exact"/>
        <w:rPr>
          <w:sz w:val="20"/>
          <w:szCs w:val="20"/>
          <w:color w:val="auto"/>
        </w:rPr>
      </w:pPr>
    </w:p>
    <w:p>
      <w:pPr>
        <w:ind w:left="180" w:hanging="180"/>
        <w:spacing w:after="0"/>
        <w:tabs>
          <w:tab w:leader="none" w:pos="180" w:val="left"/>
        </w:tabs>
        <w:numPr>
          <w:ilvl w:val="0"/>
          <w:numId w:val="106"/>
        </w:numPr>
        <w:rPr>
          <w:rFonts w:ascii="Arial" w:cs="Arial" w:eastAsia="Arial" w:hAnsi="Arial"/>
          <w:sz w:val="15"/>
          <w:szCs w:val="15"/>
          <w:color w:val="074A75"/>
        </w:rPr>
      </w:pPr>
      <w:r>
        <w:rPr>
          <w:rFonts w:ascii="Arial" w:cs="Arial" w:eastAsia="Arial" w:hAnsi="Arial"/>
          <w:sz w:val="15"/>
          <w:szCs w:val="15"/>
          <w:color w:val="auto"/>
        </w:rPr>
        <w:t>Examples of external recognition</w:t>
      </w:r>
      <w:r>
        <w:rPr>
          <w:rFonts w:ascii="Arial" w:cs="Arial" w:eastAsia="Arial" w:hAnsi="Arial"/>
          <w:sz w:val="19"/>
          <w:szCs w:val="19"/>
          <w:color w:val="auto"/>
          <w:vertAlign w:val="superscript"/>
        </w:rPr>
        <w:t>3</w:t>
      </w:r>
      <w:r>
        <w:rPr>
          <w:rFonts w:ascii="Arial" w:cs="Arial" w:eastAsia="Arial" w:hAnsi="Arial"/>
          <w:sz w:val="15"/>
          <w:szCs w:val="15"/>
          <w:color w:val="auto"/>
        </w:rPr>
        <w:t xml:space="preserve"> we received in 2020 include:</w:t>
      </w:r>
    </w:p>
    <w:p>
      <w:pPr>
        <w:ind w:left="380" w:hanging="186"/>
        <w:spacing w:after="0"/>
        <w:tabs>
          <w:tab w:leader="none" w:pos="380" w:val="left"/>
        </w:tabs>
        <w:numPr>
          <w:ilvl w:val="1"/>
          <w:numId w:val="106"/>
        </w:numPr>
        <w:rPr>
          <w:rFonts w:ascii="Arial" w:cs="Arial" w:eastAsia="Arial" w:hAnsi="Arial"/>
          <w:sz w:val="15"/>
          <w:szCs w:val="15"/>
          <w:color w:val="074A75"/>
        </w:rPr>
      </w:pPr>
      <w:r>
        <w:rPr>
          <w:rFonts w:ascii="Arial" w:cs="Arial" w:eastAsia="Arial" w:hAnsi="Arial"/>
          <w:sz w:val="15"/>
          <w:szCs w:val="15"/>
          <w:b w:val="1"/>
          <w:bCs w:val="1"/>
          <w:color w:val="auto"/>
        </w:rPr>
        <w:t xml:space="preserve">CCB: </w:t>
      </w:r>
      <w:r>
        <w:rPr>
          <w:rFonts w:ascii="Arial" w:cs="Arial" w:eastAsia="Arial" w:hAnsi="Arial"/>
          <w:sz w:val="15"/>
          <w:szCs w:val="15"/>
          <w:color w:val="auto"/>
        </w:rPr>
        <w:t>#1 primary bank within Chase footprint</w:t>
      </w:r>
    </w:p>
    <w:p>
      <w:pPr>
        <w:spacing w:after="0" w:line="11" w:lineRule="exact"/>
        <w:rPr>
          <w:rFonts w:ascii="Arial" w:cs="Arial" w:eastAsia="Arial" w:hAnsi="Arial"/>
          <w:sz w:val="15"/>
          <w:szCs w:val="15"/>
          <w:color w:val="074A75"/>
        </w:rPr>
      </w:pPr>
    </w:p>
    <w:p>
      <w:pPr>
        <w:ind w:left="380" w:hanging="186"/>
        <w:spacing w:after="0"/>
        <w:tabs>
          <w:tab w:leader="none" w:pos="380" w:val="left"/>
        </w:tabs>
        <w:numPr>
          <w:ilvl w:val="1"/>
          <w:numId w:val="106"/>
        </w:numPr>
        <w:rPr>
          <w:rFonts w:ascii="Arial" w:cs="Arial" w:eastAsia="Arial" w:hAnsi="Arial"/>
          <w:sz w:val="15"/>
          <w:szCs w:val="15"/>
          <w:color w:val="074A75"/>
        </w:rPr>
      </w:pPr>
      <w:r>
        <w:rPr>
          <w:rFonts w:ascii="Arial" w:cs="Arial" w:eastAsia="Arial" w:hAnsi="Arial"/>
          <w:sz w:val="15"/>
          <w:szCs w:val="15"/>
          <w:b w:val="1"/>
          <w:bCs w:val="1"/>
          <w:color w:val="auto"/>
        </w:rPr>
        <w:t xml:space="preserve">CIB: </w:t>
      </w:r>
      <w:r>
        <w:rPr>
          <w:rFonts w:ascii="Arial" w:cs="Arial" w:eastAsia="Arial" w:hAnsi="Arial"/>
          <w:sz w:val="15"/>
          <w:szCs w:val="15"/>
          <w:color w:val="auto"/>
        </w:rPr>
        <w:t>#1 in Markets revenue and Investment Banking fees</w:t>
      </w:r>
    </w:p>
    <w:p>
      <w:pPr>
        <w:spacing w:after="0" w:line="16" w:lineRule="exact"/>
        <w:rPr>
          <w:rFonts w:ascii="Arial" w:cs="Arial" w:eastAsia="Arial" w:hAnsi="Arial"/>
          <w:sz w:val="15"/>
          <w:szCs w:val="15"/>
          <w:color w:val="074A75"/>
        </w:rPr>
      </w:pPr>
    </w:p>
    <w:p>
      <w:pPr>
        <w:ind w:left="380" w:hanging="186"/>
        <w:spacing w:after="0"/>
        <w:tabs>
          <w:tab w:leader="none" w:pos="380" w:val="left"/>
        </w:tabs>
        <w:numPr>
          <w:ilvl w:val="1"/>
          <w:numId w:val="106"/>
        </w:numPr>
        <w:rPr>
          <w:rFonts w:ascii="Arial" w:cs="Arial" w:eastAsia="Arial" w:hAnsi="Arial"/>
          <w:sz w:val="15"/>
          <w:szCs w:val="15"/>
          <w:color w:val="074A75"/>
        </w:rPr>
      </w:pPr>
      <w:r>
        <w:rPr>
          <w:rFonts w:ascii="Arial" w:cs="Arial" w:eastAsia="Arial" w:hAnsi="Arial"/>
          <w:sz w:val="15"/>
          <w:szCs w:val="15"/>
          <w:b w:val="1"/>
          <w:bCs w:val="1"/>
          <w:color w:val="auto"/>
        </w:rPr>
        <w:t xml:space="preserve">CB: </w:t>
      </w:r>
      <w:r>
        <w:rPr>
          <w:rFonts w:ascii="Arial" w:cs="Arial" w:eastAsia="Arial" w:hAnsi="Arial"/>
          <w:sz w:val="15"/>
          <w:szCs w:val="15"/>
          <w:color w:val="auto"/>
        </w:rPr>
        <w:t>#1 multifamily lender</w:t>
      </w:r>
    </w:p>
    <w:p>
      <w:pPr>
        <w:spacing w:after="0" w:line="16" w:lineRule="exact"/>
        <w:rPr>
          <w:rFonts w:ascii="Arial" w:cs="Arial" w:eastAsia="Arial" w:hAnsi="Arial"/>
          <w:sz w:val="15"/>
          <w:szCs w:val="15"/>
          <w:color w:val="074A75"/>
        </w:rPr>
      </w:pPr>
    </w:p>
    <w:p>
      <w:pPr>
        <w:ind w:left="380" w:hanging="186"/>
        <w:spacing w:after="0"/>
        <w:tabs>
          <w:tab w:leader="none" w:pos="380" w:val="left"/>
        </w:tabs>
        <w:numPr>
          <w:ilvl w:val="1"/>
          <w:numId w:val="106"/>
        </w:numPr>
        <w:rPr>
          <w:rFonts w:ascii="Arial" w:cs="Arial" w:eastAsia="Arial" w:hAnsi="Arial"/>
          <w:sz w:val="15"/>
          <w:szCs w:val="15"/>
          <w:color w:val="074A75"/>
        </w:rPr>
      </w:pPr>
      <w:r>
        <w:rPr>
          <w:rFonts w:ascii="Arial" w:cs="Arial" w:eastAsia="Arial" w:hAnsi="Arial"/>
          <w:sz w:val="15"/>
          <w:szCs w:val="15"/>
          <w:b w:val="1"/>
          <w:bCs w:val="1"/>
          <w:color w:val="auto"/>
        </w:rPr>
        <w:t xml:space="preserve">AWM: </w:t>
      </w:r>
      <w:r>
        <w:rPr>
          <w:rFonts w:ascii="Arial" w:cs="Arial" w:eastAsia="Arial" w:hAnsi="Arial"/>
          <w:sz w:val="15"/>
          <w:szCs w:val="15"/>
          <w:color w:val="auto"/>
        </w:rPr>
        <w:t>Best Private Bank in the World</w:t>
      </w:r>
    </w:p>
    <w:p>
      <w:pPr>
        <w:spacing w:after="0" w:line="34" w:lineRule="exact"/>
        <w:rPr>
          <w:rFonts w:ascii="Arial" w:cs="Arial" w:eastAsia="Arial" w:hAnsi="Arial"/>
          <w:sz w:val="15"/>
          <w:szCs w:val="15"/>
          <w:color w:val="074A75"/>
        </w:rPr>
      </w:pPr>
    </w:p>
    <w:p>
      <w:pPr>
        <w:ind w:left="200" w:right="380" w:hanging="200"/>
        <w:spacing w:after="0" w:line="249" w:lineRule="auto"/>
        <w:tabs>
          <w:tab w:leader="none" w:pos="194" w:val="left"/>
        </w:tabs>
        <w:numPr>
          <w:ilvl w:val="0"/>
          <w:numId w:val="106"/>
        </w:numPr>
        <w:rPr>
          <w:rFonts w:ascii="Arial" w:cs="Arial" w:eastAsia="Arial" w:hAnsi="Arial"/>
          <w:sz w:val="15"/>
          <w:szCs w:val="15"/>
          <w:color w:val="074A75"/>
        </w:rPr>
      </w:pPr>
      <w:r>
        <w:rPr>
          <w:rFonts w:ascii="Arial" w:cs="Arial" w:eastAsia="Arial" w:hAnsi="Arial"/>
          <w:sz w:val="15"/>
          <w:szCs w:val="15"/>
          <w:color w:val="auto"/>
        </w:rPr>
        <w:t>Continued to make investments in enhancing client/customer experience through new and expanded digital capabilities, and to promote inclusive, sustainable growth and opportunity in communities where we operate</w:t>
      </w:r>
    </w:p>
    <w:p>
      <w:pPr>
        <w:spacing w:after="0"/>
        <w:rPr>
          <w:sz w:val="20"/>
          <w:szCs w:val="20"/>
          <w:color w:val="auto"/>
        </w:rPr>
      </w:pPr>
      <w:r>
        <w:rPr>
          <w:rFonts w:ascii="Arial" w:cs="Arial" w:eastAsia="Arial" w:hAnsi="Arial"/>
          <w:sz w:val="17"/>
          <w:szCs w:val="17"/>
          <w:color w:val="074A75"/>
        </w:rPr>
        <w:t>Teamwork &amp; Leadership</w:t>
      </w:r>
    </w:p>
    <w:p>
      <w:pPr>
        <w:spacing w:after="0" w:line="37" w:lineRule="exact"/>
        <w:rPr>
          <w:sz w:val="20"/>
          <w:szCs w:val="20"/>
          <w:color w:val="auto"/>
        </w:rPr>
      </w:pPr>
    </w:p>
    <w:p>
      <w:pPr>
        <w:ind w:left="200" w:right="620" w:hanging="200"/>
        <w:spacing w:after="0" w:line="253" w:lineRule="auto"/>
        <w:tabs>
          <w:tab w:leader="none" w:pos="194" w:val="left"/>
        </w:tabs>
        <w:numPr>
          <w:ilvl w:val="0"/>
          <w:numId w:val="107"/>
        </w:numPr>
        <w:rPr>
          <w:rFonts w:ascii="Arial" w:cs="Arial" w:eastAsia="Arial" w:hAnsi="Arial"/>
          <w:sz w:val="15"/>
          <w:szCs w:val="15"/>
          <w:color w:val="074A75"/>
        </w:rPr>
      </w:pPr>
      <w:r>
        <w:rPr>
          <w:rFonts w:ascii="Arial" w:cs="Arial" w:eastAsia="Arial" w:hAnsi="Arial"/>
          <w:sz w:val="15"/>
          <w:szCs w:val="15"/>
          <w:color w:val="auto"/>
        </w:rPr>
        <w:t>Continued to invest in succession planning; diversity, equity and inclusion; leadership and employee growth; and benefits &amp; wellness best practices, including COVID-19 support</w:t>
      </w:r>
    </w:p>
    <w:p>
      <w:pPr>
        <w:ind w:left="180" w:hanging="180"/>
        <w:spacing w:after="0"/>
        <w:tabs>
          <w:tab w:leader="none" w:pos="180" w:val="left"/>
        </w:tabs>
        <w:numPr>
          <w:ilvl w:val="0"/>
          <w:numId w:val="107"/>
        </w:numPr>
        <w:rPr>
          <w:rFonts w:ascii="Arial" w:cs="Arial" w:eastAsia="Arial" w:hAnsi="Arial"/>
          <w:sz w:val="15"/>
          <w:szCs w:val="15"/>
          <w:color w:val="074A75"/>
        </w:rPr>
      </w:pPr>
      <w:r>
        <w:rPr>
          <w:rFonts w:ascii="Arial" w:cs="Arial" w:eastAsia="Arial" w:hAnsi="Arial"/>
          <w:sz w:val="15"/>
          <w:szCs w:val="15"/>
          <w:color w:val="auto"/>
        </w:rPr>
        <w:t>Dedicated to a culture that enables leaders and their teams to grow and succeed</w:t>
      </w:r>
    </w:p>
    <w:p>
      <w:pPr>
        <w:spacing w:after="0" w:line="16" w:lineRule="exact"/>
        <w:rPr>
          <w:rFonts w:ascii="Arial" w:cs="Arial" w:eastAsia="Arial" w:hAnsi="Arial"/>
          <w:sz w:val="15"/>
          <w:szCs w:val="15"/>
          <w:color w:val="074A75"/>
        </w:rPr>
      </w:pPr>
    </w:p>
    <w:p>
      <w:pPr>
        <w:ind w:left="180" w:hanging="180"/>
        <w:spacing w:after="0"/>
        <w:tabs>
          <w:tab w:leader="none" w:pos="180" w:val="left"/>
        </w:tabs>
        <w:numPr>
          <w:ilvl w:val="0"/>
          <w:numId w:val="107"/>
        </w:numPr>
        <w:rPr>
          <w:rFonts w:ascii="Arial" w:cs="Arial" w:eastAsia="Arial" w:hAnsi="Arial"/>
          <w:sz w:val="15"/>
          <w:szCs w:val="15"/>
          <w:color w:val="074A75"/>
        </w:rPr>
      </w:pPr>
      <w:r>
        <w:rPr>
          <w:rFonts w:ascii="Arial" w:cs="Arial" w:eastAsia="Arial" w:hAnsi="Arial"/>
          <w:sz w:val="15"/>
          <w:szCs w:val="15"/>
          <w:color w:val="auto"/>
        </w:rPr>
        <w:t>Expanded the Operating Committee, which includes diverse 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372745</wp:posOffset>
            </wp:positionV>
            <wp:extent cx="7123430" cy="603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23430" cy="60325"/>
                    </a:xfrm>
                    <a:prstGeom prst="rect">
                      <a:avLst/>
                    </a:prstGeom>
                    <a:noFill/>
                  </pic:spPr>
                </pic:pic>
              </a:graphicData>
            </a:graphic>
          </wp:anchor>
        </w:drawing>
      </w:r>
    </w:p>
    <w:p>
      <w:pPr>
        <w:spacing w:after="0" w:line="651" w:lineRule="exact"/>
        <w:rPr>
          <w:sz w:val="20"/>
          <w:szCs w:val="20"/>
          <w:color w:val="auto"/>
        </w:rPr>
      </w:pPr>
    </w:p>
    <w:p>
      <w:pPr>
        <w:sectPr>
          <w:pgSz w:w="11900" w:h="16838" w:orient="portrait"/>
          <w:cols w:equalWidth="0" w:num="3">
            <w:col w:w="660" w:space="260"/>
            <w:col w:w="3320" w:space="160"/>
            <w:col w:w="6840"/>
          </w:cols>
          <w:pgMar w:left="320" w:top="171" w:right="339" w:bottom="1440" w:gutter="0" w:footer="0" w:header="0"/>
          <w:type w:val="continuous"/>
        </w:sectPr>
      </w:pPr>
    </w:p>
    <w:p>
      <w:pPr>
        <w:spacing w:after="0" w:line="60" w:lineRule="exact"/>
        <w:rPr>
          <w:sz w:val="20"/>
          <w:szCs w:val="20"/>
          <w:color w:val="auto"/>
        </w:rPr>
      </w:pPr>
    </w:p>
    <w:p>
      <w:pPr>
        <w:jc w:val="right"/>
        <w:spacing w:after="0"/>
        <w:rPr>
          <w:sz w:val="20"/>
          <w:szCs w:val="20"/>
          <w:color w:val="auto"/>
        </w:rPr>
      </w:pPr>
      <w:r>
        <w:rPr>
          <w:rFonts w:ascii="Arial" w:cs="Arial" w:eastAsia="Arial" w:hAnsi="Arial"/>
          <w:sz w:val="32"/>
          <w:szCs w:val="32"/>
          <w:color w:val="074A75"/>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right="80" w:hanging="44"/>
        <w:spacing w:after="0" w:line="260" w:lineRule="auto"/>
        <w:rPr>
          <w:sz w:val="20"/>
          <w:szCs w:val="20"/>
          <w:color w:val="auto"/>
        </w:rPr>
      </w:pPr>
      <w:r>
        <w:rPr>
          <w:rFonts w:ascii="Arial" w:cs="Arial" w:eastAsia="Arial" w:hAnsi="Arial"/>
          <w:sz w:val="16"/>
          <w:szCs w:val="16"/>
          <w:color w:val="074A75"/>
        </w:rPr>
        <w:t>Pages 65-71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PERFORMANCE DETERMINED PAY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-144780</wp:posOffset>
            </wp:positionV>
            <wp:extent cx="7140575" cy="18345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0575" cy="1834515"/>
                    </a:xfrm>
                    <a:prstGeom prst="rect">
                      <a:avLst/>
                    </a:prstGeom>
                    <a:noFill/>
                  </pic:spPr>
                </pic:pic>
              </a:graphicData>
            </a:graphic>
          </wp:anchor>
        </w:drawing>
      </w:r>
    </w:p>
    <w:p>
      <w:pPr>
        <w:spacing w:after="0" w:line="31" w:lineRule="exact"/>
        <w:rPr>
          <w:sz w:val="20"/>
          <w:szCs w:val="20"/>
          <w:color w:val="auto"/>
        </w:rPr>
      </w:pPr>
    </w:p>
    <w:p>
      <w:pPr>
        <w:ind w:right="300"/>
        <w:spacing w:after="0" w:line="249" w:lineRule="auto"/>
        <w:rPr>
          <w:sz w:val="20"/>
          <w:szCs w:val="20"/>
          <w:color w:val="auto"/>
        </w:rPr>
      </w:pPr>
      <w:r>
        <w:rPr>
          <w:rFonts w:ascii="Arial" w:cs="Arial" w:eastAsia="Arial" w:hAnsi="Arial"/>
          <w:sz w:val="15"/>
          <w:szCs w:val="15"/>
          <w:color w:val="auto"/>
        </w:rPr>
        <w:t xml:space="preserve">After considering the Firm’s consistently strong 2020 and multi-year performance against its business strategy under Mr. Dimon’s stewardship, the Board awarded him $ 31.5 million in total compensation for 2020 (unchanged from 2019). For 2020, compensation </w:t>
      </w:r>
      <w:r>
        <w:rPr>
          <w:rFonts w:ascii="Arial" w:cs="Arial" w:eastAsia="Arial" w:hAnsi="Arial"/>
          <w:sz w:val="15"/>
          <w:szCs w:val="15"/>
          <w:color w:val="auto"/>
          <w:shd w:val="clear" w:color="auto" w:fill="EFEFEF"/>
        </w:rPr>
        <w:t>awarded to the OC members also</w:t>
      </w:r>
      <w:r>
        <w:rPr>
          <w:rFonts w:ascii="Arial" w:cs="Arial" w:eastAsia="Arial" w:hAnsi="Arial"/>
          <w:sz w:val="15"/>
          <w:szCs w:val="15"/>
          <w:color w:val="auto"/>
        </w:rPr>
        <w:t xml:space="preserve"> </w:t>
      </w:r>
      <w:r>
        <w:rPr>
          <w:rFonts w:ascii="Arial" w:cs="Arial" w:eastAsia="Arial" w:hAnsi="Arial"/>
          <w:sz w:val="15"/>
          <w:szCs w:val="15"/>
          <w:color w:val="auto"/>
          <w:shd w:val="clear" w:color="auto" w:fill="EFEFEF"/>
        </w:rPr>
        <w:t>represents a balance between the outstanding efforts and performance of the Firm during COVID-19 with the impact of the pandemic on the Firm's other stakeholders</w:t>
      </w:r>
    </w:p>
    <w:p>
      <w:pPr>
        <w:spacing w:after="0" w:line="2029" w:lineRule="exact"/>
        <w:rPr>
          <w:sz w:val="20"/>
          <w:szCs w:val="20"/>
          <w:color w:val="auto"/>
        </w:rPr>
      </w:pPr>
    </w:p>
    <w:p>
      <w:pPr>
        <w:sectPr>
          <w:pgSz w:w="11900" w:h="16838" w:orient="portrait"/>
          <w:cols w:equalWidth="0" w:num="2">
            <w:col w:w="740" w:space="200"/>
            <w:col w:w="10300"/>
          </w:cols>
          <w:pgMar w:left="320" w:top="171" w:right="339" w:bottom="1440" w:gutter="0" w:footer="0" w:header="0"/>
          <w:type w:val="continuous"/>
        </w:sectPr>
      </w:pPr>
    </w:p>
    <w:p>
      <w:pPr>
        <w:ind w:left="200" w:hanging="192"/>
        <w:spacing w:after="0"/>
        <w:tabs>
          <w:tab w:leader="none" w:pos="200" w:val="left"/>
        </w:tabs>
        <w:numPr>
          <w:ilvl w:val="0"/>
          <w:numId w:val="108"/>
        </w:numPr>
        <w:rPr>
          <w:rFonts w:ascii="Arial" w:cs="Arial" w:eastAsia="Arial" w:hAnsi="Arial"/>
          <w:sz w:val="15"/>
          <w:szCs w:val="15"/>
          <w:color w:val="auto"/>
          <w:vertAlign w:val="superscript"/>
        </w:rPr>
      </w:pPr>
      <w:r>
        <w:rPr>
          <w:rFonts w:ascii="Arial" w:cs="Arial" w:eastAsia="Arial" w:hAnsi="Arial"/>
          <w:sz w:val="12"/>
          <w:szCs w:val="12"/>
          <w:color w:val="auto"/>
        </w:rPr>
        <w:t>ROTCE is a non-GAAP financial measure; refer to Note 1 on page 113 for a further discussion of this measure.</w:t>
      </w:r>
    </w:p>
    <w:p>
      <w:pPr>
        <w:ind w:left="200" w:hanging="192"/>
        <w:spacing w:after="0" w:line="187" w:lineRule="auto"/>
        <w:tabs>
          <w:tab w:leader="none" w:pos="200" w:val="left"/>
        </w:tabs>
        <w:numPr>
          <w:ilvl w:val="0"/>
          <w:numId w:val="109"/>
        </w:numPr>
        <w:rPr>
          <w:rFonts w:ascii="Arial" w:cs="Arial" w:eastAsia="Arial" w:hAnsi="Arial"/>
          <w:sz w:val="15"/>
          <w:szCs w:val="15"/>
          <w:color w:val="auto"/>
          <w:vertAlign w:val="superscript"/>
        </w:rPr>
      </w:pPr>
      <w:r>
        <w:rPr>
          <w:rFonts w:ascii="Arial" w:cs="Arial" w:eastAsia="Arial" w:hAnsi="Arial"/>
          <w:sz w:val="12"/>
          <w:szCs w:val="12"/>
          <w:color w:val="auto"/>
        </w:rPr>
        <w:t>Reflects common dividends and common stock repurchases, net of common stock issued to employees.</w:t>
      </w:r>
    </w:p>
    <w:p>
      <w:pPr>
        <w:ind w:left="200" w:hanging="192"/>
        <w:spacing w:after="0" w:line="188" w:lineRule="auto"/>
        <w:tabs>
          <w:tab w:leader="none" w:pos="200" w:val="left"/>
        </w:tabs>
        <w:numPr>
          <w:ilvl w:val="0"/>
          <w:numId w:val="110"/>
        </w:numPr>
        <w:rPr>
          <w:rFonts w:ascii="Arial" w:cs="Arial" w:eastAsia="Arial" w:hAnsi="Arial"/>
          <w:sz w:val="15"/>
          <w:szCs w:val="15"/>
          <w:color w:val="auto"/>
          <w:vertAlign w:val="superscript"/>
        </w:rPr>
      </w:pPr>
      <w:r>
        <w:rPr>
          <w:rFonts w:ascii="Arial" w:cs="Arial" w:eastAsia="Arial" w:hAnsi="Arial"/>
          <w:sz w:val="12"/>
          <w:szCs w:val="12"/>
          <w:color w:val="auto"/>
        </w:rPr>
        <w:t>For external recognition sources for CCB, CIB and AWM, refer to pages 68-70; CB recognition is from S&amp;P Global Market Intelligence as of December 31, 2020.</w:t>
      </w:r>
    </w:p>
    <w:p>
      <w:pPr>
        <w:spacing w:after="0" w:line="4" w:lineRule="exact"/>
        <w:rPr>
          <w:sz w:val="20"/>
          <w:szCs w:val="20"/>
          <w:color w:val="auto"/>
        </w:rPr>
      </w:pPr>
    </w:p>
    <w:p>
      <w:pPr>
        <w:ind w:left="200" w:right="20" w:hanging="192"/>
        <w:spacing w:after="0" w:line="212" w:lineRule="auto"/>
        <w:tabs>
          <w:tab w:leader="none" w:pos="196" w:val="left"/>
        </w:tabs>
        <w:numPr>
          <w:ilvl w:val="0"/>
          <w:numId w:val="111"/>
        </w:numPr>
        <w:rPr>
          <w:rFonts w:ascii="Arial" w:cs="Arial" w:eastAsia="Arial" w:hAnsi="Arial"/>
          <w:sz w:val="15"/>
          <w:szCs w:val="15"/>
          <w:color w:val="auto"/>
          <w:vertAlign w:val="superscript"/>
        </w:rPr>
      </w:pPr>
      <w:r>
        <w:rPr>
          <w:rFonts w:ascii="Arial" w:cs="Arial" w:eastAsia="Arial" w:hAnsi="Arial"/>
          <w:sz w:val="12"/>
          <w:szCs w:val="12"/>
          <w:color w:val="auto"/>
        </w:rPr>
        <w:t>Total compensation range for Other NEOs includes Mr. Pinto. Pay mix components for Other NEOs exclude Mr. Pinto. The terms and conditions of Mr. Pinto’s compensation reflect the requirements of E.U. and U.K. regulations. Refer to Note 1 on page 46 for additional information on Mr. Pinto’s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193040</wp:posOffset>
            </wp:positionV>
            <wp:extent cx="274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39  </w:t>
      </w:r>
      <w:r>
        <w:rPr>
          <w:sz w:val="1"/>
          <w:szCs w:val="1"/>
          <w:color w:val="auto"/>
        </w:rPr>
        <w:drawing>
          <wp:inline distT="0" distB="0" distL="0" distR="0">
            <wp:extent cx="2203450" cy="15430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28"/>
        </w:trPr>
        <w:tc>
          <w:tcPr>
            <w:tcW w:w="1440" w:type="dxa"/>
            <w:vAlign w:val="bottom"/>
            <w:vMerge w:val="restart"/>
            <w:shd w:val="clear" w:color="auto" w:fill="E7E7E8"/>
          </w:tcPr>
          <w:p>
            <w:pPr>
              <w:jc w:val="right"/>
              <w:spacing w:after="0" w:line="1006" w:lineRule="exact"/>
              <w:rPr>
                <w:sz w:val="20"/>
                <w:szCs w:val="20"/>
                <w:color w:val="auto"/>
              </w:rPr>
            </w:pPr>
            <w:r>
              <w:rPr>
                <w:rFonts w:ascii="Arial" w:cs="Arial" w:eastAsia="Arial" w:hAnsi="Arial"/>
                <w:sz w:val="116"/>
                <w:szCs w:val="116"/>
                <w:color w:val="074A75"/>
              </w:rPr>
              <w:t>1</w:t>
            </w:r>
          </w:p>
        </w:tc>
        <w:tc>
          <w:tcPr>
            <w:tcW w:w="9780" w:type="dxa"/>
            <w:vAlign w:val="bottom"/>
          </w:tcPr>
          <w:p>
            <w:pPr>
              <w:ind w:left="180"/>
              <w:spacing w:after="0"/>
              <w:rPr>
                <w:sz w:val="20"/>
                <w:szCs w:val="20"/>
                <w:color w:val="auto"/>
              </w:rPr>
            </w:pPr>
            <w:r>
              <w:rPr>
                <w:rFonts w:ascii="Arial" w:cs="Arial" w:eastAsia="Arial" w:hAnsi="Arial"/>
                <w:sz w:val="40"/>
                <w:szCs w:val="40"/>
                <w:color w:val="074A75"/>
              </w:rPr>
              <w:t>How we think about pay decisions</w:t>
            </w:r>
          </w:p>
        </w:tc>
        <w:tc>
          <w:tcPr>
            <w:tcW w:w="0" w:type="dxa"/>
            <w:vAlign w:val="bottom"/>
          </w:tcPr>
          <w:p>
            <w:pPr>
              <w:spacing w:after="0"/>
              <w:rPr>
                <w:sz w:val="1"/>
                <w:szCs w:val="1"/>
                <w:color w:val="auto"/>
              </w:rPr>
            </w:pPr>
          </w:p>
        </w:tc>
      </w:tr>
      <w:tr>
        <w:trPr>
          <w:trHeight w:val="181"/>
        </w:trPr>
        <w:tc>
          <w:tcPr>
            <w:tcW w:w="1440" w:type="dxa"/>
            <w:vAlign w:val="bottom"/>
            <w:vMerge w:val="continue"/>
            <w:shd w:val="clear" w:color="auto" w:fill="E7E7E8"/>
          </w:tcPr>
          <w:p>
            <w:pPr>
              <w:spacing w:after="0"/>
              <w:rPr>
                <w:sz w:val="15"/>
                <w:szCs w:val="15"/>
                <w:color w:val="auto"/>
              </w:rPr>
            </w:pPr>
          </w:p>
        </w:tc>
        <w:tc>
          <w:tcPr>
            <w:tcW w:w="9780" w:type="dxa"/>
            <w:vAlign w:val="bottom"/>
            <w:vMerge w:val="restart"/>
          </w:tcPr>
          <w:p>
            <w:pPr>
              <w:ind w:left="180"/>
              <w:spacing w:after="0"/>
              <w:rPr>
                <w:sz w:val="20"/>
                <w:szCs w:val="20"/>
                <w:color w:val="auto"/>
              </w:rPr>
            </w:pPr>
            <w:r>
              <w:rPr>
                <w:rFonts w:ascii="Arial" w:cs="Arial" w:eastAsia="Arial" w:hAnsi="Arial"/>
                <w:sz w:val="18"/>
                <w:szCs w:val="18"/>
                <w:i w:val="1"/>
                <w:iCs w:val="1"/>
                <w:color w:val="074A75"/>
              </w:rPr>
              <w:t>The Firm’s Business Principles and strategic framework form the basis of our OC members’ strategic priorities. The</w:t>
            </w:r>
          </w:p>
        </w:tc>
        <w:tc>
          <w:tcPr>
            <w:tcW w:w="0" w:type="dxa"/>
            <w:vAlign w:val="bottom"/>
          </w:tcPr>
          <w:p>
            <w:pPr>
              <w:spacing w:after="0"/>
              <w:rPr>
                <w:sz w:val="1"/>
                <w:szCs w:val="1"/>
                <w:color w:val="auto"/>
              </w:rPr>
            </w:pPr>
          </w:p>
        </w:tc>
      </w:tr>
      <w:tr>
        <w:trPr>
          <w:trHeight w:val="35"/>
        </w:trPr>
        <w:tc>
          <w:tcPr>
            <w:tcW w:w="1440" w:type="dxa"/>
            <w:vAlign w:val="bottom"/>
            <w:shd w:val="clear" w:color="auto" w:fill="E7E7E8"/>
          </w:tcPr>
          <w:p>
            <w:pPr>
              <w:spacing w:after="0"/>
              <w:rPr>
                <w:sz w:val="3"/>
                <w:szCs w:val="3"/>
                <w:color w:val="auto"/>
              </w:rPr>
            </w:pPr>
          </w:p>
        </w:tc>
        <w:tc>
          <w:tcPr>
            <w:tcW w:w="9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E7E7E8"/>
          </w:tcPr>
          <w:p>
            <w:pPr>
              <w:spacing w:after="0"/>
              <w:rPr>
                <w:sz w:val="18"/>
                <w:szCs w:val="18"/>
                <w:color w:val="auto"/>
              </w:rPr>
            </w:pPr>
          </w:p>
        </w:tc>
        <w:tc>
          <w:tcPr>
            <w:tcW w:w="9780" w:type="dxa"/>
            <w:vAlign w:val="bottom"/>
          </w:tcPr>
          <w:p>
            <w:pPr>
              <w:ind w:left="180"/>
              <w:spacing w:after="0"/>
              <w:rPr>
                <w:sz w:val="20"/>
                <w:szCs w:val="20"/>
                <w:color w:val="auto"/>
              </w:rPr>
            </w:pPr>
            <w:r>
              <w:rPr>
                <w:rFonts w:ascii="Arial" w:cs="Arial" w:eastAsia="Arial" w:hAnsi="Arial"/>
                <w:sz w:val="18"/>
                <w:szCs w:val="18"/>
                <w:i w:val="1"/>
                <w:iCs w:val="1"/>
                <w:color w:val="074A75"/>
              </w:rPr>
              <w:t>CMDC references those strategic priorities and the Firm’s compensation philosophy to assess OC members’</w:t>
            </w:r>
          </w:p>
        </w:tc>
        <w:tc>
          <w:tcPr>
            <w:tcW w:w="0" w:type="dxa"/>
            <w:vAlign w:val="bottom"/>
          </w:tcPr>
          <w:p>
            <w:pPr>
              <w:spacing w:after="0"/>
              <w:rPr>
                <w:sz w:val="1"/>
                <w:szCs w:val="1"/>
                <w:color w:val="auto"/>
              </w:rPr>
            </w:pPr>
          </w:p>
        </w:tc>
      </w:tr>
      <w:tr>
        <w:trPr>
          <w:trHeight w:val="235"/>
        </w:trPr>
        <w:tc>
          <w:tcPr>
            <w:tcW w:w="1440" w:type="dxa"/>
            <w:vAlign w:val="bottom"/>
            <w:shd w:val="clear" w:color="auto" w:fill="E7E7E8"/>
          </w:tcPr>
          <w:p>
            <w:pPr>
              <w:spacing w:after="0"/>
              <w:rPr>
                <w:sz w:val="20"/>
                <w:szCs w:val="20"/>
                <w:color w:val="auto"/>
              </w:rPr>
            </w:pPr>
          </w:p>
        </w:tc>
        <w:tc>
          <w:tcPr>
            <w:tcW w:w="9780" w:type="dxa"/>
            <w:vAlign w:val="bottom"/>
          </w:tcPr>
          <w:p>
            <w:pPr>
              <w:ind w:left="180"/>
              <w:spacing w:after="0"/>
              <w:rPr>
                <w:sz w:val="20"/>
                <w:szCs w:val="20"/>
                <w:color w:val="auto"/>
              </w:rPr>
            </w:pPr>
            <w:r>
              <w:rPr>
                <w:rFonts w:ascii="Arial" w:cs="Arial" w:eastAsia="Arial" w:hAnsi="Arial"/>
                <w:sz w:val="18"/>
                <w:szCs w:val="18"/>
                <w:i w:val="1"/>
                <w:iCs w:val="1"/>
                <w:color w:val="074A75"/>
              </w:rPr>
              <w:t>performance and to determine their respective total compensation levels and pay mix.</w:t>
            </w:r>
          </w:p>
        </w:tc>
        <w:tc>
          <w:tcPr>
            <w:tcW w:w="0" w:type="dxa"/>
            <w:vAlign w:val="bottom"/>
          </w:tcPr>
          <w:p>
            <w:pPr>
              <w:spacing w:after="0"/>
              <w:rPr>
                <w:sz w:val="1"/>
                <w:szCs w:val="1"/>
                <w:color w:val="auto"/>
              </w:rPr>
            </w:pPr>
          </w:p>
        </w:tc>
      </w:tr>
      <w:tr>
        <w:trPr>
          <w:trHeight w:val="364"/>
        </w:trPr>
        <w:tc>
          <w:tcPr>
            <w:tcW w:w="1440" w:type="dxa"/>
            <w:vAlign w:val="bottom"/>
            <w:shd w:val="clear" w:color="auto" w:fill="E7E7E8"/>
          </w:tcPr>
          <w:p>
            <w:pPr>
              <w:spacing w:after="0"/>
              <w:rPr>
                <w:sz w:val="24"/>
                <w:szCs w:val="24"/>
                <w:color w:val="auto"/>
              </w:rPr>
            </w:pPr>
          </w:p>
        </w:tc>
        <w:tc>
          <w:tcPr>
            <w:tcW w:w="9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9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EEEFEF"/>
          </w:tcPr>
          <w:p>
            <w:pPr>
              <w:spacing w:after="0"/>
              <w:rPr>
                <w:sz w:val="11"/>
                <w:szCs w:val="11"/>
                <w:color w:val="auto"/>
              </w:rPr>
            </w:pPr>
          </w:p>
        </w:tc>
        <w:tc>
          <w:tcPr>
            <w:tcW w:w="978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15175" cy="12687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15175" cy="126873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29"/>
          <w:szCs w:val="29"/>
          <w:color w:val="074A75"/>
        </w:rPr>
        <w:t>Business Principles</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Firm’s Business Principles and culture are fundamental to our success in the way we do business over the long-term.</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440" w:type="dxa"/>
            <w:vAlign w:val="bottom"/>
            <w:shd w:val="clear" w:color="auto" w:fill="EEEFEF"/>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440" w:type="dxa"/>
            <w:vAlign w:val="bottom"/>
            <w:shd w:val="clear" w:color="auto" w:fill="EEEFEF"/>
          </w:tcPr>
          <w:p>
            <w:pPr>
              <w:spacing w:after="0"/>
              <w:rPr>
                <w:sz w:val="19"/>
                <w:szCs w:val="1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8"/>
              </w:rPr>
              <w:t>Exceptional</w:t>
            </w:r>
          </w:p>
        </w:tc>
        <w:tc>
          <w:tcPr>
            <w:tcW w:w="180" w:type="dxa"/>
            <w:vAlign w:val="bottom"/>
            <w:shd w:val="clear" w:color="auto" w:fill="EEEFEF"/>
          </w:tcPr>
          <w:p>
            <w:pPr>
              <w:spacing w:after="0"/>
              <w:rPr>
                <w:sz w:val="19"/>
                <w:szCs w:val="19"/>
                <w:color w:val="auto"/>
              </w:rPr>
            </w:pPr>
          </w:p>
        </w:tc>
        <w:tc>
          <w:tcPr>
            <w:tcW w:w="2320" w:type="dxa"/>
            <w:vAlign w:val="bottom"/>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 Commitment to</w:t>
            </w:r>
          </w:p>
        </w:tc>
        <w:tc>
          <w:tcPr>
            <w:tcW w:w="180" w:type="dxa"/>
            <w:vAlign w:val="bottom"/>
            <w:shd w:val="clear" w:color="auto" w:fill="EEEFEF"/>
          </w:tcPr>
          <w:p>
            <w:pPr>
              <w:spacing w:after="0"/>
              <w:rPr>
                <w:sz w:val="19"/>
                <w:szCs w:val="1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Operational</w:t>
            </w:r>
          </w:p>
        </w:tc>
        <w:tc>
          <w:tcPr>
            <w:tcW w:w="180" w:type="dxa"/>
            <w:vAlign w:val="bottom"/>
            <w:shd w:val="clear" w:color="auto" w:fill="EEEFEF"/>
          </w:tcPr>
          <w:p>
            <w:pPr>
              <w:spacing w:after="0"/>
              <w:rPr>
                <w:sz w:val="19"/>
                <w:szCs w:val="19"/>
                <w:color w:val="auto"/>
              </w:rPr>
            </w:pPr>
          </w:p>
        </w:tc>
        <w:tc>
          <w:tcPr>
            <w:tcW w:w="2360" w:type="dxa"/>
            <w:vAlign w:val="bottom"/>
            <w:vMerge w:val="restart"/>
            <w:shd w:val="clear" w:color="auto" w:fill="074A75"/>
          </w:tcPr>
          <w:p>
            <w:pPr>
              <w:ind w:left="500"/>
              <w:spacing w:after="0"/>
              <w:rPr>
                <w:sz w:val="20"/>
                <w:szCs w:val="20"/>
                <w:color w:val="auto"/>
              </w:rPr>
            </w:pPr>
            <w:r>
              <w:rPr>
                <w:rFonts w:ascii="Arial" w:cs="Arial" w:eastAsia="Arial" w:hAnsi="Arial"/>
                <w:sz w:val="18"/>
                <w:szCs w:val="18"/>
                <w:b w:val="1"/>
                <w:bCs w:val="1"/>
                <w:color w:val="FFFFFF"/>
              </w:rPr>
              <w:t>Great Team and</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Integrity, Fairness</w:t>
            </w:r>
          </w:p>
        </w:tc>
        <w:tc>
          <w:tcPr>
            <w:tcW w:w="180" w:type="dxa"/>
            <w:vAlign w:val="bottom"/>
            <w:shd w:val="clear" w:color="auto" w:fill="EEEFEF"/>
          </w:tcPr>
          <w:p>
            <w:pPr>
              <w:spacing w:after="0"/>
              <w:rPr>
                <w:sz w:val="9"/>
                <w:szCs w:val="9"/>
                <w:color w:val="auto"/>
              </w:rPr>
            </w:pPr>
          </w:p>
        </w:tc>
        <w:tc>
          <w:tcPr>
            <w:tcW w:w="234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60" w:type="dxa"/>
            <w:vAlign w:val="bottom"/>
            <w:vMerge w:val="continue"/>
            <w:shd w:val="clear" w:color="auto" w:fill="074A75"/>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40" w:type="dxa"/>
            <w:vAlign w:val="bottom"/>
            <w:shd w:val="clear" w:color="auto" w:fill="EEEFEF"/>
          </w:tcPr>
          <w:p>
            <w:pPr>
              <w:spacing w:after="0"/>
              <w:rPr>
                <w:sz w:val="9"/>
                <w:szCs w:val="9"/>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Client Service</w:t>
            </w:r>
          </w:p>
        </w:tc>
        <w:tc>
          <w:tcPr>
            <w:tcW w:w="180" w:type="dxa"/>
            <w:vAlign w:val="bottom"/>
            <w:shd w:val="clear" w:color="auto" w:fill="EEEFEF"/>
          </w:tcPr>
          <w:p>
            <w:pPr>
              <w:spacing w:after="0"/>
              <w:rPr>
                <w:sz w:val="9"/>
                <w:szCs w:val="9"/>
                <w:color w:val="auto"/>
              </w:rPr>
            </w:pPr>
          </w:p>
        </w:tc>
        <w:tc>
          <w:tcPr>
            <w:tcW w:w="2320" w:type="dxa"/>
            <w:vAlign w:val="bottom"/>
            <w:vMerge w:val="continue"/>
            <w:shd w:val="clear" w:color="auto" w:fill="074A75"/>
          </w:tcPr>
          <w:p>
            <w:pPr>
              <w:spacing w:after="0"/>
              <w:rPr>
                <w:sz w:val="9"/>
                <w:szCs w:val="9"/>
                <w:color w:val="auto"/>
              </w:rPr>
            </w:pPr>
          </w:p>
        </w:tc>
        <w:tc>
          <w:tcPr>
            <w:tcW w:w="180" w:type="dxa"/>
            <w:vAlign w:val="bottom"/>
            <w:shd w:val="clear" w:color="auto" w:fill="EEEFEF"/>
          </w:tcPr>
          <w:p>
            <w:pPr>
              <w:spacing w:after="0"/>
              <w:rPr>
                <w:sz w:val="9"/>
                <w:szCs w:val="9"/>
                <w:color w:val="auto"/>
              </w:rPr>
            </w:pPr>
          </w:p>
        </w:tc>
        <w:tc>
          <w:tcPr>
            <w:tcW w:w="234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rPr>
              <w:t>Excellence</w:t>
            </w:r>
          </w:p>
        </w:tc>
        <w:tc>
          <w:tcPr>
            <w:tcW w:w="180" w:type="dxa"/>
            <w:vAlign w:val="bottom"/>
            <w:shd w:val="clear" w:color="auto" w:fill="EEEFEF"/>
          </w:tcPr>
          <w:p>
            <w:pPr>
              <w:spacing w:after="0"/>
              <w:rPr>
                <w:sz w:val="9"/>
                <w:szCs w:val="9"/>
                <w:color w:val="auto"/>
              </w:rPr>
            </w:pPr>
          </w:p>
        </w:tc>
        <w:tc>
          <w:tcPr>
            <w:tcW w:w="2360" w:type="dxa"/>
            <w:vAlign w:val="bottom"/>
            <w:vMerge w:val="restart"/>
            <w:shd w:val="clear" w:color="auto" w:fill="074A75"/>
          </w:tcPr>
          <w:p>
            <w:pPr>
              <w:ind w:left="480"/>
              <w:spacing w:after="0"/>
              <w:rPr>
                <w:sz w:val="20"/>
                <w:szCs w:val="20"/>
                <w:color w:val="auto"/>
              </w:rPr>
            </w:pPr>
            <w:r>
              <w:rPr>
                <w:rFonts w:ascii="Arial" w:cs="Arial" w:eastAsia="Arial" w:hAnsi="Arial"/>
                <w:sz w:val="18"/>
                <w:szCs w:val="18"/>
                <w:b w:val="1"/>
                <w:bCs w:val="1"/>
                <w:color w:val="FFFFFF"/>
              </w:rPr>
              <w:t>Winning Culture</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vMerge w:val="continue"/>
            <w:shd w:val="clear" w:color="auto" w:fill="074A75"/>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vMerge w:val="restart"/>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and Responsibility</w:t>
            </w:r>
          </w:p>
        </w:tc>
        <w:tc>
          <w:tcPr>
            <w:tcW w:w="180" w:type="dxa"/>
            <w:vAlign w:val="bottom"/>
            <w:shd w:val="clear" w:color="auto" w:fill="EEEFEF"/>
          </w:tcPr>
          <w:p>
            <w:pPr>
              <w:spacing w:after="0"/>
              <w:rPr>
                <w:sz w:val="11"/>
                <w:szCs w:val="11"/>
                <w:color w:val="auto"/>
              </w:rPr>
            </w:pPr>
          </w:p>
        </w:tc>
        <w:tc>
          <w:tcPr>
            <w:tcW w:w="2340" w:type="dxa"/>
            <w:vAlign w:val="bottom"/>
            <w:vMerge w:val="continue"/>
            <w:shd w:val="clear" w:color="auto" w:fill="074A75"/>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60" w:type="dxa"/>
            <w:vAlign w:val="bottom"/>
            <w:vMerge w:val="continue"/>
            <w:shd w:val="clear" w:color="auto" w:fill="074A75"/>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440" w:type="dxa"/>
            <w:vAlign w:val="bottom"/>
            <w:tcBorders>
              <w:bottom w:val="single" w:sz="8" w:color="EEEFEF"/>
            </w:tcBorders>
            <w:shd w:val="clear" w:color="auto" w:fill="EEEFEF"/>
          </w:tcPr>
          <w:p>
            <w:pPr>
              <w:spacing w:after="0"/>
              <w:rPr>
                <w:sz w:val="10"/>
                <w:szCs w:val="10"/>
                <w:color w:val="auto"/>
              </w:rPr>
            </w:pPr>
          </w:p>
        </w:tc>
        <w:tc>
          <w:tcPr>
            <w:tcW w:w="2320" w:type="dxa"/>
            <w:vAlign w:val="bottom"/>
            <w:tcBorders>
              <w:bottom w:val="single" w:sz="8" w:color="074A75"/>
            </w:tcBorders>
            <w:shd w:val="clear" w:color="auto" w:fill="074A75"/>
          </w:tcPr>
          <w:p>
            <w:pPr>
              <w:spacing w:after="0"/>
              <w:rPr>
                <w:sz w:val="10"/>
                <w:szCs w:val="10"/>
                <w:color w:val="auto"/>
              </w:rPr>
            </w:pPr>
          </w:p>
        </w:tc>
        <w:tc>
          <w:tcPr>
            <w:tcW w:w="180" w:type="dxa"/>
            <w:vAlign w:val="bottom"/>
            <w:tcBorders>
              <w:bottom w:val="single" w:sz="8" w:color="EEEFEF"/>
            </w:tcBorders>
            <w:shd w:val="clear" w:color="auto" w:fill="EEEFEF"/>
          </w:tcPr>
          <w:p>
            <w:pPr>
              <w:spacing w:after="0"/>
              <w:rPr>
                <w:sz w:val="10"/>
                <w:szCs w:val="10"/>
                <w:color w:val="auto"/>
              </w:rPr>
            </w:pPr>
          </w:p>
        </w:tc>
        <w:tc>
          <w:tcPr>
            <w:tcW w:w="2320" w:type="dxa"/>
            <w:vAlign w:val="bottom"/>
            <w:tcBorders>
              <w:bottom w:val="single" w:sz="8" w:color="074A75"/>
            </w:tcBorders>
            <w:vMerge w:val="continue"/>
            <w:shd w:val="clear" w:color="auto" w:fill="074A75"/>
          </w:tcPr>
          <w:p>
            <w:pPr>
              <w:spacing w:after="0"/>
              <w:rPr>
                <w:sz w:val="10"/>
                <w:szCs w:val="10"/>
                <w:color w:val="auto"/>
              </w:rPr>
            </w:pPr>
          </w:p>
        </w:tc>
        <w:tc>
          <w:tcPr>
            <w:tcW w:w="180" w:type="dxa"/>
            <w:vAlign w:val="bottom"/>
            <w:tcBorders>
              <w:bottom w:val="single" w:sz="8" w:color="EEEFEF"/>
            </w:tcBorders>
            <w:shd w:val="clear" w:color="auto" w:fill="EEEFEF"/>
          </w:tcPr>
          <w:p>
            <w:pPr>
              <w:spacing w:after="0"/>
              <w:rPr>
                <w:sz w:val="10"/>
                <w:szCs w:val="10"/>
                <w:color w:val="auto"/>
              </w:rPr>
            </w:pPr>
          </w:p>
        </w:tc>
        <w:tc>
          <w:tcPr>
            <w:tcW w:w="2340" w:type="dxa"/>
            <w:vAlign w:val="bottom"/>
            <w:tcBorders>
              <w:bottom w:val="single" w:sz="8" w:color="074A75"/>
            </w:tcBorders>
            <w:shd w:val="clear" w:color="auto" w:fill="074A75"/>
          </w:tcPr>
          <w:p>
            <w:pPr>
              <w:spacing w:after="0"/>
              <w:rPr>
                <w:sz w:val="10"/>
                <w:szCs w:val="10"/>
                <w:color w:val="auto"/>
              </w:rPr>
            </w:pPr>
          </w:p>
        </w:tc>
        <w:tc>
          <w:tcPr>
            <w:tcW w:w="180" w:type="dxa"/>
            <w:vAlign w:val="bottom"/>
            <w:tcBorders>
              <w:bottom w:val="single" w:sz="8" w:color="EEEFEF"/>
            </w:tcBorders>
            <w:shd w:val="clear" w:color="auto" w:fill="EEEFEF"/>
          </w:tcPr>
          <w:p>
            <w:pPr>
              <w:spacing w:after="0"/>
              <w:rPr>
                <w:sz w:val="10"/>
                <w:szCs w:val="10"/>
                <w:color w:val="auto"/>
              </w:rPr>
            </w:pPr>
          </w:p>
        </w:tc>
        <w:tc>
          <w:tcPr>
            <w:tcW w:w="2360" w:type="dxa"/>
            <w:vAlign w:val="bottom"/>
            <w:tcBorders>
              <w:bottom w:val="single" w:sz="8" w:color="074A75"/>
            </w:tcBorders>
            <w:shd w:val="clear" w:color="auto" w:fill="074A75"/>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60" w:type="dxa"/>
            <w:vAlign w:val="bottom"/>
            <w:shd w:val="clear" w:color="auto" w:fill="EEEFEF"/>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EEEFEF"/>
          </w:tcPr>
          <w:p>
            <w:pPr>
              <w:spacing w:after="0"/>
              <w:rPr>
                <w:sz w:val="11"/>
                <w:szCs w:val="11"/>
                <w:color w:val="auto"/>
              </w:rPr>
            </w:pPr>
          </w:p>
        </w:tc>
        <w:tc>
          <w:tcPr>
            <w:tcW w:w="44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2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60" w:type="dxa"/>
            <w:vAlign w:val="bottom"/>
            <w:shd w:val="clear" w:color="auto" w:fill="EEEFEF"/>
          </w:tcPr>
          <w:p>
            <w:pPr>
              <w:spacing w:after="0"/>
              <w:rPr>
                <w:sz w:val="11"/>
                <w:szCs w:val="11"/>
                <w:color w:val="auto"/>
              </w:rPr>
            </w:pPr>
          </w:p>
        </w:tc>
        <w:tc>
          <w:tcPr>
            <w:tcW w:w="66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3977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29"/>
          <w:szCs w:val="29"/>
          <w:color w:val="074A75"/>
        </w:rPr>
        <w:t>Strategic Framework</w:t>
      </w:r>
    </w:p>
    <w:p>
      <w:pPr>
        <w:spacing w:after="0" w:line="250" w:lineRule="exact"/>
        <w:rPr>
          <w:sz w:val="20"/>
          <w:szCs w:val="20"/>
          <w:color w:val="auto"/>
        </w:rPr>
      </w:pPr>
    </w:p>
    <w:p>
      <w:pPr>
        <w:ind w:left="360" w:right="740"/>
        <w:spacing w:after="0" w:line="250" w:lineRule="auto"/>
        <w:rPr>
          <w:sz w:val="20"/>
          <w:szCs w:val="20"/>
          <w:color w:val="auto"/>
        </w:rPr>
      </w:pPr>
      <w:r>
        <w:rPr>
          <w:rFonts w:ascii="Arial" w:cs="Arial" w:eastAsia="Arial" w:hAnsi="Arial"/>
          <w:sz w:val="18"/>
          <w:szCs w:val="18"/>
          <w:color w:val="auto"/>
        </w:rPr>
        <w:t>Guided by our Business Principles, our strategic framework provides holistic direction for the Firm and focuses on three primary strategic tenets:</w:t>
      </w:r>
    </w:p>
    <w:p>
      <w:pPr>
        <w:spacing w:after="0" w:line="1" w:lineRule="exact"/>
        <w:rPr>
          <w:sz w:val="20"/>
          <w:szCs w:val="20"/>
          <w:color w:val="auto"/>
        </w:rPr>
      </w:pPr>
    </w:p>
    <w:p>
      <w:pPr>
        <w:ind w:left="560" w:hanging="197"/>
        <w:spacing w:after="0"/>
        <w:tabs>
          <w:tab w:leader="none" w:pos="560" w:val="left"/>
        </w:tabs>
        <w:numPr>
          <w:ilvl w:val="0"/>
          <w:numId w:val="112"/>
        </w:numPr>
        <w:rPr>
          <w:rFonts w:ascii="Arial" w:cs="Arial" w:eastAsia="Arial" w:hAnsi="Arial"/>
          <w:sz w:val="16"/>
          <w:szCs w:val="16"/>
          <w:color w:val="074A75"/>
        </w:rPr>
      </w:pPr>
      <w:r>
        <w:rPr>
          <w:rFonts w:ascii="Arial" w:cs="Arial" w:eastAsia="Arial" w:hAnsi="Arial"/>
          <w:sz w:val="18"/>
          <w:szCs w:val="18"/>
          <w:color w:val="auto"/>
        </w:rPr>
        <w:t>Operating exceptional client franchises;</w:t>
      </w:r>
    </w:p>
    <w:p>
      <w:pPr>
        <w:spacing w:after="0" w:line="9" w:lineRule="exact"/>
        <w:rPr>
          <w:rFonts w:ascii="Arial" w:cs="Arial" w:eastAsia="Arial" w:hAnsi="Arial"/>
          <w:sz w:val="16"/>
          <w:szCs w:val="16"/>
          <w:color w:val="074A75"/>
        </w:rPr>
      </w:pPr>
    </w:p>
    <w:p>
      <w:pPr>
        <w:ind w:left="560" w:hanging="197"/>
        <w:spacing w:after="0"/>
        <w:tabs>
          <w:tab w:leader="none" w:pos="560" w:val="left"/>
        </w:tabs>
        <w:numPr>
          <w:ilvl w:val="0"/>
          <w:numId w:val="112"/>
        </w:numPr>
        <w:rPr>
          <w:rFonts w:ascii="Arial" w:cs="Arial" w:eastAsia="Arial" w:hAnsi="Arial"/>
          <w:sz w:val="16"/>
          <w:szCs w:val="16"/>
          <w:color w:val="074A75"/>
        </w:rPr>
      </w:pPr>
      <w:r>
        <w:rPr>
          <w:rFonts w:ascii="Arial" w:cs="Arial" w:eastAsia="Arial" w:hAnsi="Arial"/>
          <w:sz w:val="18"/>
          <w:szCs w:val="18"/>
          <w:color w:val="auto"/>
        </w:rPr>
        <w:t>Maintaining our fortress balance sheet and principles; and</w:t>
      </w:r>
    </w:p>
    <w:p>
      <w:pPr>
        <w:spacing w:after="0" w:line="9" w:lineRule="exact"/>
        <w:rPr>
          <w:rFonts w:ascii="Arial" w:cs="Arial" w:eastAsia="Arial" w:hAnsi="Arial"/>
          <w:sz w:val="16"/>
          <w:szCs w:val="16"/>
          <w:color w:val="074A75"/>
        </w:rPr>
      </w:pPr>
    </w:p>
    <w:p>
      <w:pPr>
        <w:ind w:left="560" w:hanging="197"/>
        <w:spacing w:after="0"/>
        <w:tabs>
          <w:tab w:leader="none" w:pos="560" w:val="left"/>
        </w:tabs>
        <w:numPr>
          <w:ilvl w:val="0"/>
          <w:numId w:val="112"/>
        </w:numPr>
        <w:rPr>
          <w:rFonts w:ascii="Arial" w:cs="Arial" w:eastAsia="Arial" w:hAnsi="Arial"/>
          <w:sz w:val="16"/>
          <w:szCs w:val="16"/>
          <w:color w:val="074A75"/>
        </w:rPr>
      </w:pPr>
      <w:r>
        <w:rPr>
          <w:rFonts w:ascii="Arial" w:cs="Arial" w:eastAsia="Arial" w:hAnsi="Arial"/>
          <w:sz w:val="18"/>
          <w:szCs w:val="18"/>
          <w:color w:val="auto"/>
        </w:rPr>
        <w:t>Adding long-term shareholder value.</w:t>
      </w:r>
    </w:p>
    <w:p>
      <w:pPr>
        <w:spacing w:after="0" w:line="117" w:lineRule="exact"/>
        <w:rPr>
          <w:sz w:val="20"/>
          <w:szCs w:val="20"/>
          <w:color w:val="auto"/>
        </w:rPr>
      </w:pPr>
    </w:p>
    <w:p>
      <w:pPr>
        <w:ind w:left="360" w:right="380"/>
        <w:spacing w:after="0" w:line="254" w:lineRule="auto"/>
        <w:rPr>
          <w:sz w:val="20"/>
          <w:szCs w:val="20"/>
          <w:color w:val="auto"/>
        </w:rPr>
      </w:pPr>
      <w:r>
        <w:rPr>
          <w:rFonts w:ascii="Arial" w:cs="Arial" w:eastAsia="Arial" w:hAnsi="Arial"/>
          <w:sz w:val="18"/>
          <w:szCs w:val="18"/>
          <w:color w:val="auto"/>
        </w:rPr>
        <w:t>Each year, the Operating Committee reviews the strategic framework to consider enhancements to the framework and its underlying tenets and priorities, and to adapt to changes in the competitive and market landscape if necessary, by considering the Firm’s strengths and challenges and the Firm’s performance over the prior year. In 2020, the CMDC approved the Firm’s strategic framework as the priorities of the CEO, including the 11 strategic priorities listed below.</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320" w:type="dxa"/>
            <w:vAlign w:val="bottom"/>
          </w:tcPr>
          <w:p>
            <w:pPr>
              <w:spacing w:after="0" w:line="20" w:lineRule="exact"/>
              <w:rPr>
                <w:sz w:val="1"/>
                <w:szCs w:val="1"/>
                <w:color w:val="auto"/>
              </w:rPr>
            </w:pPr>
          </w:p>
        </w:tc>
        <w:tc>
          <w:tcPr>
            <w:tcW w:w="194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rPr>
              <w:t>Exceptional</w:t>
            </w:r>
          </w:p>
        </w:tc>
        <w:tc>
          <w:tcPr>
            <w:tcW w:w="320" w:type="dxa"/>
            <w:vAlign w:val="bottom"/>
            <w:shd w:val="clear" w:color="auto" w:fill="EEEFEF"/>
          </w:tcPr>
          <w:p>
            <w:pPr>
              <w:spacing w:after="0" w:line="20" w:lineRule="exact"/>
              <w:rPr>
                <w:sz w:val="1"/>
                <w:szCs w:val="1"/>
                <w:color w:val="auto"/>
              </w:rPr>
            </w:pPr>
          </w:p>
        </w:tc>
        <w:tc>
          <w:tcPr>
            <w:tcW w:w="4180" w:type="dxa"/>
            <w:vAlign w:val="bottom"/>
            <w:gridSpan w:val="4"/>
            <w:vMerge w:val="restart"/>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Customer centric</w:t>
            </w:r>
            <w:r>
              <w:rPr>
                <w:rFonts w:ascii="Arial" w:cs="Arial" w:eastAsia="Arial" w:hAnsi="Arial"/>
                <w:sz w:val="18"/>
                <w:szCs w:val="18"/>
                <w:color w:val="auto"/>
              </w:rPr>
              <w:t xml:space="preserve"> and </w:t>
            </w:r>
            <w:r>
              <w:rPr>
                <w:rFonts w:ascii="Arial" w:cs="Arial" w:eastAsia="Arial" w:hAnsi="Arial"/>
                <w:sz w:val="18"/>
                <w:szCs w:val="18"/>
                <w:b w:val="1"/>
                <w:bCs w:val="1"/>
                <w:color w:val="auto"/>
              </w:rPr>
              <w:t>easy to do business</w:t>
            </w:r>
          </w:p>
        </w:tc>
        <w:tc>
          <w:tcPr>
            <w:tcW w:w="2920" w:type="dxa"/>
            <w:vAlign w:val="bottom"/>
            <w:gridSpan w:val="3"/>
            <w:vMerge w:val="restart"/>
          </w:tcPr>
          <w:p>
            <w:pPr>
              <w:ind w:left="60"/>
              <w:spacing w:after="0"/>
              <w:rPr>
                <w:sz w:val="20"/>
                <w:szCs w:val="20"/>
                <w:color w:val="auto"/>
              </w:rPr>
            </w:pPr>
            <w:r>
              <w:rPr>
                <w:rFonts w:ascii="Arial" w:cs="Arial" w:eastAsia="Arial" w:hAnsi="Arial"/>
                <w:sz w:val="18"/>
                <w:szCs w:val="18"/>
                <w:color w:val="auto"/>
              </w:rPr>
              <w:t xml:space="preserve">•  Focus on </w:t>
            </w:r>
            <w:r>
              <w:rPr>
                <w:rFonts w:ascii="Arial" w:cs="Arial" w:eastAsia="Arial" w:hAnsi="Arial"/>
                <w:sz w:val="18"/>
                <w:szCs w:val="18"/>
                <w:b w:val="1"/>
                <w:bCs w:val="1"/>
                <w:color w:val="auto"/>
              </w:rPr>
              <w:t>safety</w:t>
            </w:r>
            <w:r>
              <w:rPr>
                <w:rFonts w:ascii="Arial" w:cs="Arial" w:eastAsia="Arial" w:hAnsi="Arial"/>
                <w:sz w:val="18"/>
                <w:szCs w:val="18"/>
                <w:color w:val="auto"/>
              </w:rPr>
              <w:t xml:space="preserve"> and </w:t>
            </w:r>
            <w:r>
              <w:rPr>
                <w:rFonts w:ascii="Arial" w:cs="Arial" w:eastAsia="Arial" w:hAnsi="Arial"/>
                <w:sz w:val="18"/>
                <w:szCs w:val="18"/>
                <w:b w:val="1"/>
                <w:bCs w:val="1"/>
                <w:color w:val="auto"/>
              </w:rPr>
              <w:t>security</w:t>
            </w:r>
          </w:p>
        </w:tc>
        <w:tc>
          <w:tcPr>
            <w:tcW w:w="1220" w:type="dxa"/>
            <w:vAlign w:val="bottom"/>
            <w:shd w:val="clear" w:color="auto" w:fill="EEEFE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 w:type="dxa"/>
            <w:vAlign w:val="bottom"/>
          </w:tcPr>
          <w:p>
            <w:pPr>
              <w:spacing w:after="0"/>
              <w:rPr>
                <w:sz w:val="17"/>
                <w:szCs w:val="17"/>
                <w:color w:val="auto"/>
              </w:rPr>
            </w:pPr>
          </w:p>
        </w:tc>
        <w:tc>
          <w:tcPr>
            <w:tcW w:w="1940" w:type="dxa"/>
            <w:vAlign w:val="bottom"/>
            <w:gridSpan w:val="2"/>
            <w:vMerge w:val="continue"/>
            <w:shd w:val="clear" w:color="auto" w:fill="3E693D"/>
          </w:tcPr>
          <w:p>
            <w:pPr>
              <w:spacing w:after="0"/>
              <w:rPr>
                <w:sz w:val="17"/>
                <w:szCs w:val="17"/>
                <w:color w:val="auto"/>
              </w:rPr>
            </w:pPr>
          </w:p>
        </w:tc>
        <w:tc>
          <w:tcPr>
            <w:tcW w:w="320" w:type="dxa"/>
            <w:vAlign w:val="bottom"/>
            <w:shd w:val="clear" w:color="auto" w:fill="EEEFEF"/>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2920" w:type="dxa"/>
            <w:vAlign w:val="bottom"/>
            <w:gridSpan w:val="3"/>
            <w:vMerge w:val="continue"/>
          </w:tcPr>
          <w:p>
            <w:pPr>
              <w:spacing w:after="0"/>
              <w:rPr>
                <w:sz w:val="17"/>
                <w:szCs w:val="17"/>
                <w:color w:val="auto"/>
              </w:rPr>
            </w:pPr>
          </w:p>
        </w:tc>
        <w:tc>
          <w:tcPr>
            <w:tcW w:w="1220" w:type="dxa"/>
            <w:vAlign w:val="bottom"/>
            <w:shd w:val="clear" w:color="auto" w:fill="EEEFE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20" w:type="dxa"/>
            <w:vAlign w:val="bottom"/>
          </w:tcPr>
          <w:p>
            <w:pPr>
              <w:spacing w:after="0"/>
              <w:rPr>
                <w:sz w:val="10"/>
                <w:szCs w:val="10"/>
                <w:color w:val="auto"/>
              </w:rPr>
            </w:pPr>
          </w:p>
        </w:tc>
        <w:tc>
          <w:tcPr>
            <w:tcW w:w="1940" w:type="dxa"/>
            <w:vAlign w:val="bottom"/>
            <w:tcBorders>
              <w:bottom w:val="single" w:sz="8" w:color="3E693D"/>
            </w:tcBorders>
            <w:gridSpan w:val="2"/>
            <w:vMerge w:val="continue"/>
            <w:shd w:val="clear" w:color="auto" w:fill="3E693D"/>
          </w:tcPr>
          <w:p>
            <w:pPr>
              <w:spacing w:after="0"/>
              <w:rPr>
                <w:sz w:val="10"/>
                <w:szCs w:val="10"/>
                <w:color w:val="auto"/>
              </w:rPr>
            </w:pPr>
          </w:p>
        </w:tc>
        <w:tc>
          <w:tcPr>
            <w:tcW w:w="320" w:type="dxa"/>
            <w:vAlign w:val="bottom"/>
            <w:tcBorders>
              <w:bottom w:val="single" w:sz="8" w:color="3E693D"/>
            </w:tcBorders>
            <w:shd w:val="clear" w:color="auto" w:fill="EEEFEF"/>
          </w:tcPr>
          <w:p>
            <w:pPr>
              <w:spacing w:after="0"/>
              <w:rPr>
                <w:sz w:val="10"/>
                <w:szCs w:val="10"/>
                <w:color w:val="auto"/>
              </w:rPr>
            </w:pPr>
          </w:p>
        </w:tc>
        <w:tc>
          <w:tcPr>
            <w:tcW w:w="140" w:type="dxa"/>
            <w:vAlign w:val="bottom"/>
          </w:tcPr>
          <w:p>
            <w:pPr>
              <w:spacing w:after="0"/>
              <w:rPr>
                <w:sz w:val="10"/>
                <w:szCs w:val="10"/>
                <w:color w:val="auto"/>
              </w:rPr>
            </w:pPr>
          </w:p>
        </w:tc>
        <w:tc>
          <w:tcPr>
            <w:tcW w:w="40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with</w:t>
            </w:r>
          </w:p>
        </w:tc>
        <w:tc>
          <w:tcPr>
            <w:tcW w:w="2920" w:type="dxa"/>
            <w:vAlign w:val="bottom"/>
            <w:gridSpan w:val="3"/>
            <w:vMerge w:val="continue"/>
          </w:tcPr>
          <w:p>
            <w:pPr>
              <w:spacing w:after="0"/>
              <w:rPr>
                <w:sz w:val="10"/>
                <w:szCs w:val="10"/>
                <w:color w:val="auto"/>
              </w:rPr>
            </w:pPr>
          </w:p>
        </w:tc>
        <w:tc>
          <w:tcPr>
            <w:tcW w:w="1220" w:type="dxa"/>
            <w:vAlign w:val="bottom"/>
            <w:tcBorders>
              <w:bottom w:val="single" w:sz="8" w:color="EEEFEF"/>
            </w:tcBorders>
            <w:shd w:val="clear" w:color="auto" w:fill="EEEFEF"/>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194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9"/>
              </w:rPr>
              <w:t>Client Franchises</w:t>
            </w:r>
          </w:p>
        </w:tc>
        <w:tc>
          <w:tcPr>
            <w:tcW w:w="320" w:type="dxa"/>
            <w:vAlign w:val="bottom"/>
            <w:shd w:val="clear" w:color="auto" w:fill="EEEFEF"/>
          </w:tcPr>
          <w:p>
            <w:pPr>
              <w:spacing w:after="0"/>
              <w:rPr>
                <w:sz w:val="6"/>
                <w:szCs w:val="6"/>
                <w:color w:val="auto"/>
              </w:rPr>
            </w:pPr>
          </w:p>
        </w:tc>
        <w:tc>
          <w:tcPr>
            <w:tcW w:w="140" w:type="dxa"/>
            <w:vAlign w:val="bottom"/>
          </w:tcPr>
          <w:p>
            <w:pPr>
              <w:spacing w:after="0"/>
              <w:rPr>
                <w:sz w:val="6"/>
                <w:szCs w:val="6"/>
                <w:color w:val="auto"/>
              </w:rPr>
            </w:pPr>
          </w:p>
        </w:tc>
        <w:tc>
          <w:tcPr>
            <w:tcW w:w="4040" w:type="dxa"/>
            <w:vAlign w:val="bottom"/>
            <w:gridSpan w:val="3"/>
            <w:vMerge w:val="continue"/>
          </w:tcPr>
          <w:p>
            <w:pPr>
              <w:spacing w:after="0"/>
              <w:rPr>
                <w:sz w:val="6"/>
                <w:szCs w:val="6"/>
                <w:color w:val="auto"/>
              </w:rPr>
            </w:pP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Powerful brands</w:t>
            </w:r>
          </w:p>
        </w:tc>
        <w:tc>
          <w:tcPr>
            <w:tcW w:w="1220" w:type="dxa"/>
            <w:vAlign w:val="bottom"/>
            <w:shd w:val="clear" w:color="auto" w:fill="EEEFEF"/>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1940" w:type="dxa"/>
            <w:vAlign w:val="bottom"/>
            <w:gridSpan w:val="2"/>
            <w:vMerge w:val="continue"/>
            <w:shd w:val="clear" w:color="auto" w:fill="3E693D"/>
          </w:tcPr>
          <w:p>
            <w:pPr>
              <w:spacing w:after="0"/>
              <w:rPr>
                <w:sz w:val="12"/>
                <w:szCs w:val="12"/>
                <w:color w:val="auto"/>
              </w:rPr>
            </w:pPr>
          </w:p>
        </w:tc>
        <w:tc>
          <w:tcPr>
            <w:tcW w:w="320" w:type="dxa"/>
            <w:vAlign w:val="bottom"/>
            <w:shd w:val="clear" w:color="auto" w:fill="EEEFEF"/>
          </w:tcPr>
          <w:p>
            <w:pPr>
              <w:spacing w:after="0"/>
              <w:rPr>
                <w:sz w:val="12"/>
                <w:szCs w:val="12"/>
                <w:color w:val="auto"/>
              </w:rPr>
            </w:pPr>
          </w:p>
        </w:tc>
        <w:tc>
          <w:tcPr>
            <w:tcW w:w="4180" w:type="dxa"/>
            <w:vAlign w:val="bottom"/>
            <w:gridSpan w:val="4"/>
            <w:vMerge w:val="restart"/>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to our customers</w:t>
            </w:r>
          </w:p>
        </w:tc>
        <w:tc>
          <w:tcPr>
            <w:tcW w:w="18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1220" w:type="dxa"/>
            <w:vAlign w:val="bottom"/>
            <w:shd w:val="clear" w:color="auto" w:fill="EEEFEF"/>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20" w:type="dxa"/>
            <w:vAlign w:val="bottom"/>
          </w:tcPr>
          <w:p>
            <w:pPr>
              <w:spacing w:after="0"/>
              <w:rPr>
                <w:sz w:val="8"/>
                <w:szCs w:val="8"/>
                <w:color w:val="auto"/>
              </w:rPr>
            </w:pPr>
          </w:p>
        </w:tc>
        <w:tc>
          <w:tcPr>
            <w:tcW w:w="1600" w:type="dxa"/>
            <w:vAlign w:val="bottom"/>
            <w:shd w:val="clear" w:color="auto" w:fill="3E693D"/>
          </w:tcPr>
          <w:p>
            <w:pPr>
              <w:spacing w:after="0"/>
              <w:rPr>
                <w:sz w:val="8"/>
                <w:szCs w:val="8"/>
                <w:color w:val="auto"/>
              </w:rPr>
            </w:pPr>
          </w:p>
        </w:tc>
        <w:tc>
          <w:tcPr>
            <w:tcW w:w="340" w:type="dxa"/>
            <w:vAlign w:val="bottom"/>
            <w:shd w:val="clear" w:color="auto" w:fill="3E693D"/>
          </w:tcPr>
          <w:p>
            <w:pPr>
              <w:spacing w:after="0"/>
              <w:rPr>
                <w:sz w:val="8"/>
                <w:szCs w:val="8"/>
                <w:color w:val="auto"/>
              </w:rPr>
            </w:pPr>
          </w:p>
        </w:tc>
        <w:tc>
          <w:tcPr>
            <w:tcW w:w="320" w:type="dxa"/>
            <w:vAlign w:val="bottom"/>
            <w:shd w:val="clear" w:color="auto" w:fill="EEEFEF"/>
          </w:tcPr>
          <w:p>
            <w:pPr>
              <w:spacing w:after="0"/>
              <w:rPr>
                <w:sz w:val="8"/>
                <w:szCs w:val="8"/>
                <w:color w:val="auto"/>
              </w:rPr>
            </w:pPr>
          </w:p>
        </w:tc>
        <w:tc>
          <w:tcPr>
            <w:tcW w:w="41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shd w:val="clear" w:color="auto" w:fill="EEEFEF"/>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600" w:type="dxa"/>
            <w:vAlign w:val="bottom"/>
            <w:tcBorders>
              <w:bottom w:val="single" w:sz="8" w:color="3E693D"/>
            </w:tcBorders>
            <w:shd w:val="clear" w:color="auto" w:fill="3E693D"/>
          </w:tcPr>
          <w:p>
            <w:pPr>
              <w:spacing w:after="0"/>
              <w:rPr>
                <w:sz w:val="2"/>
                <w:szCs w:val="2"/>
                <w:color w:val="auto"/>
              </w:rPr>
            </w:pPr>
          </w:p>
        </w:tc>
        <w:tc>
          <w:tcPr>
            <w:tcW w:w="340" w:type="dxa"/>
            <w:vAlign w:val="bottom"/>
            <w:tcBorders>
              <w:bottom w:val="single" w:sz="8" w:color="3E693D"/>
            </w:tcBorders>
            <w:shd w:val="clear" w:color="auto" w:fill="3E693D"/>
          </w:tcPr>
          <w:p>
            <w:pPr>
              <w:spacing w:after="0"/>
              <w:rPr>
                <w:sz w:val="2"/>
                <w:szCs w:val="2"/>
                <w:color w:val="auto"/>
              </w:rPr>
            </w:pPr>
          </w:p>
        </w:tc>
        <w:tc>
          <w:tcPr>
            <w:tcW w:w="320" w:type="dxa"/>
            <w:vAlign w:val="bottom"/>
            <w:tcBorders>
              <w:bottom w:val="single" w:sz="8" w:color="EEEFEF"/>
            </w:tcBorders>
            <w:shd w:val="clear" w:color="auto" w:fill="EEEFEF"/>
          </w:tcPr>
          <w:p>
            <w:pPr>
              <w:spacing w:after="0"/>
              <w:rPr>
                <w:sz w:val="2"/>
                <w:szCs w:val="2"/>
                <w:color w:val="auto"/>
              </w:rPr>
            </w:pPr>
          </w:p>
        </w:tc>
        <w:tc>
          <w:tcPr>
            <w:tcW w:w="140" w:type="dxa"/>
            <w:vAlign w:val="bottom"/>
            <w:tcBorders>
              <w:bottom w:val="single" w:sz="8" w:color="EEEFEF"/>
            </w:tcBorders>
          </w:tcPr>
          <w:p>
            <w:pPr>
              <w:spacing w:after="0"/>
              <w:rPr>
                <w:sz w:val="2"/>
                <w:szCs w:val="2"/>
                <w:color w:val="auto"/>
              </w:rPr>
            </w:pPr>
          </w:p>
        </w:tc>
        <w:tc>
          <w:tcPr>
            <w:tcW w:w="2680" w:type="dxa"/>
            <w:vAlign w:val="bottom"/>
            <w:tcBorders>
              <w:bottom w:val="single" w:sz="8" w:color="EEEFEF"/>
            </w:tcBorders>
          </w:tcPr>
          <w:p>
            <w:pPr>
              <w:spacing w:after="0"/>
              <w:rPr>
                <w:sz w:val="2"/>
                <w:szCs w:val="2"/>
                <w:color w:val="auto"/>
              </w:rPr>
            </w:pPr>
          </w:p>
        </w:tc>
        <w:tc>
          <w:tcPr>
            <w:tcW w:w="420" w:type="dxa"/>
            <w:vAlign w:val="bottom"/>
            <w:tcBorders>
              <w:bottom w:val="single" w:sz="8" w:color="EEEFEF"/>
            </w:tcBorders>
          </w:tcPr>
          <w:p>
            <w:pPr>
              <w:spacing w:after="0"/>
              <w:rPr>
                <w:sz w:val="2"/>
                <w:szCs w:val="2"/>
                <w:color w:val="auto"/>
              </w:rPr>
            </w:pPr>
          </w:p>
        </w:tc>
        <w:tc>
          <w:tcPr>
            <w:tcW w:w="940" w:type="dxa"/>
            <w:vAlign w:val="bottom"/>
            <w:tcBorders>
              <w:bottom w:val="single" w:sz="8" w:color="EEEFEF"/>
            </w:tcBorders>
          </w:tcPr>
          <w:p>
            <w:pPr>
              <w:spacing w:after="0"/>
              <w:rPr>
                <w:sz w:val="2"/>
                <w:szCs w:val="2"/>
                <w:color w:val="auto"/>
              </w:rPr>
            </w:pPr>
          </w:p>
        </w:tc>
        <w:tc>
          <w:tcPr>
            <w:tcW w:w="180" w:type="dxa"/>
            <w:vAlign w:val="bottom"/>
            <w:tcBorders>
              <w:bottom w:val="single" w:sz="8" w:color="EEEFEF"/>
            </w:tcBorders>
          </w:tcPr>
          <w:p>
            <w:pPr>
              <w:spacing w:after="0"/>
              <w:rPr>
                <w:sz w:val="2"/>
                <w:szCs w:val="2"/>
                <w:color w:val="auto"/>
              </w:rPr>
            </w:pPr>
          </w:p>
        </w:tc>
        <w:tc>
          <w:tcPr>
            <w:tcW w:w="2340" w:type="dxa"/>
            <w:vAlign w:val="bottom"/>
            <w:tcBorders>
              <w:bottom w:val="single" w:sz="8" w:color="EEEFEF"/>
            </w:tcBorders>
          </w:tcPr>
          <w:p>
            <w:pPr>
              <w:spacing w:after="0"/>
              <w:rPr>
                <w:sz w:val="2"/>
                <w:szCs w:val="2"/>
                <w:color w:val="auto"/>
              </w:rPr>
            </w:pPr>
          </w:p>
        </w:tc>
        <w:tc>
          <w:tcPr>
            <w:tcW w:w="400" w:type="dxa"/>
            <w:vAlign w:val="bottom"/>
            <w:tcBorders>
              <w:bottom w:val="single" w:sz="8" w:color="EEEFEF"/>
            </w:tcBorders>
          </w:tcPr>
          <w:p>
            <w:pPr>
              <w:spacing w:after="0"/>
              <w:rPr>
                <w:sz w:val="2"/>
                <w:szCs w:val="2"/>
                <w:color w:val="auto"/>
              </w:rPr>
            </w:pPr>
          </w:p>
        </w:tc>
        <w:tc>
          <w:tcPr>
            <w:tcW w:w="1220" w:type="dxa"/>
            <w:vAlign w:val="bottom"/>
            <w:tcBorders>
              <w:bottom w:val="single" w:sz="8" w:color="EEEFEF"/>
            </w:tcBorders>
            <w:shd w:val="clear" w:color="auto" w:fill="EEEFEF"/>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1600" w:type="dxa"/>
            <w:vAlign w:val="bottom"/>
            <w:shd w:val="clear" w:color="auto" w:fill="EEEFEF"/>
          </w:tcPr>
          <w:p>
            <w:pPr>
              <w:spacing w:after="0"/>
              <w:rPr>
                <w:sz w:val="11"/>
                <w:szCs w:val="11"/>
                <w:color w:val="auto"/>
              </w:rPr>
            </w:pPr>
          </w:p>
        </w:tc>
        <w:tc>
          <w:tcPr>
            <w:tcW w:w="340" w:type="dxa"/>
            <w:vAlign w:val="bottom"/>
            <w:shd w:val="clear" w:color="auto" w:fill="EEEFEF"/>
          </w:tcPr>
          <w:p>
            <w:pPr>
              <w:spacing w:after="0"/>
              <w:rPr>
                <w:sz w:val="11"/>
                <w:szCs w:val="11"/>
                <w:color w:val="auto"/>
              </w:rPr>
            </w:pPr>
          </w:p>
        </w:tc>
        <w:tc>
          <w:tcPr>
            <w:tcW w:w="32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2680" w:type="dxa"/>
            <w:vAlign w:val="bottom"/>
            <w:tcBorders>
              <w:right w:val="single" w:sz="8" w:color="EEEFEF"/>
            </w:tcBorders>
            <w:shd w:val="clear" w:color="auto" w:fill="EEEFEF"/>
          </w:tcPr>
          <w:p>
            <w:pPr>
              <w:spacing w:after="0"/>
              <w:rPr>
                <w:sz w:val="11"/>
                <w:szCs w:val="11"/>
                <w:color w:val="auto"/>
              </w:rPr>
            </w:pPr>
          </w:p>
        </w:tc>
        <w:tc>
          <w:tcPr>
            <w:tcW w:w="420" w:type="dxa"/>
            <w:vAlign w:val="bottom"/>
            <w:tcBorders>
              <w:right w:val="single" w:sz="8" w:color="EEEFEF"/>
            </w:tcBorders>
            <w:shd w:val="clear" w:color="auto" w:fill="EEEFEF"/>
          </w:tcPr>
          <w:p>
            <w:pPr>
              <w:spacing w:after="0"/>
              <w:rPr>
                <w:sz w:val="11"/>
                <w:szCs w:val="11"/>
                <w:color w:val="auto"/>
              </w:rPr>
            </w:pPr>
          </w:p>
        </w:tc>
        <w:tc>
          <w:tcPr>
            <w:tcW w:w="9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400" w:type="dxa"/>
            <w:vAlign w:val="bottom"/>
            <w:shd w:val="clear" w:color="auto" w:fill="EEEFEF"/>
          </w:tcPr>
          <w:p>
            <w:pPr>
              <w:spacing w:after="0"/>
              <w:rPr>
                <w:sz w:val="11"/>
                <w:szCs w:val="11"/>
                <w:color w:val="auto"/>
              </w:rPr>
            </w:pPr>
          </w:p>
        </w:tc>
        <w:tc>
          <w:tcPr>
            <w:tcW w:w="1220" w:type="dxa"/>
            <w:vAlign w:val="bottom"/>
            <w:shd w:val="clear" w:color="auto" w:fill="EEEFE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4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9"/>
              </w:rPr>
              <w:t>Fortress Balance</w:t>
            </w:r>
          </w:p>
        </w:tc>
        <w:tc>
          <w:tcPr>
            <w:tcW w:w="320" w:type="dxa"/>
            <w:vAlign w:val="bottom"/>
            <w:shd w:val="clear" w:color="auto" w:fill="EEEFEF"/>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4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 xml:space="preserve">Capital </w:t>
            </w:r>
            <w:r>
              <w:rPr>
                <w:rFonts w:ascii="Arial" w:cs="Arial" w:eastAsia="Arial" w:hAnsi="Arial"/>
                <w:sz w:val="18"/>
                <w:szCs w:val="18"/>
                <w:color w:val="auto"/>
              </w:rPr>
              <w:t>and</w:t>
            </w:r>
            <w:r>
              <w:rPr>
                <w:rFonts w:ascii="Arial" w:cs="Arial" w:eastAsia="Arial" w:hAnsi="Arial"/>
                <w:sz w:val="18"/>
                <w:szCs w:val="18"/>
                <w:b w:val="1"/>
                <w:bCs w:val="1"/>
                <w:color w:val="auto"/>
              </w:rPr>
              <w:t xml:space="preserve"> liquidity</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 xml:space="preserve">Culture </w:t>
            </w:r>
            <w:r>
              <w:rPr>
                <w:rFonts w:ascii="Arial" w:cs="Arial" w:eastAsia="Arial" w:hAnsi="Arial"/>
                <w:sz w:val="18"/>
                <w:szCs w:val="18"/>
                <w:color w:val="auto"/>
              </w:rPr>
              <w:t>and</w:t>
            </w:r>
            <w:r>
              <w:rPr>
                <w:rFonts w:ascii="Arial" w:cs="Arial" w:eastAsia="Arial" w:hAnsi="Arial"/>
                <w:sz w:val="18"/>
                <w:szCs w:val="18"/>
                <w:b w:val="1"/>
                <w:bCs w:val="1"/>
                <w:color w:val="auto"/>
              </w:rPr>
              <w:t xml:space="preserve"> conduct</w:t>
            </w:r>
          </w:p>
        </w:tc>
        <w:tc>
          <w:tcPr>
            <w:tcW w:w="1220" w:type="dxa"/>
            <w:vAlign w:val="bottom"/>
            <w:shd w:val="clear" w:color="auto" w:fill="EEEFE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 w:type="dxa"/>
            <w:vAlign w:val="bottom"/>
          </w:tcPr>
          <w:p>
            <w:pPr>
              <w:spacing w:after="0"/>
              <w:rPr>
                <w:sz w:val="17"/>
                <w:szCs w:val="17"/>
                <w:color w:val="auto"/>
              </w:rPr>
            </w:pPr>
          </w:p>
        </w:tc>
        <w:tc>
          <w:tcPr>
            <w:tcW w:w="1940" w:type="dxa"/>
            <w:vAlign w:val="bottom"/>
            <w:gridSpan w:val="2"/>
            <w:vMerge w:val="continue"/>
            <w:shd w:val="clear" w:color="auto" w:fill="3E693D"/>
          </w:tcPr>
          <w:p>
            <w:pPr>
              <w:spacing w:after="0"/>
              <w:rPr>
                <w:sz w:val="17"/>
                <w:szCs w:val="17"/>
                <w:color w:val="auto"/>
              </w:rPr>
            </w:pPr>
          </w:p>
        </w:tc>
        <w:tc>
          <w:tcPr>
            <w:tcW w:w="320" w:type="dxa"/>
            <w:vAlign w:val="bottom"/>
            <w:shd w:val="clear" w:color="auto" w:fill="EEEFEF"/>
          </w:tcPr>
          <w:p>
            <w:pPr>
              <w:spacing w:after="0"/>
              <w:rPr>
                <w:sz w:val="17"/>
                <w:szCs w:val="17"/>
                <w:color w:val="auto"/>
              </w:rPr>
            </w:pPr>
          </w:p>
        </w:tc>
        <w:tc>
          <w:tcPr>
            <w:tcW w:w="140" w:type="dxa"/>
            <w:vAlign w:val="bottom"/>
            <w:vMerge w:val="continue"/>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1220" w:type="dxa"/>
            <w:vAlign w:val="bottom"/>
            <w:shd w:val="clear" w:color="auto" w:fill="EEEFE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20" w:type="dxa"/>
            <w:vAlign w:val="bottom"/>
          </w:tcPr>
          <w:p>
            <w:pPr>
              <w:spacing w:after="0"/>
              <w:rPr>
                <w:sz w:val="9"/>
                <w:szCs w:val="9"/>
                <w:color w:val="auto"/>
              </w:rPr>
            </w:pPr>
          </w:p>
        </w:tc>
        <w:tc>
          <w:tcPr>
            <w:tcW w:w="1940" w:type="dxa"/>
            <w:vAlign w:val="bottom"/>
            <w:tcBorders>
              <w:bottom w:val="single" w:sz="8" w:color="3E693D"/>
            </w:tcBorders>
            <w:gridSpan w:val="2"/>
            <w:vMerge w:val="continue"/>
            <w:shd w:val="clear" w:color="auto" w:fill="3E693D"/>
          </w:tcPr>
          <w:p>
            <w:pPr>
              <w:spacing w:after="0"/>
              <w:rPr>
                <w:sz w:val="9"/>
                <w:szCs w:val="9"/>
                <w:color w:val="auto"/>
              </w:rPr>
            </w:pPr>
          </w:p>
        </w:tc>
        <w:tc>
          <w:tcPr>
            <w:tcW w:w="320" w:type="dxa"/>
            <w:vAlign w:val="bottom"/>
            <w:tcBorders>
              <w:bottom w:val="single" w:sz="8" w:color="EEEFEF"/>
            </w:tcBorders>
            <w:shd w:val="clear" w:color="auto" w:fill="EEEFEF"/>
          </w:tcPr>
          <w:p>
            <w:pPr>
              <w:spacing w:after="0"/>
              <w:rPr>
                <w:sz w:val="9"/>
                <w:szCs w:val="9"/>
                <w:color w:val="auto"/>
              </w:rPr>
            </w:pPr>
          </w:p>
        </w:tc>
        <w:tc>
          <w:tcPr>
            <w:tcW w:w="4180" w:type="dxa"/>
            <w:vAlign w:val="bottom"/>
            <w:gridSpan w:val="4"/>
            <w:vMerge w:val="restart"/>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Risk governance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controls</w:t>
            </w:r>
          </w:p>
        </w:tc>
        <w:tc>
          <w:tcPr>
            <w:tcW w:w="1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Borders>
              <w:bottom w:val="single" w:sz="8" w:color="EEEFEF"/>
            </w:tcBorders>
            <w:shd w:val="clear" w:color="auto" w:fill="EEEFEF"/>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1940" w:type="dxa"/>
            <w:vAlign w:val="bottom"/>
            <w:tcBorders>
              <w:top w:val="single" w:sz="8" w:color="3E693D"/>
            </w:tcBorders>
            <w:gridSpan w:val="2"/>
            <w:vMerge w:val="restart"/>
            <w:shd w:val="clear" w:color="auto" w:fill="3E693D"/>
          </w:tcPr>
          <w:p>
            <w:pPr>
              <w:jc w:val="center"/>
              <w:spacing w:after="0" w:line="182" w:lineRule="exact"/>
              <w:rPr>
                <w:sz w:val="20"/>
                <w:szCs w:val="20"/>
                <w:color w:val="auto"/>
              </w:rPr>
            </w:pPr>
            <w:r>
              <w:rPr>
                <w:rFonts w:ascii="Arial" w:cs="Arial" w:eastAsia="Arial" w:hAnsi="Arial"/>
                <w:sz w:val="18"/>
                <w:szCs w:val="18"/>
                <w:b w:val="1"/>
                <w:bCs w:val="1"/>
                <w:color w:val="FFFFFF"/>
              </w:rPr>
              <w:t>Sheet and Principles</w:t>
            </w:r>
          </w:p>
        </w:tc>
        <w:tc>
          <w:tcPr>
            <w:tcW w:w="320" w:type="dxa"/>
            <w:vAlign w:val="bottom"/>
            <w:tcBorders>
              <w:top w:val="single" w:sz="8" w:color="3E693D"/>
            </w:tcBorders>
            <w:shd w:val="clear" w:color="auto" w:fill="EEEFEF"/>
          </w:tcPr>
          <w:p>
            <w:pPr>
              <w:spacing w:after="0"/>
              <w:rPr>
                <w:sz w:val="10"/>
                <w:szCs w:val="10"/>
                <w:color w:val="auto"/>
              </w:rPr>
            </w:pPr>
          </w:p>
        </w:tc>
        <w:tc>
          <w:tcPr>
            <w:tcW w:w="418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Borders>
              <w:top w:val="single" w:sz="8" w:color="EEEFEF"/>
            </w:tcBorders>
            <w:shd w:val="clear" w:color="auto" w:fill="EEEFEF"/>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940" w:type="dxa"/>
            <w:vAlign w:val="bottom"/>
            <w:gridSpan w:val="2"/>
            <w:vMerge w:val="continue"/>
            <w:shd w:val="clear" w:color="auto" w:fill="3E693D"/>
          </w:tcPr>
          <w:p>
            <w:pPr>
              <w:spacing w:after="0"/>
              <w:rPr>
                <w:sz w:val="5"/>
                <w:szCs w:val="5"/>
                <w:color w:val="auto"/>
              </w:rPr>
            </w:pPr>
          </w:p>
        </w:tc>
        <w:tc>
          <w:tcPr>
            <w:tcW w:w="320" w:type="dxa"/>
            <w:vAlign w:val="bottom"/>
            <w:shd w:val="clear" w:color="auto" w:fill="EEEFEF"/>
          </w:tcPr>
          <w:p>
            <w:pPr>
              <w:spacing w:after="0"/>
              <w:rPr>
                <w:sz w:val="5"/>
                <w:szCs w:val="5"/>
                <w:color w:val="auto"/>
              </w:rPr>
            </w:pPr>
          </w:p>
        </w:tc>
        <w:tc>
          <w:tcPr>
            <w:tcW w:w="140" w:type="dxa"/>
            <w:vAlign w:val="bottom"/>
          </w:tcPr>
          <w:p>
            <w:pPr>
              <w:spacing w:after="0"/>
              <w:rPr>
                <w:sz w:val="5"/>
                <w:szCs w:val="5"/>
                <w:color w:val="auto"/>
              </w:rPr>
            </w:pPr>
          </w:p>
        </w:tc>
        <w:tc>
          <w:tcPr>
            <w:tcW w:w="2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shd w:val="clear" w:color="auto" w:fill="EEEFEF"/>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1600" w:type="dxa"/>
            <w:vAlign w:val="bottom"/>
            <w:tcBorders>
              <w:bottom w:val="single" w:sz="8" w:color="3E693D"/>
            </w:tcBorders>
            <w:shd w:val="clear" w:color="auto" w:fill="3E693D"/>
          </w:tcPr>
          <w:p>
            <w:pPr>
              <w:spacing w:after="0"/>
              <w:rPr>
                <w:sz w:val="7"/>
                <w:szCs w:val="7"/>
                <w:color w:val="auto"/>
              </w:rPr>
            </w:pPr>
          </w:p>
        </w:tc>
        <w:tc>
          <w:tcPr>
            <w:tcW w:w="340" w:type="dxa"/>
            <w:vAlign w:val="bottom"/>
            <w:tcBorders>
              <w:bottom w:val="single" w:sz="8" w:color="3E693D"/>
            </w:tcBorders>
            <w:shd w:val="clear" w:color="auto" w:fill="3E693D"/>
          </w:tcPr>
          <w:p>
            <w:pPr>
              <w:spacing w:after="0"/>
              <w:rPr>
                <w:sz w:val="7"/>
                <w:szCs w:val="7"/>
                <w:color w:val="auto"/>
              </w:rPr>
            </w:pPr>
          </w:p>
        </w:tc>
        <w:tc>
          <w:tcPr>
            <w:tcW w:w="320" w:type="dxa"/>
            <w:vAlign w:val="bottom"/>
            <w:tcBorders>
              <w:bottom w:val="single" w:sz="8" w:color="EEEFEF"/>
            </w:tcBorders>
            <w:shd w:val="clear" w:color="auto" w:fill="EEEFEF"/>
          </w:tcPr>
          <w:p>
            <w:pPr>
              <w:spacing w:after="0"/>
              <w:rPr>
                <w:sz w:val="7"/>
                <w:szCs w:val="7"/>
                <w:color w:val="auto"/>
              </w:rPr>
            </w:pPr>
          </w:p>
        </w:tc>
        <w:tc>
          <w:tcPr>
            <w:tcW w:w="2820" w:type="dxa"/>
            <w:vAlign w:val="bottom"/>
            <w:tcBorders>
              <w:bottom w:val="single" w:sz="8" w:color="EEEFEF"/>
            </w:tcBorders>
            <w:gridSpan w:val="2"/>
          </w:tcPr>
          <w:p>
            <w:pPr>
              <w:spacing w:after="0"/>
              <w:rPr>
                <w:sz w:val="7"/>
                <w:szCs w:val="7"/>
                <w:color w:val="auto"/>
              </w:rPr>
            </w:pPr>
          </w:p>
        </w:tc>
        <w:tc>
          <w:tcPr>
            <w:tcW w:w="420" w:type="dxa"/>
            <w:vAlign w:val="bottom"/>
            <w:tcBorders>
              <w:bottom w:val="single" w:sz="8" w:color="EEEFEF"/>
            </w:tcBorders>
          </w:tcPr>
          <w:p>
            <w:pPr>
              <w:spacing w:after="0"/>
              <w:rPr>
                <w:sz w:val="7"/>
                <w:szCs w:val="7"/>
                <w:color w:val="auto"/>
              </w:rPr>
            </w:pPr>
          </w:p>
        </w:tc>
        <w:tc>
          <w:tcPr>
            <w:tcW w:w="940" w:type="dxa"/>
            <w:vAlign w:val="bottom"/>
            <w:tcBorders>
              <w:bottom w:val="single" w:sz="8" w:color="EEEFEF"/>
            </w:tcBorders>
          </w:tcPr>
          <w:p>
            <w:pPr>
              <w:spacing w:after="0"/>
              <w:rPr>
                <w:sz w:val="7"/>
                <w:szCs w:val="7"/>
                <w:color w:val="auto"/>
              </w:rPr>
            </w:pPr>
          </w:p>
        </w:tc>
        <w:tc>
          <w:tcPr>
            <w:tcW w:w="180" w:type="dxa"/>
            <w:vAlign w:val="bottom"/>
            <w:tcBorders>
              <w:bottom w:val="single" w:sz="8" w:color="EEEFEF"/>
            </w:tcBorders>
          </w:tcPr>
          <w:p>
            <w:pPr>
              <w:spacing w:after="0"/>
              <w:rPr>
                <w:sz w:val="7"/>
                <w:szCs w:val="7"/>
                <w:color w:val="auto"/>
              </w:rPr>
            </w:pPr>
          </w:p>
        </w:tc>
        <w:tc>
          <w:tcPr>
            <w:tcW w:w="2340" w:type="dxa"/>
            <w:vAlign w:val="bottom"/>
            <w:tcBorders>
              <w:bottom w:val="single" w:sz="8" w:color="EEEFEF"/>
            </w:tcBorders>
          </w:tcPr>
          <w:p>
            <w:pPr>
              <w:spacing w:after="0"/>
              <w:rPr>
                <w:sz w:val="7"/>
                <w:szCs w:val="7"/>
                <w:color w:val="auto"/>
              </w:rPr>
            </w:pPr>
          </w:p>
        </w:tc>
        <w:tc>
          <w:tcPr>
            <w:tcW w:w="400" w:type="dxa"/>
            <w:vAlign w:val="bottom"/>
            <w:tcBorders>
              <w:bottom w:val="single" w:sz="8" w:color="EEEFEF"/>
            </w:tcBorders>
          </w:tcPr>
          <w:p>
            <w:pPr>
              <w:spacing w:after="0"/>
              <w:rPr>
                <w:sz w:val="7"/>
                <w:szCs w:val="7"/>
                <w:color w:val="auto"/>
              </w:rPr>
            </w:pPr>
          </w:p>
        </w:tc>
        <w:tc>
          <w:tcPr>
            <w:tcW w:w="1220" w:type="dxa"/>
            <w:vAlign w:val="bottom"/>
            <w:tcBorders>
              <w:bottom w:val="single" w:sz="8" w:color="EEEFEF"/>
            </w:tcBorders>
            <w:shd w:val="clear" w:color="auto" w:fill="EEEFEF"/>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600" w:type="dxa"/>
            <w:vAlign w:val="bottom"/>
            <w:shd w:val="clear" w:color="auto" w:fill="EEEFEF"/>
          </w:tcPr>
          <w:p>
            <w:pPr>
              <w:spacing w:after="0"/>
              <w:rPr>
                <w:sz w:val="11"/>
                <w:szCs w:val="11"/>
                <w:color w:val="auto"/>
              </w:rPr>
            </w:pPr>
          </w:p>
        </w:tc>
        <w:tc>
          <w:tcPr>
            <w:tcW w:w="340" w:type="dxa"/>
            <w:vAlign w:val="bottom"/>
            <w:shd w:val="clear" w:color="auto" w:fill="EEEFEF"/>
          </w:tcPr>
          <w:p>
            <w:pPr>
              <w:spacing w:after="0"/>
              <w:rPr>
                <w:sz w:val="11"/>
                <w:szCs w:val="11"/>
                <w:color w:val="auto"/>
              </w:rPr>
            </w:pPr>
          </w:p>
        </w:tc>
        <w:tc>
          <w:tcPr>
            <w:tcW w:w="32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2680" w:type="dxa"/>
            <w:vAlign w:val="bottom"/>
            <w:tcBorders>
              <w:right w:val="single" w:sz="8" w:color="EEEFEF"/>
            </w:tcBorders>
            <w:shd w:val="clear" w:color="auto" w:fill="EEEFEF"/>
          </w:tcPr>
          <w:p>
            <w:pPr>
              <w:spacing w:after="0"/>
              <w:rPr>
                <w:sz w:val="11"/>
                <w:szCs w:val="11"/>
                <w:color w:val="auto"/>
              </w:rPr>
            </w:pPr>
          </w:p>
        </w:tc>
        <w:tc>
          <w:tcPr>
            <w:tcW w:w="420" w:type="dxa"/>
            <w:vAlign w:val="bottom"/>
            <w:tcBorders>
              <w:right w:val="single" w:sz="8" w:color="EEEFEF"/>
            </w:tcBorders>
            <w:shd w:val="clear" w:color="auto" w:fill="EEEFEF"/>
          </w:tcPr>
          <w:p>
            <w:pPr>
              <w:spacing w:after="0"/>
              <w:rPr>
                <w:sz w:val="11"/>
                <w:szCs w:val="11"/>
                <w:color w:val="auto"/>
              </w:rPr>
            </w:pPr>
          </w:p>
        </w:tc>
        <w:tc>
          <w:tcPr>
            <w:tcW w:w="940" w:type="dxa"/>
            <w:vAlign w:val="bottom"/>
            <w:shd w:val="clear" w:color="auto" w:fill="EEEFEF"/>
          </w:tcPr>
          <w:p>
            <w:pPr>
              <w:spacing w:after="0"/>
              <w:rPr>
                <w:sz w:val="11"/>
                <w:szCs w:val="11"/>
                <w:color w:val="auto"/>
              </w:rPr>
            </w:pPr>
          </w:p>
        </w:tc>
        <w:tc>
          <w:tcPr>
            <w:tcW w:w="180" w:type="dxa"/>
            <w:vAlign w:val="bottom"/>
            <w:shd w:val="clear" w:color="auto" w:fill="EEEFEF"/>
          </w:tcPr>
          <w:p>
            <w:pPr>
              <w:spacing w:after="0"/>
              <w:rPr>
                <w:sz w:val="11"/>
                <w:szCs w:val="11"/>
                <w:color w:val="auto"/>
              </w:rPr>
            </w:pPr>
          </w:p>
        </w:tc>
        <w:tc>
          <w:tcPr>
            <w:tcW w:w="2340" w:type="dxa"/>
            <w:vAlign w:val="bottom"/>
            <w:shd w:val="clear" w:color="auto" w:fill="EEEFEF"/>
          </w:tcPr>
          <w:p>
            <w:pPr>
              <w:spacing w:after="0"/>
              <w:rPr>
                <w:sz w:val="11"/>
                <w:szCs w:val="11"/>
                <w:color w:val="auto"/>
              </w:rPr>
            </w:pPr>
          </w:p>
        </w:tc>
        <w:tc>
          <w:tcPr>
            <w:tcW w:w="400" w:type="dxa"/>
            <w:vAlign w:val="bottom"/>
            <w:shd w:val="clear" w:color="auto" w:fill="EEEFEF"/>
          </w:tcPr>
          <w:p>
            <w:pPr>
              <w:spacing w:after="0"/>
              <w:rPr>
                <w:sz w:val="11"/>
                <w:szCs w:val="11"/>
                <w:color w:val="auto"/>
              </w:rPr>
            </w:pPr>
          </w:p>
        </w:tc>
        <w:tc>
          <w:tcPr>
            <w:tcW w:w="1220" w:type="dxa"/>
            <w:vAlign w:val="bottom"/>
            <w:shd w:val="clear" w:color="auto" w:fill="EEEFE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94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9"/>
              </w:rPr>
              <w:t>Long-Term</w:t>
            </w:r>
          </w:p>
        </w:tc>
        <w:tc>
          <w:tcPr>
            <w:tcW w:w="320" w:type="dxa"/>
            <w:vAlign w:val="bottom"/>
            <w:shd w:val="clear" w:color="auto" w:fill="EEEFEF"/>
          </w:tcPr>
          <w:p>
            <w:pPr>
              <w:spacing w:after="0" w:line="20" w:lineRule="exact"/>
              <w:rPr>
                <w:sz w:val="1"/>
                <w:szCs w:val="1"/>
                <w:color w:val="auto"/>
              </w:rPr>
            </w:pPr>
          </w:p>
        </w:tc>
        <w:tc>
          <w:tcPr>
            <w:tcW w:w="4180" w:type="dxa"/>
            <w:vAlign w:val="bottom"/>
            <w:gridSpan w:val="4"/>
            <w:vMerge w:val="restart"/>
          </w:tcPr>
          <w:p>
            <w:pPr>
              <w:ind w:left="20"/>
              <w:spacing w:after="0"/>
              <w:rPr>
                <w:sz w:val="20"/>
                <w:szCs w:val="20"/>
                <w:color w:val="auto"/>
              </w:rPr>
            </w:pPr>
            <w:r>
              <w:rPr>
                <w:rFonts w:ascii="Arial" w:cs="Arial" w:eastAsia="Arial" w:hAnsi="Arial"/>
                <w:sz w:val="18"/>
                <w:szCs w:val="18"/>
                <w:color w:val="auto"/>
              </w:rPr>
              <w:t xml:space="preserve">•  Continuously </w:t>
            </w:r>
            <w:r>
              <w:rPr>
                <w:rFonts w:ascii="Arial" w:cs="Arial" w:eastAsia="Arial" w:hAnsi="Arial"/>
                <w:sz w:val="18"/>
                <w:szCs w:val="18"/>
                <w:b w:val="1"/>
                <w:bCs w:val="1"/>
                <w:color w:val="auto"/>
              </w:rPr>
              <w:t>investing</w:t>
            </w:r>
            <w:r>
              <w:rPr>
                <w:rFonts w:ascii="Arial" w:cs="Arial" w:eastAsia="Arial" w:hAnsi="Arial"/>
                <w:sz w:val="18"/>
                <w:szCs w:val="18"/>
                <w:color w:val="auto"/>
              </w:rPr>
              <w:t xml:space="preserve"> in the future while</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 xml:space="preserve">Talent </w:t>
            </w:r>
            <w:r>
              <w:rPr>
                <w:rFonts w:ascii="Arial" w:cs="Arial" w:eastAsia="Arial" w:hAnsi="Arial"/>
                <w:sz w:val="18"/>
                <w:szCs w:val="18"/>
                <w:color w:val="auto"/>
              </w:rPr>
              <w:t>and</w:t>
            </w:r>
            <w:r>
              <w:rPr>
                <w:rFonts w:ascii="Arial" w:cs="Arial" w:eastAsia="Arial" w:hAnsi="Arial"/>
                <w:sz w:val="18"/>
                <w:szCs w:val="18"/>
                <w:b w:val="1"/>
                <w:bCs w:val="1"/>
                <w:color w:val="auto"/>
              </w:rPr>
              <w:t xml:space="preserve"> Diversity</w:t>
            </w:r>
          </w:p>
        </w:tc>
        <w:tc>
          <w:tcPr>
            <w:tcW w:w="1220" w:type="dxa"/>
            <w:vAlign w:val="bottom"/>
            <w:shd w:val="clear" w:color="auto" w:fill="EEEFE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 w:type="dxa"/>
            <w:vAlign w:val="bottom"/>
          </w:tcPr>
          <w:p>
            <w:pPr>
              <w:spacing w:after="0"/>
              <w:rPr>
                <w:sz w:val="17"/>
                <w:szCs w:val="17"/>
                <w:color w:val="auto"/>
              </w:rPr>
            </w:pPr>
          </w:p>
        </w:tc>
        <w:tc>
          <w:tcPr>
            <w:tcW w:w="1940" w:type="dxa"/>
            <w:vAlign w:val="bottom"/>
            <w:gridSpan w:val="2"/>
            <w:vMerge w:val="continue"/>
            <w:shd w:val="clear" w:color="auto" w:fill="3E693D"/>
          </w:tcPr>
          <w:p>
            <w:pPr>
              <w:spacing w:after="0"/>
              <w:rPr>
                <w:sz w:val="17"/>
                <w:szCs w:val="17"/>
                <w:color w:val="auto"/>
              </w:rPr>
            </w:pPr>
          </w:p>
        </w:tc>
        <w:tc>
          <w:tcPr>
            <w:tcW w:w="320" w:type="dxa"/>
            <w:vAlign w:val="bottom"/>
            <w:shd w:val="clear" w:color="auto" w:fill="EEEFEF"/>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1220" w:type="dxa"/>
            <w:vAlign w:val="bottom"/>
            <w:shd w:val="clear" w:color="auto" w:fill="EEEFE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940" w:type="dxa"/>
            <w:vAlign w:val="bottom"/>
            <w:tcBorders>
              <w:bottom w:val="single" w:sz="8" w:color="3E693D"/>
            </w:tcBorders>
            <w:gridSpan w:val="2"/>
            <w:vMerge w:val="continue"/>
            <w:shd w:val="clear" w:color="auto" w:fill="3E693D"/>
          </w:tcPr>
          <w:p>
            <w:pPr>
              <w:spacing w:after="0"/>
              <w:rPr>
                <w:sz w:val="12"/>
                <w:szCs w:val="12"/>
                <w:color w:val="auto"/>
              </w:rPr>
            </w:pPr>
          </w:p>
        </w:tc>
        <w:tc>
          <w:tcPr>
            <w:tcW w:w="320" w:type="dxa"/>
            <w:vAlign w:val="bottom"/>
            <w:tcBorders>
              <w:bottom w:val="single" w:sz="8" w:color="3E693D"/>
            </w:tcBorders>
            <w:shd w:val="clear" w:color="auto" w:fill="EEEFEF"/>
          </w:tcPr>
          <w:p>
            <w:pPr>
              <w:spacing w:after="0"/>
              <w:rPr>
                <w:sz w:val="12"/>
                <w:szCs w:val="12"/>
                <w:color w:val="auto"/>
              </w:rPr>
            </w:pPr>
          </w:p>
        </w:tc>
        <w:tc>
          <w:tcPr>
            <w:tcW w:w="140" w:type="dxa"/>
            <w:vAlign w:val="bottom"/>
          </w:tcPr>
          <w:p>
            <w:pPr>
              <w:spacing w:after="0"/>
              <w:rPr>
                <w:sz w:val="12"/>
                <w:szCs w:val="12"/>
                <w:color w:val="auto"/>
              </w:rPr>
            </w:pPr>
          </w:p>
        </w:tc>
        <w:tc>
          <w:tcPr>
            <w:tcW w:w="4040" w:type="dxa"/>
            <w:vAlign w:val="bottom"/>
            <w:gridSpan w:val="3"/>
            <w:vMerge w:val="restart"/>
          </w:tcPr>
          <w:p>
            <w:pPr>
              <w:ind w:left="80"/>
              <w:spacing w:after="0"/>
              <w:rPr>
                <w:sz w:val="20"/>
                <w:szCs w:val="20"/>
                <w:color w:val="auto"/>
              </w:rPr>
            </w:pPr>
            <w:r>
              <w:rPr>
                <w:rFonts w:ascii="Arial" w:cs="Arial" w:eastAsia="Arial" w:hAnsi="Arial"/>
                <w:sz w:val="18"/>
                <w:szCs w:val="18"/>
                <w:color w:val="auto"/>
              </w:rPr>
              <w:t xml:space="preserve">maintaining </w:t>
            </w:r>
            <w:r>
              <w:rPr>
                <w:rFonts w:ascii="Arial" w:cs="Arial" w:eastAsia="Arial" w:hAnsi="Arial"/>
                <w:sz w:val="18"/>
                <w:szCs w:val="18"/>
                <w:b w:val="1"/>
                <w:bCs w:val="1"/>
                <w:color w:val="auto"/>
              </w:rPr>
              <w:t>expense discipline</w:t>
            </w:r>
          </w:p>
        </w:tc>
        <w:tc>
          <w:tcPr>
            <w:tcW w:w="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Borders>
              <w:bottom w:val="single" w:sz="8" w:color="EEEFEF"/>
            </w:tcBorders>
            <w:shd w:val="clear" w:color="auto" w:fill="EEEFEF"/>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940" w:type="dxa"/>
            <w:vAlign w:val="bottom"/>
            <w:gridSpan w:val="2"/>
            <w:vMerge w:val="restart"/>
            <w:shd w:val="clear" w:color="auto" w:fill="3E693D"/>
          </w:tcPr>
          <w:p>
            <w:pPr>
              <w:jc w:val="center"/>
              <w:spacing w:after="0"/>
              <w:rPr>
                <w:sz w:val="20"/>
                <w:szCs w:val="20"/>
                <w:color w:val="auto"/>
              </w:rPr>
            </w:pPr>
            <w:r>
              <w:rPr>
                <w:rFonts w:ascii="Arial" w:cs="Arial" w:eastAsia="Arial" w:hAnsi="Arial"/>
                <w:sz w:val="18"/>
                <w:szCs w:val="18"/>
                <w:b w:val="1"/>
                <w:bCs w:val="1"/>
                <w:color w:val="FFFFFF"/>
                <w:w w:val="99"/>
              </w:rPr>
              <w:t>Shareholder Value</w:t>
            </w:r>
          </w:p>
        </w:tc>
        <w:tc>
          <w:tcPr>
            <w:tcW w:w="320" w:type="dxa"/>
            <w:vAlign w:val="bottom"/>
            <w:shd w:val="clear" w:color="auto" w:fill="EEEFEF"/>
          </w:tcPr>
          <w:p>
            <w:pPr>
              <w:spacing w:after="0"/>
              <w:rPr>
                <w:sz w:val="4"/>
                <w:szCs w:val="4"/>
                <w:color w:val="auto"/>
              </w:rPr>
            </w:pPr>
          </w:p>
        </w:tc>
        <w:tc>
          <w:tcPr>
            <w:tcW w:w="14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shd w:val="clear" w:color="auto" w:fill="EEEFEF"/>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1940" w:type="dxa"/>
            <w:vAlign w:val="bottom"/>
            <w:gridSpan w:val="2"/>
            <w:vMerge w:val="continue"/>
            <w:shd w:val="clear" w:color="auto" w:fill="3E693D"/>
          </w:tcPr>
          <w:p>
            <w:pPr>
              <w:spacing w:after="0"/>
              <w:rPr>
                <w:sz w:val="14"/>
                <w:szCs w:val="14"/>
                <w:color w:val="auto"/>
              </w:rPr>
            </w:pPr>
          </w:p>
        </w:tc>
        <w:tc>
          <w:tcPr>
            <w:tcW w:w="320" w:type="dxa"/>
            <w:vAlign w:val="bottom"/>
            <w:shd w:val="clear" w:color="auto" w:fill="EEEFEF"/>
          </w:tcPr>
          <w:p>
            <w:pPr>
              <w:spacing w:after="0"/>
              <w:rPr>
                <w:sz w:val="14"/>
                <w:szCs w:val="14"/>
                <w:color w:val="auto"/>
              </w:rPr>
            </w:pPr>
          </w:p>
        </w:tc>
        <w:tc>
          <w:tcPr>
            <w:tcW w:w="4180" w:type="dxa"/>
            <w:vAlign w:val="bottom"/>
            <w:gridSpan w:val="4"/>
            <w:vMerge w:val="restart"/>
          </w:tcPr>
          <w:p>
            <w:pPr>
              <w:ind w:left="20"/>
              <w:spacing w:after="0"/>
              <w:rPr>
                <w:sz w:val="20"/>
                <w:szCs w:val="20"/>
                <w:color w:val="auto"/>
              </w:rPr>
            </w:pPr>
            <w:r>
              <w:rPr>
                <w:rFonts w:ascii="Arial" w:cs="Arial" w:eastAsia="Arial" w:hAnsi="Arial"/>
                <w:sz w:val="18"/>
                <w:szCs w:val="18"/>
                <w:color w:val="auto"/>
              </w:rPr>
              <w:t xml:space="preserve">•  Focus on </w:t>
            </w:r>
            <w:r>
              <w:rPr>
                <w:rFonts w:ascii="Arial" w:cs="Arial" w:eastAsia="Arial" w:hAnsi="Arial"/>
                <w:sz w:val="18"/>
                <w:szCs w:val="18"/>
                <w:b w:val="1"/>
                <w:bCs w:val="1"/>
                <w:color w:val="auto"/>
              </w:rPr>
              <w:t>customer experience</w:t>
            </w:r>
            <w:r>
              <w:rPr>
                <w:rFonts w:ascii="Arial" w:cs="Arial" w:eastAsia="Arial" w:hAnsi="Arial"/>
                <w:sz w:val="18"/>
                <w:szCs w:val="18"/>
                <w:color w:val="auto"/>
              </w:rPr>
              <w:t xml:space="preserve"> and </w:t>
            </w:r>
            <w:r>
              <w:rPr>
                <w:rFonts w:ascii="Arial" w:cs="Arial" w:eastAsia="Arial" w:hAnsi="Arial"/>
                <w:sz w:val="18"/>
                <w:szCs w:val="18"/>
                <w:b w:val="1"/>
                <w:bCs w:val="1"/>
                <w:color w:val="auto"/>
              </w:rPr>
              <w:t>innovation</w:t>
            </w:r>
          </w:p>
        </w:tc>
        <w:tc>
          <w:tcPr>
            <w:tcW w:w="1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74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Local </w:t>
            </w:r>
            <w:r>
              <w:rPr>
                <w:rFonts w:ascii="Arial" w:cs="Arial" w:eastAsia="Arial" w:hAnsi="Arial"/>
                <w:sz w:val="18"/>
                <w:szCs w:val="18"/>
                <w:b w:val="1"/>
                <w:bCs w:val="1"/>
                <w:color w:val="auto"/>
              </w:rPr>
              <w:t>community engagement</w:t>
            </w:r>
          </w:p>
        </w:tc>
        <w:tc>
          <w:tcPr>
            <w:tcW w:w="1220" w:type="dxa"/>
            <w:vAlign w:val="bottom"/>
            <w:shd w:val="clear" w:color="auto" w:fill="EEEFE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20" w:type="dxa"/>
            <w:vAlign w:val="bottom"/>
          </w:tcPr>
          <w:p>
            <w:pPr>
              <w:spacing w:after="0"/>
              <w:rPr>
                <w:sz w:val="8"/>
                <w:szCs w:val="8"/>
                <w:color w:val="auto"/>
              </w:rPr>
            </w:pPr>
          </w:p>
        </w:tc>
        <w:tc>
          <w:tcPr>
            <w:tcW w:w="1600" w:type="dxa"/>
            <w:vAlign w:val="bottom"/>
            <w:shd w:val="clear" w:color="auto" w:fill="3E693D"/>
          </w:tcPr>
          <w:p>
            <w:pPr>
              <w:spacing w:after="0"/>
              <w:rPr>
                <w:sz w:val="8"/>
                <w:szCs w:val="8"/>
                <w:color w:val="auto"/>
              </w:rPr>
            </w:pPr>
          </w:p>
        </w:tc>
        <w:tc>
          <w:tcPr>
            <w:tcW w:w="340" w:type="dxa"/>
            <w:vAlign w:val="bottom"/>
            <w:shd w:val="clear" w:color="auto" w:fill="3E693D"/>
          </w:tcPr>
          <w:p>
            <w:pPr>
              <w:spacing w:after="0"/>
              <w:rPr>
                <w:sz w:val="8"/>
                <w:szCs w:val="8"/>
                <w:color w:val="auto"/>
              </w:rPr>
            </w:pPr>
          </w:p>
        </w:tc>
        <w:tc>
          <w:tcPr>
            <w:tcW w:w="320" w:type="dxa"/>
            <w:vAlign w:val="bottom"/>
            <w:shd w:val="clear" w:color="auto" w:fill="EEEFEF"/>
          </w:tcPr>
          <w:p>
            <w:pPr>
              <w:spacing w:after="0"/>
              <w:rPr>
                <w:sz w:val="8"/>
                <w:szCs w:val="8"/>
                <w:color w:val="auto"/>
              </w:rPr>
            </w:pPr>
          </w:p>
        </w:tc>
        <w:tc>
          <w:tcPr>
            <w:tcW w:w="418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1220" w:type="dxa"/>
            <w:vAlign w:val="bottom"/>
            <w:shd w:val="clear" w:color="auto" w:fill="EEEFEF"/>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1600" w:type="dxa"/>
            <w:vAlign w:val="bottom"/>
            <w:tcBorders>
              <w:bottom w:val="single" w:sz="8" w:color="3E693D"/>
            </w:tcBorders>
            <w:shd w:val="clear" w:color="auto" w:fill="3E693D"/>
          </w:tcPr>
          <w:p>
            <w:pPr>
              <w:spacing w:after="0"/>
              <w:rPr>
                <w:sz w:val="3"/>
                <w:szCs w:val="3"/>
                <w:color w:val="auto"/>
              </w:rPr>
            </w:pPr>
          </w:p>
        </w:tc>
        <w:tc>
          <w:tcPr>
            <w:tcW w:w="340" w:type="dxa"/>
            <w:vAlign w:val="bottom"/>
            <w:tcBorders>
              <w:bottom w:val="single" w:sz="8" w:color="3E693D"/>
            </w:tcBorders>
            <w:shd w:val="clear" w:color="auto" w:fill="3E693D"/>
          </w:tcPr>
          <w:p>
            <w:pPr>
              <w:spacing w:after="0"/>
              <w:rPr>
                <w:sz w:val="3"/>
                <w:szCs w:val="3"/>
                <w:color w:val="auto"/>
              </w:rPr>
            </w:pPr>
          </w:p>
        </w:tc>
        <w:tc>
          <w:tcPr>
            <w:tcW w:w="320" w:type="dxa"/>
            <w:vAlign w:val="bottom"/>
            <w:tcBorders>
              <w:bottom w:val="single" w:sz="8" w:color="EEEFEF"/>
            </w:tcBorders>
            <w:shd w:val="clear" w:color="auto" w:fill="EEEFEF"/>
          </w:tcPr>
          <w:p>
            <w:pPr>
              <w:spacing w:after="0"/>
              <w:rPr>
                <w:sz w:val="3"/>
                <w:szCs w:val="3"/>
                <w:color w:val="auto"/>
              </w:rPr>
            </w:pPr>
          </w:p>
        </w:tc>
        <w:tc>
          <w:tcPr>
            <w:tcW w:w="2820" w:type="dxa"/>
            <w:vAlign w:val="bottom"/>
            <w:tcBorders>
              <w:bottom w:val="single" w:sz="8" w:color="EEEFEF"/>
            </w:tcBorders>
            <w:gridSpan w:val="2"/>
          </w:tcPr>
          <w:p>
            <w:pPr>
              <w:spacing w:after="0"/>
              <w:rPr>
                <w:sz w:val="3"/>
                <w:szCs w:val="3"/>
                <w:color w:val="auto"/>
              </w:rPr>
            </w:pPr>
          </w:p>
        </w:tc>
        <w:tc>
          <w:tcPr>
            <w:tcW w:w="420" w:type="dxa"/>
            <w:vAlign w:val="bottom"/>
            <w:tcBorders>
              <w:bottom w:val="single" w:sz="8" w:color="EEEFEF"/>
            </w:tcBorders>
          </w:tcPr>
          <w:p>
            <w:pPr>
              <w:spacing w:after="0"/>
              <w:rPr>
                <w:sz w:val="3"/>
                <w:szCs w:val="3"/>
                <w:color w:val="auto"/>
              </w:rPr>
            </w:pPr>
          </w:p>
        </w:tc>
        <w:tc>
          <w:tcPr>
            <w:tcW w:w="3460" w:type="dxa"/>
            <w:vAlign w:val="bottom"/>
            <w:tcBorders>
              <w:bottom w:val="single" w:sz="8" w:color="EEEFEF"/>
            </w:tcBorders>
            <w:gridSpan w:val="3"/>
          </w:tcPr>
          <w:p>
            <w:pPr>
              <w:spacing w:after="0"/>
              <w:rPr>
                <w:sz w:val="3"/>
                <w:szCs w:val="3"/>
                <w:color w:val="auto"/>
              </w:rPr>
            </w:pPr>
          </w:p>
        </w:tc>
        <w:tc>
          <w:tcPr>
            <w:tcW w:w="400" w:type="dxa"/>
            <w:vAlign w:val="bottom"/>
            <w:tcBorders>
              <w:bottom w:val="single" w:sz="8" w:color="EEEFEF"/>
            </w:tcBorders>
          </w:tcPr>
          <w:p>
            <w:pPr>
              <w:spacing w:after="0"/>
              <w:rPr>
                <w:sz w:val="3"/>
                <w:szCs w:val="3"/>
                <w:color w:val="auto"/>
              </w:rPr>
            </w:pPr>
          </w:p>
        </w:tc>
        <w:tc>
          <w:tcPr>
            <w:tcW w:w="1220" w:type="dxa"/>
            <w:vAlign w:val="bottom"/>
            <w:tcBorders>
              <w:bottom w:val="single" w:sz="8" w:color="EEEFEF"/>
            </w:tcBorders>
            <w:shd w:val="clear" w:color="auto" w:fill="EEEFEF"/>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1"/>
        </w:trPr>
        <w:tc>
          <w:tcPr>
            <w:tcW w:w="320" w:type="dxa"/>
            <w:vAlign w:val="bottom"/>
          </w:tcPr>
          <w:p>
            <w:pPr>
              <w:spacing w:after="0"/>
              <w:rPr>
                <w:sz w:val="24"/>
                <w:szCs w:val="24"/>
                <w:color w:val="auto"/>
              </w:rPr>
            </w:pPr>
          </w:p>
        </w:tc>
        <w:tc>
          <w:tcPr>
            <w:tcW w:w="10580" w:type="dxa"/>
            <w:vAlign w:val="bottom"/>
            <w:gridSpan w:val="11"/>
            <w:shd w:val="clear" w:color="auto" w:fill="EEEFEF"/>
          </w:tcPr>
          <w:p>
            <w:pPr>
              <w:ind w:left="20"/>
              <w:spacing w:after="0"/>
              <w:rPr>
                <w:sz w:val="20"/>
                <w:szCs w:val="20"/>
                <w:color w:val="auto"/>
              </w:rPr>
            </w:pPr>
            <w:r>
              <w:rPr>
                <w:rFonts w:ascii="Arial" w:cs="Arial" w:eastAsia="Arial" w:hAnsi="Arial"/>
                <w:sz w:val="18"/>
                <w:szCs w:val="18"/>
                <w:color w:val="auto"/>
              </w:rPr>
              <w:t>Businesses and functions develop strategic initiatives that map to the strategic framework and are designed to reinforce the Firm’s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6440" w:type="dxa"/>
            <w:vAlign w:val="bottom"/>
            <w:gridSpan w:val="7"/>
            <w:shd w:val="clear" w:color="auto" w:fill="EEEFEF"/>
          </w:tcPr>
          <w:p>
            <w:pPr>
              <w:ind w:left="20"/>
              <w:spacing w:after="0"/>
              <w:rPr>
                <w:sz w:val="20"/>
                <w:szCs w:val="20"/>
                <w:color w:val="auto"/>
              </w:rPr>
            </w:pPr>
            <w:r>
              <w:rPr>
                <w:rFonts w:ascii="Arial" w:cs="Arial" w:eastAsia="Arial" w:hAnsi="Arial"/>
                <w:sz w:val="18"/>
                <w:szCs w:val="18"/>
                <w:color w:val="auto"/>
              </w:rPr>
              <w:t>operating principles to be complete, global, diversified, and at scale.</w:t>
            </w:r>
          </w:p>
        </w:tc>
        <w:tc>
          <w:tcPr>
            <w:tcW w:w="180" w:type="dxa"/>
            <w:vAlign w:val="bottom"/>
            <w:shd w:val="clear" w:color="auto" w:fill="EEEFEF"/>
          </w:tcPr>
          <w:p>
            <w:pPr>
              <w:spacing w:after="0"/>
              <w:rPr>
                <w:sz w:val="18"/>
                <w:szCs w:val="18"/>
                <w:color w:val="auto"/>
              </w:rPr>
            </w:pPr>
          </w:p>
        </w:tc>
        <w:tc>
          <w:tcPr>
            <w:tcW w:w="2340" w:type="dxa"/>
            <w:vAlign w:val="bottom"/>
            <w:shd w:val="clear" w:color="auto" w:fill="EEEFEF"/>
          </w:tcPr>
          <w:p>
            <w:pPr>
              <w:spacing w:after="0"/>
              <w:rPr>
                <w:sz w:val="18"/>
                <w:szCs w:val="18"/>
                <w:color w:val="auto"/>
              </w:rPr>
            </w:pPr>
          </w:p>
        </w:tc>
        <w:tc>
          <w:tcPr>
            <w:tcW w:w="400" w:type="dxa"/>
            <w:vAlign w:val="bottom"/>
            <w:shd w:val="clear" w:color="auto" w:fill="EEEFEF"/>
          </w:tcPr>
          <w:p>
            <w:pPr>
              <w:spacing w:after="0"/>
              <w:rPr>
                <w:sz w:val="18"/>
                <w:szCs w:val="18"/>
                <w:color w:val="auto"/>
              </w:rPr>
            </w:pPr>
          </w:p>
        </w:tc>
        <w:tc>
          <w:tcPr>
            <w:tcW w:w="1220" w:type="dxa"/>
            <w:vAlign w:val="bottom"/>
            <w:shd w:val="clear" w:color="auto" w:fill="EEEFE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600" w:type="dxa"/>
            <w:vAlign w:val="bottom"/>
            <w:shd w:val="clear" w:color="auto" w:fill="EEEFEF"/>
          </w:tcPr>
          <w:p>
            <w:pPr>
              <w:spacing w:after="0"/>
              <w:rPr>
                <w:sz w:val="14"/>
                <w:szCs w:val="14"/>
                <w:color w:val="auto"/>
              </w:rPr>
            </w:pPr>
          </w:p>
        </w:tc>
        <w:tc>
          <w:tcPr>
            <w:tcW w:w="340" w:type="dxa"/>
            <w:vAlign w:val="bottom"/>
            <w:shd w:val="clear" w:color="auto" w:fill="EEEFEF"/>
          </w:tcPr>
          <w:p>
            <w:pPr>
              <w:spacing w:after="0"/>
              <w:rPr>
                <w:sz w:val="14"/>
                <w:szCs w:val="14"/>
                <w:color w:val="auto"/>
              </w:rPr>
            </w:pPr>
          </w:p>
        </w:tc>
        <w:tc>
          <w:tcPr>
            <w:tcW w:w="320" w:type="dxa"/>
            <w:vAlign w:val="bottom"/>
            <w:shd w:val="clear" w:color="auto" w:fill="EEEFEF"/>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2680" w:type="dxa"/>
            <w:vAlign w:val="bottom"/>
            <w:tcBorders>
              <w:right w:val="single" w:sz="8" w:color="EEEFEF"/>
            </w:tcBorders>
            <w:shd w:val="clear" w:color="auto" w:fill="EEEFEF"/>
          </w:tcPr>
          <w:p>
            <w:pPr>
              <w:spacing w:after="0"/>
              <w:rPr>
                <w:sz w:val="14"/>
                <w:szCs w:val="14"/>
                <w:color w:val="auto"/>
              </w:rPr>
            </w:pPr>
          </w:p>
        </w:tc>
        <w:tc>
          <w:tcPr>
            <w:tcW w:w="420" w:type="dxa"/>
            <w:vAlign w:val="bottom"/>
            <w:tcBorders>
              <w:right w:val="single" w:sz="8" w:color="EEEFEF"/>
            </w:tcBorders>
            <w:shd w:val="clear" w:color="auto" w:fill="EEEFEF"/>
          </w:tcPr>
          <w:p>
            <w:pPr>
              <w:spacing w:after="0"/>
              <w:rPr>
                <w:sz w:val="14"/>
                <w:szCs w:val="14"/>
                <w:color w:val="auto"/>
              </w:rPr>
            </w:pPr>
          </w:p>
        </w:tc>
        <w:tc>
          <w:tcPr>
            <w:tcW w:w="940" w:type="dxa"/>
            <w:vAlign w:val="bottom"/>
            <w:shd w:val="clear" w:color="auto" w:fill="EEEFEF"/>
          </w:tcPr>
          <w:p>
            <w:pPr>
              <w:spacing w:after="0"/>
              <w:rPr>
                <w:sz w:val="14"/>
                <w:szCs w:val="14"/>
                <w:color w:val="auto"/>
              </w:rPr>
            </w:pPr>
          </w:p>
        </w:tc>
        <w:tc>
          <w:tcPr>
            <w:tcW w:w="180" w:type="dxa"/>
            <w:vAlign w:val="bottom"/>
            <w:shd w:val="clear" w:color="auto" w:fill="EEEFEF"/>
          </w:tcPr>
          <w:p>
            <w:pPr>
              <w:spacing w:after="0"/>
              <w:rPr>
                <w:sz w:val="14"/>
                <w:szCs w:val="14"/>
                <w:color w:val="auto"/>
              </w:rPr>
            </w:pPr>
          </w:p>
        </w:tc>
        <w:tc>
          <w:tcPr>
            <w:tcW w:w="2340" w:type="dxa"/>
            <w:vAlign w:val="bottom"/>
            <w:shd w:val="clear" w:color="auto" w:fill="EEEFEF"/>
          </w:tcPr>
          <w:p>
            <w:pPr>
              <w:spacing w:after="0"/>
              <w:rPr>
                <w:sz w:val="14"/>
                <w:szCs w:val="14"/>
                <w:color w:val="auto"/>
              </w:rPr>
            </w:pPr>
          </w:p>
        </w:tc>
        <w:tc>
          <w:tcPr>
            <w:tcW w:w="1620" w:type="dxa"/>
            <w:vAlign w:val="bottom"/>
            <w:gridSpan w:val="2"/>
            <w:shd w:val="clear" w:color="auto" w:fill="EEEFE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9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20" w:type="dxa"/>
            <w:vAlign w:val="bottom"/>
            <w:gridSpan w:val="2"/>
            <w:vMerge w:val="restart"/>
          </w:tcPr>
          <w:p>
            <w:pPr>
              <w:spacing w:after="0"/>
              <w:rPr>
                <w:sz w:val="20"/>
                <w:szCs w:val="20"/>
                <w:color w:val="auto"/>
              </w:rPr>
            </w:pPr>
            <w:r>
              <w:rPr>
                <w:rFonts w:ascii="Arial" w:cs="Arial" w:eastAsia="Arial" w:hAnsi="Arial"/>
                <w:sz w:val="14"/>
                <w:szCs w:val="14"/>
                <w:color w:val="074A75"/>
              </w:rPr>
              <w:t>JPMORGAN CHASE &amp; CO.</w:t>
            </w:r>
          </w:p>
        </w:tc>
        <w:tc>
          <w:tcPr>
            <w:tcW w:w="340" w:type="dxa"/>
            <w:vAlign w:val="bottom"/>
            <w:tcBorders>
              <w:bottom w:val="single" w:sz="8" w:color="8A8C8F"/>
            </w:tcBorders>
          </w:tcPr>
          <w:p>
            <w:pPr>
              <w:spacing w:after="0"/>
              <w:rPr>
                <w:sz w:val="7"/>
                <w:szCs w:val="7"/>
                <w:color w:val="auto"/>
              </w:rPr>
            </w:pPr>
          </w:p>
        </w:tc>
        <w:tc>
          <w:tcPr>
            <w:tcW w:w="320" w:type="dxa"/>
            <w:vAlign w:val="bottom"/>
            <w:tcBorders>
              <w:bottom w:val="single" w:sz="8" w:color="8A8C8F"/>
            </w:tcBorders>
          </w:tcPr>
          <w:p>
            <w:pPr>
              <w:spacing w:after="0"/>
              <w:rPr>
                <w:sz w:val="7"/>
                <w:szCs w:val="7"/>
                <w:color w:val="auto"/>
              </w:rPr>
            </w:pPr>
          </w:p>
        </w:tc>
        <w:tc>
          <w:tcPr>
            <w:tcW w:w="140" w:type="dxa"/>
            <w:vAlign w:val="bottom"/>
            <w:tcBorders>
              <w:bottom w:val="single" w:sz="8" w:color="8A8C8F"/>
            </w:tcBorders>
          </w:tcPr>
          <w:p>
            <w:pPr>
              <w:spacing w:after="0"/>
              <w:rPr>
                <w:sz w:val="7"/>
                <w:szCs w:val="7"/>
                <w:color w:val="auto"/>
              </w:rPr>
            </w:pPr>
          </w:p>
        </w:tc>
        <w:tc>
          <w:tcPr>
            <w:tcW w:w="2680" w:type="dxa"/>
            <w:vAlign w:val="bottom"/>
            <w:tcBorders>
              <w:bottom w:val="single" w:sz="8" w:color="8A8C8F"/>
              <w:right w:val="single" w:sz="8" w:color="8A8C8F"/>
            </w:tcBorders>
          </w:tcPr>
          <w:p>
            <w:pPr>
              <w:spacing w:after="0"/>
              <w:rPr>
                <w:sz w:val="7"/>
                <w:szCs w:val="7"/>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40</w:t>
            </w:r>
          </w:p>
        </w:tc>
        <w:tc>
          <w:tcPr>
            <w:tcW w:w="940" w:type="dxa"/>
            <w:vAlign w:val="bottom"/>
            <w:tcBorders>
              <w:bottom w:val="single" w:sz="8" w:color="8A8C8F"/>
            </w:tcBorders>
          </w:tcPr>
          <w:p>
            <w:pPr>
              <w:spacing w:after="0"/>
              <w:rPr>
                <w:sz w:val="7"/>
                <w:szCs w:val="7"/>
                <w:color w:val="auto"/>
              </w:rPr>
            </w:pPr>
          </w:p>
        </w:tc>
        <w:tc>
          <w:tcPr>
            <w:tcW w:w="180" w:type="dxa"/>
            <w:vAlign w:val="bottom"/>
            <w:tcBorders>
              <w:bottom w:val="single" w:sz="8" w:color="8A8C8F"/>
            </w:tcBorders>
          </w:tcPr>
          <w:p>
            <w:pPr>
              <w:spacing w:after="0"/>
              <w:rPr>
                <w:sz w:val="7"/>
                <w:szCs w:val="7"/>
                <w:color w:val="auto"/>
              </w:rPr>
            </w:pPr>
          </w:p>
        </w:tc>
        <w:tc>
          <w:tcPr>
            <w:tcW w:w="2340" w:type="dxa"/>
            <w:vAlign w:val="bottom"/>
            <w:tcBorders>
              <w:bottom w:val="single" w:sz="8" w:color="8A8C8F"/>
            </w:tcBorders>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2371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29"/>
          <w:szCs w:val="29"/>
          <w:color w:val="074A75"/>
        </w:rPr>
        <w:t>Compensation Philosophy</w:t>
      </w:r>
    </w:p>
    <w:p>
      <w:pPr>
        <w:spacing w:after="0" w:line="331" w:lineRule="exact"/>
        <w:rPr>
          <w:sz w:val="20"/>
          <w:szCs w:val="20"/>
          <w:color w:val="auto"/>
        </w:rPr>
      </w:pPr>
    </w:p>
    <w:p>
      <w:pPr>
        <w:ind w:left="300" w:right="540"/>
        <w:spacing w:after="0" w:line="261" w:lineRule="auto"/>
        <w:rPr>
          <w:sz w:val="20"/>
          <w:szCs w:val="20"/>
          <w:color w:val="auto"/>
        </w:rPr>
      </w:pPr>
      <w:r>
        <w:rPr>
          <w:rFonts w:ascii="Arial" w:cs="Arial" w:eastAsia="Arial" w:hAnsi="Arial"/>
          <w:sz w:val="18"/>
          <w:szCs w:val="18"/>
          <w:color w:val="auto"/>
        </w:rPr>
        <w:t>Also guided by our Business Principles, our compensation philosophy is fundamental to our goal to attract, retain, and motivate our workforce in a competitive market.</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20"/>
        </w:trPr>
        <w:tc>
          <w:tcPr>
            <w:tcW w:w="20" w:type="dxa"/>
            <w:vAlign w:val="bottom"/>
            <w:shd w:val="clear" w:color="auto" w:fill="EEEEEF"/>
          </w:tcPr>
          <w:p>
            <w:pPr>
              <w:spacing w:after="0"/>
              <w:rPr>
                <w:sz w:val="19"/>
                <w:szCs w:val="19"/>
                <w:color w:val="auto"/>
              </w:rPr>
            </w:pPr>
          </w:p>
        </w:tc>
        <w:tc>
          <w:tcPr>
            <w:tcW w:w="1140" w:type="dxa"/>
            <w:vAlign w:val="bottom"/>
            <w:shd w:val="clear" w:color="auto" w:fill="EEEEEF"/>
          </w:tcPr>
          <w:p>
            <w:pPr>
              <w:spacing w:after="0"/>
              <w:rPr>
                <w:sz w:val="19"/>
                <w:szCs w:val="19"/>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Paying for performance</w:t>
            </w:r>
          </w:p>
        </w:tc>
        <w:tc>
          <w:tcPr>
            <w:tcW w:w="280" w:type="dxa"/>
            <w:vAlign w:val="bottom"/>
            <w:shd w:val="clear" w:color="auto" w:fill="EEEEEF"/>
          </w:tcPr>
          <w:p>
            <w:pPr>
              <w:spacing w:after="0"/>
              <w:rPr>
                <w:sz w:val="19"/>
                <w:szCs w:val="19"/>
                <w:color w:val="auto"/>
              </w:rPr>
            </w:pPr>
          </w:p>
        </w:tc>
        <w:tc>
          <w:tcPr>
            <w:tcW w:w="22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3E693D"/>
                <w:w w:val="99"/>
              </w:rPr>
              <w:t>Encouraging a shared</w:t>
            </w:r>
          </w:p>
        </w:tc>
        <w:tc>
          <w:tcPr>
            <w:tcW w:w="360" w:type="dxa"/>
            <w:vAlign w:val="bottom"/>
          </w:tcPr>
          <w:p>
            <w:pPr>
              <w:spacing w:after="0"/>
              <w:rPr>
                <w:sz w:val="19"/>
                <w:szCs w:val="19"/>
                <w:color w:val="auto"/>
              </w:rPr>
            </w:pPr>
          </w:p>
        </w:tc>
        <w:tc>
          <w:tcPr>
            <w:tcW w:w="300" w:type="dxa"/>
            <w:vAlign w:val="bottom"/>
            <w:shd w:val="clear" w:color="auto" w:fill="EEEEEF"/>
          </w:tcPr>
          <w:p>
            <w:pPr>
              <w:spacing w:after="0"/>
              <w:rPr>
                <w:sz w:val="19"/>
                <w:szCs w:val="19"/>
                <w:color w:val="auto"/>
              </w:rPr>
            </w:pPr>
          </w:p>
        </w:tc>
        <w:tc>
          <w:tcPr>
            <w:tcW w:w="680" w:type="dxa"/>
            <w:vAlign w:val="bottom"/>
          </w:tcPr>
          <w:p>
            <w:pPr>
              <w:spacing w:after="0"/>
              <w:rPr>
                <w:sz w:val="19"/>
                <w:szCs w:val="19"/>
                <w:color w:val="auto"/>
              </w:rPr>
            </w:pPr>
          </w:p>
        </w:tc>
        <w:tc>
          <w:tcPr>
            <w:tcW w:w="194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3E693D"/>
                <w:w w:val="99"/>
              </w:rPr>
              <w:t>Attracting and</w:t>
            </w:r>
          </w:p>
        </w:tc>
        <w:tc>
          <w:tcPr>
            <w:tcW w:w="1180" w:type="dxa"/>
            <w:vAlign w:val="bottom"/>
            <w:shd w:val="clear" w:color="auto" w:fill="EEEEEF"/>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shd w:val="clear" w:color="auto" w:fill="EEEEEF"/>
          </w:tcPr>
          <w:p>
            <w:pPr>
              <w:spacing w:after="0"/>
              <w:rPr>
                <w:sz w:val="18"/>
                <w:szCs w:val="18"/>
                <w:color w:val="auto"/>
              </w:rPr>
            </w:pPr>
          </w:p>
        </w:tc>
        <w:tc>
          <w:tcPr>
            <w:tcW w:w="1140" w:type="dxa"/>
            <w:vAlign w:val="bottom"/>
            <w:shd w:val="clear" w:color="auto" w:fill="EEEEEF"/>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and aligning with</w:t>
            </w:r>
          </w:p>
        </w:tc>
        <w:tc>
          <w:tcPr>
            <w:tcW w:w="280" w:type="dxa"/>
            <w:vAlign w:val="bottom"/>
            <w:shd w:val="clear" w:color="auto" w:fill="EEEEEF"/>
          </w:tcPr>
          <w:p>
            <w:pPr>
              <w:spacing w:after="0"/>
              <w:rPr>
                <w:sz w:val="18"/>
                <w:szCs w:val="18"/>
                <w:color w:val="auto"/>
              </w:rPr>
            </w:pPr>
          </w:p>
        </w:tc>
        <w:tc>
          <w:tcPr>
            <w:tcW w:w="22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3E693D"/>
                <w:w w:val="99"/>
              </w:rPr>
              <w:t>success culture</w:t>
            </w:r>
          </w:p>
        </w:tc>
        <w:tc>
          <w:tcPr>
            <w:tcW w:w="360" w:type="dxa"/>
            <w:vAlign w:val="bottom"/>
          </w:tcPr>
          <w:p>
            <w:pPr>
              <w:spacing w:after="0"/>
              <w:rPr>
                <w:sz w:val="18"/>
                <w:szCs w:val="18"/>
                <w:color w:val="auto"/>
              </w:rPr>
            </w:pPr>
          </w:p>
        </w:tc>
        <w:tc>
          <w:tcPr>
            <w:tcW w:w="300" w:type="dxa"/>
            <w:vAlign w:val="bottom"/>
            <w:shd w:val="clear" w:color="auto" w:fill="EEEEEF"/>
          </w:tcPr>
          <w:p>
            <w:pPr>
              <w:spacing w:after="0"/>
              <w:rPr>
                <w:sz w:val="18"/>
                <w:szCs w:val="18"/>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b w:val="1"/>
                <w:bCs w:val="1"/>
                <w:color w:val="3E693D"/>
                <w:w w:val="99"/>
              </w:rPr>
              <w:t>retaining top talent</w:t>
            </w:r>
          </w:p>
        </w:tc>
        <w:tc>
          <w:tcPr>
            <w:tcW w:w="1180" w:type="dxa"/>
            <w:vAlign w:val="bottom"/>
            <w:shd w:val="clear" w:color="auto" w:fill="EEEEEF"/>
          </w:tcPr>
          <w:p>
            <w:pPr>
              <w:spacing w:after="0"/>
              <w:rPr>
                <w:sz w:val="18"/>
                <w:szCs w:val="18"/>
                <w:color w:val="auto"/>
              </w:rPr>
            </w:pPr>
          </w:p>
        </w:tc>
        <w:tc>
          <w:tcPr>
            <w:tcW w:w="200" w:type="dxa"/>
            <w:vAlign w:val="bottom"/>
          </w:tcPr>
          <w:p>
            <w:pPr>
              <w:spacing w:after="0"/>
              <w:rPr>
                <w:sz w:val="18"/>
                <w:szCs w:val="18"/>
                <w:color w:val="auto"/>
              </w:rPr>
            </w:pPr>
          </w:p>
        </w:tc>
      </w:tr>
      <w:tr>
        <w:trPr>
          <w:trHeight w:val="239"/>
        </w:trPr>
        <w:tc>
          <w:tcPr>
            <w:tcW w:w="20" w:type="dxa"/>
            <w:vAlign w:val="bottom"/>
            <w:shd w:val="clear" w:color="auto" w:fill="EEEEEF"/>
          </w:tcPr>
          <w:p>
            <w:pPr>
              <w:spacing w:after="0"/>
              <w:rPr>
                <w:sz w:val="20"/>
                <w:szCs w:val="20"/>
                <w:color w:val="auto"/>
              </w:rPr>
            </w:pPr>
          </w:p>
        </w:tc>
        <w:tc>
          <w:tcPr>
            <w:tcW w:w="1140" w:type="dxa"/>
            <w:vAlign w:val="bottom"/>
            <w:shd w:val="clear" w:color="auto" w:fill="EEEEEF"/>
          </w:tcPr>
          <w:p>
            <w:pPr>
              <w:spacing w:after="0"/>
              <w:rPr>
                <w:sz w:val="20"/>
                <w:szCs w:val="20"/>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shareholders’ interests</w:t>
            </w:r>
          </w:p>
        </w:tc>
        <w:tc>
          <w:tcPr>
            <w:tcW w:w="280" w:type="dxa"/>
            <w:vAlign w:val="bottom"/>
            <w:shd w:val="clear" w:color="auto" w:fill="EEEEEF"/>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shd w:val="clear" w:color="auto" w:fill="EEEEEF"/>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shd w:val="clear" w:color="auto" w:fill="EEEEEF"/>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20" w:type="dxa"/>
            <w:vAlign w:val="bottom"/>
            <w:tcBorders>
              <w:bottom w:val="single" w:sz="8" w:color="EEEEEF"/>
            </w:tcBorders>
            <w:shd w:val="clear" w:color="auto" w:fill="EEEEEF"/>
          </w:tcPr>
          <w:p>
            <w:pPr>
              <w:spacing w:after="0"/>
              <w:rPr>
                <w:sz w:val="2"/>
                <w:szCs w:val="2"/>
                <w:color w:val="auto"/>
              </w:rPr>
            </w:pPr>
          </w:p>
        </w:tc>
        <w:tc>
          <w:tcPr>
            <w:tcW w:w="1140" w:type="dxa"/>
            <w:vAlign w:val="bottom"/>
            <w:tcBorders>
              <w:bottom w:val="single" w:sz="8" w:color="EEEEEF"/>
            </w:tcBorders>
            <w:shd w:val="clear" w:color="auto" w:fill="EEEEEF"/>
          </w:tcPr>
          <w:p>
            <w:pPr>
              <w:spacing w:after="0"/>
              <w:rPr>
                <w:sz w:val="2"/>
                <w:szCs w:val="2"/>
                <w:color w:val="auto"/>
              </w:rPr>
            </w:pPr>
          </w:p>
        </w:tc>
        <w:tc>
          <w:tcPr>
            <w:tcW w:w="1160" w:type="dxa"/>
            <w:vAlign w:val="bottom"/>
            <w:tcBorders>
              <w:bottom w:val="single" w:sz="8" w:color="1F5122"/>
            </w:tcBorders>
          </w:tcPr>
          <w:p>
            <w:pPr>
              <w:spacing w:after="0"/>
              <w:rPr>
                <w:sz w:val="2"/>
                <w:szCs w:val="2"/>
                <w:color w:val="auto"/>
              </w:rPr>
            </w:pPr>
          </w:p>
        </w:tc>
        <w:tc>
          <w:tcPr>
            <w:tcW w:w="260" w:type="dxa"/>
            <w:vAlign w:val="bottom"/>
            <w:tcBorders>
              <w:bottom w:val="single" w:sz="8" w:color="1F5122"/>
            </w:tcBorders>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280" w:type="dxa"/>
            <w:vAlign w:val="bottom"/>
            <w:tcBorders>
              <w:bottom w:val="single" w:sz="8" w:color="EEEEEF"/>
            </w:tcBorders>
            <w:shd w:val="clear" w:color="auto" w:fill="EEEEEF"/>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280" w:type="dxa"/>
            <w:vAlign w:val="bottom"/>
            <w:tcBorders>
              <w:bottom w:val="single" w:sz="8" w:color="1F5122"/>
            </w:tcBorders>
          </w:tcPr>
          <w:p>
            <w:pPr>
              <w:spacing w:after="0"/>
              <w:rPr>
                <w:sz w:val="2"/>
                <w:szCs w:val="2"/>
                <w:color w:val="auto"/>
              </w:rPr>
            </w:pPr>
          </w:p>
        </w:tc>
        <w:tc>
          <w:tcPr>
            <w:tcW w:w="1160" w:type="dxa"/>
            <w:vAlign w:val="bottom"/>
            <w:tcBorders>
              <w:bottom w:val="single" w:sz="8" w:color="1F5122"/>
            </w:tcBorders>
            <w:gridSpan w:val="2"/>
          </w:tcPr>
          <w:p>
            <w:pPr>
              <w:spacing w:after="0"/>
              <w:rPr>
                <w:sz w:val="2"/>
                <w:szCs w:val="2"/>
                <w:color w:val="auto"/>
              </w:rPr>
            </w:pPr>
          </w:p>
        </w:tc>
        <w:tc>
          <w:tcPr>
            <w:tcW w:w="300" w:type="dxa"/>
            <w:vAlign w:val="bottom"/>
            <w:tcBorders>
              <w:bottom w:val="single" w:sz="8" w:color="EEEEEF"/>
            </w:tcBorders>
            <w:shd w:val="clear" w:color="auto" w:fill="EEEEEF"/>
          </w:tcPr>
          <w:p>
            <w:pPr>
              <w:spacing w:after="0"/>
              <w:rPr>
                <w:sz w:val="2"/>
                <w:szCs w:val="2"/>
                <w:color w:val="auto"/>
              </w:rPr>
            </w:pPr>
          </w:p>
        </w:tc>
        <w:tc>
          <w:tcPr>
            <w:tcW w:w="680" w:type="dxa"/>
            <w:vAlign w:val="bottom"/>
            <w:tcBorders>
              <w:bottom w:val="single" w:sz="8" w:color="1F5122"/>
            </w:tcBorders>
          </w:tcPr>
          <w:p>
            <w:pPr>
              <w:spacing w:after="0"/>
              <w:rPr>
                <w:sz w:val="2"/>
                <w:szCs w:val="2"/>
                <w:color w:val="auto"/>
              </w:rPr>
            </w:pPr>
          </w:p>
        </w:tc>
        <w:tc>
          <w:tcPr>
            <w:tcW w:w="500" w:type="dxa"/>
            <w:vAlign w:val="bottom"/>
            <w:tcBorders>
              <w:bottom w:val="single" w:sz="8" w:color="1F5122"/>
            </w:tcBorders>
          </w:tcPr>
          <w:p>
            <w:pPr>
              <w:spacing w:after="0"/>
              <w:rPr>
                <w:sz w:val="2"/>
                <w:szCs w:val="2"/>
                <w:color w:val="auto"/>
              </w:rPr>
            </w:pPr>
          </w:p>
        </w:tc>
        <w:tc>
          <w:tcPr>
            <w:tcW w:w="260" w:type="dxa"/>
            <w:vAlign w:val="bottom"/>
            <w:tcBorders>
              <w:bottom w:val="single" w:sz="8" w:color="1F5122"/>
            </w:tcBorders>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1180" w:type="dxa"/>
            <w:vAlign w:val="bottom"/>
            <w:tcBorders>
              <w:bottom w:val="single" w:sz="8" w:color="EEEEEF"/>
            </w:tcBorders>
            <w:shd w:val="clear" w:color="auto" w:fill="EEEEEF"/>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20" w:type="dxa"/>
            <w:vAlign w:val="bottom"/>
            <w:shd w:val="clear" w:color="auto" w:fill="EEEEEF"/>
          </w:tcPr>
          <w:p>
            <w:pPr>
              <w:spacing w:after="0"/>
              <w:rPr>
                <w:sz w:val="20"/>
                <w:szCs w:val="20"/>
                <w:color w:val="auto"/>
              </w:rPr>
            </w:pPr>
          </w:p>
        </w:tc>
        <w:tc>
          <w:tcPr>
            <w:tcW w:w="1140" w:type="dxa"/>
            <w:vAlign w:val="bottom"/>
            <w:shd w:val="clear" w:color="auto" w:fill="EEEEEF"/>
          </w:tcPr>
          <w:p>
            <w:pPr>
              <w:spacing w:after="0"/>
              <w:rPr>
                <w:sz w:val="20"/>
                <w:szCs w:val="20"/>
                <w:color w:val="auto"/>
              </w:rPr>
            </w:pPr>
          </w:p>
        </w:tc>
        <w:tc>
          <w:tcPr>
            <w:tcW w:w="1160" w:type="dxa"/>
            <w:vAlign w:val="bottom"/>
            <w:shd w:val="clear" w:color="auto" w:fill="EEEEEF"/>
          </w:tcPr>
          <w:p>
            <w:pPr>
              <w:spacing w:after="0"/>
              <w:rPr>
                <w:sz w:val="20"/>
                <w:szCs w:val="20"/>
                <w:color w:val="auto"/>
              </w:rPr>
            </w:pPr>
          </w:p>
        </w:tc>
        <w:tc>
          <w:tcPr>
            <w:tcW w:w="260" w:type="dxa"/>
            <w:vAlign w:val="bottom"/>
            <w:shd w:val="clear" w:color="auto" w:fill="EEEEEF"/>
          </w:tcPr>
          <w:p>
            <w:pPr>
              <w:spacing w:after="0"/>
              <w:rPr>
                <w:sz w:val="20"/>
                <w:szCs w:val="20"/>
                <w:color w:val="auto"/>
              </w:rPr>
            </w:pPr>
          </w:p>
        </w:tc>
        <w:tc>
          <w:tcPr>
            <w:tcW w:w="1180" w:type="dxa"/>
            <w:vAlign w:val="bottom"/>
            <w:shd w:val="clear" w:color="auto" w:fill="EEEEEF"/>
          </w:tcPr>
          <w:p>
            <w:pPr>
              <w:spacing w:after="0"/>
              <w:rPr>
                <w:sz w:val="20"/>
                <w:szCs w:val="20"/>
                <w:color w:val="auto"/>
              </w:rPr>
            </w:pPr>
          </w:p>
        </w:tc>
        <w:tc>
          <w:tcPr>
            <w:tcW w:w="280" w:type="dxa"/>
            <w:vAlign w:val="bottom"/>
            <w:shd w:val="clear" w:color="auto" w:fill="EEEEEF"/>
          </w:tcPr>
          <w:p>
            <w:pPr>
              <w:spacing w:after="0"/>
              <w:rPr>
                <w:sz w:val="20"/>
                <w:szCs w:val="20"/>
                <w:color w:val="auto"/>
              </w:rPr>
            </w:pPr>
          </w:p>
        </w:tc>
        <w:tc>
          <w:tcPr>
            <w:tcW w:w="1180" w:type="dxa"/>
            <w:vAlign w:val="bottom"/>
            <w:shd w:val="clear" w:color="auto" w:fill="EEEEEF"/>
          </w:tcPr>
          <w:p>
            <w:pPr>
              <w:spacing w:after="0"/>
              <w:rPr>
                <w:sz w:val="20"/>
                <w:szCs w:val="20"/>
                <w:color w:val="auto"/>
              </w:rPr>
            </w:pPr>
          </w:p>
        </w:tc>
        <w:tc>
          <w:tcPr>
            <w:tcW w:w="280" w:type="dxa"/>
            <w:vAlign w:val="bottom"/>
            <w:shd w:val="clear" w:color="auto" w:fill="EEEEEF"/>
          </w:tcPr>
          <w:p>
            <w:pPr>
              <w:spacing w:after="0"/>
              <w:rPr>
                <w:sz w:val="20"/>
                <w:szCs w:val="20"/>
                <w:color w:val="auto"/>
              </w:rPr>
            </w:pPr>
          </w:p>
        </w:tc>
        <w:tc>
          <w:tcPr>
            <w:tcW w:w="800" w:type="dxa"/>
            <w:vAlign w:val="bottom"/>
            <w:shd w:val="clear" w:color="auto" w:fill="EEEEEF"/>
          </w:tcPr>
          <w:p>
            <w:pPr>
              <w:spacing w:after="0"/>
              <w:rPr>
                <w:sz w:val="20"/>
                <w:szCs w:val="20"/>
                <w:color w:val="auto"/>
              </w:rPr>
            </w:pPr>
          </w:p>
        </w:tc>
        <w:tc>
          <w:tcPr>
            <w:tcW w:w="360" w:type="dxa"/>
            <w:vAlign w:val="bottom"/>
            <w:shd w:val="clear" w:color="auto" w:fill="EEEEEF"/>
          </w:tcPr>
          <w:p>
            <w:pPr>
              <w:spacing w:after="0"/>
              <w:rPr>
                <w:sz w:val="20"/>
                <w:szCs w:val="20"/>
                <w:color w:val="auto"/>
              </w:rPr>
            </w:pPr>
          </w:p>
        </w:tc>
        <w:tc>
          <w:tcPr>
            <w:tcW w:w="300" w:type="dxa"/>
            <w:vAlign w:val="bottom"/>
            <w:shd w:val="clear" w:color="auto" w:fill="EEEEEF"/>
          </w:tcPr>
          <w:p>
            <w:pPr>
              <w:spacing w:after="0"/>
              <w:rPr>
                <w:sz w:val="20"/>
                <w:szCs w:val="20"/>
                <w:color w:val="auto"/>
              </w:rPr>
            </w:pPr>
          </w:p>
        </w:tc>
        <w:tc>
          <w:tcPr>
            <w:tcW w:w="680" w:type="dxa"/>
            <w:vAlign w:val="bottom"/>
            <w:shd w:val="clear" w:color="auto" w:fill="EEEEEF"/>
          </w:tcPr>
          <w:p>
            <w:pPr>
              <w:spacing w:after="0"/>
              <w:rPr>
                <w:sz w:val="20"/>
                <w:szCs w:val="20"/>
                <w:color w:val="auto"/>
              </w:rPr>
            </w:pPr>
          </w:p>
        </w:tc>
        <w:tc>
          <w:tcPr>
            <w:tcW w:w="500" w:type="dxa"/>
            <w:vAlign w:val="bottom"/>
            <w:shd w:val="clear" w:color="auto" w:fill="EEEEEF"/>
          </w:tcPr>
          <w:p>
            <w:pPr>
              <w:spacing w:after="0"/>
              <w:rPr>
                <w:sz w:val="20"/>
                <w:szCs w:val="20"/>
                <w:color w:val="auto"/>
              </w:rPr>
            </w:pPr>
          </w:p>
        </w:tc>
        <w:tc>
          <w:tcPr>
            <w:tcW w:w="260" w:type="dxa"/>
            <w:vAlign w:val="bottom"/>
            <w:shd w:val="clear" w:color="auto" w:fill="EEEEEF"/>
          </w:tcPr>
          <w:p>
            <w:pPr>
              <w:spacing w:after="0"/>
              <w:rPr>
                <w:sz w:val="20"/>
                <w:szCs w:val="20"/>
                <w:color w:val="auto"/>
              </w:rPr>
            </w:pPr>
          </w:p>
        </w:tc>
        <w:tc>
          <w:tcPr>
            <w:tcW w:w="1180" w:type="dxa"/>
            <w:vAlign w:val="bottom"/>
            <w:shd w:val="clear" w:color="auto" w:fill="EEEEEF"/>
          </w:tcPr>
          <w:p>
            <w:pPr>
              <w:spacing w:after="0"/>
              <w:rPr>
                <w:sz w:val="20"/>
                <w:szCs w:val="20"/>
                <w:color w:val="auto"/>
              </w:rPr>
            </w:pPr>
          </w:p>
        </w:tc>
        <w:tc>
          <w:tcPr>
            <w:tcW w:w="1180" w:type="dxa"/>
            <w:vAlign w:val="bottom"/>
            <w:shd w:val="clear" w:color="auto" w:fill="EEEEEF"/>
          </w:tcPr>
          <w:p>
            <w:pPr>
              <w:spacing w:after="0"/>
              <w:rPr>
                <w:sz w:val="20"/>
                <w:szCs w:val="20"/>
                <w:color w:val="auto"/>
              </w:rPr>
            </w:pPr>
          </w:p>
        </w:tc>
        <w:tc>
          <w:tcPr>
            <w:tcW w:w="20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Integrating risk</w:t>
            </w:r>
          </w:p>
        </w:tc>
        <w:tc>
          <w:tcPr>
            <w:tcW w:w="260" w:type="dxa"/>
            <w:vAlign w:val="bottom"/>
            <w:shd w:val="clear" w:color="auto" w:fill="EEEEEF"/>
          </w:tcPr>
          <w:p>
            <w:pPr>
              <w:spacing w:after="0"/>
              <w:rPr>
                <w:sz w:val="19"/>
                <w:szCs w:val="19"/>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No special perquisites</w:t>
            </w:r>
          </w:p>
        </w:tc>
        <w:tc>
          <w:tcPr>
            <w:tcW w:w="280" w:type="dxa"/>
            <w:vAlign w:val="bottom"/>
            <w:shd w:val="clear" w:color="auto" w:fill="EEEEEF"/>
          </w:tcPr>
          <w:p>
            <w:pPr>
              <w:spacing w:after="0"/>
              <w:rPr>
                <w:sz w:val="19"/>
                <w:szCs w:val="19"/>
                <w:color w:val="auto"/>
              </w:rPr>
            </w:pPr>
          </w:p>
        </w:tc>
        <w:tc>
          <w:tcPr>
            <w:tcW w:w="21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3E693D"/>
                <w:w w:val="99"/>
              </w:rPr>
              <w:t>Maintaining strong</w:t>
            </w:r>
          </w:p>
        </w:tc>
        <w:tc>
          <w:tcPr>
            <w:tcW w:w="500" w:type="dxa"/>
            <w:vAlign w:val="bottom"/>
          </w:tcPr>
          <w:p>
            <w:pPr>
              <w:spacing w:after="0"/>
              <w:rPr>
                <w:sz w:val="19"/>
                <w:szCs w:val="19"/>
                <w:color w:val="auto"/>
              </w:rPr>
            </w:pPr>
          </w:p>
        </w:tc>
        <w:tc>
          <w:tcPr>
            <w:tcW w:w="260" w:type="dxa"/>
            <w:vAlign w:val="bottom"/>
            <w:shd w:val="clear" w:color="auto" w:fill="EEEEEF"/>
          </w:tcPr>
          <w:p>
            <w:pPr>
              <w:spacing w:after="0"/>
              <w:rPr>
                <w:sz w:val="19"/>
                <w:szCs w:val="19"/>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Transparency with</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management and</w:t>
            </w:r>
          </w:p>
        </w:tc>
        <w:tc>
          <w:tcPr>
            <w:tcW w:w="260" w:type="dxa"/>
            <w:vAlign w:val="bottom"/>
            <w:shd w:val="clear" w:color="auto" w:fill="EEEEEF"/>
          </w:tcPr>
          <w:p>
            <w:pPr>
              <w:spacing w:after="0"/>
              <w:rPr>
                <w:sz w:val="18"/>
                <w:szCs w:val="18"/>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rPr>
              <w:t>and non-performance</w:t>
            </w:r>
          </w:p>
        </w:tc>
        <w:tc>
          <w:tcPr>
            <w:tcW w:w="280" w:type="dxa"/>
            <w:vAlign w:val="bottom"/>
            <w:shd w:val="clear" w:color="auto" w:fill="EEEEEF"/>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3E693D"/>
                <w:w w:val="98"/>
              </w:rPr>
              <w:t>governance</w:t>
            </w:r>
          </w:p>
        </w:tc>
        <w:tc>
          <w:tcPr>
            <w:tcW w:w="500" w:type="dxa"/>
            <w:vAlign w:val="bottom"/>
          </w:tcPr>
          <w:p>
            <w:pPr>
              <w:spacing w:after="0"/>
              <w:rPr>
                <w:sz w:val="18"/>
                <w:szCs w:val="18"/>
                <w:color w:val="auto"/>
              </w:rPr>
            </w:pPr>
          </w:p>
        </w:tc>
        <w:tc>
          <w:tcPr>
            <w:tcW w:w="260" w:type="dxa"/>
            <w:vAlign w:val="bottom"/>
            <w:shd w:val="clear" w:color="auto" w:fill="EEEEEF"/>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shareholders</w:t>
            </w:r>
          </w:p>
        </w:tc>
        <w:tc>
          <w:tcPr>
            <w:tcW w:w="20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3E693D"/>
                <w:w w:val="99"/>
              </w:rPr>
              <w:t>compensation</w:t>
            </w:r>
          </w:p>
        </w:tc>
        <w:tc>
          <w:tcPr>
            <w:tcW w:w="260" w:type="dxa"/>
            <w:vAlign w:val="bottom"/>
            <w:shd w:val="clear" w:color="auto" w:fill="EEEEEF"/>
          </w:tcPr>
          <w:p>
            <w:pPr>
              <w:spacing w:after="0"/>
              <w:rPr>
                <w:sz w:val="20"/>
                <w:szCs w:val="20"/>
                <w:color w:val="auto"/>
              </w:rPr>
            </w:pPr>
          </w:p>
        </w:tc>
        <w:tc>
          <w:tcPr>
            <w:tcW w:w="2640" w:type="dxa"/>
            <w:vAlign w:val="bottom"/>
            <w:gridSpan w:val="3"/>
          </w:tcPr>
          <w:p>
            <w:pPr>
              <w:jc w:val="center"/>
              <w:spacing w:after="0"/>
              <w:rPr>
                <w:sz w:val="20"/>
                <w:szCs w:val="20"/>
                <w:color w:val="auto"/>
              </w:rPr>
            </w:pPr>
            <w:r>
              <w:rPr>
                <w:rFonts w:ascii="Arial" w:cs="Arial" w:eastAsia="Arial" w:hAnsi="Arial"/>
                <w:sz w:val="18"/>
                <w:szCs w:val="18"/>
                <w:b w:val="1"/>
                <w:bCs w:val="1"/>
                <w:color w:val="3E693D"/>
                <w:w w:val="99"/>
              </w:rPr>
              <w:t>based compensation</w:t>
            </w:r>
          </w:p>
        </w:tc>
        <w:tc>
          <w:tcPr>
            <w:tcW w:w="280" w:type="dxa"/>
            <w:vAlign w:val="bottom"/>
            <w:shd w:val="clear" w:color="auto" w:fill="EEEEEF"/>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shd w:val="clear" w:color="auto" w:fill="EEEEEF"/>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20" w:type="dxa"/>
            <w:vAlign w:val="bottom"/>
            <w:tcBorders>
              <w:bottom w:val="single" w:sz="8" w:color="1F5122"/>
            </w:tcBorders>
          </w:tcPr>
          <w:p>
            <w:pPr>
              <w:spacing w:after="0"/>
              <w:rPr>
                <w:sz w:val="2"/>
                <w:szCs w:val="2"/>
                <w:color w:val="auto"/>
              </w:rPr>
            </w:pPr>
          </w:p>
        </w:tc>
        <w:tc>
          <w:tcPr>
            <w:tcW w:w="1140" w:type="dxa"/>
            <w:vAlign w:val="bottom"/>
            <w:tcBorders>
              <w:bottom w:val="single" w:sz="8" w:color="1F5122"/>
            </w:tcBorders>
          </w:tcPr>
          <w:p>
            <w:pPr>
              <w:spacing w:after="0"/>
              <w:rPr>
                <w:sz w:val="2"/>
                <w:szCs w:val="2"/>
                <w:color w:val="auto"/>
              </w:rPr>
            </w:pPr>
          </w:p>
        </w:tc>
        <w:tc>
          <w:tcPr>
            <w:tcW w:w="1160" w:type="dxa"/>
            <w:vAlign w:val="bottom"/>
            <w:tcBorders>
              <w:bottom w:val="single" w:sz="8" w:color="1F5122"/>
            </w:tcBorders>
          </w:tcPr>
          <w:p>
            <w:pPr>
              <w:spacing w:after="0"/>
              <w:rPr>
                <w:sz w:val="2"/>
                <w:szCs w:val="2"/>
                <w:color w:val="auto"/>
              </w:rPr>
            </w:pPr>
          </w:p>
        </w:tc>
        <w:tc>
          <w:tcPr>
            <w:tcW w:w="260" w:type="dxa"/>
            <w:vAlign w:val="bottom"/>
            <w:tcBorders>
              <w:bottom w:val="single" w:sz="8" w:color="EEEEEF"/>
            </w:tcBorders>
            <w:shd w:val="clear" w:color="auto" w:fill="EEEEEF"/>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280" w:type="dxa"/>
            <w:vAlign w:val="bottom"/>
            <w:tcBorders>
              <w:bottom w:val="single" w:sz="8" w:color="1F5122"/>
            </w:tcBorders>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280" w:type="dxa"/>
            <w:vAlign w:val="bottom"/>
            <w:tcBorders>
              <w:bottom w:val="single" w:sz="8" w:color="EEEEEF"/>
            </w:tcBorders>
            <w:shd w:val="clear" w:color="auto" w:fill="EEEEEF"/>
          </w:tcPr>
          <w:p>
            <w:pPr>
              <w:spacing w:after="0"/>
              <w:rPr>
                <w:sz w:val="2"/>
                <w:szCs w:val="2"/>
                <w:color w:val="auto"/>
              </w:rPr>
            </w:pPr>
          </w:p>
        </w:tc>
        <w:tc>
          <w:tcPr>
            <w:tcW w:w="800" w:type="dxa"/>
            <w:vAlign w:val="bottom"/>
            <w:tcBorders>
              <w:bottom w:val="single" w:sz="8" w:color="1F5122"/>
            </w:tcBorders>
          </w:tcPr>
          <w:p>
            <w:pPr>
              <w:spacing w:after="0"/>
              <w:rPr>
                <w:sz w:val="2"/>
                <w:szCs w:val="2"/>
                <w:color w:val="auto"/>
              </w:rPr>
            </w:pPr>
          </w:p>
        </w:tc>
        <w:tc>
          <w:tcPr>
            <w:tcW w:w="360" w:type="dxa"/>
            <w:vAlign w:val="bottom"/>
            <w:tcBorders>
              <w:bottom w:val="single" w:sz="8" w:color="1F5122"/>
            </w:tcBorders>
          </w:tcPr>
          <w:p>
            <w:pPr>
              <w:spacing w:after="0"/>
              <w:rPr>
                <w:sz w:val="2"/>
                <w:szCs w:val="2"/>
                <w:color w:val="auto"/>
              </w:rPr>
            </w:pPr>
          </w:p>
        </w:tc>
        <w:tc>
          <w:tcPr>
            <w:tcW w:w="300" w:type="dxa"/>
            <w:vAlign w:val="bottom"/>
            <w:tcBorders>
              <w:bottom w:val="single" w:sz="8" w:color="1F5122"/>
            </w:tcBorders>
          </w:tcPr>
          <w:p>
            <w:pPr>
              <w:spacing w:after="0"/>
              <w:rPr>
                <w:sz w:val="2"/>
                <w:szCs w:val="2"/>
                <w:color w:val="auto"/>
              </w:rPr>
            </w:pPr>
          </w:p>
        </w:tc>
        <w:tc>
          <w:tcPr>
            <w:tcW w:w="680" w:type="dxa"/>
            <w:vAlign w:val="bottom"/>
            <w:tcBorders>
              <w:bottom w:val="single" w:sz="8" w:color="1F5122"/>
            </w:tcBorders>
          </w:tcPr>
          <w:p>
            <w:pPr>
              <w:spacing w:after="0"/>
              <w:rPr>
                <w:sz w:val="2"/>
                <w:szCs w:val="2"/>
                <w:color w:val="auto"/>
              </w:rPr>
            </w:pPr>
          </w:p>
        </w:tc>
        <w:tc>
          <w:tcPr>
            <w:tcW w:w="500" w:type="dxa"/>
            <w:vAlign w:val="bottom"/>
            <w:tcBorders>
              <w:bottom w:val="single" w:sz="8" w:color="1F5122"/>
            </w:tcBorders>
          </w:tcPr>
          <w:p>
            <w:pPr>
              <w:spacing w:after="0"/>
              <w:rPr>
                <w:sz w:val="2"/>
                <w:szCs w:val="2"/>
                <w:color w:val="auto"/>
              </w:rPr>
            </w:pPr>
          </w:p>
        </w:tc>
        <w:tc>
          <w:tcPr>
            <w:tcW w:w="260" w:type="dxa"/>
            <w:vAlign w:val="bottom"/>
            <w:tcBorders>
              <w:bottom w:val="single" w:sz="8" w:color="EEEEEF"/>
            </w:tcBorders>
            <w:shd w:val="clear" w:color="auto" w:fill="EEEEEF"/>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1180" w:type="dxa"/>
            <w:vAlign w:val="bottom"/>
            <w:tcBorders>
              <w:bottom w:val="single" w:sz="8" w:color="1F5122"/>
            </w:tcBorders>
          </w:tcPr>
          <w:p>
            <w:pPr>
              <w:spacing w:after="0"/>
              <w:rPr>
                <w:sz w:val="2"/>
                <w:szCs w:val="2"/>
                <w:color w:val="auto"/>
              </w:rPr>
            </w:pPr>
          </w:p>
        </w:tc>
        <w:tc>
          <w:tcPr>
            <w:tcW w:w="200" w:type="dxa"/>
            <w:vAlign w:val="bottom"/>
          </w:tcPr>
          <w:p>
            <w:pPr>
              <w:spacing w:after="0"/>
              <w:rPr>
                <w:sz w:val="2"/>
                <w:szCs w:val="2"/>
                <w:color w:val="auto"/>
              </w:rPr>
            </w:pPr>
          </w:p>
        </w:tc>
      </w:tr>
      <w:tr>
        <w:trPr>
          <w:trHeight w:val="142"/>
        </w:trPr>
        <w:tc>
          <w:tcPr>
            <w:tcW w:w="20" w:type="dxa"/>
            <w:vAlign w:val="bottom"/>
            <w:shd w:val="clear" w:color="auto" w:fill="EEEEEF"/>
          </w:tcPr>
          <w:p>
            <w:pPr>
              <w:spacing w:after="0"/>
              <w:rPr>
                <w:sz w:val="12"/>
                <w:szCs w:val="12"/>
                <w:color w:val="auto"/>
              </w:rPr>
            </w:pPr>
          </w:p>
        </w:tc>
        <w:tc>
          <w:tcPr>
            <w:tcW w:w="1140" w:type="dxa"/>
            <w:vAlign w:val="bottom"/>
            <w:shd w:val="clear" w:color="auto" w:fill="EEEEEF"/>
          </w:tcPr>
          <w:p>
            <w:pPr>
              <w:spacing w:after="0"/>
              <w:rPr>
                <w:sz w:val="12"/>
                <w:szCs w:val="12"/>
                <w:color w:val="auto"/>
              </w:rPr>
            </w:pPr>
          </w:p>
        </w:tc>
        <w:tc>
          <w:tcPr>
            <w:tcW w:w="1160" w:type="dxa"/>
            <w:vAlign w:val="bottom"/>
            <w:shd w:val="clear" w:color="auto" w:fill="EEEEEF"/>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28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280" w:type="dxa"/>
            <w:vAlign w:val="bottom"/>
            <w:shd w:val="clear" w:color="auto" w:fill="EEEEEF"/>
          </w:tcPr>
          <w:p>
            <w:pPr>
              <w:spacing w:after="0"/>
              <w:rPr>
                <w:sz w:val="12"/>
                <w:szCs w:val="12"/>
                <w:color w:val="auto"/>
              </w:rPr>
            </w:pPr>
          </w:p>
        </w:tc>
        <w:tc>
          <w:tcPr>
            <w:tcW w:w="800" w:type="dxa"/>
            <w:vAlign w:val="bottom"/>
            <w:shd w:val="clear" w:color="auto" w:fill="EEEEEF"/>
          </w:tcPr>
          <w:p>
            <w:pPr>
              <w:spacing w:after="0"/>
              <w:rPr>
                <w:sz w:val="12"/>
                <w:szCs w:val="12"/>
                <w:color w:val="auto"/>
              </w:rPr>
            </w:pPr>
          </w:p>
        </w:tc>
        <w:tc>
          <w:tcPr>
            <w:tcW w:w="360" w:type="dxa"/>
            <w:vAlign w:val="bottom"/>
            <w:shd w:val="clear" w:color="auto" w:fill="EEEEEF"/>
          </w:tcPr>
          <w:p>
            <w:pPr>
              <w:spacing w:after="0"/>
              <w:rPr>
                <w:sz w:val="12"/>
                <w:szCs w:val="12"/>
                <w:color w:val="auto"/>
              </w:rPr>
            </w:pPr>
          </w:p>
        </w:tc>
        <w:tc>
          <w:tcPr>
            <w:tcW w:w="300" w:type="dxa"/>
            <w:vAlign w:val="bottom"/>
            <w:shd w:val="clear" w:color="auto" w:fill="EEEEEF"/>
          </w:tcPr>
          <w:p>
            <w:pPr>
              <w:spacing w:after="0"/>
              <w:rPr>
                <w:sz w:val="12"/>
                <w:szCs w:val="12"/>
                <w:color w:val="auto"/>
              </w:rPr>
            </w:pPr>
          </w:p>
        </w:tc>
        <w:tc>
          <w:tcPr>
            <w:tcW w:w="680" w:type="dxa"/>
            <w:vAlign w:val="bottom"/>
            <w:shd w:val="clear" w:color="auto" w:fill="EEEEEF"/>
          </w:tcPr>
          <w:p>
            <w:pPr>
              <w:spacing w:after="0"/>
              <w:rPr>
                <w:sz w:val="12"/>
                <w:szCs w:val="12"/>
                <w:color w:val="auto"/>
              </w:rPr>
            </w:pPr>
          </w:p>
        </w:tc>
        <w:tc>
          <w:tcPr>
            <w:tcW w:w="500" w:type="dxa"/>
            <w:vAlign w:val="bottom"/>
            <w:shd w:val="clear" w:color="auto" w:fill="EEEEEF"/>
          </w:tcPr>
          <w:p>
            <w:pPr>
              <w:spacing w:after="0"/>
              <w:rPr>
                <w:sz w:val="12"/>
                <w:szCs w:val="12"/>
                <w:color w:val="auto"/>
              </w:rPr>
            </w:pPr>
          </w:p>
        </w:tc>
        <w:tc>
          <w:tcPr>
            <w:tcW w:w="26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2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94"/>
        </w:trPr>
        <w:tc>
          <w:tcPr>
            <w:tcW w:w="20" w:type="dxa"/>
            <w:vAlign w:val="bottom"/>
          </w:tcPr>
          <w:p>
            <w:pPr>
              <w:spacing w:after="0"/>
              <w:rPr>
                <w:sz w:val="8"/>
                <w:szCs w:val="8"/>
                <w:color w:val="auto"/>
              </w:rPr>
            </w:pPr>
          </w:p>
        </w:tc>
        <w:tc>
          <w:tcPr>
            <w:tcW w:w="1140" w:type="dxa"/>
            <w:vAlign w:val="bottom"/>
            <w:shd w:val="clear" w:color="auto" w:fill="EFEFEF"/>
          </w:tcPr>
          <w:p>
            <w:pPr>
              <w:spacing w:after="0"/>
              <w:rPr>
                <w:sz w:val="8"/>
                <w:szCs w:val="8"/>
                <w:color w:val="auto"/>
              </w:rPr>
            </w:pPr>
          </w:p>
        </w:tc>
        <w:tc>
          <w:tcPr>
            <w:tcW w:w="1160" w:type="dxa"/>
            <w:vAlign w:val="bottom"/>
            <w:shd w:val="clear" w:color="auto" w:fill="EFEFEF"/>
          </w:tcPr>
          <w:p>
            <w:pPr>
              <w:spacing w:after="0"/>
              <w:rPr>
                <w:sz w:val="8"/>
                <w:szCs w:val="8"/>
                <w:color w:val="auto"/>
              </w:rPr>
            </w:pPr>
          </w:p>
        </w:tc>
        <w:tc>
          <w:tcPr>
            <w:tcW w:w="260" w:type="dxa"/>
            <w:vAlign w:val="bottom"/>
            <w:shd w:val="clear" w:color="auto" w:fill="EFEFEF"/>
          </w:tcPr>
          <w:p>
            <w:pPr>
              <w:spacing w:after="0"/>
              <w:rPr>
                <w:sz w:val="8"/>
                <w:szCs w:val="8"/>
                <w:color w:val="auto"/>
              </w:rPr>
            </w:pPr>
          </w:p>
        </w:tc>
        <w:tc>
          <w:tcPr>
            <w:tcW w:w="1180" w:type="dxa"/>
            <w:vAlign w:val="bottom"/>
            <w:shd w:val="clear" w:color="auto" w:fill="EFEFEF"/>
          </w:tcPr>
          <w:p>
            <w:pPr>
              <w:spacing w:after="0"/>
              <w:rPr>
                <w:sz w:val="8"/>
                <w:szCs w:val="8"/>
                <w:color w:val="auto"/>
              </w:rPr>
            </w:pPr>
          </w:p>
        </w:tc>
        <w:tc>
          <w:tcPr>
            <w:tcW w:w="280" w:type="dxa"/>
            <w:vAlign w:val="bottom"/>
            <w:shd w:val="clear" w:color="auto" w:fill="EFEFEF"/>
          </w:tcPr>
          <w:p>
            <w:pPr>
              <w:spacing w:after="0"/>
              <w:rPr>
                <w:sz w:val="8"/>
                <w:szCs w:val="8"/>
                <w:color w:val="auto"/>
              </w:rPr>
            </w:pPr>
          </w:p>
        </w:tc>
        <w:tc>
          <w:tcPr>
            <w:tcW w:w="1180" w:type="dxa"/>
            <w:vAlign w:val="bottom"/>
            <w:shd w:val="clear" w:color="auto" w:fill="EFEFEF"/>
          </w:tcPr>
          <w:p>
            <w:pPr>
              <w:spacing w:after="0"/>
              <w:rPr>
                <w:sz w:val="8"/>
                <w:szCs w:val="8"/>
                <w:color w:val="auto"/>
              </w:rPr>
            </w:pPr>
          </w:p>
        </w:tc>
        <w:tc>
          <w:tcPr>
            <w:tcW w:w="280" w:type="dxa"/>
            <w:vAlign w:val="bottom"/>
            <w:shd w:val="clear" w:color="auto" w:fill="EFEFEF"/>
          </w:tcPr>
          <w:p>
            <w:pPr>
              <w:spacing w:after="0"/>
              <w:rPr>
                <w:sz w:val="8"/>
                <w:szCs w:val="8"/>
                <w:color w:val="auto"/>
              </w:rPr>
            </w:pPr>
          </w:p>
        </w:tc>
        <w:tc>
          <w:tcPr>
            <w:tcW w:w="800" w:type="dxa"/>
            <w:vAlign w:val="bottom"/>
            <w:shd w:val="clear" w:color="auto" w:fill="EFEFEF"/>
          </w:tcPr>
          <w:p>
            <w:pPr>
              <w:spacing w:after="0"/>
              <w:rPr>
                <w:sz w:val="8"/>
                <w:szCs w:val="8"/>
                <w:color w:val="auto"/>
              </w:rPr>
            </w:pPr>
          </w:p>
        </w:tc>
        <w:tc>
          <w:tcPr>
            <w:tcW w:w="360" w:type="dxa"/>
            <w:vAlign w:val="bottom"/>
            <w:shd w:val="clear" w:color="auto" w:fill="EFEFEF"/>
          </w:tcPr>
          <w:p>
            <w:pPr>
              <w:spacing w:after="0"/>
              <w:rPr>
                <w:sz w:val="8"/>
                <w:szCs w:val="8"/>
                <w:color w:val="auto"/>
              </w:rPr>
            </w:pPr>
          </w:p>
        </w:tc>
        <w:tc>
          <w:tcPr>
            <w:tcW w:w="300" w:type="dxa"/>
            <w:vAlign w:val="bottom"/>
            <w:shd w:val="clear" w:color="auto" w:fill="EFEFEF"/>
          </w:tcPr>
          <w:p>
            <w:pPr>
              <w:spacing w:after="0"/>
              <w:rPr>
                <w:sz w:val="8"/>
                <w:szCs w:val="8"/>
                <w:color w:val="auto"/>
              </w:rPr>
            </w:pPr>
          </w:p>
        </w:tc>
        <w:tc>
          <w:tcPr>
            <w:tcW w:w="680" w:type="dxa"/>
            <w:vAlign w:val="bottom"/>
            <w:shd w:val="clear" w:color="auto" w:fill="EFEFEF"/>
          </w:tcPr>
          <w:p>
            <w:pPr>
              <w:spacing w:after="0"/>
              <w:rPr>
                <w:sz w:val="8"/>
                <w:szCs w:val="8"/>
                <w:color w:val="auto"/>
              </w:rPr>
            </w:pPr>
          </w:p>
        </w:tc>
        <w:tc>
          <w:tcPr>
            <w:tcW w:w="500" w:type="dxa"/>
            <w:vAlign w:val="bottom"/>
            <w:shd w:val="clear" w:color="auto" w:fill="EFEFEF"/>
          </w:tcPr>
          <w:p>
            <w:pPr>
              <w:spacing w:after="0"/>
              <w:rPr>
                <w:sz w:val="8"/>
                <w:szCs w:val="8"/>
                <w:color w:val="auto"/>
              </w:rPr>
            </w:pPr>
          </w:p>
        </w:tc>
        <w:tc>
          <w:tcPr>
            <w:tcW w:w="260" w:type="dxa"/>
            <w:vAlign w:val="bottom"/>
            <w:shd w:val="clear" w:color="auto" w:fill="EFEFEF"/>
          </w:tcPr>
          <w:p>
            <w:pPr>
              <w:spacing w:after="0"/>
              <w:rPr>
                <w:sz w:val="8"/>
                <w:szCs w:val="8"/>
                <w:color w:val="auto"/>
              </w:rPr>
            </w:pPr>
          </w:p>
        </w:tc>
        <w:tc>
          <w:tcPr>
            <w:tcW w:w="1180" w:type="dxa"/>
            <w:vAlign w:val="bottom"/>
            <w:shd w:val="clear" w:color="auto" w:fill="EFEFEF"/>
          </w:tcPr>
          <w:p>
            <w:pPr>
              <w:spacing w:after="0"/>
              <w:rPr>
                <w:sz w:val="8"/>
                <w:szCs w:val="8"/>
                <w:color w:val="auto"/>
              </w:rPr>
            </w:pPr>
          </w:p>
        </w:tc>
        <w:tc>
          <w:tcPr>
            <w:tcW w:w="1180" w:type="dxa"/>
            <w:vAlign w:val="bottom"/>
            <w:shd w:val="clear" w:color="auto" w:fill="EFEFEF"/>
          </w:tcPr>
          <w:p>
            <w:pPr>
              <w:spacing w:after="0"/>
              <w:rPr>
                <w:sz w:val="8"/>
                <w:szCs w:val="8"/>
                <w:color w:val="auto"/>
              </w:rPr>
            </w:pPr>
          </w:p>
        </w:tc>
        <w:tc>
          <w:tcPr>
            <w:tcW w:w="200" w:type="dxa"/>
            <w:vAlign w:val="bottom"/>
            <w:shd w:val="clear" w:color="auto" w:fill="EFEFE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917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29"/>
          <w:szCs w:val="29"/>
          <w:color w:val="074A75"/>
        </w:rPr>
        <w:t>Performance Assessment</w:t>
      </w:r>
    </w:p>
    <w:p>
      <w:pPr>
        <w:spacing w:after="0" w:line="318" w:lineRule="exact"/>
        <w:rPr>
          <w:sz w:val="20"/>
          <w:szCs w:val="20"/>
          <w:color w:val="auto"/>
        </w:rPr>
      </w:pPr>
    </w:p>
    <w:p>
      <w:pPr>
        <w:ind w:left="300" w:right="880"/>
        <w:spacing w:after="0" w:line="250" w:lineRule="auto"/>
        <w:rPr>
          <w:sz w:val="20"/>
          <w:szCs w:val="20"/>
          <w:color w:val="auto"/>
        </w:rPr>
      </w:pPr>
      <w:r>
        <w:rPr>
          <w:rFonts w:ascii="Arial" w:cs="Arial" w:eastAsia="Arial" w:hAnsi="Arial"/>
          <w:sz w:val="18"/>
          <w:szCs w:val="18"/>
          <w:color w:val="auto"/>
          <w:shd w:val="clear" w:color="auto" w:fill="EFEFEF"/>
        </w:rPr>
        <w:t>In accordance with our compensation philosophy, the CMDC uses a balanced and disciplined approach to assess OC member performance throughout the year against four broad dimensions:</w:t>
      </w:r>
    </w:p>
    <w:p>
      <w:pPr>
        <w:spacing w:after="0" w:line="1" w:lineRule="exact"/>
        <w:rPr>
          <w:sz w:val="20"/>
          <w:szCs w:val="20"/>
          <w:color w:val="auto"/>
        </w:rPr>
      </w:pPr>
    </w:p>
    <w:p>
      <w:pPr>
        <w:ind w:left="500" w:hanging="191"/>
        <w:spacing w:after="0"/>
        <w:tabs>
          <w:tab w:leader="none" w:pos="500" w:val="left"/>
        </w:tabs>
        <w:numPr>
          <w:ilvl w:val="0"/>
          <w:numId w:val="113"/>
        </w:numPr>
        <w:rPr>
          <w:rFonts w:ascii="Arial" w:cs="Arial" w:eastAsia="Arial" w:hAnsi="Arial"/>
          <w:sz w:val="18"/>
          <w:szCs w:val="18"/>
          <w:color w:val="074A75"/>
          <w:shd w:val="clear" w:color="auto" w:fill="EFEFEF"/>
        </w:rPr>
      </w:pPr>
      <w:r>
        <w:rPr>
          <w:rFonts w:ascii="Arial" w:cs="Arial" w:eastAsia="Arial" w:hAnsi="Arial"/>
          <w:sz w:val="18"/>
          <w:szCs w:val="18"/>
          <w:b w:val="1"/>
          <w:bCs w:val="1"/>
          <w:color w:val="auto"/>
          <w:shd w:val="clear" w:color="auto" w:fill="EFEFEF"/>
        </w:rPr>
        <w:t xml:space="preserve">Business Results, </w:t>
      </w:r>
      <w:r>
        <w:rPr>
          <w:rFonts w:ascii="Arial" w:cs="Arial" w:eastAsia="Arial" w:hAnsi="Arial"/>
          <w:sz w:val="18"/>
          <w:szCs w:val="18"/>
          <w:color w:val="auto"/>
          <w:shd w:val="clear" w:color="auto" w:fill="EFEFEF"/>
        </w:rPr>
        <w:t>including absolute and relative performance over multiple years</w:t>
      </w:r>
    </w:p>
    <w:p>
      <w:pPr>
        <w:spacing w:after="0" w:line="9" w:lineRule="exact"/>
        <w:rPr>
          <w:rFonts w:ascii="Arial" w:cs="Arial" w:eastAsia="Arial" w:hAnsi="Arial"/>
          <w:sz w:val="18"/>
          <w:szCs w:val="18"/>
          <w:color w:val="074A75"/>
          <w:shd w:val="clear" w:color="auto" w:fill="EFEFEF"/>
        </w:rPr>
      </w:pPr>
    </w:p>
    <w:p>
      <w:pPr>
        <w:ind w:left="500" w:hanging="191"/>
        <w:spacing w:after="0"/>
        <w:tabs>
          <w:tab w:leader="none" w:pos="500" w:val="left"/>
        </w:tabs>
        <w:numPr>
          <w:ilvl w:val="0"/>
          <w:numId w:val="113"/>
        </w:numPr>
        <w:rPr>
          <w:rFonts w:ascii="Arial" w:cs="Arial" w:eastAsia="Arial" w:hAnsi="Arial"/>
          <w:sz w:val="18"/>
          <w:szCs w:val="18"/>
          <w:color w:val="074A75"/>
          <w:shd w:val="clear" w:color="auto" w:fill="EFEFEF"/>
        </w:rPr>
      </w:pPr>
      <w:r>
        <w:rPr>
          <w:rFonts w:ascii="Arial" w:cs="Arial" w:eastAsia="Arial" w:hAnsi="Arial"/>
          <w:sz w:val="18"/>
          <w:szCs w:val="18"/>
          <w:b w:val="1"/>
          <w:bCs w:val="1"/>
          <w:color w:val="auto"/>
          <w:shd w:val="clear" w:color="auto" w:fill="EFEFEF"/>
        </w:rPr>
        <w:t xml:space="preserve">Risk, Controls &amp; Conduct, </w:t>
      </w:r>
      <w:r>
        <w:rPr>
          <w:rFonts w:ascii="Arial" w:cs="Arial" w:eastAsia="Arial" w:hAnsi="Arial"/>
          <w:sz w:val="18"/>
          <w:szCs w:val="18"/>
          <w:color w:val="auto"/>
          <w:shd w:val="clear" w:color="auto" w:fill="EFEFEF"/>
        </w:rPr>
        <w:t>including feedback received from the Firm’s risk and control professionals</w:t>
      </w:r>
    </w:p>
    <w:p>
      <w:pPr>
        <w:spacing w:after="0" w:line="9" w:lineRule="exact"/>
        <w:rPr>
          <w:rFonts w:ascii="Arial" w:cs="Arial" w:eastAsia="Arial" w:hAnsi="Arial"/>
          <w:sz w:val="18"/>
          <w:szCs w:val="18"/>
          <w:color w:val="074A75"/>
          <w:shd w:val="clear" w:color="auto" w:fill="EFEFEF"/>
        </w:rPr>
      </w:pPr>
    </w:p>
    <w:p>
      <w:pPr>
        <w:ind w:left="500" w:right="680" w:hanging="191"/>
        <w:spacing w:after="0" w:line="250" w:lineRule="auto"/>
        <w:tabs>
          <w:tab w:leader="none" w:pos="503" w:val="left"/>
        </w:tabs>
        <w:numPr>
          <w:ilvl w:val="0"/>
          <w:numId w:val="113"/>
        </w:numPr>
        <w:rPr>
          <w:rFonts w:ascii="Arial" w:cs="Arial" w:eastAsia="Arial" w:hAnsi="Arial"/>
          <w:sz w:val="18"/>
          <w:szCs w:val="18"/>
          <w:color w:val="074A75"/>
          <w:shd w:val="clear" w:color="auto" w:fill="EFEFEF"/>
        </w:rPr>
      </w:pPr>
      <w:r>
        <w:rPr>
          <w:rFonts w:ascii="Arial" w:cs="Arial" w:eastAsia="Arial" w:hAnsi="Arial"/>
          <w:sz w:val="18"/>
          <w:szCs w:val="18"/>
          <w:b w:val="1"/>
          <w:bCs w:val="1"/>
          <w:color w:val="auto"/>
          <w:shd w:val="clear" w:color="auto" w:fill="EFEFEF"/>
        </w:rPr>
        <w:t xml:space="preserve">Client/Customer/Stakeholder, </w:t>
      </w:r>
      <w:r>
        <w:rPr>
          <w:rFonts w:ascii="Arial" w:cs="Arial" w:eastAsia="Arial" w:hAnsi="Arial"/>
          <w:sz w:val="18"/>
          <w:szCs w:val="18"/>
          <w:color w:val="auto"/>
          <w:shd w:val="clear" w:color="auto" w:fill="EFEFEF"/>
        </w:rPr>
        <w:t>including our engagement in communities and commitment to provide economic opportunity to</w:t>
      </w:r>
      <w:r>
        <w:rPr>
          <w:rFonts w:ascii="Arial" w:cs="Arial" w:eastAsia="Arial" w:hAnsi="Arial"/>
          <w:sz w:val="18"/>
          <w:szCs w:val="18"/>
          <w:b w:val="1"/>
          <w:bCs w:val="1"/>
          <w:color w:val="auto"/>
          <w:shd w:val="clear" w:color="auto" w:fill="EFEFEF"/>
        </w:rPr>
        <w:t xml:space="preserve"> </w:t>
      </w:r>
      <w:r>
        <w:rPr>
          <w:rFonts w:ascii="Arial" w:cs="Arial" w:eastAsia="Arial" w:hAnsi="Arial"/>
          <w:sz w:val="18"/>
          <w:szCs w:val="18"/>
          <w:color w:val="auto"/>
          <w:shd w:val="clear" w:color="auto" w:fill="EFEFEF"/>
        </w:rPr>
        <w:t>underserved communities</w:t>
      </w:r>
    </w:p>
    <w:p>
      <w:pPr>
        <w:ind w:left="500" w:right="60" w:hanging="191"/>
        <w:spacing w:after="0" w:line="261" w:lineRule="auto"/>
        <w:tabs>
          <w:tab w:leader="none" w:pos="503" w:val="left"/>
        </w:tabs>
        <w:numPr>
          <w:ilvl w:val="0"/>
          <w:numId w:val="113"/>
        </w:numPr>
        <w:rPr>
          <w:rFonts w:ascii="Arial" w:cs="Arial" w:eastAsia="Arial" w:hAnsi="Arial"/>
          <w:sz w:val="18"/>
          <w:szCs w:val="18"/>
          <w:color w:val="074A75"/>
          <w:shd w:val="clear" w:color="auto" w:fill="EFEFEF"/>
        </w:rPr>
      </w:pPr>
      <w:r>
        <w:rPr>
          <w:rFonts w:ascii="Arial" w:cs="Arial" w:eastAsia="Arial" w:hAnsi="Arial"/>
          <w:sz w:val="18"/>
          <w:szCs w:val="18"/>
          <w:b w:val="1"/>
          <w:bCs w:val="1"/>
          <w:color w:val="auto"/>
          <w:shd w:val="clear" w:color="auto" w:fill="EFEFEF"/>
        </w:rPr>
        <w:t xml:space="preserve">Teamwork &amp; Leadership, </w:t>
      </w:r>
      <w:r>
        <w:rPr>
          <w:rFonts w:ascii="Arial" w:cs="Arial" w:eastAsia="Arial" w:hAnsi="Arial"/>
          <w:sz w:val="18"/>
          <w:szCs w:val="18"/>
          <w:color w:val="auto"/>
          <w:shd w:val="clear" w:color="auto" w:fill="EFEFEF"/>
        </w:rPr>
        <w:t>including creating a diverse, inclusive, respectful and accountable environment and developing employees,</w:t>
      </w:r>
      <w:r>
        <w:rPr>
          <w:rFonts w:ascii="Arial" w:cs="Arial" w:eastAsia="Arial" w:hAnsi="Arial"/>
          <w:sz w:val="18"/>
          <w:szCs w:val="18"/>
          <w:b w:val="1"/>
          <w:bCs w:val="1"/>
          <w:color w:val="auto"/>
          <w:shd w:val="clear" w:color="auto" w:fill="EFEFEF"/>
        </w:rPr>
        <w:t xml:space="preserve"> </w:t>
      </w:r>
      <w:r>
        <w:rPr>
          <w:rFonts w:ascii="Arial" w:cs="Arial" w:eastAsia="Arial" w:hAnsi="Arial"/>
          <w:sz w:val="18"/>
          <w:szCs w:val="18"/>
          <w:color w:val="auto"/>
          <w:shd w:val="clear" w:color="auto" w:fill="EFEFEF"/>
        </w:rPr>
        <w:t>managers 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1231900</wp:posOffset>
            </wp:positionV>
            <wp:extent cx="7115175" cy="27432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1517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Arial" w:cs="Arial" w:eastAsia="Arial" w:hAnsi="Arial"/>
          <w:sz w:val="29"/>
          <w:szCs w:val="29"/>
          <w:color w:val="074A75"/>
        </w:rPr>
        <w:t>Pay Determination and Pay Mix</w:t>
      </w:r>
    </w:p>
    <w:p>
      <w:pPr>
        <w:spacing w:after="0" w:line="318" w:lineRule="exact"/>
        <w:rPr>
          <w:sz w:val="20"/>
          <w:szCs w:val="20"/>
          <w:color w:val="auto"/>
        </w:rPr>
      </w:pPr>
    </w:p>
    <w:p>
      <w:pPr>
        <w:jc w:val="both"/>
        <w:ind w:left="280" w:right="340"/>
        <w:spacing w:after="0" w:line="256" w:lineRule="auto"/>
        <w:rPr>
          <w:sz w:val="20"/>
          <w:szCs w:val="20"/>
          <w:color w:val="auto"/>
        </w:rPr>
      </w:pPr>
      <w:r>
        <w:rPr>
          <w:rFonts w:ascii="Arial" w:cs="Arial" w:eastAsia="Arial" w:hAnsi="Arial"/>
          <w:sz w:val="18"/>
          <w:szCs w:val="18"/>
          <w:color w:val="auto"/>
        </w:rPr>
        <w:t>Following the performance assessment process, the CMDC determines the total compensation for each OC member, as well as their respective pay mix. Pay mix may include salary, cash incentive, Restricted Stock Units ("RSUs") and formula-based PSUs. Pay levels and pay mix are determined in the context of competitive market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right="580"/>
        <w:spacing w:after="0" w:line="261" w:lineRule="auto"/>
        <w:rPr>
          <w:sz w:val="20"/>
          <w:szCs w:val="20"/>
          <w:color w:val="auto"/>
        </w:rPr>
      </w:pPr>
      <w:r>
        <w:rPr>
          <w:rFonts w:ascii="Arial" w:cs="Arial" w:eastAsia="Arial" w:hAnsi="Arial"/>
          <w:sz w:val="18"/>
          <w:szCs w:val="18"/>
          <w:color w:val="auto"/>
        </w:rPr>
        <w:t>In summary, the CMDC believes that the disciplined and holistic process it follows for determining OC member pay is appropriately balanced by the formula used in our PSU program that ultimately determines OC member payout.</w:t>
      </w:r>
    </w:p>
    <w:p>
      <w:pPr>
        <w:spacing w:after="0" w:line="10" w:lineRule="exact"/>
        <w:rPr>
          <w:sz w:val="20"/>
          <w:szCs w:val="20"/>
          <w:color w:val="auto"/>
        </w:rPr>
      </w:pPr>
    </w:p>
    <w:tbl>
      <w:tblPr>
        <w:tblLayout w:type="fixed"/>
        <w:tblInd w:w="260" w:type="dxa"/>
        <w:tblCellMar>
          <w:top w:w="0" w:type="dxa"/>
          <w:left w:w="0" w:type="dxa"/>
          <w:bottom w:w="0" w:type="dxa"/>
          <w:right w:w="0" w:type="dxa"/>
        </w:tblCellMar>
      </w:tblPr>
      <w:tr>
        <w:trPr>
          <w:trHeight w:val="359"/>
        </w:trPr>
        <w:tc>
          <w:tcPr>
            <w:tcW w:w="5020" w:type="dxa"/>
            <w:vAlign w:val="bottom"/>
            <w:shd w:val="clear" w:color="auto" w:fill="074A75"/>
          </w:tcPr>
          <w:p>
            <w:pPr>
              <w:ind w:left="680"/>
              <w:spacing w:after="0"/>
              <w:rPr>
                <w:sz w:val="20"/>
                <w:szCs w:val="20"/>
                <w:color w:val="auto"/>
              </w:rPr>
            </w:pPr>
            <w:r>
              <w:rPr>
                <w:rFonts w:ascii="Arial" w:cs="Arial" w:eastAsia="Arial" w:hAnsi="Arial"/>
                <w:sz w:val="16"/>
                <w:szCs w:val="16"/>
                <w:color w:val="FFFFFF"/>
              </w:rPr>
              <w:t>DISCIPLINED DISCRETION TO DETERMINE PAY</w:t>
            </w:r>
          </w:p>
        </w:tc>
        <w:tc>
          <w:tcPr>
            <w:tcW w:w="580" w:type="dxa"/>
            <w:vAlign w:val="bottom"/>
            <w:shd w:val="clear" w:color="auto" w:fill="EFEFEF"/>
          </w:tcPr>
          <w:p>
            <w:pPr>
              <w:spacing w:after="0"/>
              <w:rPr>
                <w:sz w:val="24"/>
                <w:szCs w:val="24"/>
                <w:color w:val="auto"/>
              </w:rPr>
            </w:pPr>
          </w:p>
        </w:tc>
        <w:tc>
          <w:tcPr>
            <w:tcW w:w="5020" w:type="dxa"/>
            <w:vAlign w:val="bottom"/>
            <w:shd w:val="clear" w:color="auto" w:fill="074A75"/>
          </w:tcPr>
          <w:p>
            <w:pPr>
              <w:ind w:left="1140"/>
              <w:spacing w:after="0"/>
              <w:rPr>
                <w:sz w:val="20"/>
                <w:szCs w:val="20"/>
                <w:color w:val="auto"/>
              </w:rPr>
            </w:pPr>
            <w:r>
              <w:rPr>
                <w:rFonts w:ascii="Arial" w:cs="Arial" w:eastAsia="Arial" w:hAnsi="Arial"/>
                <w:sz w:val="16"/>
                <w:szCs w:val="16"/>
                <w:color w:val="FFFFFF"/>
              </w:rPr>
              <w:t>FORMULA TO DETERMINE PAYOUT</w:t>
            </w:r>
          </w:p>
        </w:tc>
        <w:tc>
          <w:tcPr>
            <w:tcW w:w="340" w:type="dxa"/>
            <w:vAlign w:val="bottom"/>
            <w:shd w:val="clear" w:color="auto" w:fill="EFEFEF"/>
          </w:tcPr>
          <w:p>
            <w:pPr>
              <w:spacing w:after="0"/>
              <w:rPr>
                <w:sz w:val="24"/>
                <w:szCs w:val="24"/>
                <w:color w:val="auto"/>
              </w:rPr>
            </w:pPr>
          </w:p>
        </w:tc>
      </w:tr>
      <w:tr>
        <w:trPr>
          <w:trHeight w:val="155"/>
        </w:trPr>
        <w:tc>
          <w:tcPr>
            <w:tcW w:w="5020" w:type="dxa"/>
            <w:vAlign w:val="bottom"/>
            <w:shd w:val="clear" w:color="auto" w:fill="074A75"/>
          </w:tcPr>
          <w:p>
            <w:pPr>
              <w:spacing w:after="0"/>
              <w:rPr>
                <w:sz w:val="13"/>
                <w:szCs w:val="13"/>
                <w:color w:val="auto"/>
              </w:rPr>
            </w:pPr>
          </w:p>
        </w:tc>
        <w:tc>
          <w:tcPr>
            <w:tcW w:w="580" w:type="dxa"/>
            <w:vAlign w:val="bottom"/>
            <w:shd w:val="clear" w:color="auto" w:fill="EFEFEF"/>
          </w:tcPr>
          <w:p>
            <w:pPr>
              <w:spacing w:after="0"/>
              <w:rPr>
                <w:sz w:val="13"/>
                <w:szCs w:val="13"/>
                <w:color w:val="auto"/>
              </w:rPr>
            </w:pPr>
          </w:p>
        </w:tc>
        <w:tc>
          <w:tcPr>
            <w:tcW w:w="5020" w:type="dxa"/>
            <w:vAlign w:val="bottom"/>
            <w:shd w:val="clear" w:color="auto" w:fill="074A75"/>
          </w:tcPr>
          <w:p>
            <w:pPr>
              <w:spacing w:after="0"/>
              <w:rPr>
                <w:sz w:val="13"/>
                <w:szCs w:val="13"/>
                <w:color w:val="auto"/>
              </w:rPr>
            </w:pPr>
          </w:p>
        </w:tc>
        <w:tc>
          <w:tcPr>
            <w:tcW w:w="340" w:type="dxa"/>
            <w:vAlign w:val="bottom"/>
            <w:shd w:val="clear" w:color="auto" w:fill="EFEFEF"/>
          </w:tcPr>
          <w:p>
            <w:pPr>
              <w:spacing w:after="0"/>
              <w:rPr>
                <w:sz w:val="13"/>
                <w:szCs w:val="13"/>
                <w:color w:val="auto"/>
              </w:rPr>
            </w:pPr>
          </w:p>
        </w:tc>
      </w:tr>
      <w:tr>
        <w:trPr>
          <w:trHeight w:val="94"/>
        </w:trPr>
        <w:tc>
          <w:tcPr>
            <w:tcW w:w="5020" w:type="dxa"/>
            <w:vAlign w:val="bottom"/>
            <w:shd w:val="clear" w:color="auto" w:fill="EFEFEF"/>
          </w:tcPr>
          <w:p>
            <w:pPr>
              <w:spacing w:after="0"/>
              <w:rPr>
                <w:sz w:val="8"/>
                <w:szCs w:val="8"/>
                <w:color w:val="auto"/>
              </w:rPr>
            </w:pPr>
          </w:p>
        </w:tc>
        <w:tc>
          <w:tcPr>
            <w:tcW w:w="580" w:type="dxa"/>
            <w:vAlign w:val="bottom"/>
            <w:shd w:val="clear" w:color="auto" w:fill="EFEFEF"/>
          </w:tcPr>
          <w:p>
            <w:pPr>
              <w:spacing w:after="0"/>
              <w:rPr>
                <w:sz w:val="8"/>
                <w:szCs w:val="8"/>
                <w:color w:val="auto"/>
              </w:rPr>
            </w:pPr>
          </w:p>
        </w:tc>
        <w:tc>
          <w:tcPr>
            <w:tcW w:w="5020" w:type="dxa"/>
            <w:vAlign w:val="bottom"/>
            <w:shd w:val="clear" w:color="auto" w:fill="EFEFEF"/>
          </w:tcPr>
          <w:p>
            <w:pPr>
              <w:spacing w:after="0"/>
              <w:rPr>
                <w:sz w:val="8"/>
                <w:szCs w:val="8"/>
                <w:color w:val="auto"/>
              </w:rPr>
            </w:pPr>
          </w:p>
        </w:tc>
        <w:tc>
          <w:tcPr>
            <w:tcW w:w="340" w:type="dxa"/>
            <w:vAlign w:val="bottom"/>
            <w:shd w:val="clear" w:color="auto" w:fill="EFEFE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419735</wp:posOffset>
            </wp:positionV>
            <wp:extent cx="274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41  </w:t>
      </w:r>
      <w:r>
        <w:rPr>
          <w:sz w:val="1"/>
          <w:szCs w:val="1"/>
          <w:color w:val="auto"/>
        </w:rPr>
        <w:drawing>
          <wp:inline distT="0" distB="0" distL="0" distR="0">
            <wp:extent cx="2203450" cy="15430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Our compensation philosophy, pay practices and governance process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pay-for-performance compensation program is designed to align the long-term interests of our employees with those of our shareholders by emphasizing sustained value and reinforcing personal accountability.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074A75"/>
        </w:rPr>
        <w:t>COMPENSATION PHILOSOPHY</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compensation philosophy provides the guiding principles that drive compensation-related decisions across all levels of the Firm. We believe our compensation philosophy promotes an equitable and well-governed approach to compensation, which includes pay-for-performance practices that attract and retain top talent in a competitive market, is responsive to and aligned with shareholders, reinforces our culture and Business Principles, and integrates risk, controls and conduct considerations.</w:t>
      </w:r>
    </w:p>
    <w:p>
      <w:pPr>
        <w:sectPr>
          <w:pgSz w:w="11900" w:h="16838" w:orient="portrait"/>
          <w:cols w:equalWidth="0" w:num="1">
            <w:col w:w="11260"/>
          </w:cols>
          <w:pgMar w:left="320" w:top="171" w:right="319" w:bottom="1440" w:gutter="0" w:footer="0" w:header="0"/>
        </w:sectPr>
      </w:pPr>
    </w:p>
    <w:p>
      <w:pPr>
        <w:spacing w:after="0" w:line="123" w:lineRule="exact"/>
        <w:rPr>
          <w:sz w:val="20"/>
          <w:szCs w:val="20"/>
          <w:color w:val="auto"/>
        </w:rPr>
      </w:pPr>
    </w:p>
    <w:p>
      <w:pPr>
        <w:jc w:val="right"/>
        <w:ind w:left="400"/>
        <w:spacing w:after="0" w:line="263" w:lineRule="auto"/>
        <w:rPr>
          <w:sz w:val="20"/>
          <w:szCs w:val="20"/>
          <w:color w:val="auto"/>
        </w:rPr>
      </w:pPr>
      <w:r>
        <w:rPr>
          <w:rFonts w:ascii="Arial" w:cs="Arial" w:eastAsia="Arial" w:hAnsi="Arial"/>
          <w:sz w:val="19"/>
          <w:szCs w:val="19"/>
          <w:b w:val="1"/>
          <w:bCs w:val="1"/>
          <w:color w:val="FFFFFF"/>
        </w:rPr>
        <w:t>PAYING FOR PERFORMANCE AND ALIGNING WITH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1602740" cy="7632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602740" cy="763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92" w:right="160" w:hanging="192"/>
        <w:spacing w:after="0" w:line="253" w:lineRule="auto"/>
        <w:tabs>
          <w:tab w:leader="none" w:pos="189" w:val="left"/>
        </w:tabs>
        <w:numPr>
          <w:ilvl w:val="0"/>
          <w:numId w:val="114"/>
        </w:numPr>
        <w:rPr>
          <w:rFonts w:ascii="Arial" w:cs="Arial" w:eastAsia="Arial" w:hAnsi="Arial"/>
          <w:sz w:val="16"/>
          <w:szCs w:val="16"/>
          <w:color w:val="074A75"/>
        </w:rPr>
      </w:pPr>
      <w:r>
        <w:rPr>
          <w:rFonts w:ascii="Arial" w:cs="Arial" w:eastAsia="Arial" w:hAnsi="Arial"/>
          <w:sz w:val="16"/>
          <w:szCs w:val="16"/>
          <w:color w:val="auto"/>
        </w:rPr>
        <w:t>In making compensation-related decisions, we focus on risk-adjusted performance (the Firm’s risk and control professionals help contextualize the risk taken to achieve the return) and reward behaviors that generate sustained value for the Firm. This means that compensation should not be overly formulaic, rigid or focused on the short-term.</w:t>
      </w:r>
    </w:p>
    <w:p>
      <w:pPr>
        <w:spacing w:after="0" w:line="25" w:lineRule="exact"/>
        <w:rPr>
          <w:rFonts w:ascii="Arial" w:cs="Arial" w:eastAsia="Arial" w:hAnsi="Arial"/>
          <w:sz w:val="16"/>
          <w:szCs w:val="16"/>
          <w:color w:val="074A75"/>
        </w:rPr>
      </w:pPr>
    </w:p>
    <w:p>
      <w:pPr>
        <w:ind w:left="192" w:right="440" w:hanging="192"/>
        <w:spacing w:after="0" w:line="260" w:lineRule="auto"/>
        <w:tabs>
          <w:tab w:leader="none" w:pos="189" w:val="left"/>
        </w:tabs>
        <w:numPr>
          <w:ilvl w:val="0"/>
          <w:numId w:val="114"/>
        </w:numPr>
        <w:rPr>
          <w:rFonts w:ascii="Arial" w:cs="Arial" w:eastAsia="Arial" w:hAnsi="Arial"/>
          <w:sz w:val="16"/>
          <w:szCs w:val="16"/>
          <w:color w:val="074A75"/>
        </w:rPr>
      </w:pPr>
      <w:r>
        <w:rPr>
          <w:rFonts w:ascii="Arial" w:cs="Arial" w:eastAsia="Arial" w:hAnsi="Arial"/>
          <w:sz w:val="16"/>
          <w:szCs w:val="16"/>
          <w:color w:val="auto"/>
        </w:rPr>
        <w:t>A majority of OC member incentive compensation should be in equity that vests over multiple years to align with sustained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131445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2420" w:space="208"/>
            <w:col w:w="8632"/>
          </w:cols>
          <w:pgMar w:left="320" w:top="171" w:right="319" w:bottom="1440" w:gutter="0" w:footer="0" w:header="0"/>
          <w:type w:val="continuous"/>
        </w:sectPr>
      </w:pPr>
    </w:p>
    <w:p>
      <w:pPr>
        <w:spacing w:after="0" w:line="34" w:lineRule="exact"/>
        <w:rPr>
          <w:sz w:val="20"/>
          <w:szCs w:val="20"/>
          <w:color w:val="auto"/>
        </w:rPr>
      </w:pPr>
    </w:p>
    <w:p>
      <w:pPr>
        <w:jc w:val="right"/>
        <w:ind w:left="560"/>
        <w:spacing w:after="0" w:line="275" w:lineRule="auto"/>
        <w:rPr>
          <w:sz w:val="20"/>
          <w:szCs w:val="20"/>
          <w:color w:val="auto"/>
        </w:rPr>
      </w:pPr>
      <w:r>
        <w:rPr>
          <w:rFonts w:ascii="Arial" w:cs="Arial" w:eastAsia="Arial" w:hAnsi="Arial"/>
          <w:sz w:val="19"/>
          <w:szCs w:val="19"/>
          <w:b w:val="1"/>
          <w:bCs w:val="1"/>
          <w:color w:val="FFFFFF"/>
        </w:rPr>
        <w:t>ENCOURAGING A SHARED SUCCESS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602740" cy="6261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60274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92" w:right="660" w:hanging="192"/>
        <w:spacing w:after="0" w:line="260" w:lineRule="auto"/>
        <w:tabs>
          <w:tab w:leader="none" w:pos="189" w:val="left"/>
        </w:tabs>
        <w:numPr>
          <w:ilvl w:val="0"/>
          <w:numId w:val="115"/>
        </w:numPr>
        <w:rPr>
          <w:rFonts w:ascii="Arial" w:cs="Arial" w:eastAsia="Arial" w:hAnsi="Arial"/>
          <w:sz w:val="16"/>
          <w:szCs w:val="16"/>
          <w:color w:val="074A75"/>
        </w:rPr>
      </w:pPr>
      <w:r>
        <w:rPr>
          <w:rFonts w:ascii="Arial" w:cs="Arial" w:eastAsia="Arial" w:hAnsi="Arial"/>
          <w:sz w:val="16"/>
          <w:szCs w:val="16"/>
          <w:color w:val="auto"/>
        </w:rPr>
        <w:t>Teamwork and leadership should be encouraged and rewarded to foster a culture that supports our Business Principles.</w:t>
      </w:r>
    </w:p>
    <w:p>
      <w:pPr>
        <w:spacing w:after="0" w:line="19" w:lineRule="exact"/>
        <w:rPr>
          <w:rFonts w:ascii="Arial" w:cs="Arial" w:eastAsia="Arial" w:hAnsi="Arial"/>
          <w:sz w:val="16"/>
          <w:szCs w:val="16"/>
          <w:color w:val="074A75"/>
        </w:rPr>
      </w:pPr>
    </w:p>
    <w:p>
      <w:pPr>
        <w:ind w:left="192" w:right="80" w:hanging="192"/>
        <w:spacing w:after="0" w:line="260" w:lineRule="auto"/>
        <w:tabs>
          <w:tab w:leader="none" w:pos="189" w:val="left"/>
        </w:tabs>
        <w:numPr>
          <w:ilvl w:val="0"/>
          <w:numId w:val="115"/>
        </w:numPr>
        <w:rPr>
          <w:rFonts w:ascii="Arial" w:cs="Arial" w:eastAsia="Arial" w:hAnsi="Arial"/>
          <w:sz w:val="16"/>
          <w:szCs w:val="16"/>
          <w:color w:val="074A75"/>
        </w:rPr>
      </w:pPr>
      <w:r>
        <w:rPr>
          <w:rFonts w:ascii="Arial" w:cs="Arial" w:eastAsia="Arial" w:hAnsi="Arial"/>
          <w:sz w:val="16"/>
          <w:szCs w:val="16"/>
          <w:color w:val="auto"/>
        </w:rPr>
        <w:t>Contributions should be considered across the Firm, within business units, and at an individual level when evaluating an employee’s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114300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71" w:right="319" w:bottom="1440" w:gutter="0" w:footer="0" w:header="0"/>
          <w:type w:val="continuous"/>
        </w:sectPr>
      </w:pPr>
    </w:p>
    <w:p>
      <w:pPr>
        <w:spacing w:after="0" w:line="101" w:lineRule="exact"/>
        <w:rPr>
          <w:sz w:val="20"/>
          <w:szCs w:val="20"/>
          <w:color w:val="auto"/>
        </w:rPr>
      </w:pPr>
    </w:p>
    <w:p>
      <w:pPr>
        <w:jc w:val="right"/>
        <w:ind w:left="860"/>
        <w:spacing w:after="0" w:line="275" w:lineRule="auto"/>
        <w:rPr>
          <w:sz w:val="20"/>
          <w:szCs w:val="20"/>
          <w:color w:val="auto"/>
        </w:rPr>
      </w:pPr>
      <w:r>
        <w:rPr>
          <w:rFonts w:ascii="Arial" w:cs="Arial" w:eastAsia="Arial" w:hAnsi="Arial"/>
          <w:sz w:val="19"/>
          <w:szCs w:val="19"/>
          <w:b w:val="1"/>
          <w:bCs w:val="1"/>
          <w:color w:val="FFFFFF"/>
        </w:rPr>
        <w:t>ATTRACTING AND RETAINING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602740" cy="6254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02740" cy="625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92" w:right="280" w:hanging="192"/>
        <w:spacing w:after="0" w:line="260" w:lineRule="auto"/>
        <w:tabs>
          <w:tab w:leader="none" w:pos="189" w:val="left"/>
        </w:tabs>
        <w:numPr>
          <w:ilvl w:val="0"/>
          <w:numId w:val="116"/>
        </w:numPr>
        <w:rPr>
          <w:rFonts w:ascii="Arial" w:cs="Arial" w:eastAsia="Arial" w:hAnsi="Arial"/>
          <w:sz w:val="16"/>
          <w:szCs w:val="16"/>
          <w:color w:val="074A75"/>
        </w:rPr>
      </w:pPr>
      <w:r>
        <w:rPr>
          <w:rFonts w:ascii="Arial" w:cs="Arial" w:eastAsia="Arial" w:hAnsi="Arial"/>
          <w:sz w:val="16"/>
          <w:szCs w:val="16"/>
          <w:color w:val="auto"/>
        </w:rPr>
        <w:t>Our long-term success depends on the talents of our employees. Our compensation philosophy plays a significant role in our ability to attract, properly motivate and retain top talent.</w:t>
      </w:r>
    </w:p>
    <w:p>
      <w:pPr>
        <w:spacing w:after="0" w:line="19" w:lineRule="exact"/>
        <w:rPr>
          <w:rFonts w:ascii="Arial" w:cs="Arial" w:eastAsia="Arial" w:hAnsi="Arial"/>
          <w:sz w:val="16"/>
          <w:szCs w:val="16"/>
          <w:color w:val="074A75"/>
        </w:rPr>
      </w:pPr>
    </w:p>
    <w:p>
      <w:pPr>
        <w:ind w:left="192" w:right="440" w:hanging="192"/>
        <w:spacing w:after="0" w:line="260" w:lineRule="auto"/>
        <w:tabs>
          <w:tab w:leader="none" w:pos="189" w:val="left"/>
        </w:tabs>
        <w:numPr>
          <w:ilvl w:val="0"/>
          <w:numId w:val="116"/>
        </w:numPr>
        <w:rPr>
          <w:rFonts w:ascii="Arial" w:cs="Arial" w:eastAsia="Arial" w:hAnsi="Arial"/>
          <w:sz w:val="16"/>
          <w:szCs w:val="16"/>
          <w:color w:val="074A75"/>
        </w:rPr>
      </w:pPr>
      <w:r>
        <w:rPr>
          <w:rFonts w:ascii="Arial" w:cs="Arial" w:eastAsia="Arial" w:hAnsi="Arial"/>
          <w:sz w:val="16"/>
          <w:szCs w:val="16"/>
          <w:color w:val="auto"/>
        </w:rPr>
        <w:t>Competitive and reasonable compensation should help attract and retain the best talent to grow and sustain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114300</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71" w:right="319" w:bottom="1440" w:gutter="0" w:footer="0" w:header="0"/>
          <w:type w:val="continuous"/>
        </w:sectPr>
      </w:pPr>
    </w:p>
    <w:p>
      <w:pPr>
        <w:spacing w:after="0" w:line="101" w:lineRule="exact"/>
        <w:rPr>
          <w:sz w:val="20"/>
          <w:szCs w:val="20"/>
          <w:color w:val="auto"/>
        </w:rPr>
      </w:pPr>
    </w:p>
    <w:p>
      <w:pPr>
        <w:jc w:val="right"/>
        <w:ind w:left="480"/>
        <w:spacing w:after="0" w:line="275" w:lineRule="auto"/>
        <w:rPr>
          <w:sz w:val="20"/>
          <w:szCs w:val="20"/>
          <w:color w:val="auto"/>
        </w:rPr>
      </w:pPr>
      <w:r>
        <w:rPr>
          <w:rFonts w:ascii="Arial" w:cs="Arial" w:eastAsia="Arial" w:hAnsi="Arial"/>
          <w:sz w:val="19"/>
          <w:szCs w:val="19"/>
          <w:b w:val="1"/>
          <w:bCs w:val="1"/>
          <w:color w:val="FFFFFF"/>
        </w:rPr>
        <w:t>INTEGRATING RISK MANAGEMENT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602740" cy="916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60274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92" w:right="280" w:hanging="192"/>
        <w:spacing w:after="0" w:line="253" w:lineRule="auto"/>
        <w:tabs>
          <w:tab w:leader="none" w:pos="189"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Risk management, compensation recovery, and repayment policies should be robust and designed to encourage behaving with standards of integrity that are required by our culture and Business Principles. Excessive risk-taking should be deterred.</w:t>
      </w:r>
    </w:p>
    <w:p>
      <w:pPr>
        <w:spacing w:after="0" w:line="25" w:lineRule="exact"/>
        <w:rPr>
          <w:rFonts w:ascii="Arial" w:cs="Arial" w:eastAsia="Arial" w:hAnsi="Arial"/>
          <w:sz w:val="16"/>
          <w:szCs w:val="16"/>
          <w:color w:val="074A75"/>
        </w:rPr>
      </w:pPr>
    </w:p>
    <w:p>
      <w:pPr>
        <w:ind w:left="192" w:hanging="192"/>
        <w:spacing w:after="0"/>
        <w:tabs>
          <w:tab w:leader="none" w:pos="192"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Conduct matters should be reviewed following Firmwide frameworks.</w:t>
      </w:r>
    </w:p>
    <w:p>
      <w:pPr>
        <w:spacing w:after="0" w:line="32" w:lineRule="exact"/>
        <w:rPr>
          <w:rFonts w:ascii="Arial" w:cs="Arial" w:eastAsia="Arial" w:hAnsi="Arial"/>
          <w:sz w:val="16"/>
          <w:szCs w:val="16"/>
          <w:color w:val="074A75"/>
        </w:rPr>
      </w:pPr>
    </w:p>
    <w:p>
      <w:pPr>
        <w:ind w:left="192" w:hanging="192"/>
        <w:spacing w:after="0"/>
        <w:tabs>
          <w:tab w:leader="none" w:pos="192"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Recoupment policies should include recovery of cash and equity compensation.</w:t>
      </w:r>
    </w:p>
    <w:p>
      <w:pPr>
        <w:spacing w:after="0" w:line="45" w:lineRule="exact"/>
        <w:rPr>
          <w:rFonts w:ascii="Arial" w:cs="Arial" w:eastAsia="Arial" w:hAnsi="Arial"/>
          <w:sz w:val="16"/>
          <w:szCs w:val="16"/>
          <w:color w:val="074A75"/>
        </w:rPr>
      </w:pPr>
    </w:p>
    <w:p>
      <w:pPr>
        <w:ind w:left="192" w:hanging="192"/>
        <w:spacing w:after="0"/>
        <w:tabs>
          <w:tab w:leader="none" w:pos="192" w:val="left"/>
        </w:tabs>
        <w:numPr>
          <w:ilvl w:val="0"/>
          <w:numId w:val="117"/>
        </w:numPr>
        <w:rPr>
          <w:rFonts w:ascii="Arial" w:cs="Arial" w:eastAsia="Arial" w:hAnsi="Arial"/>
          <w:sz w:val="16"/>
          <w:szCs w:val="16"/>
          <w:color w:val="074A75"/>
        </w:rPr>
      </w:pPr>
      <w:r>
        <w:rPr>
          <w:rFonts w:ascii="Arial" w:cs="Arial" w:eastAsia="Arial" w:hAnsi="Arial"/>
          <w:sz w:val="16"/>
          <w:szCs w:val="16"/>
          <w:color w:val="auto"/>
        </w:rPr>
        <w:t>Our pay practices must comply with applicable rules and regulations, both in the U.S.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139065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208"/>
            <w:col w:w="8632"/>
          </w:cols>
          <w:pgMar w:left="320" w:top="171" w:right="319" w:bottom="1440" w:gutter="0" w:footer="0" w:header="0"/>
          <w:type w:val="continuous"/>
        </w:sectPr>
      </w:pPr>
    </w:p>
    <w:p>
      <w:pPr>
        <w:spacing w:after="0" w:line="14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NO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602740" cy="7632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602740" cy="7632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PERQUISITES AND</w:t>
      </w:r>
    </w:p>
    <w:p>
      <w:pPr>
        <w:jc w:val="right"/>
        <w:spacing w:after="0"/>
        <w:rPr>
          <w:sz w:val="20"/>
          <w:szCs w:val="20"/>
          <w:color w:val="auto"/>
        </w:rPr>
      </w:pPr>
      <w:r>
        <w:rPr>
          <w:rFonts w:ascii="Arial" w:cs="Arial" w:eastAsia="Arial" w:hAnsi="Arial"/>
          <w:sz w:val="19"/>
          <w:szCs w:val="19"/>
          <w:b w:val="1"/>
          <w:bCs w:val="1"/>
          <w:color w:val="FFFFFF"/>
        </w:rPr>
        <w:t>NON-PERFORMANCE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BASED</w:t>
      </w:r>
    </w:p>
    <w:p>
      <w:pPr>
        <w:jc w:val="right"/>
        <w:spacing w:after="0"/>
        <w:rPr>
          <w:sz w:val="20"/>
          <w:szCs w:val="20"/>
          <w:color w:val="auto"/>
        </w:rPr>
      </w:pPr>
      <w:r>
        <w:rPr>
          <w:rFonts w:ascii="Arial" w:cs="Arial" w:eastAsia="Arial" w:hAnsi="Arial"/>
          <w:sz w:val="20"/>
          <w:szCs w:val="20"/>
          <w:b w:val="1"/>
          <w:bCs w:val="1"/>
          <w:color w:val="FFFFFF"/>
        </w:rPr>
        <w:t>COMPENSATION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192" w:hanging="192"/>
        <w:spacing w:after="0"/>
        <w:tabs>
          <w:tab w:leader="none" w:pos="192" w:val="left"/>
        </w:tabs>
        <w:numPr>
          <w:ilvl w:val="0"/>
          <w:numId w:val="118"/>
        </w:numPr>
        <w:rPr>
          <w:rFonts w:ascii="Arial" w:cs="Arial" w:eastAsia="Arial" w:hAnsi="Arial"/>
          <w:sz w:val="16"/>
          <w:szCs w:val="16"/>
          <w:color w:val="074A75"/>
        </w:rPr>
      </w:pPr>
      <w:r>
        <w:rPr>
          <w:rFonts w:ascii="Arial" w:cs="Arial" w:eastAsia="Arial" w:hAnsi="Arial"/>
          <w:sz w:val="16"/>
          <w:szCs w:val="16"/>
          <w:color w:val="auto"/>
        </w:rPr>
        <w:t>Compensation should be straightforward and consist primarily of cash and equity incentives.</w:t>
      </w:r>
    </w:p>
    <w:p>
      <w:pPr>
        <w:spacing w:after="0" w:line="45" w:lineRule="exact"/>
        <w:rPr>
          <w:rFonts w:ascii="Arial" w:cs="Arial" w:eastAsia="Arial" w:hAnsi="Arial"/>
          <w:sz w:val="16"/>
          <w:szCs w:val="16"/>
          <w:color w:val="074A75"/>
        </w:rPr>
      </w:pPr>
    </w:p>
    <w:p>
      <w:pPr>
        <w:ind w:left="192" w:right="360" w:hanging="192"/>
        <w:spacing w:after="0" w:line="253" w:lineRule="auto"/>
        <w:tabs>
          <w:tab w:leader="none" w:pos="189" w:val="left"/>
        </w:tabs>
        <w:numPr>
          <w:ilvl w:val="0"/>
          <w:numId w:val="118"/>
        </w:numPr>
        <w:rPr>
          <w:rFonts w:ascii="Arial" w:cs="Arial" w:eastAsia="Arial" w:hAnsi="Arial"/>
          <w:sz w:val="16"/>
          <w:szCs w:val="16"/>
          <w:color w:val="074A75"/>
        </w:rPr>
      </w:pPr>
      <w:r>
        <w:rPr>
          <w:rFonts w:ascii="Arial" w:cs="Arial" w:eastAsia="Arial" w:hAnsi="Arial"/>
          <w:sz w:val="16"/>
          <w:szCs w:val="16"/>
          <w:color w:val="auto"/>
        </w:rPr>
        <w:t>We do not have special supplemental retirement or other special benefits just for executives, nor do we have any change-in-control agreements, golden parachutes, merger bonuses, or other special severance benefit arrangements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255270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2420" w:space="208"/>
            <w:col w:w="8632"/>
          </w:cols>
          <w:pgMar w:left="320" w:top="171" w:right="31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40" w:type="dxa"/>
            <w:vAlign w:val="bottom"/>
            <w:shd w:val="clear" w:color="auto" w:fill="3E693D"/>
          </w:tcPr>
          <w:p>
            <w:pPr>
              <w:jc w:val="right"/>
              <w:ind w:right="21"/>
              <w:spacing w:after="0"/>
              <w:rPr>
                <w:sz w:val="20"/>
                <w:szCs w:val="20"/>
                <w:color w:val="auto"/>
              </w:rPr>
            </w:pPr>
            <w:r>
              <w:rPr>
                <w:rFonts w:ascii="Arial" w:cs="Arial" w:eastAsia="Arial" w:hAnsi="Arial"/>
                <w:sz w:val="20"/>
                <w:szCs w:val="20"/>
                <w:b w:val="1"/>
                <w:bCs w:val="1"/>
                <w:color w:val="FFFFFF"/>
              </w:rPr>
              <w:t>MAINTAINING</w:t>
            </w:r>
          </w:p>
        </w:tc>
        <w:tc>
          <w:tcPr>
            <w:tcW w:w="870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Strong corporate governance is fostered by independent Board oversight of our executive compensation program by</w:t>
            </w:r>
          </w:p>
        </w:tc>
      </w:tr>
      <w:tr>
        <w:trPr>
          <w:trHeight w:val="215"/>
        </w:trPr>
        <w:tc>
          <w:tcPr>
            <w:tcW w:w="2540" w:type="dxa"/>
            <w:vAlign w:val="bottom"/>
            <w:shd w:val="clear" w:color="auto" w:fill="3E693D"/>
          </w:tcPr>
          <w:p>
            <w:pPr>
              <w:jc w:val="right"/>
              <w:ind w:right="21"/>
              <w:spacing w:after="0" w:line="215" w:lineRule="exact"/>
              <w:rPr>
                <w:sz w:val="20"/>
                <w:szCs w:val="20"/>
                <w:color w:val="auto"/>
              </w:rPr>
            </w:pPr>
            <w:r>
              <w:rPr>
                <w:rFonts w:ascii="Arial" w:cs="Arial" w:eastAsia="Arial" w:hAnsi="Arial"/>
                <w:sz w:val="20"/>
                <w:szCs w:val="20"/>
                <w:b w:val="1"/>
                <w:bCs w:val="1"/>
                <w:color w:val="FFFFFF"/>
              </w:rPr>
              <w:t>STRONG</w:t>
            </w:r>
          </w:p>
        </w:tc>
        <w:tc>
          <w:tcPr>
            <w:tcW w:w="8700" w:type="dxa"/>
            <w:vAlign w:val="bottom"/>
          </w:tcPr>
          <w:p>
            <w:pPr>
              <w:ind w:left="280"/>
              <w:spacing w:after="0"/>
              <w:rPr>
                <w:sz w:val="20"/>
                <w:szCs w:val="20"/>
                <w:color w:val="auto"/>
              </w:rPr>
            </w:pPr>
            <w:r>
              <w:rPr>
                <w:rFonts w:ascii="Arial" w:cs="Arial" w:eastAsia="Arial" w:hAnsi="Arial"/>
                <w:sz w:val="16"/>
                <w:szCs w:val="16"/>
                <w:color w:val="auto"/>
              </w:rPr>
              <w:t>the CMDC, including defining the Firm’s compensation philosophy, reviewing and approving the Firm’s overall</w:t>
            </w:r>
          </w:p>
        </w:tc>
      </w:tr>
      <w:tr>
        <w:trPr>
          <w:trHeight w:val="205"/>
        </w:trPr>
        <w:tc>
          <w:tcPr>
            <w:tcW w:w="2540" w:type="dxa"/>
            <w:vAlign w:val="bottom"/>
            <w:shd w:val="clear" w:color="auto" w:fill="3E693D"/>
          </w:tcPr>
          <w:p>
            <w:pPr>
              <w:jc w:val="right"/>
              <w:ind w:right="21"/>
              <w:spacing w:after="0" w:line="205" w:lineRule="exact"/>
              <w:rPr>
                <w:sz w:val="20"/>
                <w:szCs w:val="20"/>
                <w:color w:val="auto"/>
              </w:rPr>
            </w:pPr>
            <w:r>
              <w:rPr>
                <w:rFonts w:ascii="Arial" w:cs="Arial" w:eastAsia="Arial" w:hAnsi="Arial"/>
                <w:sz w:val="20"/>
                <w:szCs w:val="20"/>
                <w:b w:val="1"/>
                <w:bCs w:val="1"/>
                <w:color w:val="FFFFFF"/>
              </w:rPr>
              <w:t>GOVERNANCE</w:t>
            </w:r>
          </w:p>
        </w:tc>
        <w:tc>
          <w:tcPr>
            <w:tcW w:w="8700" w:type="dxa"/>
            <w:vAlign w:val="bottom"/>
          </w:tcPr>
          <w:p>
            <w:pPr>
              <w:ind w:left="280"/>
              <w:spacing w:after="0"/>
              <w:rPr>
                <w:sz w:val="20"/>
                <w:szCs w:val="20"/>
                <w:color w:val="auto"/>
              </w:rPr>
            </w:pPr>
            <w:r>
              <w:rPr>
                <w:rFonts w:ascii="Arial" w:cs="Arial" w:eastAsia="Arial" w:hAnsi="Arial"/>
                <w:sz w:val="16"/>
                <w:szCs w:val="16"/>
                <w:color w:val="auto"/>
              </w:rPr>
              <w:t>incentive compensation pools, and approving compensation for our OC, including the terms of compensation awards;</w:t>
            </w:r>
          </w:p>
        </w:tc>
      </w:tr>
      <w:tr>
        <w:trPr>
          <w:trHeight w:val="195"/>
        </w:trPr>
        <w:tc>
          <w:tcPr>
            <w:tcW w:w="2540" w:type="dxa"/>
            <w:vAlign w:val="bottom"/>
            <w:shd w:val="clear" w:color="auto" w:fill="3E693D"/>
          </w:tcPr>
          <w:p>
            <w:pPr>
              <w:spacing w:after="0"/>
              <w:rPr>
                <w:sz w:val="16"/>
                <w:szCs w:val="16"/>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CEO compensation is subject to full Board ratification.</w:t>
            </w:r>
          </w:p>
        </w:tc>
      </w:tr>
      <w:tr>
        <w:trPr>
          <w:trHeight w:val="224"/>
        </w:trPr>
        <w:tc>
          <w:tcPr>
            <w:tcW w:w="2540" w:type="dxa"/>
            <w:vAlign w:val="bottom"/>
            <w:shd w:val="clear" w:color="auto" w:fill="3E693D"/>
          </w:tcPr>
          <w:p>
            <w:pPr>
              <w:spacing w:after="0"/>
              <w:rPr>
                <w:sz w:val="19"/>
                <w:szCs w:val="19"/>
                <w:color w:val="auto"/>
              </w:rPr>
            </w:pPr>
          </w:p>
        </w:tc>
        <w:tc>
          <w:tcPr>
            <w:tcW w:w="8700" w:type="dxa"/>
            <w:vAlign w:val="bottom"/>
          </w:tcPr>
          <w:p>
            <w:pPr>
              <w:ind w:left="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We have a rigorous process in place to review risk, control and conduct issues at the Firm, line of business,</w:t>
            </w:r>
          </w:p>
        </w:tc>
      </w:tr>
      <w:tr>
        <w:trPr>
          <w:trHeight w:val="189"/>
        </w:trPr>
        <w:tc>
          <w:tcPr>
            <w:tcW w:w="2540" w:type="dxa"/>
            <w:vAlign w:val="bottom"/>
            <w:shd w:val="clear" w:color="auto" w:fill="3E693D"/>
          </w:tcPr>
          <w:p>
            <w:pPr>
              <w:spacing w:after="0"/>
              <w:rPr>
                <w:sz w:val="16"/>
                <w:szCs w:val="16"/>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functional, and regional levels, which can impact compensation pools as well as reduce compensation at the</w:t>
            </w:r>
          </w:p>
        </w:tc>
      </w:tr>
      <w:tr>
        <w:trPr>
          <w:trHeight w:val="195"/>
        </w:trPr>
        <w:tc>
          <w:tcPr>
            <w:tcW w:w="2540" w:type="dxa"/>
            <w:vAlign w:val="bottom"/>
            <w:shd w:val="clear" w:color="auto" w:fill="3E693D"/>
          </w:tcPr>
          <w:p>
            <w:pPr>
              <w:spacing w:after="0"/>
              <w:rPr>
                <w:sz w:val="16"/>
                <w:szCs w:val="16"/>
                <w:color w:val="auto"/>
              </w:rPr>
            </w:pPr>
          </w:p>
        </w:tc>
        <w:tc>
          <w:tcPr>
            <w:tcW w:w="8700" w:type="dxa"/>
            <w:vAlign w:val="bottom"/>
          </w:tcPr>
          <w:p>
            <w:pPr>
              <w:ind w:left="280"/>
              <w:spacing w:after="0"/>
              <w:rPr>
                <w:sz w:val="20"/>
                <w:szCs w:val="20"/>
                <w:color w:val="auto"/>
              </w:rPr>
            </w:pPr>
            <w:r>
              <w:rPr>
                <w:rFonts w:ascii="Arial" w:cs="Arial" w:eastAsia="Arial" w:hAnsi="Arial"/>
                <w:sz w:val="16"/>
                <w:szCs w:val="16"/>
                <w:color w:val="auto"/>
              </w:rPr>
              <w:t>individual level, in addition to other employee actions.</w:t>
            </w:r>
          </w:p>
        </w:tc>
      </w:tr>
      <w:tr>
        <w:trPr>
          <w:trHeight w:val="87"/>
        </w:trPr>
        <w:tc>
          <w:tcPr>
            <w:tcW w:w="2540" w:type="dxa"/>
            <w:vAlign w:val="bottom"/>
            <w:shd w:val="clear" w:color="auto" w:fill="3E693D"/>
          </w:tcPr>
          <w:p>
            <w:pPr>
              <w:spacing w:after="0"/>
              <w:rPr>
                <w:sz w:val="7"/>
                <w:szCs w:val="7"/>
                <w:color w:val="auto"/>
              </w:rPr>
            </w:pPr>
          </w:p>
        </w:tc>
        <w:tc>
          <w:tcPr>
            <w:tcW w:w="8700" w:type="dxa"/>
            <w:vAlign w:val="bottom"/>
          </w:tcPr>
          <w:p>
            <w:pPr>
              <w:spacing w:after="0"/>
              <w:rPr>
                <w:sz w:val="7"/>
                <w:szCs w:val="7"/>
                <w:color w:val="auto"/>
              </w:rPr>
            </w:pPr>
          </w:p>
        </w:tc>
      </w:tr>
      <w:tr>
        <w:trPr>
          <w:trHeight w:val="108"/>
        </w:trPr>
        <w:tc>
          <w:tcPr>
            <w:tcW w:w="2540" w:type="dxa"/>
            <w:vAlign w:val="bottom"/>
            <w:tcBorders>
              <w:bottom w:val="single" w:sz="8" w:color="494949"/>
            </w:tcBorders>
          </w:tcPr>
          <w:p>
            <w:pPr>
              <w:spacing w:after="0"/>
              <w:rPr>
                <w:sz w:val="9"/>
                <w:szCs w:val="9"/>
                <w:color w:val="auto"/>
              </w:rPr>
            </w:pPr>
          </w:p>
        </w:tc>
        <w:tc>
          <w:tcPr>
            <w:tcW w:w="8700" w:type="dxa"/>
            <w:vAlign w:val="bottom"/>
            <w:tcBorders>
              <w:bottom w:val="single" w:sz="8" w:color="494949"/>
            </w:tcBorders>
          </w:tcPr>
          <w:p>
            <w:pPr>
              <w:spacing w:after="0"/>
              <w:rPr>
                <w:sz w:val="9"/>
                <w:szCs w:val="9"/>
                <w:color w:val="auto"/>
              </w:rPr>
            </w:pPr>
          </w:p>
        </w:tc>
      </w:tr>
      <w:tr>
        <w:trPr>
          <w:trHeight w:val="102"/>
        </w:trPr>
        <w:tc>
          <w:tcPr>
            <w:tcW w:w="2540" w:type="dxa"/>
            <w:vAlign w:val="bottom"/>
          </w:tcPr>
          <w:p>
            <w:pPr>
              <w:spacing w:after="0"/>
              <w:rPr>
                <w:sz w:val="8"/>
                <w:szCs w:val="8"/>
                <w:color w:val="auto"/>
              </w:rPr>
            </w:pPr>
          </w:p>
        </w:tc>
        <w:tc>
          <w:tcPr>
            <w:tcW w:w="8700" w:type="dxa"/>
            <w:vAlign w:val="bottom"/>
          </w:tcPr>
          <w:p>
            <w:pPr>
              <w:spacing w:after="0"/>
              <w:rPr>
                <w:sz w:val="8"/>
                <w:szCs w:val="8"/>
                <w:color w:val="auto"/>
              </w:rPr>
            </w:pPr>
          </w:p>
        </w:tc>
      </w:tr>
      <w:tr>
        <w:trPr>
          <w:trHeight w:val="218"/>
        </w:trPr>
        <w:tc>
          <w:tcPr>
            <w:tcW w:w="2540" w:type="dxa"/>
            <w:vAlign w:val="bottom"/>
            <w:shd w:val="clear" w:color="auto" w:fill="3E693D"/>
          </w:tcPr>
          <w:p>
            <w:pPr>
              <w:jc w:val="right"/>
              <w:ind w:right="21"/>
              <w:spacing w:after="0" w:line="218" w:lineRule="exact"/>
              <w:rPr>
                <w:sz w:val="20"/>
                <w:szCs w:val="20"/>
                <w:color w:val="auto"/>
              </w:rPr>
            </w:pPr>
            <w:r>
              <w:rPr>
                <w:rFonts w:ascii="Arial" w:cs="Arial" w:eastAsia="Arial" w:hAnsi="Arial"/>
                <w:sz w:val="20"/>
                <w:szCs w:val="20"/>
                <w:b w:val="1"/>
                <w:bCs w:val="1"/>
                <w:color w:val="FFFFFF"/>
              </w:rPr>
              <w:t>TRANSPARENCY WITH</w:t>
            </w:r>
          </w:p>
        </w:tc>
        <w:tc>
          <w:tcPr>
            <w:tcW w:w="8700" w:type="dxa"/>
            <w:vAlign w:val="bottom"/>
          </w:tcPr>
          <w:p>
            <w:pPr>
              <w:ind w:left="8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Transparency to shareholders regarding our executive compensation program is important. We disclose all material</w:t>
            </w:r>
          </w:p>
        </w:tc>
      </w:tr>
      <w:tr>
        <w:trPr>
          <w:trHeight w:val="275"/>
        </w:trPr>
        <w:tc>
          <w:tcPr>
            <w:tcW w:w="2540" w:type="dxa"/>
            <w:vAlign w:val="bottom"/>
            <w:tcBorders>
              <w:bottom w:val="single" w:sz="8" w:color="3E693D"/>
            </w:tcBorders>
            <w:shd w:val="clear" w:color="auto" w:fill="3E693D"/>
          </w:tcPr>
          <w:p>
            <w:pPr>
              <w:jc w:val="right"/>
              <w:ind w:right="21"/>
              <w:spacing w:after="0"/>
              <w:rPr>
                <w:sz w:val="20"/>
                <w:szCs w:val="20"/>
                <w:color w:val="auto"/>
              </w:rPr>
            </w:pPr>
            <w:r>
              <w:rPr>
                <w:rFonts w:ascii="Arial" w:cs="Arial" w:eastAsia="Arial" w:hAnsi="Arial"/>
                <w:sz w:val="20"/>
                <w:szCs w:val="20"/>
                <w:b w:val="1"/>
                <w:bCs w:val="1"/>
                <w:color w:val="FFFFFF"/>
              </w:rPr>
              <w:t>SHAREHOLDERS</w:t>
            </w:r>
          </w:p>
        </w:tc>
        <w:tc>
          <w:tcPr>
            <w:tcW w:w="8700" w:type="dxa"/>
            <w:vAlign w:val="bottom"/>
          </w:tcPr>
          <w:p>
            <w:pPr>
              <w:ind w:left="280"/>
              <w:spacing w:after="0"/>
              <w:rPr>
                <w:sz w:val="20"/>
                <w:szCs w:val="20"/>
                <w:color w:val="auto"/>
              </w:rPr>
            </w:pPr>
            <w:r>
              <w:rPr>
                <w:rFonts w:ascii="Arial" w:cs="Arial" w:eastAsia="Arial" w:hAnsi="Arial"/>
                <w:sz w:val="16"/>
                <w:szCs w:val="16"/>
                <w:color w:val="auto"/>
              </w:rPr>
              <w:t>terms of our executive pay program and any actions on our part in response to significant events, as appropriate.</w:t>
            </w:r>
          </w:p>
        </w:tc>
      </w:tr>
      <w:tr>
        <w:trPr>
          <w:trHeight w:val="108"/>
        </w:trPr>
        <w:tc>
          <w:tcPr>
            <w:tcW w:w="2540" w:type="dxa"/>
            <w:vAlign w:val="bottom"/>
            <w:tcBorders>
              <w:bottom w:val="single" w:sz="8" w:color="494949"/>
            </w:tcBorders>
          </w:tcPr>
          <w:p>
            <w:pPr>
              <w:spacing w:after="0"/>
              <w:rPr>
                <w:sz w:val="9"/>
                <w:szCs w:val="9"/>
                <w:color w:val="auto"/>
              </w:rPr>
            </w:pPr>
          </w:p>
        </w:tc>
        <w:tc>
          <w:tcPr>
            <w:tcW w:w="8700" w:type="dxa"/>
            <w:vAlign w:val="bottom"/>
            <w:tcBorders>
              <w:bottom w:val="single" w:sz="8" w:color="494949"/>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The effectiveness of our compensation program is dependent upon the alignment of sound pay-for-performance practices with our compensation philosophy. Highlighted below are pay practices that are integral to our compensation program, as well as certain pay practices that we chose not to implement.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ADOPT SOUND PAY PRACTICES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80" w:type="dxa"/>
            <w:vAlign w:val="bottom"/>
            <w:shd w:val="clear" w:color="auto" w:fill="EEEFEF"/>
          </w:tcPr>
          <w:p>
            <w:pPr>
              <w:spacing w:after="0"/>
              <w:rPr>
                <w:sz w:val="23"/>
                <w:szCs w:val="23"/>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Principles-based compensation philosophy </w:t>
            </w:r>
            <w:r>
              <w:rPr>
                <w:rFonts w:ascii="Arial" w:cs="Arial" w:eastAsia="Arial" w:hAnsi="Arial"/>
                <w:sz w:val="16"/>
                <w:szCs w:val="16"/>
                <w:color w:val="000000"/>
              </w:rPr>
              <w:t>– Guiding principles</w:t>
            </w:r>
          </w:p>
        </w:tc>
        <w:tc>
          <w:tcPr>
            <w:tcW w:w="620" w:type="dxa"/>
            <w:vAlign w:val="bottom"/>
            <w:shd w:val="clear" w:color="auto" w:fill="EEEFEF"/>
          </w:tcPr>
          <w:p>
            <w:pPr>
              <w:spacing w:after="0"/>
              <w:rPr>
                <w:sz w:val="23"/>
                <w:szCs w:val="23"/>
                <w:color w:val="auto"/>
              </w:rPr>
            </w:pPr>
          </w:p>
        </w:tc>
        <w:tc>
          <w:tcPr>
            <w:tcW w:w="5120" w:type="dxa"/>
            <w:vAlign w:val="bottom"/>
            <w:vMerge w:val="restart"/>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Competitive benchmarking </w:t>
            </w:r>
            <w:r>
              <w:rPr>
                <w:rFonts w:ascii="Arial" w:cs="Arial" w:eastAsia="Arial" w:hAnsi="Arial"/>
                <w:sz w:val="16"/>
                <w:szCs w:val="16"/>
                <w:color w:val="000000"/>
              </w:rPr>
              <w:t>– We evaluate pay levels and pay</w:t>
            </w:r>
          </w:p>
        </w:tc>
        <w:tc>
          <w:tcPr>
            <w:tcW w:w="0" w:type="dxa"/>
            <w:vAlign w:val="bottom"/>
          </w:tcPr>
          <w:p>
            <w:pPr>
              <w:spacing w:after="0"/>
              <w:rPr>
                <w:sz w:val="1"/>
                <w:szCs w:val="1"/>
                <w:color w:val="auto"/>
              </w:rPr>
            </w:pPr>
          </w:p>
        </w:tc>
      </w:tr>
      <w:tr>
        <w:trPr>
          <w:trHeight w:val="108"/>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that drive compensation-related decision-making across all levels of</w:t>
            </w:r>
          </w:p>
        </w:tc>
        <w:tc>
          <w:tcPr>
            <w:tcW w:w="620" w:type="dxa"/>
            <w:vAlign w:val="bottom"/>
            <w:shd w:val="clear" w:color="auto" w:fill="EEEFEF"/>
          </w:tcPr>
          <w:p>
            <w:pPr>
              <w:spacing w:after="0"/>
              <w:rPr>
                <w:sz w:val="9"/>
                <w:szCs w:val="9"/>
                <w:color w:val="auto"/>
              </w:rPr>
            </w:pPr>
          </w:p>
        </w:tc>
        <w:tc>
          <w:tcPr>
            <w:tcW w:w="512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2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practices against relevant market data</w:t>
            </w:r>
          </w:p>
        </w:tc>
        <w:tc>
          <w:tcPr>
            <w:tcW w:w="0" w:type="dxa"/>
            <w:vAlign w:val="bottom"/>
          </w:tcPr>
          <w:p>
            <w:pPr>
              <w:spacing w:after="0"/>
              <w:rPr>
                <w:sz w:val="1"/>
                <w:szCs w:val="1"/>
                <w:color w:val="auto"/>
              </w:rPr>
            </w:pPr>
          </w:p>
        </w:tc>
      </w:tr>
      <w:tr>
        <w:trPr>
          <w:trHeight w:val="114"/>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the Firm</w:t>
            </w:r>
          </w:p>
        </w:tc>
        <w:tc>
          <w:tcPr>
            <w:tcW w:w="620" w:type="dxa"/>
            <w:vAlign w:val="bottom"/>
            <w:shd w:val="clear" w:color="auto" w:fill="EEEFEF"/>
          </w:tcPr>
          <w:p>
            <w:pPr>
              <w:spacing w:after="0"/>
              <w:rPr>
                <w:sz w:val="9"/>
                <w:szCs w:val="9"/>
                <w:color w:val="auto"/>
              </w:rPr>
            </w:pPr>
          </w:p>
        </w:tc>
        <w:tc>
          <w:tcPr>
            <w:tcW w:w="512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2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80" w:type="dxa"/>
            <w:vAlign w:val="bottom"/>
            <w:shd w:val="clear" w:color="auto" w:fill="EEEFEF"/>
          </w:tcPr>
          <w:p>
            <w:pPr>
              <w:spacing w:after="0"/>
              <w:rPr>
                <w:sz w:val="22"/>
                <w:szCs w:val="22"/>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Robust anti-hedging/anti-pledging provisions </w:t>
            </w:r>
            <w:r>
              <w:rPr>
                <w:rFonts w:ascii="Arial" w:cs="Arial" w:eastAsia="Arial" w:hAnsi="Arial"/>
                <w:sz w:val="16"/>
                <w:szCs w:val="16"/>
                <w:color w:val="000000"/>
              </w:rPr>
              <w:t>– Strict prohibition</w:t>
            </w:r>
          </w:p>
        </w:tc>
        <w:tc>
          <w:tcPr>
            <w:tcW w:w="620" w:type="dxa"/>
            <w:vAlign w:val="bottom"/>
            <w:shd w:val="clear" w:color="auto" w:fill="EEEFEF"/>
          </w:tcPr>
          <w:p>
            <w:pPr>
              <w:spacing w:after="0"/>
              <w:rPr>
                <w:sz w:val="22"/>
                <w:szCs w:val="22"/>
                <w:color w:val="auto"/>
              </w:rPr>
            </w:pPr>
          </w:p>
        </w:tc>
        <w:tc>
          <w:tcPr>
            <w:tcW w:w="5120" w:type="dxa"/>
            <w:vAlign w:val="bottom"/>
            <w:vMerge w:val="restart"/>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Responsible use of equity </w:t>
            </w:r>
            <w:r>
              <w:rPr>
                <w:rFonts w:ascii="Arial" w:cs="Arial" w:eastAsia="Arial" w:hAnsi="Arial"/>
                <w:sz w:val="16"/>
                <w:szCs w:val="16"/>
                <w:color w:val="000000"/>
              </w:rPr>
              <w:t>– We used less than 1% of weighted</w:t>
            </w:r>
          </w:p>
        </w:tc>
        <w:tc>
          <w:tcPr>
            <w:tcW w:w="0" w:type="dxa"/>
            <w:vAlign w:val="bottom"/>
          </w:tcPr>
          <w:p>
            <w:pPr>
              <w:spacing w:after="0"/>
              <w:rPr>
                <w:sz w:val="1"/>
                <w:szCs w:val="1"/>
                <w:color w:val="auto"/>
              </w:rPr>
            </w:pPr>
          </w:p>
        </w:tc>
      </w:tr>
      <w:tr>
        <w:trPr>
          <w:trHeight w:val="108"/>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on hedging and pledging of unvested awards and shares owned</w:t>
            </w:r>
          </w:p>
        </w:tc>
        <w:tc>
          <w:tcPr>
            <w:tcW w:w="620" w:type="dxa"/>
            <w:vAlign w:val="bottom"/>
            <w:shd w:val="clear" w:color="auto" w:fill="EEEFEF"/>
          </w:tcPr>
          <w:p>
            <w:pPr>
              <w:spacing w:after="0"/>
              <w:rPr>
                <w:sz w:val="9"/>
                <w:szCs w:val="9"/>
                <w:color w:val="auto"/>
              </w:rPr>
            </w:pPr>
          </w:p>
        </w:tc>
        <w:tc>
          <w:tcPr>
            <w:tcW w:w="512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2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average diluted shares in 2020 for employee compensation</w:t>
            </w:r>
          </w:p>
        </w:tc>
        <w:tc>
          <w:tcPr>
            <w:tcW w:w="0" w:type="dxa"/>
            <w:vAlign w:val="bottom"/>
          </w:tcPr>
          <w:p>
            <w:pPr>
              <w:spacing w:after="0"/>
              <w:rPr>
                <w:sz w:val="1"/>
                <w:szCs w:val="1"/>
                <w:color w:val="auto"/>
              </w:rPr>
            </w:pPr>
          </w:p>
        </w:tc>
      </w:tr>
      <w:tr>
        <w:trPr>
          <w:trHeight w:val="114"/>
        </w:trPr>
        <w:tc>
          <w:tcPr>
            <w:tcW w:w="380" w:type="dxa"/>
            <w:vAlign w:val="bottom"/>
            <w:shd w:val="clear" w:color="auto" w:fill="EEEFEF"/>
          </w:tcPr>
          <w:p>
            <w:pPr>
              <w:spacing w:after="0"/>
              <w:rPr>
                <w:sz w:val="9"/>
                <w:szCs w:val="9"/>
                <w:color w:val="auto"/>
              </w:rPr>
            </w:pPr>
          </w:p>
        </w:tc>
        <w:tc>
          <w:tcPr>
            <w:tcW w:w="51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outright</w:t>
            </w:r>
          </w:p>
        </w:tc>
        <w:tc>
          <w:tcPr>
            <w:tcW w:w="620" w:type="dxa"/>
            <w:vAlign w:val="bottom"/>
            <w:shd w:val="clear" w:color="auto" w:fill="EEEFEF"/>
          </w:tcPr>
          <w:p>
            <w:pPr>
              <w:spacing w:after="0"/>
              <w:rPr>
                <w:sz w:val="9"/>
                <w:szCs w:val="9"/>
                <w:color w:val="auto"/>
              </w:rPr>
            </w:pPr>
          </w:p>
        </w:tc>
        <w:tc>
          <w:tcPr>
            <w:tcW w:w="5120" w:type="dxa"/>
            <w:vAlign w:val="bottom"/>
            <w:vMerge w:val="continue"/>
            <w:shd w:val="clear" w:color="auto" w:fill="EEEFE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EEEFEF"/>
          </w:tcPr>
          <w:p>
            <w:pPr>
              <w:spacing w:after="0"/>
              <w:rPr>
                <w:sz w:val="7"/>
                <w:szCs w:val="7"/>
                <w:color w:val="auto"/>
              </w:rPr>
            </w:pPr>
          </w:p>
        </w:tc>
        <w:tc>
          <w:tcPr>
            <w:tcW w:w="5100" w:type="dxa"/>
            <w:vAlign w:val="bottom"/>
            <w:vMerge w:val="continue"/>
            <w:shd w:val="clear" w:color="auto" w:fill="EEEFEF"/>
          </w:tcPr>
          <w:p>
            <w:pPr>
              <w:spacing w:after="0"/>
              <w:rPr>
                <w:sz w:val="7"/>
                <w:szCs w:val="7"/>
                <w:color w:val="auto"/>
              </w:rPr>
            </w:pPr>
          </w:p>
        </w:tc>
        <w:tc>
          <w:tcPr>
            <w:tcW w:w="620" w:type="dxa"/>
            <w:vAlign w:val="bottom"/>
            <w:shd w:val="clear" w:color="auto" w:fill="EEEFEF"/>
          </w:tcPr>
          <w:p>
            <w:pPr>
              <w:spacing w:after="0"/>
              <w:rPr>
                <w:sz w:val="7"/>
                <w:szCs w:val="7"/>
                <w:color w:val="auto"/>
              </w:rPr>
            </w:pPr>
          </w:p>
        </w:tc>
        <w:tc>
          <w:tcPr>
            <w:tcW w:w="5120" w:type="dxa"/>
            <w:vAlign w:val="bottom"/>
            <w:shd w:val="clear" w:color="auto" w:fill="EEEFEF"/>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380" w:type="dxa"/>
            <w:vAlign w:val="bottom"/>
            <w:shd w:val="clear" w:color="auto" w:fill="EEEFEF"/>
          </w:tcPr>
          <w:p>
            <w:pPr>
              <w:spacing w:after="0"/>
              <w:rPr>
                <w:sz w:val="22"/>
                <w:szCs w:val="22"/>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Strong clawback provisions </w:t>
            </w:r>
            <w:r>
              <w:rPr>
                <w:rFonts w:ascii="Arial" w:cs="Arial" w:eastAsia="Arial" w:hAnsi="Arial"/>
                <w:sz w:val="16"/>
                <w:szCs w:val="16"/>
                <w:color w:val="000000"/>
              </w:rPr>
              <w:t>– Comprehensive recovery provisions</w:t>
            </w:r>
          </w:p>
        </w:tc>
        <w:tc>
          <w:tcPr>
            <w:tcW w:w="620" w:type="dxa"/>
            <w:vAlign w:val="bottom"/>
            <w:shd w:val="clear" w:color="auto" w:fill="EEEFEF"/>
          </w:tcPr>
          <w:p>
            <w:pPr>
              <w:spacing w:after="0"/>
              <w:rPr>
                <w:sz w:val="22"/>
                <w:szCs w:val="22"/>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Risk, controls and conduct impact pay </w:t>
            </w:r>
            <w:r>
              <w:rPr>
                <w:rFonts w:ascii="Arial" w:cs="Arial" w:eastAsia="Arial" w:hAnsi="Arial"/>
                <w:sz w:val="16"/>
                <w:szCs w:val="16"/>
                <w:color w:val="000000"/>
              </w:rPr>
              <w:t>– We consider material risk,</w:t>
            </w:r>
          </w:p>
        </w:tc>
        <w:tc>
          <w:tcPr>
            <w:tcW w:w="0" w:type="dxa"/>
            <w:vAlign w:val="bottom"/>
          </w:tcPr>
          <w:p>
            <w:pPr>
              <w:spacing w:after="0"/>
              <w:rPr>
                <w:sz w:val="1"/>
                <w:szCs w:val="1"/>
                <w:color w:val="auto"/>
              </w:rPr>
            </w:pPr>
          </w:p>
        </w:tc>
      </w:tr>
      <w:tr>
        <w:trPr>
          <w:trHeight w:val="189"/>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that enable us to cancel or reduce unvested awards and require</w:t>
            </w:r>
          </w:p>
        </w:tc>
        <w:tc>
          <w:tcPr>
            <w:tcW w:w="620" w:type="dxa"/>
            <w:vAlign w:val="bottom"/>
            <w:shd w:val="clear" w:color="auto" w:fill="EEEFEF"/>
          </w:tcPr>
          <w:p>
            <w:pPr>
              <w:spacing w:after="0"/>
              <w:rPr>
                <w:sz w:val="16"/>
                <w:szCs w:val="16"/>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controls and conduct issues and make adjustments to compensation,</w:t>
            </w:r>
          </w:p>
        </w:tc>
        <w:tc>
          <w:tcPr>
            <w:tcW w:w="0" w:type="dxa"/>
            <w:vAlign w:val="bottom"/>
          </w:tcPr>
          <w:p>
            <w:pPr>
              <w:spacing w:after="0"/>
              <w:rPr>
                <w:sz w:val="1"/>
                <w:szCs w:val="1"/>
                <w:color w:val="auto"/>
              </w:rPr>
            </w:pPr>
          </w:p>
        </w:tc>
      </w:tr>
      <w:tr>
        <w:trPr>
          <w:trHeight w:val="195"/>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repayment of previously awarded compensation, if appropriate</w:t>
            </w:r>
          </w:p>
        </w:tc>
        <w:tc>
          <w:tcPr>
            <w:tcW w:w="620" w:type="dxa"/>
            <w:vAlign w:val="bottom"/>
            <w:shd w:val="clear" w:color="auto" w:fill="EEEFEF"/>
          </w:tcPr>
          <w:p>
            <w:pPr>
              <w:spacing w:after="0"/>
              <w:rPr>
                <w:sz w:val="16"/>
                <w:szCs w:val="16"/>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if appropriate</w:t>
            </w:r>
          </w:p>
        </w:tc>
        <w:tc>
          <w:tcPr>
            <w:tcW w:w="0" w:type="dxa"/>
            <w:vAlign w:val="bottom"/>
          </w:tcPr>
          <w:p>
            <w:pPr>
              <w:spacing w:after="0"/>
              <w:rPr>
                <w:sz w:val="1"/>
                <w:szCs w:val="1"/>
                <w:color w:val="auto"/>
              </w:rPr>
            </w:pPr>
          </w:p>
        </w:tc>
      </w:tr>
      <w:tr>
        <w:trPr>
          <w:trHeight w:val="237"/>
        </w:trPr>
        <w:tc>
          <w:tcPr>
            <w:tcW w:w="380" w:type="dxa"/>
            <w:vAlign w:val="bottom"/>
            <w:shd w:val="clear" w:color="auto" w:fill="EEEFEF"/>
          </w:tcPr>
          <w:p>
            <w:pPr>
              <w:spacing w:after="0"/>
              <w:rPr>
                <w:sz w:val="20"/>
                <w:szCs w:val="20"/>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Pay at risk </w:t>
            </w:r>
            <w:r>
              <w:rPr>
                <w:rFonts w:ascii="Arial" w:cs="Arial" w:eastAsia="Arial" w:hAnsi="Arial"/>
                <w:sz w:val="16"/>
                <w:szCs w:val="16"/>
                <w:color w:val="000000"/>
              </w:rPr>
              <w:t>– OC member compensation is predominantly “at-risk” and</w:t>
            </w:r>
          </w:p>
        </w:tc>
        <w:tc>
          <w:tcPr>
            <w:tcW w:w="620" w:type="dxa"/>
            <w:vAlign w:val="bottom"/>
            <w:shd w:val="clear" w:color="auto" w:fill="EEEFEF"/>
          </w:tcPr>
          <w:p>
            <w:pPr>
              <w:spacing w:after="0"/>
              <w:rPr>
                <w:sz w:val="20"/>
                <w:szCs w:val="20"/>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Strong share holding requirements </w:t>
            </w:r>
            <w:r>
              <w:rPr>
                <w:rFonts w:ascii="Arial" w:cs="Arial" w:eastAsia="Arial" w:hAnsi="Arial"/>
                <w:sz w:val="16"/>
                <w:szCs w:val="16"/>
                <w:color w:val="000000"/>
              </w:rPr>
              <w:t>– OC members are required to</w:t>
            </w:r>
          </w:p>
        </w:tc>
        <w:tc>
          <w:tcPr>
            <w:tcW w:w="0" w:type="dxa"/>
            <w:vAlign w:val="bottom"/>
          </w:tcPr>
          <w:p>
            <w:pPr>
              <w:spacing w:after="0"/>
              <w:rPr>
                <w:sz w:val="1"/>
                <w:szCs w:val="1"/>
                <w:color w:val="auto"/>
              </w:rPr>
            </w:pPr>
          </w:p>
        </w:tc>
      </w:tr>
      <w:tr>
        <w:trPr>
          <w:trHeight w:val="189"/>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contingent on the achievement of performance goals that are integrally</w:t>
            </w:r>
          </w:p>
        </w:tc>
        <w:tc>
          <w:tcPr>
            <w:tcW w:w="620" w:type="dxa"/>
            <w:vAlign w:val="bottom"/>
            <w:shd w:val="clear" w:color="auto" w:fill="EEEFEF"/>
          </w:tcPr>
          <w:p>
            <w:pPr>
              <w:spacing w:after="0"/>
              <w:rPr>
                <w:sz w:val="16"/>
                <w:szCs w:val="16"/>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retain significant portions of net shares received from awards to</w:t>
            </w:r>
          </w:p>
        </w:tc>
        <w:tc>
          <w:tcPr>
            <w:tcW w:w="0" w:type="dxa"/>
            <w:vAlign w:val="bottom"/>
          </w:tcPr>
          <w:p>
            <w:pPr>
              <w:spacing w:after="0"/>
              <w:rPr>
                <w:sz w:val="1"/>
                <w:szCs w:val="1"/>
                <w:color w:val="auto"/>
              </w:rPr>
            </w:pPr>
          </w:p>
        </w:tc>
      </w:tr>
      <w:tr>
        <w:trPr>
          <w:trHeight w:val="195"/>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linked to shareholder value and safety and soundness</w:t>
            </w:r>
          </w:p>
        </w:tc>
        <w:tc>
          <w:tcPr>
            <w:tcW w:w="620" w:type="dxa"/>
            <w:vAlign w:val="bottom"/>
            <w:shd w:val="clear" w:color="auto" w:fill="EEEFEF"/>
          </w:tcPr>
          <w:p>
            <w:pPr>
              <w:spacing w:after="0"/>
              <w:rPr>
                <w:sz w:val="16"/>
                <w:szCs w:val="16"/>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increase ownership over the long-term</w:t>
            </w:r>
          </w:p>
        </w:tc>
        <w:tc>
          <w:tcPr>
            <w:tcW w:w="0" w:type="dxa"/>
            <w:vAlign w:val="bottom"/>
          </w:tcPr>
          <w:p>
            <w:pPr>
              <w:spacing w:after="0"/>
              <w:rPr>
                <w:sz w:val="1"/>
                <w:szCs w:val="1"/>
                <w:color w:val="auto"/>
              </w:rPr>
            </w:pPr>
          </w:p>
        </w:tc>
      </w:tr>
      <w:tr>
        <w:trPr>
          <w:trHeight w:val="237"/>
        </w:trPr>
        <w:tc>
          <w:tcPr>
            <w:tcW w:w="380" w:type="dxa"/>
            <w:vAlign w:val="bottom"/>
            <w:shd w:val="clear" w:color="auto" w:fill="EEEFEF"/>
          </w:tcPr>
          <w:p>
            <w:pPr>
              <w:spacing w:after="0"/>
              <w:rPr>
                <w:sz w:val="20"/>
                <w:szCs w:val="20"/>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Majority of variable pay is in deferred equity </w:t>
            </w:r>
            <w:r>
              <w:rPr>
                <w:rFonts w:ascii="Arial" w:cs="Arial" w:eastAsia="Arial" w:hAnsi="Arial"/>
                <w:sz w:val="16"/>
                <w:szCs w:val="16"/>
                <w:color w:val="000000"/>
              </w:rPr>
              <w:t>– Most OC member</w:t>
            </w:r>
          </w:p>
        </w:tc>
        <w:tc>
          <w:tcPr>
            <w:tcW w:w="620" w:type="dxa"/>
            <w:vAlign w:val="bottom"/>
            <w:shd w:val="clear" w:color="auto" w:fill="EEEFEF"/>
          </w:tcPr>
          <w:p>
            <w:pPr>
              <w:spacing w:after="0"/>
              <w:rPr>
                <w:sz w:val="20"/>
                <w:szCs w:val="20"/>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b w:val="1"/>
                <w:bCs w:val="1"/>
                <w:color w:val="074A75"/>
              </w:rPr>
              <w:t xml:space="preserve">Robust shareholder engagement </w:t>
            </w:r>
            <w:r>
              <w:rPr>
                <w:rFonts w:ascii="Arial" w:cs="Arial" w:eastAsia="Arial" w:hAnsi="Arial"/>
                <w:sz w:val="16"/>
                <w:szCs w:val="16"/>
                <w:color w:val="000000"/>
              </w:rPr>
              <w:t>– Each year we provide the Board</w:t>
            </w:r>
          </w:p>
        </w:tc>
        <w:tc>
          <w:tcPr>
            <w:tcW w:w="0" w:type="dxa"/>
            <w:vAlign w:val="bottom"/>
          </w:tcPr>
          <w:p>
            <w:pPr>
              <w:spacing w:after="0"/>
              <w:rPr>
                <w:sz w:val="1"/>
                <w:szCs w:val="1"/>
                <w:color w:val="auto"/>
              </w:rPr>
            </w:pPr>
          </w:p>
        </w:tc>
      </w:tr>
      <w:tr>
        <w:trPr>
          <w:trHeight w:val="186"/>
        </w:trPr>
        <w:tc>
          <w:tcPr>
            <w:tcW w:w="380" w:type="dxa"/>
            <w:vAlign w:val="bottom"/>
            <w:shd w:val="clear" w:color="auto" w:fill="EEEFEF"/>
          </w:tcPr>
          <w:p>
            <w:pPr>
              <w:spacing w:after="0"/>
              <w:rPr>
                <w:sz w:val="16"/>
                <w:szCs w:val="16"/>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variable compensation is deferred in the form of PSUs and RSUs that</w:t>
            </w:r>
          </w:p>
        </w:tc>
        <w:tc>
          <w:tcPr>
            <w:tcW w:w="620" w:type="dxa"/>
            <w:vAlign w:val="bottom"/>
            <w:shd w:val="clear" w:color="auto" w:fill="EEEFEF"/>
          </w:tcPr>
          <w:p>
            <w:pPr>
              <w:spacing w:after="0"/>
              <w:rPr>
                <w:sz w:val="16"/>
                <w:szCs w:val="16"/>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with feedback from our shareholders on a variety of topics, including</w:t>
            </w:r>
          </w:p>
        </w:tc>
        <w:tc>
          <w:tcPr>
            <w:tcW w:w="0" w:type="dxa"/>
            <w:vAlign w:val="bottom"/>
          </w:tcPr>
          <w:p>
            <w:pPr>
              <w:spacing w:after="0"/>
              <w:rPr>
                <w:sz w:val="1"/>
                <w:szCs w:val="1"/>
                <w:color w:val="auto"/>
              </w:rPr>
            </w:pPr>
          </w:p>
        </w:tc>
      </w:tr>
      <w:tr>
        <w:trPr>
          <w:trHeight w:val="271"/>
        </w:trPr>
        <w:tc>
          <w:tcPr>
            <w:tcW w:w="380" w:type="dxa"/>
            <w:vAlign w:val="bottom"/>
            <w:shd w:val="clear" w:color="auto" w:fill="EEEFEF"/>
          </w:tcPr>
          <w:p>
            <w:pPr>
              <w:spacing w:after="0"/>
              <w:rPr>
                <w:sz w:val="23"/>
                <w:szCs w:val="23"/>
                <w:color w:val="auto"/>
              </w:rPr>
            </w:pPr>
          </w:p>
        </w:tc>
        <w:tc>
          <w:tcPr>
            <w:tcW w:w="5100" w:type="dxa"/>
            <w:vAlign w:val="bottom"/>
            <w:shd w:val="clear" w:color="auto" w:fill="EEEFEF"/>
          </w:tcPr>
          <w:p>
            <w:pPr>
              <w:ind w:left="20"/>
              <w:spacing w:after="0"/>
              <w:rPr>
                <w:sz w:val="20"/>
                <w:szCs w:val="20"/>
                <w:color w:val="auto"/>
              </w:rPr>
            </w:pPr>
            <w:r>
              <w:rPr>
                <w:rFonts w:ascii="Arial" w:cs="Arial" w:eastAsia="Arial" w:hAnsi="Arial"/>
                <w:sz w:val="16"/>
                <w:szCs w:val="16"/>
                <w:color w:val="auto"/>
              </w:rPr>
              <w:t>vest over three years</w:t>
            </w:r>
            <w:r>
              <w:rPr>
                <w:rFonts w:ascii="Arial" w:cs="Arial" w:eastAsia="Arial" w:hAnsi="Arial"/>
                <w:sz w:val="21"/>
                <w:szCs w:val="21"/>
                <w:color w:val="auto"/>
                <w:vertAlign w:val="superscript"/>
              </w:rPr>
              <w:t>1</w:t>
            </w:r>
          </w:p>
        </w:tc>
        <w:tc>
          <w:tcPr>
            <w:tcW w:w="620" w:type="dxa"/>
            <w:vAlign w:val="bottom"/>
            <w:shd w:val="clear" w:color="auto" w:fill="EEEFEF"/>
          </w:tcPr>
          <w:p>
            <w:pPr>
              <w:spacing w:after="0"/>
              <w:rPr>
                <w:sz w:val="23"/>
                <w:szCs w:val="23"/>
                <w:color w:val="auto"/>
              </w:rPr>
            </w:pPr>
          </w:p>
        </w:tc>
        <w:tc>
          <w:tcPr>
            <w:tcW w:w="5120" w:type="dxa"/>
            <w:vAlign w:val="bottom"/>
            <w:shd w:val="clear" w:color="auto" w:fill="EEEFEF"/>
          </w:tcPr>
          <w:p>
            <w:pPr>
              <w:ind w:left="20"/>
              <w:spacing w:after="0"/>
              <w:rPr>
                <w:sz w:val="20"/>
                <w:szCs w:val="20"/>
                <w:color w:val="auto"/>
              </w:rPr>
            </w:pPr>
            <w:r>
              <w:rPr>
                <w:rFonts w:ascii="Arial" w:cs="Arial" w:eastAsia="Arial" w:hAnsi="Arial"/>
                <w:sz w:val="16"/>
                <w:szCs w:val="16"/>
                <w:color w:val="auto"/>
              </w:rPr>
              <w:t>our compensation programs and practices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-1919605</wp:posOffset>
            </wp:positionV>
            <wp:extent cx="13716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-1919605</wp:posOffset>
            </wp:positionV>
            <wp:extent cx="13716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-1508125</wp:posOffset>
            </wp:positionV>
            <wp:extent cx="13716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-1508125</wp:posOffset>
            </wp:positionV>
            <wp:extent cx="137160"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-1105535</wp:posOffset>
            </wp:positionV>
            <wp:extent cx="137160"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-1105535</wp:posOffset>
            </wp:positionV>
            <wp:extent cx="137160"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-711200</wp:posOffset>
            </wp:positionV>
            <wp:extent cx="13716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-711200</wp:posOffset>
            </wp:positionV>
            <wp:extent cx="13716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-316865</wp:posOffset>
            </wp:positionV>
            <wp:extent cx="13716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-316865</wp:posOffset>
            </wp:positionV>
            <wp:extent cx="13716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WE AVOID POOR PAY PRACTICES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74A75"/>
              </w:rPr>
              <w:t xml:space="preserve">No golden parachute agreements </w:t>
            </w:r>
            <w:r>
              <w:rPr>
                <w:rFonts w:ascii="Arial" w:cs="Arial" w:eastAsia="Arial" w:hAnsi="Arial"/>
                <w:sz w:val="16"/>
                <w:szCs w:val="16"/>
                <w:color w:val="000000"/>
              </w:rPr>
              <w:t>– We do not provide additional</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 xml:space="preserve">No guaranteed bonuses </w:t>
            </w:r>
            <w:r>
              <w:rPr>
                <w:rFonts w:ascii="Arial" w:cs="Arial" w:eastAsia="Arial" w:hAnsi="Arial"/>
                <w:sz w:val="16"/>
                <w:szCs w:val="16"/>
                <w:color w:val="000000"/>
              </w:rPr>
              <w:t>– We do not provide guaranteed bonuses,</w:t>
            </w:r>
          </w:p>
        </w:tc>
      </w:tr>
      <w:tr>
        <w:trPr>
          <w:trHeight w:val="195"/>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payments or benefits as a result of a change-in-control event</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color w:val="auto"/>
              </w:rPr>
              <w:t>except for select individuals at hire</w:t>
            </w:r>
          </w:p>
        </w:tc>
      </w:tr>
      <w:tr>
        <w:trPr>
          <w:trHeight w:val="237"/>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b w:val="1"/>
                <w:bCs w:val="1"/>
                <w:color w:val="074A75"/>
              </w:rPr>
              <w:t xml:space="preserve">No special severance </w:t>
            </w:r>
            <w:r>
              <w:rPr>
                <w:rFonts w:ascii="Arial" w:cs="Arial" w:eastAsia="Arial" w:hAnsi="Arial"/>
                <w:sz w:val="16"/>
                <w:szCs w:val="16"/>
                <w:color w:val="000000"/>
              </w:rPr>
              <w:t>– We do not provide special severance. All</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b w:val="1"/>
                <w:bCs w:val="1"/>
                <w:color w:val="074A75"/>
              </w:rPr>
              <w:t>No special executive benefits</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employees, including OC members, participate at the same level of</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private club dues or tax gross-ups for benefits</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severance, based on years of service, capped at 52 weeks up to a</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401(k) Savings Plan matching contribution</w:t>
            </w:r>
          </w:p>
        </w:tc>
      </w:tr>
      <w:tr>
        <w:trPr>
          <w:trHeight w:val="189"/>
        </w:trPr>
        <w:tc>
          <w:tcPr>
            <w:tcW w:w="5600" w:type="dxa"/>
            <w:vAlign w:val="bottom"/>
            <w:shd w:val="clear" w:color="auto" w:fill="EEEFEF"/>
          </w:tcPr>
          <w:p>
            <w:pPr>
              <w:ind w:left="400"/>
              <w:spacing w:after="0"/>
              <w:rPr>
                <w:sz w:val="20"/>
                <w:szCs w:val="20"/>
                <w:color w:val="auto"/>
              </w:rPr>
            </w:pPr>
            <w:r>
              <w:rPr>
                <w:rFonts w:ascii="Arial" w:cs="Arial" w:eastAsia="Arial" w:hAnsi="Arial"/>
                <w:sz w:val="16"/>
                <w:szCs w:val="16"/>
                <w:color w:val="auto"/>
              </w:rPr>
              <w:t>maximum credited salary</w:t>
            </w: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health or medical benefits</w:t>
            </w:r>
          </w:p>
        </w:tc>
      </w:tr>
      <w:tr>
        <w:trPr>
          <w:trHeight w:val="195"/>
        </w:trPr>
        <w:tc>
          <w:tcPr>
            <w:tcW w:w="5600" w:type="dxa"/>
            <w:vAlign w:val="bottom"/>
            <w:shd w:val="clear" w:color="auto" w:fill="EEEFEF"/>
          </w:tcPr>
          <w:p>
            <w:pPr>
              <w:spacing w:after="0"/>
              <w:rPr>
                <w:sz w:val="16"/>
                <w:szCs w:val="16"/>
                <w:color w:val="auto"/>
              </w:rPr>
            </w:pPr>
          </w:p>
        </w:tc>
        <w:tc>
          <w:tcPr>
            <w:tcW w:w="5620" w:type="dxa"/>
            <w:vAlign w:val="bottom"/>
            <w:shd w:val="clear" w:color="auto" w:fill="EEEFEF"/>
          </w:tcPr>
          <w:p>
            <w:pPr>
              <w:ind w:left="5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No special pension credits</w:t>
            </w:r>
          </w:p>
        </w:tc>
      </w:tr>
      <w:tr>
        <w:trPr>
          <w:trHeight w:val="74"/>
        </w:trPr>
        <w:tc>
          <w:tcPr>
            <w:tcW w:w="5600" w:type="dxa"/>
            <w:vAlign w:val="bottom"/>
            <w:shd w:val="clear" w:color="auto" w:fill="EEEFEF"/>
          </w:tcPr>
          <w:p>
            <w:pPr>
              <w:spacing w:after="0"/>
              <w:rPr>
                <w:sz w:val="6"/>
                <w:szCs w:val="6"/>
                <w:color w:val="auto"/>
              </w:rPr>
            </w:pPr>
          </w:p>
        </w:tc>
        <w:tc>
          <w:tcPr>
            <w:tcW w:w="5620" w:type="dxa"/>
            <w:vAlign w:val="bottom"/>
            <w:shd w:val="clear" w:color="auto" w:fill="EEEFE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-899795</wp:posOffset>
            </wp:positionV>
            <wp:extent cx="13716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-899795</wp:posOffset>
            </wp:positionV>
            <wp:extent cx="13716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-625475</wp:posOffset>
            </wp:positionV>
            <wp:extent cx="13716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-625475</wp:posOffset>
            </wp:positionV>
            <wp:extent cx="13716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074A75"/>
        </w:rPr>
        <w:t>GOVERNANCE RESPONSIBILITIES OF THE CMDC</w:t>
      </w:r>
    </w:p>
    <w:p>
      <w:pPr>
        <w:spacing w:after="0" w:line="13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CMDC oversees our compensation programs throughout the year, which enables the programs to be proactive in addressing both current and emerging developments or challenges. Key committee responsibilities related to compensation programs include:</w:t>
      </w:r>
    </w:p>
    <w:p>
      <w:pPr>
        <w:sectPr>
          <w:pgSz w:w="11900" w:h="16838" w:orient="portrait"/>
          <w:cols w:equalWidth="0" w:num="1">
            <w:col w:w="11260"/>
          </w:cols>
          <w:pgMar w:left="320" w:top="171" w:right="319" w:bottom="1440" w:gutter="0" w:footer="0" w:header="0"/>
        </w:sectPr>
      </w:pPr>
    </w:p>
    <w:p>
      <w:pPr>
        <w:spacing w:after="0" w:line="157" w:lineRule="exact"/>
        <w:rPr>
          <w:sz w:val="20"/>
          <w:szCs w:val="20"/>
          <w:color w:val="auto"/>
        </w:rPr>
      </w:pPr>
    </w:p>
    <w:p>
      <w:pPr>
        <w:ind w:left="200" w:right="80" w:hanging="192"/>
        <w:spacing w:after="0" w:line="261" w:lineRule="auto"/>
        <w:tabs>
          <w:tab w:leader="none" w:pos="197" w:val="left"/>
        </w:tabs>
        <w:numPr>
          <w:ilvl w:val="0"/>
          <w:numId w:val="119"/>
        </w:numPr>
        <w:rPr>
          <w:rFonts w:ascii="Arial" w:cs="Arial" w:eastAsia="Arial" w:hAnsi="Arial"/>
          <w:sz w:val="16"/>
          <w:szCs w:val="16"/>
          <w:color w:val="074A75"/>
        </w:rPr>
      </w:pPr>
      <w:r>
        <w:rPr>
          <w:rFonts w:ascii="Arial" w:cs="Arial" w:eastAsia="Arial" w:hAnsi="Arial"/>
          <w:sz w:val="18"/>
          <w:szCs w:val="18"/>
          <w:color w:val="auto"/>
        </w:rPr>
        <w:t>Periodically reviewing and approving a statement of the Firm’s compensation philosophy, principles and practices</w:t>
      </w:r>
    </w:p>
    <w:p>
      <w:pPr>
        <w:spacing w:after="0" w:line="49" w:lineRule="exact"/>
        <w:rPr>
          <w:rFonts w:ascii="Arial" w:cs="Arial" w:eastAsia="Arial" w:hAnsi="Arial"/>
          <w:sz w:val="16"/>
          <w:szCs w:val="16"/>
          <w:color w:val="074A75"/>
        </w:rPr>
      </w:pPr>
    </w:p>
    <w:p>
      <w:pPr>
        <w:ind w:left="200" w:right="160" w:hanging="192"/>
        <w:spacing w:after="0" w:line="254" w:lineRule="auto"/>
        <w:tabs>
          <w:tab w:leader="none" w:pos="197" w:val="left"/>
        </w:tabs>
        <w:numPr>
          <w:ilvl w:val="0"/>
          <w:numId w:val="119"/>
        </w:numPr>
        <w:rPr>
          <w:rFonts w:ascii="Arial" w:cs="Arial" w:eastAsia="Arial" w:hAnsi="Arial"/>
          <w:sz w:val="16"/>
          <w:szCs w:val="16"/>
          <w:color w:val="074A75"/>
        </w:rPr>
      </w:pPr>
      <w:r>
        <w:rPr>
          <w:rFonts w:ascii="Arial" w:cs="Arial" w:eastAsia="Arial" w:hAnsi="Arial"/>
          <w:sz w:val="18"/>
          <w:szCs w:val="18"/>
          <w:color w:val="auto"/>
        </w:rPr>
        <w:t>Reviewing the Firm’s compensation practices and the relationship among risk, risk management and compensation (including safety and soundness and avoiding practices that could encourage excessive risk-taking)</w:t>
      </w:r>
    </w:p>
    <w:p>
      <w:pPr>
        <w:spacing w:after="0" w:line="68" w:lineRule="exact"/>
        <w:rPr>
          <w:rFonts w:ascii="Arial" w:cs="Arial" w:eastAsia="Arial" w:hAnsi="Arial"/>
          <w:sz w:val="16"/>
          <w:szCs w:val="16"/>
          <w:color w:val="074A75"/>
        </w:rPr>
      </w:pPr>
    </w:p>
    <w:p>
      <w:pPr>
        <w:ind w:left="200" w:hanging="192"/>
        <w:spacing w:after="0" w:line="254" w:lineRule="auto"/>
        <w:tabs>
          <w:tab w:leader="none" w:pos="197" w:val="left"/>
        </w:tabs>
        <w:numPr>
          <w:ilvl w:val="0"/>
          <w:numId w:val="119"/>
        </w:numPr>
        <w:rPr>
          <w:rFonts w:ascii="Arial" w:cs="Arial" w:eastAsia="Arial" w:hAnsi="Arial"/>
          <w:sz w:val="16"/>
          <w:szCs w:val="16"/>
          <w:color w:val="074A75"/>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55" w:lineRule="exact"/>
        <w:rPr>
          <w:rFonts w:ascii="Arial" w:cs="Arial" w:eastAsia="Arial" w:hAnsi="Arial"/>
          <w:sz w:val="16"/>
          <w:szCs w:val="16"/>
          <w:color w:val="074A75"/>
        </w:rPr>
      </w:pPr>
    </w:p>
    <w:p>
      <w:pPr>
        <w:ind w:left="200" w:hanging="192"/>
        <w:spacing w:after="0" w:line="261" w:lineRule="auto"/>
        <w:tabs>
          <w:tab w:leader="none" w:pos="197" w:val="left"/>
        </w:tabs>
        <w:numPr>
          <w:ilvl w:val="0"/>
          <w:numId w:val="119"/>
        </w:numPr>
        <w:rPr>
          <w:rFonts w:ascii="Arial" w:cs="Arial" w:eastAsia="Arial" w:hAnsi="Arial"/>
          <w:sz w:val="16"/>
          <w:szCs w:val="16"/>
          <w:color w:val="074A75"/>
        </w:rPr>
      </w:pPr>
      <w:r>
        <w:rPr>
          <w:rFonts w:ascii="Arial" w:cs="Arial" w:eastAsia="Arial" w:hAnsi="Arial"/>
          <w:sz w:val="18"/>
          <w:szCs w:val="18"/>
          <w:color w:val="auto"/>
        </w:rPr>
        <w:t>Reviewing and approving overall incentive compensation pools (including equity/cash mix)</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96" w:right="480" w:hanging="196"/>
        <w:spacing w:after="0" w:line="261" w:lineRule="auto"/>
        <w:tabs>
          <w:tab w:leader="none" w:pos="194" w:val="left"/>
        </w:tabs>
        <w:numPr>
          <w:ilvl w:val="0"/>
          <w:numId w:val="120"/>
        </w:numPr>
        <w:rPr>
          <w:rFonts w:ascii="Arial" w:cs="Arial" w:eastAsia="Arial" w:hAnsi="Arial"/>
          <w:sz w:val="16"/>
          <w:szCs w:val="16"/>
          <w:color w:val="074A75"/>
        </w:rPr>
      </w:pPr>
      <w:r>
        <w:rPr>
          <w:rFonts w:ascii="Arial" w:cs="Arial" w:eastAsia="Arial" w:hAnsi="Arial"/>
          <w:sz w:val="18"/>
          <w:szCs w:val="18"/>
          <w:color w:val="auto"/>
        </w:rPr>
        <w:t>Reviewing the business-aligned incentive compensation plan governance, design and evaluation framework</w:t>
      </w:r>
    </w:p>
    <w:p>
      <w:pPr>
        <w:spacing w:after="0" w:line="292" w:lineRule="exact"/>
        <w:rPr>
          <w:rFonts w:ascii="Arial" w:cs="Arial" w:eastAsia="Arial" w:hAnsi="Arial"/>
          <w:sz w:val="16"/>
          <w:szCs w:val="16"/>
          <w:color w:val="074A75"/>
        </w:rPr>
      </w:pPr>
    </w:p>
    <w:p>
      <w:pPr>
        <w:ind w:left="196" w:right="280" w:hanging="196"/>
        <w:spacing w:after="0" w:line="254" w:lineRule="auto"/>
        <w:tabs>
          <w:tab w:leader="none" w:pos="194" w:val="left"/>
        </w:tabs>
        <w:numPr>
          <w:ilvl w:val="0"/>
          <w:numId w:val="120"/>
        </w:numPr>
        <w:rPr>
          <w:rFonts w:ascii="Arial" w:cs="Arial" w:eastAsia="Arial" w:hAnsi="Arial"/>
          <w:sz w:val="16"/>
          <w:szCs w:val="16"/>
          <w:color w:val="074A75"/>
        </w:rPr>
      </w:pPr>
      <w:r>
        <w:rPr>
          <w:rFonts w:ascii="Arial" w:cs="Arial" w:eastAsia="Arial" w:hAnsi="Arial"/>
          <w:sz w:val="18"/>
          <w:szCs w:val="18"/>
          <w:color w:val="auto"/>
        </w:rPr>
        <w:t>Reviewing over multiple meetings and approving compensation for our OC and, for the CEO, making a compensation recommendation to the Board for consideration and ratification by the independent directors</w:t>
      </w:r>
    </w:p>
    <w:p>
      <w:pPr>
        <w:spacing w:after="0" w:line="55" w:lineRule="exact"/>
        <w:rPr>
          <w:rFonts w:ascii="Arial" w:cs="Arial" w:eastAsia="Arial" w:hAnsi="Arial"/>
          <w:sz w:val="16"/>
          <w:szCs w:val="16"/>
          <w:color w:val="074A75"/>
        </w:rPr>
      </w:pPr>
    </w:p>
    <w:p>
      <w:pPr>
        <w:ind w:left="196" w:right="240" w:hanging="196"/>
        <w:spacing w:after="0" w:line="253" w:lineRule="auto"/>
        <w:tabs>
          <w:tab w:leader="none" w:pos="194" w:val="left"/>
        </w:tabs>
        <w:numPr>
          <w:ilvl w:val="0"/>
          <w:numId w:val="120"/>
        </w:numPr>
        <w:rPr>
          <w:rFonts w:ascii="Arial" w:cs="Arial" w:eastAsia="Arial" w:hAnsi="Arial"/>
          <w:sz w:val="16"/>
          <w:szCs w:val="16"/>
          <w:color w:val="074A75"/>
        </w:rPr>
      </w:pPr>
      <w:r>
        <w:rPr>
          <w:rFonts w:ascii="Arial" w:cs="Arial" w:eastAsia="Arial" w:hAnsi="Arial"/>
          <w:sz w:val="18"/>
          <w:szCs w:val="18"/>
          <w:color w:val="auto"/>
        </w:rPr>
        <w:t>Reviewing compensation for employees who are material risk-takers identified under Federal Reserve standards (“Tier 1 employees”), U.K. and/or European Union standards (“Identified Staff”) or other similar standards, collectively “Designated Employees”</w:t>
      </w:r>
    </w:p>
    <w:p>
      <w:pPr>
        <w:spacing w:after="0" w:line="70" w:lineRule="exact"/>
        <w:rPr>
          <w:rFonts w:ascii="Arial" w:cs="Arial" w:eastAsia="Arial" w:hAnsi="Arial"/>
          <w:sz w:val="16"/>
          <w:szCs w:val="16"/>
          <w:color w:val="074A75"/>
        </w:rPr>
      </w:pPr>
    </w:p>
    <w:p>
      <w:pPr>
        <w:ind w:left="196" w:right="200" w:hanging="196"/>
        <w:spacing w:after="0" w:line="261" w:lineRule="auto"/>
        <w:tabs>
          <w:tab w:leader="none" w:pos="194" w:val="left"/>
        </w:tabs>
        <w:numPr>
          <w:ilvl w:val="0"/>
          <w:numId w:val="120"/>
        </w:numPr>
        <w:rPr>
          <w:rFonts w:ascii="Arial" w:cs="Arial" w:eastAsia="Arial" w:hAnsi="Arial"/>
          <w:sz w:val="16"/>
          <w:szCs w:val="16"/>
          <w:color w:val="074A75"/>
        </w:rPr>
      </w:pPr>
      <w:r>
        <w:rPr>
          <w:rFonts w:ascii="Arial" w:cs="Arial" w:eastAsia="Arial" w:hAnsi="Arial"/>
          <w:sz w:val="18"/>
          <w:szCs w:val="18"/>
          <w:color w:val="auto"/>
        </w:rPr>
        <w:t>Reviewing and approving the design and terms of compensation awards, including recovery/clawback provisions</w:t>
      </w:r>
    </w:p>
    <w:p>
      <w:pPr>
        <w:spacing w:after="0" w:line="49" w:lineRule="exact"/>
        <w:rPr>
          <w:sz w:val="20"/>
          <w:szCs w:val="20"/>
          <w:color w:val="auto"/>
        </w:rPr>
      </w:pPr>
    </w:p>
    <w:p>
      <w:pPr>
        <w:sectPr>
          <w:pgSz w:w="11900" w:h="16838" w:orient="portrait"/>
          <w:cols w:equalWidth="0" w:num="2">
            <w:col w:w="5220" w:space="524"/>
            <w:col w:w="5516"/>
          </w:cols>
          <w:pgMar w:left="320" w:top="171" w:right="319" w:bottom="1440" w:gutter="0" w:footer="0" w:header="0"/>
          <w:type w:val="continuous"/>
        </w:sectPr>
      </w:pPr>
    </w:p>
    <w:p>
      <w:pPr>
        <w:spacing w:after="0"/>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58" w:lineRule="exact"/>
        <w:rPr>
          <w:sz w:val="20"/>
          <w:szCs w:val="20"/>
          <w:color w:val="auto"/>
        </w:rPr>
      </w:pPr>
    </w:p>
    <w:p>
      <w:pPr>
        <w:ind w:left="200" w:right="260" w:hanging="192"/>
        <w:spacing w:after="0" w:line="216" w:lineRule="auto"/>
        <w:tabs>
          <w:tab w:leader="none" w:pos="200" w:val="left"/>
        </w:tabs>
        <w:numPr>
          <w:ilvl w:val="0"/>
          <w:numId w:val="121"/>
        </w:numPr>
        <w:rPr>
          <w:rFonts w:ascii="Arial" w:cs="Arial" w:eastAsia="Arial" w:hAnsi="Arial"/>
          <w:sz w:val="16"/>
          <w:szCs w:val="16"/>
          <w:color w:val="auto"/>
          <w:vertAlign w:val="superscript"/>
        </w:rPr>
      </w:pPr>
      <w:r>
        <w:rPr>
          <w:rFonts w:ascii="Arial" w:cs="Arial" w:eastAsia="Arial" w:hAnsi="Arial"/>
          <w:sz w:val="13"/>
          <w:szCs w:val="13"/>
          <w:color w:val="auto"/>
        </w:rPr>
        <w:t>PSUs are also subject to a two-year hold after each vesting for a combined holding period of five years. The terms and conditions of Mr. Pinto’s compensation reflect the requirements of E.U. and U.K. regulations. Refer to Note 1 on page 46 for additional information on Mr. Pinto’s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267335</wp:posOffset>
            </wp:positionV>
            <wp:extent cx="274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43  </w:t>
      </w:r>
      <w:r>
        <w:rPr>
          <w:sz w:val="1"/>
          <w:szCs w:val="1"/>
          <w:color w:val="auto"/>
        </w:rPr>
        <w:drawing>
          <wp:inline distT="0" distB="0" distL="0" distR="0">
            <wp:extent cx="2203450" cy="15430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Performance assessment starts with planning and priority-setting</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cycle starts with establishing strategic plans, budgets and priorities at those same levels, with the key elements and timing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491615" cy="4629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13" w:lineRule="exact"/>
        <w:rPr>
          <w:sz w:val="20"/>
          <w:szCs w:val="20"/>
          <w:color w:val="auto"/>
        </w:rPr>
      </w:pPr>
    </w:p>
    <w:p>
      <w:pPr>
        <w:jc w:val="right"/>
        <w:ind w:left="620"/>
        <w:spacing w:after="0" w:line="298" w:lineRule="auto"/>
        <w:rPr>
          <w:sz w:val="20"/>
          <w:szCs w:val="20"/>
          <w:color w:val="auto"/>
        </w:rPr>
      </w:pPr>
      <w:r>
        <w:rPr>
          <w:rFonts w:ascii="Arial" w:cs="Arial" w:eastAsia="Arial" w:hAnsi="Arial"/>
          <w:sz w:val="21"/>
          <w:szCs w:val="21"/>
          <w:b w:val="1"/>
          <w:bCs w:val="1"/>
          <w:color w:val="074A75"/>
        </w:rPr>
        <w:t>OC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91615" cy="5918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91615" cy="591820"/>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74A75"/>
        </w:rPr>
        <w:t>BOARD</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74A75"/>
        </w:rPr>
        <w:t>STRATEGY</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74A75"/>
        </w:rPr>
        <w:t>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491615" cy="4286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9FB1C7"/>
        </w:rPr>
        <w:t>PRIORITY</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9FB1C7"/>
        </w:rPr>
        <w:t>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491615" cy="4286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376" w:lineRule="exact"/>
        <w:rPr>
          <w:sz w:val="20"/>
          <w:szCs w:val="20"/>
          <w:color w:val="auto"/>
        </w:rPr>
      </w:pPr>
    </w:p>
    <w:p>
      <w:pPr>
        <w:jc w:val="both"/>
        <w:ind w:left="780" w:hanging="751"/>
        <w:spacing w:after="0" w:line="298" w:lineRule="auto"/>
        <w:rPr>
          <w:sz w:val="20"/>
          <w:szCs w:val="20"/>
          <w:color w:val="auto"/>
        </w:rPr>
      </w:pPr>
      <w:r>
        <w:rPr>
          <w:rFonts w:ascii="Arial" w:cs="Arial" w:eastAsia="Arial" w:hAnsi="Arial"/>
          <w:sz w:val="21"/>
          <w:szCs w:val="21"/>
          <w:b w:val="1"/>
          <w:bCs w:val="1"/>
          <w:color w:val="FFFFFF"/>
        </w:rPr>
        <w:t>BUDGET/STRATEGIC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91615" cy="4286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491615" cy="428625"/>
                    </a:xfrm>
                    <a:prstGeom prst="rect">
                      <a:avLst/>
                    </a:prstGeom>
                    <a:noFill/>
                  </pic:spPr>
                </pic:pic>
              </a:graphicData>
            </a:graphic>
          </wp:anchor>
        </w:drawing>
      </w:r>
    </w:p>
    <w:p>
      <w:pPr>
        <w:spacing w:after="0" w:line="312" w:lineRule="exact"/>
        <w:rPr>
          <w:sz w:val="20"/>
          <w:szCs w:val="20"/>
          <w:color w:val="auto"/>
        </w:rPr>
      </w:pPr>
    </w:p>
    <w:p>
      <w:pPr>
        <w:ind w:left="360" w:firstLine="704"/>
        <w:spacing w:after="0" w:line="298" w:lineRule="auto"/>
        <w:rPr>
          <w:sz w:val="20"/>
          <w:szCs w:val="20"/>
          <w:color w:val="auto"/>
        </w:rPr>
      </w:pPr>
      <w:r>
        <w:rPr>
          <w:rFonts w:ascii="Arial" w:cs="Arial" w:eastAsia="Arial" w:hAnsi="Arial"/>
          <w:sz w:val="21"/>
          <w:szCs w:val="21"/>
          <w:b w:val="1"/>
          <w:bCs w:val="1"/>
          <w:color w:val="FFFFFF"/>
        </w:rPr>
        <w:t>EXTERNAL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91615" cy="6686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491615" cy="668655"/>
                    </a:xfrm>
                    <a:prstGeom prst="rect">
                      <a:avLst/>
                    </a:prstGeom>
                    <a:noFill/>
                  </pic:spPr>
                </pic:pic>
              </a:graphicData>
            </a:graphic>
          </wp:anchor>
        </w:drawing>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RISK &amp;</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CONTROL</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shd w:val="clear" w:color="auto" w:fill="6484A5"/>
        </w:rPr>
        <w:t>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491615" cy="5829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91615" cy="58293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600" w:hanging="59"/>
        <w:spacing w:after="0" w:line="298" w:lineRule="auto"/>
        <w:rPr>
          <w:sz w:val="20"/>
          <w:szCs w:val="20"/>
          <w:color w:val="auto"/>
        </w:rPr>
      </w:pPr>
      <w:r>
        <w:rPr>
          <w:rFonts w:ascii="Arial" w:cs="Arial" w:eastAsia="Arial" w:hAnsi="Arial"/>
          <w:sz w:val="21"/>
          <w:szCs w:val="21"/>
          <w:b w:val="1"/>
          <w:bCs w:val="1"/>
          <w:color w:val="FFFFFF"/>
          <w:shd w:val="clear" w:color="auto" w:fill="205A85"/>
        </w:rPr>
        <w:t>PERFORMANCE ASSESSMENTS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180" w:type="dxa"/>
            <w:vAlign w:val="bottom"/>
            <w:shd w:val="clear" w:color="auto" w:fill="EEEFEF"/>
          </w:tcPr>
          <w:p>
            <w:pPr>
              <w:spacing w:after="0"/>
              <w:rPr>
                <w:sz w:val="23"/>
                <w:szCs w:val="23"/>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At their annual strategy meeting typically held in the summer, the Operating Committee defines the Firm's</w:t>
            </w:r>
          </w:p>
        </w:tc>
        <w:tc>
          <w:tcPr>
            <w:tcW w:w="660" w:type="dxa"/>
            <w:vAlign w:val="bottom"/>
            <w:shd w:val="clear" w:color="auto" w:fill="D2DBE7"/>
          </w:tcPr>
          <w:p>
            <w:pPr>
              <w:jc w:val="center"/>
              <w:spacing w:after="0"/>
              <w:rPr>
                <w:sz w:val="20"/>
                <w:szCs w:val="20"/>
                <w:color w:val="auto"/>
              </w:rPr>
            </w:pPr>
            <w:r>
              <w:rPr>
                <w:rFonts w:ascii="Arial" w:cs="Arial" w:eastAsia="Arial" w:hAnsi="Arial"/>
                <w:sz w:val="16"/>
                <w:szCs w:val="16"/>
                <w:b w:val="1"/>
                <w:bCs w:val="1"/>
                <w:color w:val="074A75"/>
              </w:rPr>
              <w:t>Q3</w:t>
            </w:r>
          </w:p>
        </w:tc>
        <w:tc>
          <w:tcPr>
            <w:tcW w:w="0" w:type="dxa"/>
            <w:vAlign w:val="bottom"/>
          </w:tcPr>
          <w:p>
            <w:pPr>
              <w:spacing w:after="0"/>
              <w:rPr>
                <w:sz w:val="1"/>
                <w:szCs w:val="1"/>
                <w:color w:val="auto"/>
              </w:rPr>
            </w:pPr>
          </w:p>
        </w:tc>
      </w:tr>
      <w:tr>
        <w:trPr>
          <w:trHeight w:val="189"/>
        </w:trPr>
        <w:tc>
          <w:tcPr>
            <w:tcW w:w="180" w:type="dxa"/>
            <w:vAlign w:val="bottom"/>
            <w:shd w:val="clear" w:color="auto" w:fill="EEEFEF"/>
          </w:tcPr>
          <w:p>
            <w:pPr>
              <w:spacing w:after="0"/>
              <w:rPr>
                <w:sz w:val="16"/>
                <w:szCs w:val="16"/>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strategic framework, establishes strategic priorities for the Firm, lines of business (“LOB”), and functions, and</w:t>
            </w:r>
          </w:p>
        </w:tc>
        <w:tc>
          <w:tcPr>
            <w:tcW w:w="660" w:type="dxa"/>
            <w:vAlign w:val="bottom"/>
            <w:shd w:val="clear" w:color="auto" w:fill="D2DBE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EEEFEF"/>
          </w:tcPr>
          <w:p>
            <w:pPr>
              <w:spacing w:after="0"/>
              <w:rPr>
                <w:sz w:val="16"/>
                <w:szCs w:val="16"/>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evaluates progress against the prior year’s strategic priorities.</w:t>
            </w:r>
          </w:p>
        </w:tc>
        <w:tc>
          <w:tcPr>
            <w:tcW w:w="660" w:type="dxa"/>
            <w:vAlign w:val="bottom"/>
            <w:shd w:val="clear" w:color="auto" w:fill="D2DBE7"/>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0" w:type="dxa"/>
            <w:vAlign w:val="bottom"/>
            <w:shd w:val="clear" w:color="auto" w:fill="EEEFEF"/>
          </w:tcPr>
          <w:p>
            <w:pPr>
              <w:spacing w:after="0"/>
              <w:rPr>
                <w:sz w:val="6"/>
                <w:szCs w:val="6"/>
                <w:color w:val="auto"/>
              </w:rPr>
            </w:pPr>
          </w:p>
        </w:tc>
        <w:tc>
          <w:tcPr>
            <w:tcW w:w="8000" w:type="dxa"/>
            <w:vAlign w:val="bottom"/>
            <w:shd w:val="clear" w:color="auto" w:fill="EEEFEF"/>
          </w:tcPr>
          <w:p>
            <w:pPr>
              <w:spacing w:after="0"/>
              <w:rPr>
                <w:sz w:val="6"/>
                <w:szCs w:val="6"/>
                <w:color w:val="auto"/>
              </w:rPr>
            </w:pPr>
          </w:p>
        </w:tc>
        <w:tc>
          <w:tcPr>
            <w:tcW w:w="660" w:type="dxa"/>
            <w:vAlign w:val="bottom"/>
            <w:shd w:val="clear" w:color="auto" w:fill="D2DBE7"/>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0" w:type="dxa"/>
            <w:vAlign w:val="bottom"/>
            <w:shd w:val="clear" w:color="auto" w:fill="EEEFEF"/>
          </w:tcPr>
          <w:p>
            <w:pPr>
              <w:spacing w:after="0"/>
              <w:rPr>
                <w:sz w:val="24"/>
                <w:szCs w:val="24"/>
                <w:color w:val="auto"/>
              </w:rPr>
            </w:pPr>
          </w:p>
        </w:tc>
        <w:tc>
          <w:tcPr>
            <w:tcW w:w="80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Following the OC strategy meeting, the Board reviews Firm and business unit strategies, business plans and</w:t>
            </w:r>
          </w:p>
        </w:tc>
        <w:tc>
          <w:tcPr>
            <w:tcW w:w="660" w:type="dxa"/>
            <w:vAlign w:val="bottom"/>
            <w:shd w:val="clear" w:color="auto" w:fill="B5C3D5"/>
          </w:tcPr>
          <w:p>
            <w:pPr>
              <w:jc w:val="center"/>
              <w:spacing w:after="0"/>
              <w:rPr>
                <w:sz w:val="20"/>
                <w:szCs w:val="20"/>
                <w:color w:val="auto"/>
              </w:rPr>
            </w:pPr>
            <w:r>
              <w:rPr>
                <w:rFonts w:ascii="Arial" w:cs="Arial" w:eastAsia="Arial" w:hAnsi="Arial"/>
                <w:sz w:val="16"/>
                <w:szCs w:val="16"/>
                <w:b w:val="1"/>
                <w:bCs w:val="1"/>
                <w:color w:val="074A75"/>
              </w:rPr>
              <w:t>Q3</w:t>
            </w:r>
          </w:p>
        </w:tc>
        <w:tc>
          <w:tcPr>
            <w:tcW w:w="0" w:type="dxa"/>
            <w:vAlign w:val="bottom"/>
          </w:tcPr>
          <w:p>
            <w:pPr>
              <w:spacing w:after="0"/>
              <w:rPr>
                <w:sz w:val="1"/>
                <w:szCs w:val="1"/>
                <w:color w:val="auto"/>
              </w:rPr>
            </w:pPr>
          </w:p>
        </w:tc>
      </w:tr>
      <w:tr>
        <w:trPr>
          <w:trHeight w:val="183"/>
        </w:trPr>
        <w:tc>
          <w:tcPr>
            <w:tcW w:w="180" w:type="dxa"/>
            <w:vAlign w:val="bottom"/>
            <w:shd w:val="clear" w:color="auto" w:fill="EEEFEF"/>
          </w:tcPr>
          <w:p>
            <w:pPr>
              <w:spacing w:after="0"/>
              <w:rPr>
                <w:sz w:val="15"/>
                <w:szCs w:val="15"/>
                <w:color w:val="auto"/>
              </w:rPr>
            </w:pPr>
          </w:p>
        </w:tc>
        <w:tc>
          <w:tcPr>
            <w:tcW w:w="8000" w:type="dxa"/>
            <w:vAlign w:val="bottom"/>
            <w:vMerge w:val="continue"/>
            <w:shd w:val="clear" w:color="auto" w:fill="EEEFEF"/>
          </w:tcPr>
          <w:p>
            <w:pPr>
              <w:spacing w:after="0"/>
              <w:rPr>
                <w:sz w:val="15"/>
                <w:szCs w:val="15"/>
                <w:color w:val="auto"/>
              </w:rPr>
            </w:pPr>
          </w:p>
        </w:tc>
        <w:tc>
          <w:tcPr>
            <w:tcW w:w="660" w:type="dxa"/>
            <w:vAlign w:val="bottom"/>
            <w:shd w:val="clear" w:color="auto" w:fill="B5C3D5"/>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EEEFEF"/>
          </w:tcPr>
          <w:p>
            <w:pPr>
              <w:spacing w:after="0"/>
              <w:rPr>
                <w:sz w:val="16"/>
                <w:szCs w:val="16"/>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preliminary budgets for the upcoming year.</w:t>
            </w:r>
          </w:p>
        </w:tc>
        <w:tc>
          <w:tcPr>
            <w:tcW w:w="660" w:type="dxa"/>
            <w:vAlign w:val="bottom"/>
            <w:shd w:val="clear" w:color="auto" w:fill="B5C3D5"/>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80" w:type="dxa"/>
            <w:vAlign w:val="bottom"/>
            <w:shd w:val="clear" w:color="auto" w:fill="EEEFEF"/>
          </w:tcPr>
          <w:p>
            <w:pPr>
              <w:spacing w:after="0"/>
              <w:rPr>
                <w:sz w:val="24"/>
                <w:szCs w:val="24"/>
                <w:color w:val="auto"/>
              </w:rPr>
            </w:pPr>
          </w:p>
        </w:tc>
        <w:tc>
          <w:tcPr>
            <w:tcW w:w="8000" w:type="dxa"/>
            <w:vAlign w:val="bottom"/>
            <w:shd w:val="clear" w:color="auto" w:fill="EEEFEF"/>
          </w:tcPr>
          <w:p>
            <w:pPr>
              <w:spacing w:after="0"/>
              <w:rPr>
                <w:sz w:val="24"/>
                <w:szCs w:val="24"/>
                <w:color w:val="auto"/>
              </w:rPr>
            </w:pPr>
          </w:p>
        </w:tc>
        <w:tc>
          <w:tcPr>
            <w:tcW w:w="660" w:type="dxa"/>
            <w:vAlign w:val="bottom"/>
            <w:shd w:val="clear" w:color="auto" w:fill="B5C3D5"/>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0" w:type="dxa"/>
            <w:vAlign w:val="bottom"/>
            <w:shd w:val="clear" w:color="auto" w:fill="EEEFEF"/>
          </w:tcPr>
          <w:p>
            <w:pPr>
              <w:spacing w:after="0"/>
              <w:rPr>
                <w:sz w:val="24"/>
                <w:szCs w:val="24"/>
                <w:color w:val="auto"/>
              </w:rPr>
            </w:pPr>
          </w:p>
        </w:tc>
        <w:tc>
          <w:tcPr>
            <w:tcW w:w="80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OC members establish Firm, business/function and individual performance priorities, which are shared with the</w:t>
            </w:r>
          </w:p>
        </w:tc>
        <w:tc>
          <w:tcPr>
            <w:tcW w:w="660" w:type="dxa"/>
            <w:vAlign w:val="bottom"/>
            <w:shd w:val="clear" w:color="auto" w:fill="9FB1C7"/>
          </w:tcPr>
          <w:p>
            <w:pPr>
              <w:jc w:val="center"/>
              <w:spacing w:after="0"/>
              <w:rPr>
                <w:sz w:val="20"/>
                <w:szCs w:val="20"/>
                <w:color w:val="auto"/>
              </w:rPr>
            </w:pPr>
            <w:r>
              <w:rPr>
                <w:rFonts w:ascii="Arial" w:cs="Arial" w:eastAsia="Arial" w:hAnsi="Arial"/>
                <w:sz w:val="16"/>
                <w:szCs w:val="16"/>
                <w:b w:val="1"/>
                <w:bCs w:val="1"/>
                <w:color w:val="FFFFFF"/>
              </w:rPr>
              <w:t>Q4</w:t>
            </w:r>
          </w:p>
        </w:tc>
        <w:tc>
          <w:tcPr>
            <w:tcW w:w="0" w:type="dxa"/>
            <w:vAlign w:val="bottom"/>
          </w:tcPr>
          <w:p>
            <w:pPr>
              <w:spacing w:after="0"/>
              <w:rPr>
                <w:sz w:val="1"/>
                <w:szCs w:val="1"/>
                <w:color w:val="auto"/>
              </w:rPr>
            </w:pPr>
          </w:p>
        </w:tc>
      </w:tr>
      <w:tr>
        <w:trPr>
          <w:trHeight w:val="62"/>
        </w:trPr>
        <w:tc>
          <w:tcPr>
            <w:tcW w:w="180" w:type="dxa"/>
            <w:vAlign w:val="bottom"/>
            <w:shd w:val="clear" w:color="auto" w:fill="EEEFEF"/>
          </w:tcPr>
          <w:p>
            <w:pPr>
              <w:spacing w:after="0"/>
              <w:rPr>
                <w:sz w:val="5"/>
                <w:szCs w:val="5"/>
                <w:color w:val="auto"/>
              </w:rPr>
            </w:pPr>
          </w:p>
        </w:tc>
        <w:tc>
          <w:tcPr>
            <w:tcW w:w="8000" w:type="dxa"/>
            <w:vAlign w:val="bottom"/>
            <w:vMerge w:val="continue"/>
            <w:shd w:val="clear" w:color="auto" w:fill="EEEFEF"/>
          </w:tcPr>
          <w:p>
            <w:pPr>
              <w:spacing w:after="0"/>
              <w:rPr>
                <w:sz w:val="5"/>
                <w:szCs w:val="5"/>
                <w:color w:val="auto"/>
              </w:rPr>
            </w:pPr>
          </w:p>
        </w:tc>
        <w:tc>
          <w:tcPr>
            <w:tcW w:w="660" w:type="dxa"/>
            <w:vAlign w:val="bottom"/>
            <w:shd w:val="clear" w:color="auto" w:fill="9FB1C7"/>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EEEFEF"/>
          </w:tcPr>
          <w:p>
            <w:pPr>
              <w:spacing w:after="0"/>
              <w:rPr>
                <w:sz w:val="16"/>
                <w:szCs w:val="16"/>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Board.</w:t>
            </w:r>
          </w:p>
        </w:tc>
        <w:tc>
          <w:tcPr>
            <w:tcW w:w="660" w:type="dxa"/>
            <w:vAlign w:val="bottom"/>
            <w:shd w:val="clear" w:color="auto" w:fill="9FB1C7"/>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80" w:type="dxa"/>
            <w:vAlign w:val="bottom"/>
            <w:shd w:val="clear" w:color="auto" w:fill="EEEFEF"/>
          </w:tcPr>
          <w:p>
            <w:pPr>
              <w:spacing w:after="0"/>
              <w:rPr>
                <w:sz w:val="12"/>
                <w:szCs w:val="12"/>
                <w:color w:val="auto"/>
              </w:rPr>
            </w:pPr>
          </w:p>
        </w:tc>
        <w:tc>
          <w:tcPr>
            <w:tcW w:w="8000" w:type="dxa"/>
            <w:vAlign w:val="bottom"/>
            <w:shd w:val="clear" w:color="auto" w:fill="EEEFEF"/>
          </w:tcPr>
          <w:p>
            <w:pPr>
              <w:spacing w:after="0"/>
              <w:rPr>
                <w:sz w:val="12"/>
                <w:szCs w:val="12"/>
                <w:color w:val="auto"/>
              </w:rPr>
            </w:pPr>
          </w:p>
        </w:tc>
        <w:tc>
          <w:tcPr>
            <w:tcW w:w="660" w:type="dxa"/>
            <w:vAlign w:val="bottom"/>
            <w:shd w:val="clear" w:color="auto" w:fill="9FB1C7"/>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80" w:type="dxa"/>
            <w:vAlign w:val="bottom"/>
            <w:shd w:val="clear" w:color="auto" w:fill="EEEFEF"/>
          </w:tcPr>
          <w:p>
            <w:pPr>
              <w:spacing w:after="0"/>
              <w:rPr>
                <w:sz w:val="21"/>
                <w:szCs w:val="21"/>
                <w:color w:val="auto"/>
              </w:rPr>
            </w:pPr>
          </w:p>
        </w:tc>
        <w:tc>
          <w:tcPr>
            <w:tcW w:w="80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The Board reviews multi-year Firm and business/function budgets against strategic priorities, and the CMDC</w:t>
            </w:r>
          </w:p>
        </w:tc>
        <w:tc>
          <w:tcPr>
            <w:tcW w:w="660" w:type="dxa"/>
            <w:vAlign w:val="bottom"/>
            <w:shd w:val="clear" w:color="auto" w:fill="819AB6"/>
          </w:tcPr>
          <w:p>
            <w:pPr>
              <w:jc w:val="center"/>
              <w:spacing w:after="0"/>
              <w:rPr>
                <w:sz w:val="20"/>
                <w:szCs w:val="20"/>
                <w:color w:val="auto"/>
              </w:rPr>
            </w:pPr>
            <w:r>
              <w:rPr>
                <w:rFonts w:ascii="Arial" w:cs="Arial" w:eastAsia="Arial" w:hAnsi="Arial"/>
                <w:sz w:val="16"/>
                <w:szCs w:val="16"/>
                <w:b w:val="1"/>
                <w:bCs w:val="1"/>
                <w:color w:val="FFFFFF"/>
                <w:w w:val="97"/>
              </w:rPr>
              <w:t>Q4-</w:t>
            </w:r>
          </w:p>
        </w:tc>
        <w:tc>
          <w:tcPr>
            <w:tcW w:w="0" w:type="dxa"/>
            <w:vAlign w:val="bottom"/>
          </w:tcPr>
          <w:p>
            <w:pPr>
              <w:spacing w:after="0"/>
              <w:rPr>
                <w:sz w:val="1"/>
                <w:szCs w:val="1"/>
                <w:color w:val="auto"/>
              </w:rPr>
            </w:pPr>
          </w:p>
        </w:tc>
      </w:tr>
      <w:tr>
        <w:trPr>
          <w:trHeight w:val="88"/>
        </w:trPr>
        <w:tc>
          <w:tcPr>
            <w:tcW w:w="180" w:type="dxa"/>
            <w:vAlign w:val="bottom"/>
            <w:shd w:val="clear" w:color="auto" w:fill="EEEFEF"/>
          </w:tcPr>
          <w:p>
            <w:pPr>
              <w:spacing w:after="0"/>
              <w:rPr>
                <w:sz w:val="7"/>
                <w:szCs w:val="7"/>
                <w:color w:val="auto"/>
              </w:rPr>
            </w:pPr>
          </w:p>
        </w:tc>
        <w:tc>
          <w:tcPr>
            <w:tcW w:w="8000" w:type="dxa"/>
            <w:vAlign w:val="bottom"/>
            <w:vMerge w:val="continue"/>
            <w:shd w:val="clear" w:color="auto" w:fill="EEEFEF"/>
          </w:tcPr>
          <w:p>
            <w:pPr>
              <w:spacing w:after="0"/>
              <w:rPr>
                <w:sz w:val="7"/>
                <w:szCs w:val="7"/>
                <w:color w:val="auto"/>
              </w:rPr>
            </w:pPr>
          </w:p>
        </w:tc>
        <w:tc>
          <w:tcPr>
            <w:tcW w:w="660" w:type="dxa"/>
            <w:vAlign w:val="bottom"/>
            <w:vMerge w:val="restart"/>
            <w:shd w:val="clear" w:color="auto" w:fill="819AB6"/>
          </w:tcPr>
          <w:p>
            <w:pPr>
              <w:jc w:val="center"/>
              <w:spacing w:after="0"/>
              <w:rPr>
                <w:sz w:val="20"/>
                <w:szCs w:val="20"/>
                <w:color w:val="auto"/>
              </w:rPr>
            </w:pPr>
            <w:r>
              <w:rPr>
                <w:rFonts w:ascii="Arial" w:cs="Arial" w:eastAsia="Arial" w:hAnsi="Arial"/>
                <w:sz w:val="16"/>
                <w:szCs w:val="16"/>
                <w:b w:val="1"/>
                <w:bCs w:val="1"/>
                <w:color w:val="FFFFFF"/>
              </w:rPr>
              <w:t>Q1</w:t>
            </w:r>
          </w:p>
        </w:tc>
        <w:tc>
          <w:tcPr>
            <w:tcW w:w="0" w:type="dxa"/>
            <w:vAlign w:val="bottom"/>
          </w:tcPr>
          <w:p>
            <w:pPr>
              <w:spacing w:after="0"/>
              <w:rPr>
                <w:sz w:val="1"/>
                <w:szCs w:val="1"/>
                <w:color w:val="auto"/>
              </w:rPr>
            </w:pPr>
          </w:p>
        </w:tc>
      </w:tr>
      <w:tr>
        <w:trPr>
          <w:trHeight w:val="127"/>
        </w:trPr>
        <w:tc>
          <w:tcPr>
            <w:tcW w:w="180" w:type="dxa"/>
            <w:vAlign w:val="bottom"/>
            <w:shd w:val="clear" w:color="auto" w:fill="EEEFEF"/>
          </w:tcPr>
          <w:p>
            <w:pPr>
              <w:spacing w:after="0"/>
              <w:rPr>
                <w:sz w:val="11"/>
                <w:szCs w:val="11"/>
                <w:color w:val="auto"/>
              </w:rPr>
            </w:pPr>
          </w:p>
        </w:tc>
        <w:tc>
          <w:tcPr>
            <w:tcW w:w="80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approves the Firm’s multi-year strategic framework as the goals and objectives for the CEO.</w:t>
            </w:r>
          </w:p>
        </w:tc>
        <w:tc>
          <w:tcPr>
            <w:tcW w:w="660" w:type="dxa"/>
            <w:vAlign w:val="bottom"/>
            <w:vMerge w:val="continue"/>
            <w:shd w:val="clear" w:color="auto" w:fill="819AB6"/>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80" w:type="dxa"/>
            <w:vAlign w:val="bottom"/>
            <w:shd w:val="clear" w:color="auto" w:fill="EEEFEF"/>
          </w:tcPr>
          <w:p>
            <w:pPr>
              <w:spacing w:after="0"/>
              <w:rPr>
                <w:sz w:val="5"/>
                <w:szCs w:val="5"/>
                <w:color w:val="auto"/>
              </w:rPr>
            </w:pPr>
          </w:p>
        </w:tc>
        <w:tc>
          <w:tcPr>
            <w:tcW w:w="8000" w:type="dxa"/>
            <w:vAlign w:val="bottom"/>
            <w:vMerge w:val="continue"/>
            <w:shd w:val="clear" w:color="auto" w:fill="EEEFEF"/>
          </w:tcPr>
          <w:p>
            <w:pPr>
              <w:spacing w:after="0"/>
              <w:rPr>
                <w:sz w:val="5"/>
                <w:szCs w:val="5"/>
                <w:color w:val="auto"/>
              </w:rPr>
            </w:pPr>
          </w:p>
        </w:tc>
        <w:tc>
          <w:tcPr>
            <w:tcW w:w="660" w:type="dxa"/>
            <w:vAlign w:val="bottom"/>
            <w:shd w:val="clear" w:color="auto" w:fill="819AB6"/>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80" w:type="dxa"/>
            <w:vAlign w:val="bottom"/>
            <w:shd w:val="clear" w:color="auto" w:fill="EEEFEF"/>
          </w:tcPr>
          <w:p>
            <w:pPr>
              <w:spacing w:after="0"/>
              <w:rPr>
                <w:sz w:val="12"/>
                <w:szCs w:val="12"/>
                <w:color w:val="auto"/>
              </w:rPr>
            </w:pPr>
          </w:p>
        </w:tc>
        <w:tc>
          <w:tcPr>
            <w:tcW w:w="8000" w:type="dxa"/>
            <w:vAlign w:val="bottom"/>
            <w:shd w:val="clear" w:color="auto" w:fill="EEEFEF"/>
          </w:tcPr>
          <w:p>
            <w:pPr>
              <w:spacing w:after="0"/>
              <w:rPr>
                <w:sz w:val="12"/>
                <w:szCs w:val="12"/>
                <w:color w:val="auto"/>
              </w:rPr>
            </w:pPr>
          </w:p>
        </w:tc>
        <w:tc>
          <w:tcPr>
            <w:tcW w:w="660" w:type="dxa"/>
            <w:vAlign w:val="bottom"/>
            <w:shd w:val="clear" w:color="auto" w:fill="819AB6"/>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80" w:type="dxa"/>
            <w:vAlign w:val="bottom"/>
            <w:shd w:val="clear" w:color="auto" w:fill="EEEFEF"/>
          </w:tcPr>
          <w:p>
            <w:pPr>
              <w:spacing w:after="0"/>
              <w:rPr>
                <w:sz w:val="24"/>
                <w:szCs w:val="24"/>
                <w:color w:val="auto"/>
              </w:rPr>
            </w:pPr>
          </w:p>
        </w:tc>
        <w:tc>
          <w:tcPr>
            <w:tcW w:w="8000" w:type="dxa"/>
            <w:vAlign w:val="bottom"/>
            <w:vMerge w:val="restart"/>
            <w:shd w:val="clear" w:color="auto" w:fill="EEEFEF"/>
          </w:tcPr>
          <w:p>
            <w:pPr>
              <w:ind w:left="20"/>
              <w:spacing w:after="0"/>
              <w:rPr>
                <w:sz w:val="20"/>
                <w:szCs w:val="20"/>
                <w:color w:val="auto"/>
              </w:rPr>
            </w:pPr>
            <w:r>
              <w:rPr>
                <w:rFonts w:ascii="Arial" w:cs="Arial" w:eastAsia="Arial" w:hAnsi="Arial"/>
                <w:sz w:val="16"/>
                <w:szCs w:val="16"/>
                <w:color w:val="auto"/>
              </w:rPr>
              <w:t>Key strategic initiatives and medium-term financial targets are communicated externally.</w:t>
            </w:r>
          </w:p>
        </w:tc>
        <w:tc>
          <w:tcPr>
            <w:tcW w:w="660" w:type="dxa"/>
            <w:vAlign w:val="bottom"/>
            <w:shd w:val="clear" w:color="auto" w:fill="859EB9"/>
          </w:tcPr>
          <w:p>
            <w:pPr>
              <w:jc w:val="center"/>
              <w:spacing w:after="0"/>
              <w:rPr>
                <w:sz w:val="20"/>
                <w:szCs w:val="20"/>
                <w:color w:val="auto"/>
              </w:rPr>
            </w:pPr>
            <w:r>
              <w:rPr>
                <w:rFonts w:ascii="Arial" w:cs="Arial" w:eastAsia="Arial" w:hAnsi="Arial"/>
                <w:sz w:val="16"/>
                <w:szCs w:val="16"/>
                <w:b w:val="1"/>
                <w:bCs w:val="1"/>
                <w:color w:val="FFFFFF"/>
              </w:rPr>
              <w:t>Q1</w:t>
            </w:r>
          </w:p>
        </w:tc>
        <w:tc>
          <w:tcPr>
            <w:tcW w:w="0" w:type="dxa"/>
            <w:vAlign w:val="bottom"/>
          </w:tcPr>
          <w:p>
            <w:pPr>
              <w:spacing w:after="0"/>
              <w:rPr>
                <w:sz w:val="1"/>
                <w:szCs w:val="1"/>
                <w:color w:val="auto"/>
              </w:rPr>
            </w:pPr>
          </w:p>
        </w:tc>
      </w:tr>
      <w:tr>
        <w:trPr>
          <w:trHeight w:val="162"/>
        </w:trPr>
        <w:tc>
          <w:tcPr>
            <w:tcW w:w="180" w:type="dxa"/>
            <w:vAlign w:val="bottom"/>
            <w:shd w:val="clear" w:color="auto" w:fill="EEEFEF"/>
          </w:tcPr>
          <w:p>
            <w:pPr>
              <w:spacing w:after="0"/>
              <w:rPr>
                <w:sz w:val="14"/>
                <w:szCs w:val="14"/>
                <w:color w:val="auto"/>
              </w:rPr>
            </w:pPr>
          </w:p>
        </w:tc>
        <w:tc>
          <w:tcPr>
            <w:tcW w:w="8000" w:type="dxa"/>
            <w:vAlign w:val="bottom"/>
            <w:vMerge w:val="continue"/>
            <w:shd w:val="clear" w:color="auto" w:fill="EEEFEF"/>
          </w:tcPr>
          <w:p>
            <w:pPr>
              <w:spacing w:after="0"/>
              <w:rPr>
                <w:sz w:val="14"/>
                <w:szCs w:val="14"/>
                <w:color w:val="auto"/>
              </w:rPr>
            </w:pPr>
          </w:p>
        </w:tc>
        <w:tc>
          <w:tcPr>
            <w:tcW w:w="660" w:type="dxa"/>
            <w:vAlign w:val="bottom"/>
            <w:shd w:val="clear" w:color="auto" w:fill="859EB9"/>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0" w:type="dxa"/>
            <w:vAlign w:val="bottom"/>
            <w:shd w:val="clear" w:color="auto" w:fill="EEEFEF"/>
          </w:tcPr>
          <w:p>
            <w:pPr>
              <w:spacing w:after="0"/>
              <w:rPr>
                <w:sz w:val="20"/>
                <w:szCs w:val="20"/>
                <w:color w:val="auto"/>
              </w:rPr>
            </w:pPr>
          </w:p>
        </w:tc>
        <w:tc>
          <w:tcPr>
            <w:tcW w:w="8000" w:type="dxa"/>
            <w:vAlign w:val="bottom"/>
            <w:shd w:val="clear" w:color="auto" w:fill="EEEFEF"/>
          </w:tcPr>
          <w:p>
            <w:pPr>
              <w:spacing w:after="0"/>
              <w:rPr>
                <w:sz w:val="20"/>
                <w:szCs w:val="20"/>
                <w:color w:val="auto"/>
              </w:rPr>
            </w:pPr>
          </w:p>
        </w:tc>
        <w:tc>
          <w:tcPr>
            <w:tcW w:w="660" w:type="dxa"/>
            <w:vAlign w:val="bottom"/>
            <w:shd w:val="clear" w:color="auto" w:fill="859EB9"/>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shd w:val="clear" w:color="auto" w:fill="EEEFEF"/>
          </w:tcPr>
          <w:p>
            <w:pPr>
              <w:spacing w:after="0"/>
              <w:rPr>
                <w:sz w:val="22"/>
                <w:szCs w:val="22"/>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Assessments of workforce conduct-related matters occur throughout the year. The outcomes of these</w:t>
            </w:r>
          </w:p>
        </w:tc>
        <w:tc>
          <w:tcPr>
            <w:tcW w:w="660" w:type="dxa"/>
            <w:vAlign w:val="bottom"/>
            <w:shd w:val="clear" w:color="auto" w:fill="6484A5"/>
          </w:tcPr>
          <w:p>
            <w:pPr>
              <w:jc w:val="center"/>
              <w:spacing w:after="0"/>
              <w:rPr>
                <w:sz w:val="20"/>
                <w:szCs w:val="20"/>
                <w:color w:val="auto"/>
              </w:rPr>
            </w:pPr>
            <w:r>
              <w:rPr>
                <w:rFonts w:ascii="Arial" w:cs="Arial" w:eastAsia="Arial" w:hAnsi="Arial"/>
                <w:sz w:val="16"/>
                <w:szCs w:val="16"/>
                <w:b w:val="1"/>
                <w:bCs w:val="1"/>
                <w:color w:val="FFFFFF"/>
                <w:w w:val="97"/>
              </w:rPr>
              <w:t>Q1-</w:t>
            </w:r>
          </w:p>
        </w:tc>
        <w:tc>
          <w:tcPr>
            <w:tcW w:w="0" w:type="dxa"/>
            <w:vAlign w:val="bottom"/>
          </w:tcPr>
          <w:p>
            <w:pPr>
              <w:spacing w:after="0"/>
              <w:rPr>
                <w:sz w:val="1"/>
                <w:szCs w:val="1"/>
                <w:color w:val="auto"/>
              </w:rPr>
            </w:pPr>
          </w:p>
        </w:tc>
      </w:tr>
      <w:tr>
        <w:trPr>
          <w:trHeight w:val="231"/>
        </w:trPr>
        <w:tc>
          <w:tcPr>
            <w:tcW w:w="180" w:type="dxa"/>
            <w:vAlign w:val="bottom"/>
            <w:shd w:val="clear" w:color="auto" w:fill="EEEFEF"/>
          </w:tcPr>
          <w:p>
            <w:pPr>
              <w:spacing w:after="0"/>
              <w:rPr>
                <w:sz w:val="20"/>
                <w:szCs w:val="20"/>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assessments may result in compensation impacts, negative performance ratings, or other appropriate</w:t>
            </w:r>
          </w:p>
        </w:tc>
        <w:tc>
          <w:tcPr>
            <w:tcW w:w="660" w:type="dxa"/>
            <w:vAlign w:val="bottom"/>
            <w:shd w:val="clear" w:color="auto" w:fill="6484A5"/>
          </w:tcPr>
          <w:p>
            <w:pPr>
              <w:jc w:val="center"/>
              <w:spacing w:after="0"/>
              <w:rPr>
                <w:sz w:val="20"/>
                <w:szCs w:val="20"/>
                <w:color w:val="auto"/>
              </w:rPr>
            </w:pPr>
            <w:r>
              <w:rPr>
                <w:rFonts w:ascii="Arial" w:cs="Arial" w:eastAsia="Arial" w:hAnsi="Arial"/>
                <w:sz w:val="16"/>
                <w:szCs w:val="16"/>
                <w:b w:val="1"/>
                <w:bCs w:val="1"/>
                <w:color w:val="FFFFFF"/>
              </w:rPr>
              <w:t>Q4</w:t>
            </w:r>
          </w:p>
        </w:tc>
        <w:tc>
          <w:tcPr>
            <w:tcW w:w="0" w:type="dxa"/>
            <w:vAlign w:val="bottom"/>
          </w:tcPr>
          <w:p>
            <w:pPr>
              <w:spacing w:after="0"/>
              <w:rPr>
                <w:sz w:val="1"/>
                <w:szCs w:val="1"/>
                <w:color w:val="auto"/>
              </w:rPr>
            </w:pPr>
          </w:p>
        </w:tc>
      </w:tr>
      <w:tr>
        <w:trPr>
          <w:trHeight w:val="195"/>
        </w:trPr>
        <w:tc>
          <w:tcPr>
            <w:tcW w:w="180" w:type="dxa"/>
            <w:vAlign w:val="bottom"/>
            <w:shd w:val="clear" w:color="auto" w:fill="EEEFEF"/>
          </w:tcPr>
          <w:p>
            <w:pPr>
              <w:spacing w:after="0"/>
              <w:rPr>
                <w:sz w:val="16"/>
                <w:szCs w:val="16"/>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employment actions or decisions.</w:t>
            </w:r>
          </w:p>
        </w:tc>
        <w:tc>
          <w:tcPr>
            <w:tcW w:w="660" w:type="dxa"/>
            <w:vAlign w:val="bottom"/>
            <w:shd w:val="clear" w:color="auto" w:fill="6484A5"/>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80" w:type="dxa"/>
            <w:vAlign w:val="bottom"/>
            <w:shd w:val="clear" w:color="auto" w:fill="EEEFEF"/>
          </w:tcPr>
          <w:p>
            <w:pPr>
              <w:spacing w:after="0"/>
              <w:rPr>
                <w:sz w:val="24"/>
                <w:szCs w:val="24"/>
                <w:color w:val="auto"/>
              </w:rPr>
            </w:pPr>
          </w:p>
        </w:tc>
        <w:tc>
          <w:tcPr>
            <w:tcW w:w="8000" w:type="dxa"/>
            <w:vAlign w:val="bottom"/>
            <w:shd w:val="clear" w:color="auto" w:fill="EEEFEF"/>
          </w:tcPr>
          <w:p>
            <w:pPr>
              <w:ind w:left="20"/>
              <w:spacing w:after="0"/>
              <w:rPr>
                <w:sz w:val="20"/>
                <w:szCs w:val="20"/>
                <w:color w:val="auto"/>
              </w:rPr>
            </w:pPr>
            <w:r>
              <w:rPr>
                <w:rFonts w:ascii="Arial" w:cs="Arial" w:eastAsia="Arial" w:hAnsi="Arial"/>
                <w:sz w:val="16"/>
                <w:szCs w:val="16"/>
                <w:color w:val="auto"/>
              </w:rPr>
              <w:t>Feedback on OC members is provided by the Firm's risk and control professionals.</w:t>
            </w:r>
          </w:p>
        </w:tc>
        <w:tc>
          <w:tcPr>
            <w:tcW w:w="660" w:type="dxa"/>
            <w:vAlign w:val="bottom"/>
            <w:shd w:val="clear" w:color="auto" w:fill="6484A5"/>
          </w:tcPr>
          <w:p>
            <w:pPr>
              <w:jc w:val="center"/>
              <w:spacing w:after="0"/>
              <w:rPr>
                <w:sz w:val="20"/>
                <w:szCs w:val="20"/>
                <w:color w:val="auto"/>
              </w:rPr>
            </w:pPr>
            <w:r>
              <w:rPr>
                <w:rFonts w:ascii="Arial" w:cs="Arial" w:eastAsia="Arial" w:hAnsi="Arial"/>
                <w:sz w:val="16"/>
                <w:szCs w:val="16"/>
                <w:b w:val="1"/>
                <w:bCs w:val="1"/>
                <w:color w:val="FFFFFF"/>
              </w:rPr>
              <w:t>Q4</w:t>
            </w:r>
          </w:p>
        </w:tc>
        <w:tc>
          <w:tcPr>
            <w:tcW w:w="0" w:type="dxa"/>
            <w:vAlign w:val="bottom"/>
          </w:tcPr>
          <w:p>
            <w:pPr>
              <w:spacing w:after="0"/>
              <w:rPr>
                <w:sz w:val="1"/>
                <w:szCs w:val="1"/>
                <w:color w:val="auto"/>
              </w:rPr>
            </w:pPr>
          </w:p>
        </w:tc>
      </w:tr>
      <w:tr>
        <w:trPr>
          <w:trHeight w:val="73"/>
        </w:trPr>
        <w:tc>
          <w:tcPr>
            <w:tcW w:w="180" w:type="dxa"/>
            <w:vAlign w:val="bottom"/>
            <w:shd w:val="clear" w:color="auto" w:fill="EEEFEF"/>
          </w:tcPr>
          <w:p>
            <w:pPr>
              <w:spacing w:after="0"/>
              <w:rPr>
                <w:sz w:val="6"/>
                <w:szCs w:val="6"/>
                <w:color w:val="auto"/>
              </w:rPr>
            </w:pPr>
          </w:p>
        </w:tc>
        <w:tc>
          <w:tcPr>
            <w:tcW w:w="8000" w:type="dxa"/>
            <w:vAlign w:val="bottom"/>
            <w:shd w:val="clear" w:color="auto" w:fill="EEEFEF"/>
          </w:tcPr>
          <w:p>
            <w:pPr>
              <w:spacing w:after="0"/>
              <w:rPr>
                <w:sz w:val="6"/>
                <w:szCs w:val="6"/>
                <w:color w:val="auto"/>
              </w:rPr>
            </w:pPr>
          </w:p>
        </w:tc>
        <w:tc>
          <w:tcPr>
            <w:tcW w:w="660" w:type="dxa"/>
            <w:vAlign w:val="bottom"/>
            <w:shd w:val="clear" w:color="auto" w:fill="6484A5"/>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180" w:type="dxa"/>
            <w:vAlign w:val="bottom"/>
          </w:tcPr>
          <w:p>
            <w:pPr>
              <w:spacing w:after="0"/>
              <w:rPr>
                <w:sz w:val="24"/>
                <w:szCs w:val="24"/>
                <w:color w:val="auto"/>
              </w:rPr>
            </w:pPr>
          </w:p>
        </w:tc>
        <w:tc>
          <w:tcPr>
            <w:tcW w:w="8000" w:type="dxa"/>
            <w:vAlign w:val="bottom"/>
            <w:tcBorders>
              <w:bottom w:val="single" w:sz="8" w:color="EEEFEF"/>
            </w:tcBorders>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Q4</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8000" w:type="dxa"/>
            <w:vAlign w:val="bottom"/>
          </w:tcPr>
          <w:p>
            <w:pPr>
              <w:ind w:left="20"/>
              <w:spacing w:after="0"/>
              <w:rPr>
                <w:sz w:val="20"/>
                <w:szCs w:val="20"/>
                <w:color w:val="auto"/>
              </w:rPr>
            </w:pPr>
            <w:r>
              <w:rPr>
                <w:rFonts w:ascii="Arial" w:cs="Arial" w:eastAsia="Arial" w:hAnsi="Arial"/>
                <w:sz w:val="16"/>
                <w:szCs w:val="16"/>
                <w:color w:val="auto"/>
              </w:rPr>
              <w:t>OC members prepare individual self-assessments. At year-end, the Board and CMDC are provided with OC</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8000" w:type="dxa"/>
            <w:vAlign w:val="bottom"/>
          </w:tcPr>
          <w:p>
            <w:pPr>
              <w:ind w:left="20"/>
              <w:spacing w:after="0"/>
              <w:rPr>
                <w:sz w:val="20"/>
                <w:szCs w:val="20"/>
                <w:color w:val="auto"/>
              </w:rPr>
            </w:pPr>
            <w:r>
              <w:rPr>
                <w:rFonts w:ascii="Arial" w:cs="Arial" w:eastAsia="Arial" w:hAnsi="Arial"/>
                <w:sz w:val="16"/>
                <w:szCs w:val="16"/>
                <w:color w:val="auto"/>
              </w:rPr>
              <w:t>members’ individual self-assessments in support of their holistic assessment throughout the cycle of OC</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-3815080</wp:posOffset>
            </wp:positionV>
            <wp:extent cx="5627370" cy="4106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27370" cy="4106545"/>
                    </a:xfrm>
                    <a:prstGeom prst="rect">
                      <a:avLst/>
                    </a:prstGeom>
                    <a:noFill/>
                  </pic:spPr>
                </pic:pic>
              </a:graphicData>
            </a:graphic>
          </wp:anchor>
        </w:drawing>
      </w:r>
    </w:p>
    <w:p>
      <w:pPr>
        <w:ind w:left="200" w:right="940"/>
        <w:spacing w:after="0" w:line="260" w:lineRule="auto"/>
        <w:rPr>
          <w:sz w:val="20"/>
          <w:szCs w:val="20"/>
          <w:color w:val="auto"/>
        </w:rPr>
      </w:pPr>
      <w:r>
        <w:rPr>
          <w:rFonts w:ascii="Arial" w:cs="Arial" w:eastAsia="Arial" w:hAnsi="Arial"/>
          <w:sz w:val="16"/>
          <w:szCs w:val="16"/>
          <w:color w:val="auto"/>
        </w:rPr>
        <w:t>member performance against strategic priorities. Individual performance of our NEOs is discussed in greater detail on pages 66-71.</w:t>
      </w:r>
    </w:p>
    <w:p>
      <w:pPr>
        <w:spacing w:after="0" w:line="166" w:lineRule="exact"/>
        <w:rPr>
          <w:sz w:val="20"/>
          <w:szCs w:val="20"/>
          <w:color w:val="auto"/>
        </w:rPr>
      </w:pPr>
    </w:p>
    <w:p>
      <w:pPr>
        <w:sectPr>
          <w:pgSz w:w="11900" w:h="16838" w:orient="portrait"/>
          <w:cols w:equalWidth="0" w:num="2">
            <w:col w:w="2240" w:space="120"/>
            <w:col w:w="8900"/>
          </w:cols>
          <w:pgMar w:left="320" w:top="171" w:right="319" w:bottom="1440" w:gutter="0" w:footer="0" w:header="0"/>
          <w:type w:val="continuous"/>
        </w:sectPr>
      </w:pPr>
    </w:p>
    <w:p>
      <w:pPr>
        <w:ind w:right="600"/>
        <w:spacing w:after="0" w:line="261" w:lineRule="auto"/>
        <w:rPr>
          <w:sz w:val="20"/>
          <w:szCs w:val="20"/>
          <w:color w:val="auto"/>
        </w:rPr>
      </w:pPr>
      <w:r>
        <w:rPr>
          <w:rFonts w:ascii="Arial" w:cs="Arial" w:eastAsia="Arial" w:hAnsi="Arial"/>
          <w:sz w:val="18"/>
          <w:szCs w:val="18"/>
          <w:color w:val="auto"/>
        </w:rPr>
        <w:t>Throughout the performance assessment process, the Board and CMDC engage in regular discussions with the CEO and the Head of Human Resources ("HR") about individual OC members’ performance, as appropriate.</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This approach (rather than determining pay levels during a single year-end process) enables the CMDC and the Board to make balanced and informed OC member pay decisions that are aligned with long-term performance against four broad dimensions, which consider short-, medium- and long-term priorities that drive sustained shareholder value, while accounting for risk, controls and conduct objectives:</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274"/>
        </w:trPr>
        <w:tc>
          <w:tcPr>
            <w:tcW w:w="2040" w:type="dxa"/>
            <w:vAlign w:val="bottom"/>
            <w:vMerge w:val="restart"/>
            <w:shd w:val="clear" w:color="auto" w:fill="074A75"/>
          </w:tcPr>
          <w:p>
            <w:pPr>
              <w:ind w:left="280"/>
              <w:spacing w:after="0"/>
              <w:rPr>
                <w:sz w:val="20"/>
                <w:szCs w:val="20"/>
                <w:color w:val="auto"/>
              </w:rPr>
            </w:pPr>
            <w:r>
              <w:rPr>
                <w:rFonts w:ascii="Arial" w:cs="Arial" w:eastAsia="Arial" w:hAnsi="Arial"/>
                <w:sz w:val="18"/>
                <w:szCs w:val="18"/>
                <w:b w:val="1"/>
                <w:bCs w:val="1"/>
                <w:color w:val="FFFFFF"/>
              </w:rPr>
              <w:t>Business Results</w:t>
            </w:r>
          </w:p>
        </w:tc>
        <w:tc>
          <w:tcPr>
            <w:tcW w:w="240" w:type="dxa"/>
            <w:vAlign w:val="bottom"/>
          </w:tcPr>
          <w:p>
            <w:pPr>
              <w:spacing w:after="0"/>
              <w:rPr>
                <w:sz w:val="23"/>
                <w:szCs w:val="23"/>
                <w:color w:val="auto"/>
              </w:rPr>
            </w:pPr>
          </w:p>
        </w:tc>
        <w:tc>
          <w:tcPr>
            <w:tcW w:w="2040" w:type="dxa"/>
            <w:vAlign w:val="bottom"/>
            <w:shd w:val="clear" w:color="auto" w:fill="6484A5"/>
          </w:tcPr>
          <w:p>
            <w:pPr>
              <w:jc w:val="center"/>
              <w:spacing w:after="0"/>
              <w:rPr>
                <w:sz w:val="20"/>
                <w:szCs w:val="20"/>
                <w:color w:val="auto"/>
              </w:rPr>
            </w:pPr>
            <w:r>
              <w:rPr>
                <w:rFonts w:ascii="Arial" w:cs="Arial" w:eastAsia="Arial" w:hAnsi="Arial"/>
                <w:sz w:val="18"/>
                <w:szCs w:val="18"/>
                <w:b w:val="1"/>
                <w:bCs w:val="1"/>
                <w:color w:val="FFFFFF"/>
                <w:w w:val="99"/>
              </w:rPr>
              <w:t>Risk, Controls &amp;</w:t>
            </w:r>
          </w:p>
        </w:tc>
        <w:tc>
          <w:tcPr>
            <w:tcW w:w="220" w:type="dxa"/>
            <w:vAlign w:val="bottom"/>
          </w:tcPr>
          <w:p>
            <w:pPr>
              <w:spacing w:after="0"/>
              <w:rPr>
                <w:sz w:val="23"/>
                <w:szCs w:val="23"/>
                <w:color w:val="auto"/>
              </w:rPr>
            </w:pPr>
          </w:p>
        </w:tc>
        <w:tc>
          <w:tcPr>
            <w:tcW w:w="2040" w:type="dxa"/>
            <w:vAlign w:val="bottom"/>
            <w:shd w:val="clear" w:color="auto" w:fill="939598"/>
          </w:tcPr>
          <w:p>
            <w:pPr>
              <w:jc w:val="center"/>
              <w:spacing w:after="0"/>
              <w:rPr>
                <w:sz w:val="20"/>
                <w:szCs w:val="20"/>
                <w:color w:val="auto"/>
              </w:rPr>
            </w:pPr>
            <w:r>
              <w:rPr>
                <w:rFonts w:ascii="Arial" w:cs="Arial" w:eastAsia="Arial" w:hAnsi="Arial"/>
                <w:sz w:val="18"/>
                <w:szCs w:val="18"/>
                <w:b w:val="1"/>
                <w:bCs w:val="1"/>
                <w:color w:val="FFFFFF"/>
              </w:rPr>
              <w:t>Client / Customer /</w:t>
            </w:r>
          </w:p>
        </w:tc>
        <w:tc>
          <w:tcPr>
            <w:tcW w:w="240" w:type="dxa"/>
            <w:vAlign w:val="bottom"/>
          </w:tcPr>
          <w:p>
            <w:pPr>
              <w:spacing w:after="0"/>
              <w:rPr>
                <w:sz w:val="23"/>
                <w:szCs w:val="23"/>
                <w:color w:val="auto"/>
              </w:rPr>
            </w:pPr>
          </w:p>
        </w:tc>
        <w:tc>
          <w:tcPr>
            <w:tcW w:w="2040" w:type="dxa"/>
            <w:vAlign w:val="bottom"/>
            <w:shd w:val="clear" w:color="auto" w:fill="6D6E71"/>
          </w:tcPr>
          <w:p>
            <w:pPr>
              <w:jc w:val="center"/>
              <w:spacing w:after="0"/>
              <w:rPr>
                <w:sz w:val="20"/>
                <w:szCs w:val="20"/>
                <w:color w:val="auto"/>
              </w:rPr>
            </w:pPr>
            <w:r>
              <w:rPr>
                <w:rFonts w:ascii="Arial" w:cs="Arial" w:eastAsia="Arial" w:hAnsi="Arial"/>
                <w:sz w:val="18"/>
                <w:szCs w:val="18"/>
                <w:b w:val="1"/>
                <w:bCs w:val="1"/>
                <w:color w:val="FFFFFF"/>
                <w:w w:val="97"/>
              </w:rPr>
              <w:t>Teamwork &amp;</w:t>
            </w:r>
          </w:p>
        </w:tc>
        <w:tc>
          <w:tcPr>
            <w:tcW w:w="0" w:type="dxa"/>
            <w:vAlign w:val="bottom"/>
          </w:tcPr>
          <w:p>
            <w:pPr>
              <w:spacing w:after="0"/>
              <w:rPr>
                <w:sz w:val="1"/>
                <w:szCs w:val="1"/>
                <w:color w:val="auto"/>
              </w:rPr>
            </w:pPr>
          </w:p>
        </w:tc>
      </w:tr>
      <w:tr>
        <w:trPr>
          <w:trHeight w:val="131"/>
        </w:trPr>
        <w:tc>
          <w:tcPr>
            <w:tcW w:w="2040" w:type="dxa"/>
            <w:vAlign w:val="bottom"/>
            <w:vMerge w:val="continue"/>
            <w:shd w:val="clear" w:color="auto" w:fill="074A75"/>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vMerge w:val="restart"/>
            <w:shd w:val="clear" w:color="auto" w:fill="6484A5"/>
          </w:tcPr>
          <w:p>
            <w:pPr>
              <w:jc w:val="center"/>
              <w:spacing w:after="0"/>
              <w:rPr>
                <w:sz w:val="20"/>
                <w:szCs w:val="20"/>
                <w:color w:val="auto"/>
              </w:rPr>
            </w:pPr>
            <w:r>
              <w:rPr>
                <w:rFonts w:ascii="Arial" w:cs="Arial" w:eastAsia="Arial" w:hAnsi="Arial"/>
                <w:sz w:val="18"/>
                <w:szCs w:val="18"/>
                <w:b w:val="1"/>
                <w:bCs w:val="1"/>
                <w:color w:val="FFFFFF"/>
                <w:w w:val="98"/>
              </w:rPr>
              <w:t>Conduct</w:t>
            </w:r>
          </w:p>
        </w:tc>
        <w:tc>
          <w:tcPr>
            <w:tcW w:w="220" w:type="dxa"/>
            <w:vAlign w:val="bottom"/>
          </w:tcPr>
          <w:p>
            <w:pPr>
              <w:spacing w:after="0"/>
              <w:rPr>
                <w:sz w:val="11"/>
                <w:szCs w:val="11"/>
                <w:color w:val="auto"/>
              </w:rPr>
            </w:pPr>
          </w:p>
        </w:tc>
        <w:tc>
          <w:tcPr>
            <w:tcW w:w="2040" w:type="dxa"/>
            <w:vAlign w:val="bottom"/>
            <w:vMerge w:val="restart"/>
            <w:shd w:val="clear" w:color="auto" w:fill="939598"/>
          </w:tcPr>
          <w:p>
            <w:pPr>
              <w:jc w:val="center"/>
              <w:spacing w:after="0"/>
              <w:rPr>
                <w:sz w:val="20"/>
                <w:szCs w:val="20"/>
                <w:color w:val="auto"/>
              </w:rPr>
            </w:pPr>
            <w:r>
              <w:rPr>
                <w:rFonts w:ascii="Arial" w:cs="Arial" w:eastAsia="Arial" w:hAnsi="Arial"/>
                <w:sz w:val="18"/>
                <w:szCs w:val="18"/>
                <w:b w:val="1"/>
                <w:bCs w:val="1"/>
                <w:color w:val="FFFFFF"/>
              </w:rPr>
              <w:t>Stakeholder</w:t>
            </w:r>
          </w:p>
        </w:tc>
        <w:tc>
          <w:tcPr>
            <w:tcW w:w="240" w:type="dxa"/>
            <w:vAlign w:val="bottom"/>
          </w:tcPr>
          <w:p>
            <w:pPr>
              <w:spacing w:after="0"/>
              <w:rPr>
                <w:sz w:val="11"/>
                <w:szCs w:val="11"/>
                <w:color w:val="auto"/>
              </w:rPr>
            </w:pPr>
          </w:p>
        </w:tc>
        <w:tc>
          <w:tcPr>
            <w:tcW w:w="2040" w:type="dxa"/>
            <w:vAlign w:val="bottom"/>
            <w:vMerge w:val="restart"/>
            <w:shd w:val="clear" w:color="auto" w:fill="6D6E71"/>
          </w:tcPr>
          <w:p>
            <w:pPr>
              <w:jc w:val="center"/>
              <w:spacing w:after="0"/>
              <w:rPr>
                <w:sz w:val="20"/>
                <w:szCs w:val="20"/>
                <w:color w:val="auto"/>
              </w:rPr>
            </w:pPr>
            <w:r>
              <w:rPr>
                <w:rFonts w:ascii="Arial" w:cs="Arial" w:eastAsia="Arial" w:hAnsi="Arial"/>
                <w:sz w:val="18"/>
                <w:szCs w:val="18"/>
                <w:b w:val="1"/>
                <w:bCs w:val="1"/>
                <w:color w:val="FFFFFF"/>
                <w:w w:val="99"/>
              </w:rPr>
              <w:t>Leadership</w:t>
            </w:r>
          </w:p>
        </w:tc>
        <w:tc>
          <w:tcPr>
            <w:tcW w:w="0" w:type="dxa"/>
            <w:vAlign w:val="bottom"/>
          </w:tcPr>
          <w:p>
            <w:pPr>
              <w:spacing w:after="0"/>
              <w:rPr>
                <w:sz w:val="1"/>
                <w:szCs w:val="1"/>
                <w:color w:val="auto"/>
              </w:rPr>
            </w:pPr>
          </w:p>
        </w:tc>
      </w:tr>
      <w:tr>
        <w:trPr>
          <w:trHeight w:val="108"/>
        </w:trPr>
        <w:tc>
          <w:tcPr>
            <w:tcW w:w="2040" w:type="dxa"/>
            <w:vAlign w:val="bottom"/>
            <w:shd w:val="clear" w:color="auto" w:fill="074A75"/>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6484A5"/>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vMerge w:val="continue"/>
            <w:shd w:val="clear" w:color="auto" w:fill="939598"/>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6D6E7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40" w:type="dxa"/>
            <w:vAlign w:val="bottom"/>
            <w:shd w:val="clear" w:color="auto" w:fill="074A75"/>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shd w:val="clear" w:color="auto" w:fill="6484A5"/>
          </w:tcPr>
          <w:p>
            <w:pPr>
              <w:spacing w:after="0"/>
              <w:rPr>
                <w:sz w:val="7"/>
                <w:szCs w:val="7"/>
                <w:color w:val="auto"/>
              </w:rPr>
            </w:pPr>
          </w:p>
        </w:tc>
        <w:tc>
          <w:tcPr>
            <w:tcW w:w="220" w:type="dxa"/>
            <w:vAlign w:val="bottom"/>
          </w:tcPr>
          <w:p>
            <w:pPr>
              <w:spacing w:after="0"/>
              <w:rPr>
                <w:sz w:val="7"/>
                <w:szCs w:val="7"/>
                <w:color w:val="auto"/>
              </w:rPr>
            </w:pPr>
          </w:p>
        </w:tc>
        <w:tc>
          <w:tcPr>
            <w:tcW w:w="2040" w:type="dxa"/>
            <w:vAlign w:val="bottom"/>
            <w:shd w:val="clear" w:color="auto" w:fill="939598"/>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shd w:val="clear" w:color="auto" w:fill="6D6E71"/>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To promote a proper pay-for-performance alignment, the CMDC does not assign relative weightings to these dimensions, and also considers other relevant factors, including market practices.</w:t>
      </w: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Pay determination and pay mix</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074A75"/>
        </w:rPr>
        <w:t>EVALUATING MARKET PRACTICES</w:t>
      </w:r>
    </w:p>
    <w:p>
      <w:pPr>
        <w:spacing w:after="0" w:line="11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pay levels, pay mix and pay practices.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8"/>
              </w:rPr>
              <w:t>Goldman Sachs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Bank of America</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w w:val="99"/>
              </w:rPr>
              <w:t>Morgan Stanley</w:t>
            </w:r>
          </w:p>
        </w:tc>
      </w:tr>
      <w:tr>
        <w:trPr>
          <w:trHeight w:val="217"/>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3560" w:type="dxa"/>
            <w:vAlign w:val="bottom"/>
          </w:tcPr>
          <w:p>
            <w:pPr>
              <w:ind w:left="60"/>
              <w:spacing w:after="0"/>
              <w:rPr>
                <w:sz w:val="20"/>
                <w:szCs w:val="20"/>
                <w:color w:val="auto"/>
              </w:rPr>
            </w:pPr>
            <w:r>
              <w:rPr>
                <w:rFonts w:ascii="Arial" w:cs="Arial" w:eastAsia="Arial" w:hAnsi="Arial"/>
                <w:sz w:val="18"/>
                <w:szCs w:val="18"/>
                <w:color w:val="auto"/>
              </w:rPr>
              <w:t>Citigroup</w:t>
            </w:r>
          </w:p>
        </w:tc>
        <w:tc>
          <w:tcPr>
            <w:tcW w:w="2180" w:type="dxa"/>
            <w:vAlign w:val="bottom"/>
          </w:tcPr>
          <w:p>
            <w:pPr>
              <w:ind w:left="2040"/>
              <w:spacing w:after="0"/>
              <w:rPr>
                <w:sz w:val="20"/>
                <w:szCs w:val="20"/>
                <w:color w:val="auto"/>
              </w:rPr>
            </w:pPr>
            <w:r>
              <w:rPr>
                <w:rFonts w:ascii="Arial" w:cs="Arial" w:eastAsia="Arial" w:hAnsi="Arial"/>
                <w:sz w:val="18"/>
                <w:szCs w:val="18"/>
                <w:color w:val="074A75"/>
              </w:rPr>
              <w:t>•</w:t>
            </w:r>
          </w:p>
        </w:tc>
        <w:tc>
          <w:tcPr>
            <w:tcW w:w="1340" w:type="dxa"/>
            <w:vAlign w:val="bottom"/>
          </w:tcPr>
          <w:p>
            <w:pPr>
              <w:ind w:left="60"/>
              <w:spacing w:after="0"/>
              <w:rPr>
                <w:sz w:val="20"/>
                <w:szCs w:val="20"/>
                <w:color w:val="auto"/>
              </w:rPr>
            </w:pPr>
            <w:r>
              <w:rPr>
                <w:rFonts w:ascii="Arial" w:cs="Arial" w:eastAsia="Arial" w:hAnsi="Arial"/>
                <w:sz w:val="18"/>
                <w:szCs w:val="18"/>
                <w:color w:val="auto"/>
              </w:rPr>
              <w:t>Wells Fargo</w:t>
            </w:r>
          </w:p>
        </w:tc>
      </w:tr>
    </w:tbl>
    <w:p>
      <w:pPr>
        <w:spacing w:after="0" w:line="10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some or all of the following: 3M, Alphabet, Amazon, Apple, AT&amp;T, Barclays, BlackRock, BNY Mellon, Boeing, Capital One Financial, Chevron, Coca-Cola, Comcast, Credit Suisse, CVS Health, Deutsche Bank, ExxonMobil, Facebook, General Electric, HSBC, IBM, Johnson &amp; Johnson, Merck, Microsoft, Oracle, PayPal, PepsiCo, Pfizer, Procter &amp; Gamble, UBS, United Technologies,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074A75"/>
        </w:rPr>
        <w:t>DISCIPLINED PROCESS TO DETERMINE PAY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074A75"/>
        </w:rPr>
        <w:t>Pay level</w:t>
      </w:r>
    </w:p>
    <w:p>
      <w:pPr>
        <w:spacing w:after="0" w:line="11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 determining total compensation levels for individual OC members, the CMDC evaluates various pay scenarios in light of the following considerations to inform their judgment:</w:t>
      </w:r>
    </w:p>
    <w:p>
      <w:pPr>
        <w:spacing w:after="0" w:line="90" w:lineRule="exact"/>
        <w:rPr>
          <w:sz w:val="20"/>
          <w:szCs w:val="20"/>
          <w:color w:val="auto"/>
        </w:rPr>
      </w:pPr>
    </w:p>
    <w:p>
      <w:pPr>
        <w:ind w:left="200" w:hanging="192"/>
        <w:spacing w:after="0"/>
        <w:tabs>
          <w:tab w:leader="none" w:pos="200"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Performance, based on the four broad assessment dimensions as discussed on pages 53-64, including risk and control</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Value of the position to the organization and shareholders over time (i.e., “value of seat”)</w:t>
      </w:r>
    </w:p>
    <w:p>
      <w:pPr>
        <w:spacing w:after="0" w:line="76" w:lineRule="exact"/>
        <w:rPr>
          <w:rFonts w:ascii="Arial" w:cs="Arial" w:eastAsia="Arial" w:hAnsi="Arial"/>
          <w:sz w:val="18"/>
          <w:szCs w:val="18"/>
          <w:color w:val="074A75"/>
        </w:rPr>
      </w:pPr>
    </w:p>
    <w:p>
      <w:pPr>
        <w:ind w:left="200" w:right="240" w:hanging="192"/>
        <w:spacing w:after="0" w:line="261" w:lineRule="auto"/>
        <w:tabs>
          <w:tab w:leader="none" w:pos="204"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Leadership and the example they set for others by acting with integrity and strengthening the Firm’s culture, including diversity, inclusion and respect</w:t>
      </w:r>
    </w:p>
    <w:p>
      <w:pPr>
        <w:spacing w:after="0" w:line="49" w:lineRule="exact"/>
        <w:rPr>
          <w:rFonts w:ascii="Arial" w:cs="Arial" w:eastAsia="Arial" w:hAnsi="Arial"/>
          <w:sz w:val="18"/>
          <w:szCs w:val="18"/>
          <w:color w:val="074A75"/>
        </w:rPr>
      </w:pPr>
    </w:p>
    <w:p>
      <w:pPr>
        <w:ind w:left="200" w:hanging="192"/>
        <w:spacing w:after="0"/>
        <w:tabs>
          <w:tab w:leader="none" w:pos="200" w:val="left"/>
        </w:tabs>
        <w:numPr>
          <w:ilvl w:val="0"/>
          <w:numId w:val="122"/>
        </w:numPr>
        <w:rPr>
          <w:rFonts w:ascii="Arial" w:cs="Arial" w:eastAsia="Arial" w:hAnsi="Arial"/>
          <w:sz w:val="18"/>
          <w:szCs w:val="18"/>
          <w:color w:val="074A75"/>
        </w:rPr>
      </w:pPr>
      <w:r>
        <w:rPr>
          <w:rFonts w:ascii="Arial" w:cs="Arial" w:eastAsia="Arial" w:hAnsi="Arial"/>
          <w:sz w:val="18"/>
          <w:szCs w:val="18"/>
          <w:color w:val="auto"/>
        </w:rPr>
        <w:t>External talent market (i.e., market data)</w:t>
      </w:r>
    </w:p>
    <w:p>
      <w:pPr>
        <w:spacing w:after="0" w:line="11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10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2020, compensation awarded to the OC members also represents a balance between the outstanding efforts and performance of the Firm during COVID-19 with the impact of the pandemic on the Firm's other stakeholders.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74A75"/>
        </w:rPr>
        <w:t>Pay mix</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Once the CMDC determines OC members’ total incentive compensation, it then establishes the appropriate pay mix between an annual cash incentive and long-term equity, including PSUs and RSUs.</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For OC members other than the CEO and Mr. Pinto, consistent with prior years, the CMDC continued to apply the Firm’s standard cash/equity incentive mix formula to each of their 2020 incentive compensation awards. For the CEO, also consistent with prior years, the Board continued to override the standard cash/equity formula to maintain a lower cash allocation of $5 million, so that a larger majority of his incentive compensation would be comprised of shareholder-aligned equity, with 100% of it in the form of performance-conditioned PSUs. PSUs are 100% at-risk and will result in no payout unless a threshold performance level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267970</wp:posOffset>
            </wp:positionV>
            <wp:extent cx="274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45  </w:t>
      </w:r>
      <w:r>
        <w:rPr>
          <w:sz w:val="1"/>
          <w:szCs w:val="1"/>
          <w:color w:val="auto"/>
        </w:rPr>
        <w:drawing>
          <wp:inline distT="0" distB="0" distL="0" distR="0">
            <wp:extent cx="2203450" cy="15430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For OC members other than the CEO, the CMDC determined that a 50%/50% mix of time-based RSUs and at-risk PSUs would continue to provide an appropriate balance to their equity exposure. Per the Firm’s standard cash/equity incentive mix formula, the OC members were awarded 60% of their incentive compensation in long-term equity (30% in PSUs and 30% in RSUs), with the remaining 40% paid in cash.</w:t>
      </w:r>
    </w:p>
    <w:p>
      <w:pPr>
        <w:spacing w:after="0" w:line="7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CMDC believes that this significant weighting of pay mix to equity encourages OC members to focus on the long-term success of the Firm while mitigating excessive risk-taking, and provides a competitive annual cash incentive opportunity. The CMDC has established a different pay mix for Mr. Pinto (including a fixed allowance) due to local E.U. and U.K. regulations for Identified Staff under the Capital Requirements Directive IV. For further details on Mr. Pinto’s pay mix, see Note 1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074A75"/>
        </w:rPr>
        <w:t>Summary of pay elements</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table below summarizes the elements of compensation for the 2020 performance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1520" w:type="dxa"/>
            <w:vAlign w:val="bottom"/>
            <w:tcBorders>
              <w:bottom w:val="single" w:sz="8" w:color="494949"/>
            </w:tcBorders>
            <w:gridSpan w:val="2"/>
          </w:tcPr>
          <w:p>
            <w:pPr>
              <w:ind w:left="260"/>
              <w:spacing w:after="0"/>
              <w:rPr>
                <w:sz w:val="20"/>
                <w:szCs w:val="20"/>
                <w:color w:val="auto"/>
              </w:rPr>
            </w:pPr>
            <w:r>
              <w:rPr>
                <w:rFonts w:ascii="Arial" w:cs="Arial" w:eastAsia="Arial" w:hAnsi="Arial"/>
                <w:sz w:val="16"/>
                <w:szCs w:val="16"/>
                <w:color w:val="auto"/>
              </w:rPr>
              <w:t>% of Variable</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205A85"/>
                <w:w w:val="99"/>
              </w:rPr>
              <w:t>Other</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205A85"/>
              </w:rPr>
              <w:t>Subject to</w:t>
            </w:r>
          </w:p>
        </w:tc>
        <w:tc>
          <w:tcPr>
            <w:tcW w:w="0" w:type="dxa"/>
            <w:vAlign w:val="bottom"/>
          </w:tcPr>
          <w:p>
            <w:pPr>
              <w:spacing w:after="0"/>
              <w:rPr>
                <w:sz w:val="1"/>
                <w:szCs w:val="1"/>
                <w:color w:val="auto"/>
              </w:rPr>
            </w:pPr>
          </w:p>
        </w:tc>
      </w:tr>
      <w:tr>
        <w:trPr>
          <w:trHeight w:val="217"/>
        </w:trPr>
        <w:tc>
          <w:tcPr>
            <w:tcW w:w="1000" w:type="dxa"/>
            <w:vAlign w:val="bottom"/>
          </w:tcPr>
          <w:p>
            <w:pPr>
              <w:ind w:left="20"/>
              <w:spacing w:after="0"/>
              <w:rPr>
                <w:sz w:val="20"/>
                <w:szCs w:val="20"/>
                <w:color w:val="auto"/>
              </w:rPr>
            </w:pPr>
            <w:r>
              <w:rPr>
                <w:rFonts w:ascii="Arial" w:cs="Arial" w:eastAsia="Arial" w:hAnsi="Arial"/>
                <w:sz w:val="16"/>
                <w:szCs w:val="16"/>
                <w:color w:val="205A85"/>
              </w:rPr>
              <w:t>Elements</w:t>
            </w:r>
          </w:p>
        </w:tc>
        <w:tc>
          <w:tcPr>
            <w:tcW w:w="760" w:type="dxa"/>
            <w:vAlign w:val="bottom"/>
          </w:tcPr>
          <w:p>
            <w:pPr>
              <w:jc w:val="center"/>
              <w:spacing w:after="0"/>
              <w:rPr>
                <w:sz w:val="20"/>
                <w:szCs w:val="20"/>
                <w:color w:val="auto"/>
              </w:rPr>
            </w:pPr>
            <w:r>
              <w:rPr>
                <w:rFonts w:ascii="Arial" w:cs="Arial" w:eastAsia="Arial" w:hAnsi="Arial"/>
                <w:sz w:val="16"/>
                <w:szCs w:val="16"/>
                <w:color w:val="205A85"/>
                <w:w w:val="97"/>
              </w:rPr>
              <w:t>CEO</w:t>
            </w:r>
          </w:p>
        </w:tc>
        <w:tc>
          <w:tcPr>
            <w:tcW w:w="760" w:type="dxa"/>
            <w:vAlign w:val="bottom"/>
          </w:tcPr>
          <w:p>
            <w:pPr>
              <w:jc w:val="center"/>
              <w:spacing w:after="0" w:line="217" w:lineRule="exact"/>
              <w:rPr>
                <w:sz w:val="20"/>
                <w:szCs w:val="20"/>
                <w:color w:val="auto"/>
              </w:rPr>
            </w:pPr>
            <w:r>
              <w:rPr>
                <w:rFonts w:ascii="Arial" w:cs="Arial" w:eastAsia="Arial" w:hAnsi="Arial"/>
                <w:sz w:val="16"/>
                <w:szCs w:val="16"/>
                <w:color w:val="205A85"/>
                <w:w w:val="95"/>
              </w:rPr>
              <w:t>NEOs</w:t>
            </w:r>
            <w:r>
              <w:rPr>
                <w:rFonts w:ascii="Arial" w:cs="Arial" w:eastAsia="Arial" w:hAnsi="Arial"/>
                <w:sz w:val="21"/>
                <w:szCs w:val="21"/>
                <w:color w:val="205A85"/>
                <w:w w:val="95"/>
                <w:vertAlign w:val="superscript"/>
              </w:rPr>
              <w:t>1</w:t>
            </w:r>
          </w:p>
        </w:tc>
        <w:tc>
          <w:tcPr>
            <w:tcW w:w="5640" w:type="dxa"/>
            <w:vAlign w:val="bottom"/>
          </w:tcPr>
          <w:p>
            <w:pPr>
              <w:ind w:left="2360"/>
              <w:spacing w:after="0" w:line="217" w:lineRule="exact"/>
              <w:rPr>
                <w:sz w:val="20"/>
                <w:szCs w:val="20"/>
                <w:color w:val="auto"/>
              </w:rPr>
            </w:pPr>
            <w:r>
              <w:rPr>
                <w:rFonts w:ascii="Arial" w:cs="Arial" w:eastAsia="Arial" w:hAnsi="Arial"/>
                <w:sz w:val="16"/>
                <w:szCs w:val="16"/>
                <w:color w:val="205A85"/>
              </w:rPr>
              <w:t>Description</w:t>
            </w:r>
            <w:r>
              <w:rPr>
                <w:rFonts w:ascii="Arial" w:cs="Arial" w:eastAsia="Arial" w:hAnsi="Arial"/>
                <w:sz w:val="21"/>
                <w:szCs w:val="21"/>
                <w:color w:val="205A85"/>
                <w:vertAlign w:val="superscript"/>
              </w:rPr>
              <w:t>1</w:t>
            </w:r>
          </w:p>
        </w:tc>
        <w:tc>
          <w:tcPr>
            <w:tcW w:w="140" w:type="dxa"/>
            <w:vAlign w:val="bottom"/>
          </w:tcPr>
          <w:p>
            <w:pPr>
              <w:spacing w:after="0"/>
              <w:rPr>
                <w:sz w:val="18"/>
                <w:szCs w:val="18"/>
                <w:color w:val="auto"/>
              </w:rPr>
            </w:pPr>
          </w:p>
        </w:tc>
        <w:tc>
          <w:tcPr>
            <w:tcW w:w="1880" w:type="dxa"/>
            <w:vAlign w:val="bottom"/>
          </w:tcPr>
          <w:p>
            <w:pPr>
              <w:ind w:left="300"/>
              <w:spacing w:after="0" w:line="217" w:lineRule="exact"/>
              <w:rPr>
                <w:sz w:val="20"/>
                <w:szCs w:val="20"/>
                <w:color w:val="auto"/>
              </w:rPr>
            </w:pPr>
            <w:r>
              <w:rPr>
                <w:rFonts w:ascii="Arial" w:cs="Arial" w:eastAsia="Arial" w:hAnsi="Arial"/>
                <w:sz w:val="16"/>
                <w:szCs w:val="16"/>
                <w:color w:val="205A85"/>
              </w:rPr>
              <w:t>Vesting Period</w:t>
            </w:r>
            <w:r>
              <w:rPr>
                <w:rFonts w:ascii="Arial" w:cs="Arial" w:eastAsia="Arial" w:hAnsi="Arial"/>
                <w:sz w:val="21"/>
                <w:szCs w:val="21"/>
                <w:color w:val="205A85"/>
                <w:vertAlign w:val="superscript"/>
              </w:rPr>
              <w:t>1</w:t>
            </w:r>
          </w:p>
        </w:tc>
        <w:tc>
          <w:tcPr>
            <w:tcW w:w="1060" w:type="dxa"/>
            <w:vAlign w:val="bottom"/>
          </w:tcPr>
          <w:p>
            <w:pPr>
              <w:jc w:val="center"/>
              <w:spacing w:after="0" w:line="217" w:lineRule="exact"/>
              <w:rPr>
                <w:sz w:val="20"/>
                <w:szCs w:val="20"/>
                <w:color w:val="auto"/>
              </w:rPr>
            </w:pPr>
            <w:r>
              <w:rPr>
                <w:rFonts w:ascii="Arial" w:cs="Arial" w:eastAsia="Arial" w:hAnsi="Arial"/>
                <w:sz w:val="16"/>
                <w:szCs w:val="16"/>
                <w:color w:val="205A85"/>
                <w:w w:val="98"/>
              </w:rPr>
              <w:t>Clawback</w:t>
            </w:r>
            <w:r>
              <w:rPr>
                <w:rFonts w:ascii="Arial" w:cs="Arial" w:eastAsia="Arial" w:hAnsi="Arial"/>
                <w:sz w:val="21"/>
                <w:szCs w:val="21"/>
                <w:color w:val="205A85"/>
                <w:w w:val="98"/>
                <w:vertAlign w:val="superscript"/>
              </w:rPr>
              <w:t>2</w:t>
            </w:r>
          </w:p>
        </w:tc>
        <w:tc>
          <w:tcPr>
            <w:tcW w:w="0" w:type="dxa"/>
            <w:vAlign w:val="bottom"/>
          </w:tcPr>
          <w:p>
            <w:pPr>
              <w:spacing w:after="0"/>
              <w:rPr>
                <w:sz w:val="1"/>
                <w:szCs w:val="1"/>
                <w:color w:val="auto"/>
              </w:rPr>
            </w:pPr>
          </w:p>
        </w:tc>
      </w:tr>
      <w:tr>
        <w:trPr>
          <w:trHeight w:val="243"/>
        </w:trPr>
        <w:tc>
          <w:tcPr>
            <w:tcW w:w="100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Fixed</w:t>
            </w:r>
          </w:p>
        </w:tc>
        <w:tc>
          <w:tcPr>
            <w:tcW w:w="760" w:type="dxa"/>
            <w:vAlign w:val="bottom"/>
            <w:tcBorders>
              <w:right w:val="single" w:sz="8" w:color="074A75"/>
            </w:tcBorders>
            <w:shd w:val="clear" w:color="auto" w:fill="074A75"/>
          </w:tcPr>
          <w:p>
            <w:pPr>
              <w:spacing w:after="0"/>
              <w:rPr>
                <w:sz w:val="21"/>
                <w:szCs w:val="21"/>
                <w:color w:val="auto"/>
              </w:rPr>
            </w:pPr>
          </w:p>
        </w:tc>
        <w:tc>
          <w:tcPr>
            <w:tcW w:w="760" w:type="dxa"/>
            <w:vAlign w:val="bottom"/>
            <w:tcBorders>
              <w:right w:val="single" w:sz="8" w:color="074A75"/>
            </w:tcBorders>
            <w:shd w:val="clear" w:color="auto" w:fill="074A75"/>
          </w:tcPr>
          <w:p>
            <w:pPr>
              <w:spacing w:after="0"/>
              <w:rPr>
                <w:sz w:val="21"/>
                <w:szCs w:val="21"/>
                <w:color w:val="auto"/>
              </w:rPr>
            </w:pPr>
          </w:p>
        </w:tc>
        <w:tc>
          <w:tcPr>
            <w:tcW w:w="5640" w:type="dxa"/>
            <w:vAlign w:val="bottom"/>
            <w:tcBorders>
              <w:right w:val="single" w:sz="8" w:color="074A75"/>
            </w:tcBorders>
            <w:shd w:val="clear" w:color="auto" w:fill="074A75"/>
          </w:tcPr>
          <w:p>
            <w:pPr>
              <w:spacing w:after="0"/>
              <w:rPr>
                <w:sz w:val="21"/>
                <w:szCs w:val="21"/>
                <w:color w:val="auto"/>
              </w:rPr>
            </w:pPr>
          </w:p>
        </w:tc>
        <w:tc>
          <w:tcPr>
            <w:tcW w:w="140" w:type="dxa"/>
            <w:vAlign w:val="bottom"/>
            <w:shd w:val="clear" w:color="auto" w:fill="074A75"/>
          </w:tcPr>
          <w:p>
            <w:pPr>
              <w:spacing w:after="0"/>
              <w:rPr>
                <w:sz w:val="21"/>
                <w:szCs w:val="21"/>
                <w:color w:val="auto"/>
              </w:rPr>
            </w:pPr>
          </w:p>
        </w:tc>
        <w:tc>
          <w:tcPr>
            <w:tcW w:w="1880" w:type="dxa"/>
            <w:vAlign w:val="bottom"/>
            <w:tcBorders>
              <w:right w:val="single" w:sz="8" w:color="074A75"/>
            </w:tcBorders>
            <w:shd w:val="clear" w:color="auto" w:fill="074A75"/>
          </w:tcPr>
          <w:p>
            <w:pPr>
              <w:spacing w:after="0"/>
              <w:rPr>
                <w:sz w:val="21"/>
                <w:szCs w:val="21"/>
                <w:color w:val="auto"/>
              </w:rPr>
            </w:pPr>
          </w:p>
        </w:tc>
        <w:tc>
          <w:tcPr>
            <w:tcW w:w="106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Salary</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N/A</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7"/>
              </w:rPr>
              <w:t>N/A</w:t>
            </w: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Fixed portion of total pay that enables us to attract and retain talent</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89"/>
        </w:trPr>
        <w:tc>
          <w:tcPr>
            <w:tcW w:w="1000" w:type="dxa"/>
            <w:vAlign w:val="bottom"/>
            <w:tcBorders>
              <w:right w:val="single" w:sz="8" w:color="494949"/>
            </w:tcBorders>
          </w:tcPr>
          <w:p>
            <w:pPr>
              <w:spacing w:after="0"/>
              <w:rPr>
                <w:sz w:val="24"/>
                <w:szCs w:val="24"/>
                <w:color w:val="auto"/>
              </w:rPr>
            </w:pPr>
          </w:p>
        </w:tc>
        <w:tc>
          <w:tcPr>
            <w:tcW w:w="760" w:type="dxa"/>
            <w:vAlign w:val="bottom"/>
            <w:tcBorders>
              <w:right w:val="single" w:sz="8" w:color="494949"/>
            </w:tcBorders>
          </w:tcPr>
          <w:p>
            <w:pPr>
              <w:spacing w:after="0"/>
              <w:rPr>
                <w:sz w:val="24"/>
                <w:szCs w:val="24"/>
                <w:color w:val="auto"/>
              </w:rPr>
            </w:pPr>
          </w:p>
        </w:tc>
        <w:tc>
          <w:tcPr>
            <w:tcW w:w="760" w:type="dxa"/>
            <w:vAlign w:val="bottom"/>
            <w:tcBorders>
              <w:right w:val="single" w:sz="8" w:color="494949"/>
            </w:tcBorders>
          </w:tcPr>
          <w:p>
            <w:pPr>
              <w:spacing w:after="0"/>
              <w:rPr>
                <w:sz w:val="24"/>
                <w:szCs w:val="24"/>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Only fixed source of cash compensation</w:t>
            </w:r>
          </w:p>
        </w:tc>
        <w:tc>
          <w:tcPr>
            <w:tcW w:w="140" w:type="dxa"/>
            <w:vAlign w:val="bottom"/>
          </w:tcPr>
          <w:p>
            <w:pPr>
              <w:spacing w:after="0"/>
              <w:rPr>
                <w:sz w:val="24"/>
                <w:szCs w:val="24"/>
                <w:color w:val="auto"/>
              </w:rPr>
            </w:pPr>
          </w:p>
        </w:tc>
        <w:tc>
          <w:tcPr>
            <w:tcW w:w="1880" w:type="dxa"/>
            <w:vAlign w:val="bottom"/>
            <w:tcBorders>
              <w:right w:val="single" w:sz="8" w:color="494949"/>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0" w:type="dxa"/>
            <w:vAlign w:val="bottom"/>
            <w:tcBorders>
              <w:right w:val="single" w:sz="8" w:color="074A75"/>
            </w:tcBorders>
            <w:shd w:val="clear" w:color="auto" w:fill="074A75"/>
          </w:tcPr>
          <w:p>
            <w:pPr>
              <w:ind w:left="20"/>
              <w:spacing w:after="0"/>
              <w:rPr>
                <w:sz w:val="20"/>
                <w:szCs w:val="20"/>
                <w:color w:val="auto"/>
              </w:rPr>
            </w:pPr>
            <w:r>
              <w:rPr>
                <w:rFonts w:ascii="Arial" w:cs="Arial" w:eastAsia="Arial" w:hAnsi="Arial"/>
                <w:sz w:val="16"/>
                <w:szCs w:val="16"/>
                <w:b w:val="1"/>
                <w:bCs w:val="1"/>
                <w:color w:val="FFFFFF"/>
              </w:rPr>
              <w:t>Variable</w:t>
            </w:r>
          </w:p>
        </w:tc>
        <w:tc>
          <w:tcPr>
            <w:tcW w:w="760" w:type="dxa"/>
            <w:vAlign w:val="bottom"/>
            <w:tcBorders>
              <w:right w:val="single" w:sz="8" w:color="074A75"/>
            </w:tcBorders>
            <w:shd w:val="clear" w:color="auto" w:fill="074A75"/>
          </w:tcPr>
          <w:p>
            <w:pPr>
              <w:spacing w:after="0"/>
              <w:rPr>
                <w:sz w:val="21"/>
                <w:szCs w:val="21"/>
                <w:color w:val="auto"/>
              </w:rPr>
            </w:pPr>
          </w:p>
        </w:tc>
        <w:tc>
          <w:tcPr>
            <w:tcW w:w="760" w:type="dxa"/>
            <w:vAlign w:val="bottom"/>
            <w:tcBorders>
              <w:right w:val="single" w:sz="8" w:color="074A75"/>
            </w:tcBorders>
            <w:shd w:val="clear" w:color="auto" w:fill="074A75"/>
          </w:tcPr>
          <w:p>
            <w:pPr>
              <w:spacing w:after="0"/>
              <w:rPr>
                <w:sz w:val="21"/>
                <w:szCs w:val="21"/>
                <w:color w:val="auto"/>
              </w:rPr>
            </w:pPr>
          </w:p>
        </w:tc>
        <w:tc>
          <w:tcPr>
            <w:tcW w:w="5640" w:type="dxa"/>
            <w:vAlign w:val="bottom"/>
            <w:tcBorders>
              <w:right w:val="single" w:sz="8" w:color="074A75"/>
            </w:tcBorders>
            <w:shd w:val="clear" w:color="auto" w:fill="074A75"/>
          </w:tcPr>
          <w:p>
            <w:pPr>
              <w:spacing w:after="0"/>
              <w:rPr>
                <w:sz w:val="21"/>
                <w:szCs w:val="21"/>
                <w:color w:val="auto"/>
              </w:rPr>
            </w:pPr>
          </w:p>
        </w:tc>
        <w:tc>
          <w:tcPr>
            <w:tcW w:w="140" w:type="dxa"/>
            <w:vAlign w:val="bottom"/>
            <w:shd w:val="clear" w:color="auto" w:fill="074A75"/>
          </w:tcPr>
          <w:p>
            <w:pPr>
              <w:spacing w:after="0"/>
              <w:rPr>
                <w:sz w:val="21"/>
                <w:szCs w:val="21"/>
                <w:color w:val="auto"/>
              </w:rPr>
            </w:pPr>
          </w:p>
        </w:tc>
        <w:tc>
          <w:tcPr>
            <w:tcW w:w="1880" w:type="dxa"/>
            <w:vAlign w:val="bottom"/>
            <w:tcBorders>
              <w:right w:val="single" w:sz="8" w:color="074A75"/>
            </w:tcBorders>
            <w:shd w:val="clear" w:color="auto" w:fill="074A75"/>
          </w:tcPr>
          <w:p>
            <w:pPr>
              <w:spacing w:after="0"/>
              <w:rPr>
                <w:sz w:val="21"/>
                <w:szCs w:val="21"/>
                <w:color w:val="auto"/>
              </w:rPr>
            </w:pPr>
          </w:p>
        </w:tc>
        <w:tc>
          <w:tcPr>
            <w:tcW w:w="1060" w:type="dxa"/>
            <w:vAlign w:val="bottom"/>
            <w:shd w:val="clear" w:color="auto" w:fill="074A75"/>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Cash</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~17%</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40%</w:t>
            </w: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6"/>
                <w:szCs w:val="16"/>
                <w:color w:val="000000"/>
              </w:rPr>
              <w:t>Provides a competitive annual cash incentive opportunity</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Immediately vested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Incentive</w:t>
            </w:r>
          </w:p>
        </w:tc>
        <w:tc>
          <w:tcPr>
            <w:tcW w:w="760" w:type="dxa"/>
            <w:vAlign w:val="bottom"/>
            <w:tcBorders>
              <w:right w:val="single" w:sz="8" w:color="494949"/>
            </w:tcBorders>
          </w:tcPr>
          <w:p>
            <w:pPr>
              <w:spacing w:after="0"/>
              <w:rPr>
                <w:sz w:val="18"/>
                <w:szCs w:val="18"/>
                <w:color w:val="auto"/>
              </w:rPr>
            </w:pPr>
          </w:p>
        </w:tc>
        <w:tc>
          <w:tcPr>
            <w:tcW w:w="760" w:type="dxa"/>
            <w:vAlign w:val="bottom"/>
            <w:tcBorders>
              <w:right w:val="single" w:sz="8" w:color="494949"/>
            </w:tcBorders>
          </w:tcPr>
          <w:p>
            <w:pPr>
              <w:spacing w:after="0"/>
              <w:rPr>
                <w:sz w:val="18"/>
                <w:szCs w:val="18"/>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determined and awarded in the year following the performance</w:t>
            </w:r>
          </w:p>
        </w:tc>
        <w:tc>
          <w:tcPr>
            <w:tcW w:w="140" w:type="dxa"/>
            <w:vAlign w:val="bottom"/>
          </w:tcPr>
          <w:p>
            <w:pPr>
              <w:spacing w:after="0"/>
              <w:rPr>
                <w:sz w:val="18"/>
                <w:szCs w:val="18"/>
                <w:color w:val="auto"/>
              </w:rPr>
            </w:pPr>
          </w:p>
        </w:tc>
        <w:tc>
          <w:tcPr>
            <w:tcW w:w="1880" w:type="dxa"/>
            <w:vAlign w:val="bottom"/>
            <w:tcBorders>
              <w:right w:val="single" w:sz="8" w:color="494949"/>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000" w:type="dxa"/>
            <w:vAlign w:val="bottom"/>
            <w:tcBorders>
              <w:right w:val="single" w:sz="8" w:color="494949"/>
            </w:tcBorders>
          </w:tcPr>
          <w:p>
            <w:pPr>
              <w:spacing w:after="0"/>
              <w:rPr>
                <w:sz w:val="8"/>
                <w:szCs w:val="8"/>
                <w:color w:val="auto"/>
              </w:rPr>
            </w:pPr>
          </w:p>
        </w:tc>
        <w:tc>
          <w:tcPr>
            <w:tcW w:w="760" w:type="dxa"/>
            <w:vAlign w:val="bottom"/>
            <w:tcBorders>
              <w:right w:val="single" w:sz="8" w:color="494949"/>
            </w:tcBorders>
          </w:tcPr>
          <w:p>
            <w:pPr>
              <w:spacing w:after="0"/>
              <w:rPr>
                <w:sz w:val="8"/>
                <w:szCs w:val="8"/>
                <w:color w:val="auto"/>
              </w:rPr>
            </w:pPr>
          </w:p>
        </w:tc>
        <w:tc>
          <w:tcPr>
            <w:tcW w:w="760" w:type="dxa"/>
            <w:vAlign w:val="bottom"/>
            <w:tcBorders>
              <w:right w:val="single" w:sz="8" w:color="494949"/>
            </w:tcBorders>
          </w:tcPr>
          <w:p>
            <w:pPr>
              <w:spacing w:after="0"/>
              <w:rPr>
                <w:sz w:val="8"/>
                <w:szCs w:val="8"/>
                <w:color w:val="auto"/>
              </w:rPr>
            </w:pPr>
          </w:p>
        </w:tc>
        <w:tc>
          <w:tcPr>
            <w:tcW w:w="5640" w:type="dxa"/>
            <w:vAlign w:val="bottom"/>
            <w:tcBorders>
              <w:right w:val="single" w:sz="8" w:color="494949"/>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tcBorders>
              <w:right w:val="single" w:sz="8" w:color="494949"/>
            </w:tcBorders>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year</w:t>
            </w:r>
          </w:p>
        </w:tc>
        <w:tc>
          <w:tcPr>
            <w:tcW w:w="140" w:type="dxa"/>
            <w:vAlign w:val="bottom"/>
          </w:tcPr>
          <w:p>
            <w:pPr>
              <w:spacing w:after="0"/>
              <w:rPr>
                <w:sz w:val="16"/>
                <w:szCs w:val="16"/>
                <w:color w:val="auto"/>
              </w:rPr>
            </w:pPr>
          </w:p>
        </w:tc>
        <w:tc>
          <w:tcPr>
            <w:tcW w:w="1880" w:type="dxa"/>
            <w:vAlign w:val="bottom"/>
            <w:tcBorders>
              <w:right w:val="single" w:sz="8" w:color="494949"/>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494949"/>
            </w:tcBorders>
          </w:tcPr>
          <w:p>
            <w:pPr>
              <w:spacing w:after="0"/>
              <w:rPr>
                <w:sz w:val="22"/>
                <w:szCs w:val="22"/>
                <w:color w:val="auto"/>
              </w:rPr>
            </w:pPr>
          </w:p>
        </w:tc>
        <w:tc>
          <w:tcPr>
            <w:tcW w:w="760" w:type="dxa"/>
            <w:vAlign w:val="bottom"/>
            <w:tcBorders>
              <w:right w:val="single" w:sz="8" w:color="494949"/>
            </w:tcBorders>
          </w:tcPr>
          <w:p>
            <w:pPr>
              <w:spacing w:after="0"/>
              <w:rPr>
                <w:sz w:val="22"/>
                <w:szCs w:val="22"/>
                <w:color w:val="auto"/>
              </w:rPr>
            </w:pPr>
          </w:p>
        </w:tc>
        <w:tc>
          <w:tcPr>
            <w:tcW w:w="760" w:type="dxa"/>
            <w:vAlign w:val="bottom"/>
            <w:tcBorders>
              <w:right w:val="single" w:sz="8" w:color="494949"/>
            </w:tcBorders>
          </w:tcPr>
          <w:p>
            <w:pPr>
              <w:spacing w:after="0"/>
              <w:rPr>
                <w:sz w:val="22"/>
                <w:szCs w:val="22"/>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Represents less than half of variable compensation</w:t>
            </w:r>
          </w:p>
        </w:tc>
        <w:tc>
          <w:tcPr>
            <w:tcW w:w="140" w:type="dxa"/>
            <w:vAlign w:val="bottom"/>
          </w:tcPr>
          <w:p>
            <w:pPr>
              <w:spacing w:after="0"/>
              <w:rPr>
                <w:sz w:val="22"/>
                <w:szCs w:val="22"/>
                <w:color w:val="auto"/>
              </w:rPr>
            </w:pPr>
          </w:p>
        </w:tc>
        <w:tc>
          <w:tcPr>
            <w:tcW w:w="1880" w:type="dxa"/>
            <w:vAlign w:val="bottom"/>
            <w:tcBorders>
              <w:right w:val="single" w:sz="8" w:color="494949"/>
            </w:tcBorders>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100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5640" w:type="dxa"/>
            <w:vAlign w:val="bottom"/>
            <w:tcBorders>
              <w:bottom w:val="single" w:sz="8" w:color="494949"/>
              <w:right w:val="single" w:sz="8" w:color="494949"/>
            </w:tcBorders>
          </w:tcPr>
          <w:p>
            <w:pPr>
              <w:spacing w:after="0"/>
              <w:rPr>
                <w:sz w:val="2"/>
                <w:szCs w:val="2"/>
                <w:color w:val="auto"/>
              </w:rPr>
            </w:pPr>
          </w:p>
        </w:tc>
        <w:tc>
          <w:tcPr>
            <w:tcW w:w="140" w:type="dxa"/>
            <w:vAlign w:val="bottom"/>
            <w:tcBorders>
              <w:bottom w:val="single" w:sz="8" w:color="494949"/>
            </w:tcBorders>
          </w:tcPr>
          <w:p>
            <w:pPr>
              <w:spacing w:after="0"/>
              <w:rPr>
                <w:sz w:val="2"/>
                <w:szCs w:val="2"/>
                <w:color w:val="auto"/>
              </w:rPr>
            </w:pPr>
          </w:p>
        </w:tc>
        <w:tc>
          <w:tcPr>
            <w:tcW w:w="1880" w:type="dxa"/>
            <w:vAlign w:val="bottom"/>
            <w:tcBorders>
              <w:bottom w:val="single" w:sz="8" w:color="494949"/>
              <w:right w:val="single" w:sz="8" w:color="494949"/>
            </w:tcBorders>
          </w:tcPr>
          <w:p>
            <w:pPr>
              <w:spacing w:after="0"/>
              <w:rPr>
                <w:sz w:val="2"/>
                <w:szCs w:val="2"/>
                <w:color w:val="auto"/>
              </w:rPr>
            </w:pPr>
          </w:p>
        </w:tc>
        <w:tc>
          <w:tcPr>
            <w:tcW w:w="10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RSUs</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rPr>
              <w:t>0%</w:t>
            </w:r>
          </w:p>
        </w:tc>
        <w:tc>
          <w:tcPr>
            <w:tcW w:w="760" w:type="dxa"/>
            <w:vAlign w:val="bottom"/>
            <w:tcBorders>
              <w:right w:val="single" w:sz="8" w:color="494949"/>
            </w:tcBorders>
          </w:tcPr>
          <w:p>
            <w:pPr>
              <w:jc w:val="center"/>
              <w:spacing w:after="0"/>
              <w:rPr>
                <w:sz w:val="20"/>
                <w:szCs w:val="20"/>
                <w:color w:val="auto"/>
              </w:rPr>
            </w:pPr>
            <w:r>
              <w:rPr>
                <w:rFonts w:ascii="Arial" w:cs="Arial" w:eastAsia="Arial" w:hAnsi="Arial"/>
                <w:sz w:val="16"/>
                <w:szCs w:val="16"/>
                <w:color w:val="auto"/>
                <w:w w:val="99"/>
              </w:rPr>
              <w:t>30%</w:t>
            </w: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serve as a strong retention tool</w:t>
            </w:r>
          </w:p>
        </w:tc>
        <w:tc>
          <w:tcPr>
            <w:tcW w:w="140" w:type="dxa"/>
            <w:vAlign w:val="bottom"/>
          </w:tcPr>
          <w:p>
            <w:pPr>
              <w:spacing w:after="0"/>
              <w:rPr>
                <w:sz w:val="20"/>
                <w:szCs w:val="20"/>
                <w:color w:val="auto"/>
              </w:rPr>
            </w:pPr>
            <w:r>
              <w:rPr>
                <w:rFonts w:ascii="Arial" w:cs="Arial" w:eastAsia="Arial" w:hAnsi="Arial"/>
                <w:sz w:val="16"/>
                <w:szCs w:val="16"/>
                <w:color w:val="205A85"/>
              </w:rPr>
              <w:t>•</w:t>
            </w: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Generally over three</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are paid on RSUs at the time actual dividends are</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years: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0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5640" w:type="dxa"/>
            <w:vAlign w:val="bottom"/>
            <w:tcBorders>
              <w:right w:val="single" w:sz="8" w:color="494949"/>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Borders>
              <w:right w:val="single" w:sz="8" w:color="494949"/>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paid</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205A85"/>
              </w:rPr>
              <w:t xml:space="preserve">◦  </w:t>
            </w:r>
            <w:r>
              <w:rPr>
                <w:rFonts w:ascii="Arial" w:cs="Arial" w:eastAsia="Arial" w:hAnsi="Arial"/>
                <w:sz w:val="16"/>
                <w:szCs w:val="16"/>
                <w:color w:val="000000"/>
              </w:rPr>
              <w:t>50% after two years,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do not carry voting rights, and are subject to protection-</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with the remaining</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0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760" w:type="dxa"/>
            <w:vAlign w:val="bottom"/>
            <w:tcBorders>
              <w:right w:val="single" w:sz="8" w:color="494949"/>
            </w:tcBorders>
          </w:tcPr>
          <w:p>
            <w:pPr>
              <w:spacing w:after="0"/>
              <w:rPr>
                <w:sz w:val="5"/>
                <w:szCs w:val="5"/>
                <w:color w:val="auto"/>
              </w:rPr>
            </w:pPr>
          </w:p>
        </w:tc>
        <w:tc>
          <w:tcPr>
            <w:tcW w:w="5640" w:type="dxa"/>
            <w:vAlign w:val="bottom"/>
            <w:tcBorders>
              <w:right w:val="single" w:sz="8" w:color="494949"/>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50% after three</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000" w:type="dxa"/>
            <w:vAlign w:val="bottom"/>
            <w:tcBorders>
              <w:right w:val="single" w:sz="8" w:color="494949"/>
            </w:tcBorders>
          </w:tcPr>
          <w:p>
            <w:pPr>
              <w:spacing w:after="0"/>
              <w:rPr>
                <w:sz w:val="10"/>
                <w:szCs w:val="10"/>
                <w:color w:val="auto"/>
              </w:rPr>
            </w:pPr>
          </w:p>
        </w:tc>
        <w:tc>
          <w:tcPr>
            <w:tcW w:w="760" w:type="dxa"/>
            <w:vAlign w:val="bottom"/>
            <w:tcBorders>
              <w:right w:val="single" w:sz="8" w:color="494949"/>
            </w:tcBorders>
          </w:tcPr>
          <w:p>
            <w:pPr>
              <w:spacing w:after="0"/>
              <w:rPr>
                <w:sz w:val="10"/>
                <w:szCs w:val="10"/>
                <w:color w:val="auto"/>
              </w:rPr>
            </w:pPr>
          </w:p>
        </w:tc>
        <w:tc>
          <w:tcPr>
            <w:tcW w:w="760" w:type="dxa"/>
            <w:vAlign w:val="bottom"/>
            <w:tcBorders>
              <w:right w:val="single" w:sz="8" w:color="494949"/>
            </w:tcBorders>
          </w:tcPr>
          <w:p>
            <w:pPr>
              <w:spacing w:after="0"/>
              <w:rPr>
                <w:sz w:val="10"/>
                <w:szCs w:val="10"/>
                <w:color w:val="auto"/>
              </w:rPr>
            </w:pPr>
          </w:p>
        </w:tc>
        <w:tc>
          <w:tcPr>
            <w:tcW w:w="5640" w:type="dxa"/>
            <w:vAlign w:val="bottom"/>
            <w:tcBorders>
              <w:right w:val="single" w:sz="8" w:color="494949"/>
            </w:tcBorders>
            <w:vMerge w:val="restart"/>
          </w:tcPr>
          <w:p>
            <w:pPr>
              <w:ind w:left="280"/>
              <w:spacing w:after="0"/>
              <w:rPr>
                <w:sz w:val="20"/>
                <w:szCs w:val="20"/>
                <w:color w:val="auto"/>
              </w:rPr>
            </w:pPr>
            <w:r>
              <w:rPr>
                <w:rFonts w:ascii="Arial" w:cs="Arial" w:eastAsia="Arial" w:hAnsi="Arial"/>
                <w:sz w:val="16"/>
                <w:szCs w:val="16"/>
                <w:color w:val="auto"/>
              </w:rPr>
              <w:t>based vesting and the OC stock ownership/retention policy</w:t>
            </w:r>
          </w:p>
        </w:tc>
        <w:tc>
          <w:tcPr>
            <w:tcW w:w="140" w:type="dxa"/>
            <w:vAlign w:val="bottom"/>
          </w:tcPr>
          <w:p>
            <w:pPr>
              <w:spacing w:after="0"/>
              <w:rPr>
                <w:sz w:val="10"/>
                <w:szCs w:val="10"/>
                <w:color w:val="auto"/>
              </w:rPr>
            </w:pPr>
          </w:p>
        </w:tc>
        <w:tc>
          <w:tcPr>
            <w:tcW w:w="1880" w:type="dxa"/>
            <w:vAlign w:val="bottom"/>
            <w:tcBorders>
              <w:right w:val="single" w:sz="8" w:color="494949"/>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0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5640" w:type="dxa"/>
            <w:vAlign w:val="bottom"/>
            <w:tcBorders>
              <w:right w:val="single" w:sz="8" w:color="494949"/>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years</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000" w:type="dxa"/>
            <w:vAlign w:val="bottom"/>
            <w:tcBorders>
              <w:right w:val="single" w:sz="8" w:color="494949"/>
            </w:tcBorders>
          </w:tcPr>
          <w:p>
            <w:pPr>
              <w:spacing w:after="0"/>
              <w:rPr>
                <w:sz w:val="10"/>
                <w:szCs w:val="10"/>
                <w:color w:val="auto"/>
              </w:rPr>
            </w:pPr>
          </w:p>
        </w:tc>
        <w:tc>
          <w:tcPr>
            <w:tcW w:w="760" w:type="dxa"/>
            <w:vAlign w:val="bottom"/>
            <w:tcBorders>
              <w:right w:val="single" w:sz="8" w:color="494949"/>
            </w:tcBorders>
          </w:tcPr>
          <w:p>
            <w:pPr>
              <w:spacing w:after="0"/>
              <w:rPr>
                <w:sz w:val="10"/>
                <w:szCs w:val="10"/>
                <w:color w:val="auto"/>
              </w:rPr>
            </w:pPr>
          </w:p>
        </w:tc>
        <w:tc>
          <w:tcPr>
            <w:tcW w:w="760" w:type="dxa"/>
            <w:vAlign w:val="bottom"/>
            <w:tcBorders>
              <w:right w:val="single" w:sz="8" w:color="494949"/>
            </w:tcBorders>
          </w:tcPr>
          <w:p>
            <w:pPr>
              <w:spacing w:after="0"/>
              <w:rPr>
                <w:sz w:val="10"/>
                <w:szCs w:val="10"/>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RSUs and PSUs provide a competitive mix of time-based and</w:t>
            </w:r>
          </w:p>
        </w:tc>
        <w:tc>
          <w:tcPr>
            <w:tcW w:w="140" w:type="dxa"/>
            <w:vAlign w:val="bottom"/>
          </w:tcPr>
          <w:p>
            <w:pPr>
              <w:spacing w:after="0"/>
              <w:rPr>
                <w:sz w:val="10"/>
                <w:szCs w:val="10"/>
                <w:color w:val="auto"/>
              </w:rPr>
            </w:pPr>
          </w:p>
        </w:tc>
        <w:tc>
          <w:tcPr>
            <w:tcW w:w="1880" w:type="dxa"/>
            <w:vAlign w:val="bottom"/>
            <w:tcBorders>
              <w:right w:val="single" w:sz="8" w:color="494949"/>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00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760" w:type="dxa"/>
            <w:vAlign w:val="bottom"/>
            <w:tcBorders>
              <w:bottom w:val="single" w:sz="8" w:color="494949"/>
              <w:right w:val="single" w:sz="8" w:color="494949"/>
            </w:tcBorders>
          </w:tcPr>
          <w:p>
            <w:pPr>
              <w:spacing w:after="0"/>
              <w:rPr>
                <w:sz w:val="2"/>
                <w:szCs w:val="2"/>
                <w:color w:val="auto"/>
              </w:rPr>
            </w:pPr>
          </w:p>
        </w:tc>
        <w:tc>
          <w:tcPr>
            <w:tcW w:w="5640" w:type="dxa"/>
            <w:vAlign w:val="bottom"/>
            <w:tcBorders>
              <w:right w:val="single" w:sz="8" w:color="494949"/>
            </w:tcBorders>
            <w:vMerge w:val="continue"/>
          </w:tcPr>
          <w:p>
            <w:pPr>
              <w:spacing w:after="0"/>
              <w:rPr>
                <w:sz w:val="2"/>
                <w:szCs w:val="2"/>
                <w:color w:val="auto"/>
              </w:rPr>
            </w:pPr>
          </w:p>
        </w:tc>
        <w:tc>
          <w:tcPr>
            <w:tcW w:w="140" w:type="dxa"/>
            <w:vAlign w:val="bottom"/>
            <w:tcBorders>
              <w:bottom w:val="single" w:sz="8" w:color="494949"/>
            </w:tcBorders>
          </w:tcPr>
          <w:p>
            <w:pPr>
              <w:spacing w:after="0"/>
              <w:rPr>
                <w:sz w:val="2"/>
                <w:szCs w:val="2"/>
                <w:color w:val="auto"/>
              </w:rPr>
            </w:pPr>
          </w:p>
        </w:tc>
        <w:tc>
          <w:tcPr>
            <w:tcW w:w="1880" w:type="dxa"/>
            <w:vAlign w:val="bottom"/>
            <w:tcBorders>
              <w:bottom w:val="single" w:sz="8" w:color="494949"/>
              <w:right w:val="single" w:sz="8" w:color="494949"/>
            </w:tcBorders>
          </w:tcPr>
          <w:p>
            <w:pPr>
              <w:spacing w:after="0"/>
              <w:rPr>
                <w:sz w:val="2"/>
                <w:szCs w:val="2"/>
                <w:color w:val="auto"/>
              </w:rPr>
            </w:pPr>
          </w:p>
        </w:tc>
        <w:tc>
          <w:tcPr>
            <w:tcW w:w="10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00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PSUs</w:t>
            </w:r>
          </w:p>
        </w:tc>
        <w:tc>
          <w:tcPr>
            <w:tcW w:w="76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rPr>
              <w:t>~83%</w:t>
            </w:r>
          </w:p>
        </w:tc>
        <w:tc>
          <w:tcPr>
            <w:tcW w:w="760" w:type="dxa"/>
            <w:vAlign w:val="bottom"/>
            <w:tcBorders>
              <w:right w:val="single" w:sz="8" w:color="494949"/>
            </w:tcBorders>
            <w:vMerge w:val="restart"/>
          </w:tcPr>
          <w:p>
            <w:pPr>
              <w:jc w:val="center"/>
              <w:spacing w:after="0"/>
              <w:rPr>
                <w:sz w:val="20"/>
                <w:szCs w:val="20"/>
                <w:color w:val="auto"/>
              </w:rPr>
            </w:pPr>
            <w:r>
              <w:rPr>
                <w:rFonts w:ascii="Arial" w:cs="Arial" w:eastAsia="Arial" w:hAnsi="Arial"/>
                <w:sz w:val="16"/>
                <w:szCs w:val="16"/>
                <w:color w:val="auto"/>
                <w:w w:val="99"/>
              </w:rPr>
              <w:t>30%</w:t>
            </w:r>
          </w:p>
        </w:tc>
        <w:tc>
          <w:tcPr>
            <w:tcW w:w="5640" w:type="dxa"/>
            <w:vAlign w:val="bottom"/>
            <w:tcBorders>
              <w:right w:val="single" w:sz="8" w:color="494949"/>
            </w:tcBorders>
            <w:vMerge w:val="continue"/>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6"/>
                <w:szCs w:val="16"/>
                <w:color w:val="074A75"/>
              </w:rPr>
              <w:t>•</w:t>
            </w:r>
          </w:p>
        </w:tc>
        <w:tc>
          <w:tcPr>
            <w:tcW w:w="1880" w:type="dxa"/>
            <w:vAlign w:val="bottom"/>
            <w:tcBorders>
              <w:right w:val="single" w:sz="8" w:color="494949"/>
            </w:tcBorders>
            <w:vMerge w:val="restart"/>
          </w:tcPr>
          <w:p>
            <w:pPr>
              <w:ind w:left="60"/>
              <w:spacing w:after="0"/>
              <w:rPr>
                <w:sz w:val="20"/>
                <w:szCs w:val="20"/>
                <w:color w:val="auto"/>
              </w:rPr>
            </w:pPr>
            <w:r>
              <w:rPr>
                <w:rFonts w:ascii="Arial" w:cs="Arial" w:eastAsia="Arial" w:hAnsi="Arial"/>
                <w:sz w:val="16"/>
                <w:szCs w:val="16"/>
                <w:color w:val="auto"/>
              </w:rPr>
              <w:t>Combined period of</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494949"/>
            </w:tcBorders>
            <w:vMerge w:val="continue"/>
          </w:tcPr>
          <w:p>
            <w:pPr>
              <w:spacing w:after="0"/>
              <w:rPr>
                <w:sz w:val="12"/>
                <w:szCs w:val="12"/>
                <w:color w:val="auto"/>
              </w:rPr>
            </w:pPr>
          </w:p>
        </w:tc>
        <w:tc>
          <w:tcPr>
            <w:tcW w:w="760" w:type="dxa"/>
            <w:vAlign w:val="bottom"/>
            <w:tcBorders>
              <w:right w:val="single" w:sz="8" w:color="494949"/>
            </w:tcBorders>
            <w:vMerge w:val="continue"/>
          </w:tcPr>
          <w:p>
            <w:pPr>
              <w:spacing w:after="0"/>
              <w:rPr>
                <w:sz w:val="12"/>
                <w:szCs w:val="12"/>
                <w:color w:val="auto"/>
              </w:rPr>
            </w:pPr>
          </w:p>
        </w:tc>
        <w:tc>
          <w:tcPr>
            <w:tcW w:w="760" w:type="dxa"/>
            <w:vAlign w:val="bottom"/>
            <w:tcBorders>
              <w:right w:val="single" w:sz="8" w:color="494949"/>
            </w:tcBorders>
            <w:vMerge w:val="continue"/>
          </w:tcPr>
          <w:p>
            <w:pPr>
              <w:spacing w:after="0"/>
              <w:rPr>
                <w:sz w:val="12"/>
                <w:szCs w:val="12"/>
                <w:color w:val="auto"/>
              </w:rPr>
            </w:pPr>
          </w:p>
        </w:tc>
        <w:tc>
          <w:tcPr>
            <w:tcW w:w="5640" w:type="dxa"/>
            <w:vAlign w:val="bottom"/>
            <w:tcBorders>
              <w:right w:val="single" w:sz="8" w:color="494949"/>
            </w:tcBorders>
          </w:tcPr>
          <w:p>
            <w:pPr>
              <w:ind w:left="280"/>
              <w:spacing w:after="0" w:line="148" w:lineRule="exact"/>
              <w:rPr>
                <w:sz w:val="20"/>
                <w:szCs w:val="20"/>
                <w:color w:val="auto"/>
              </w:rPr>
            </w:pPr>
            <w:r>
              <w:rPr>
                <w:rFonts w:ascii="Arial" w:cs="Arial" w:eastAsia="Arial" w:hAnsi="Arial"/>
                <w:sz w:val="16"/>
                <w:szCs w:val="16"/>
                <w:color w:val="auto"/>
              </w:rPr>
              <w:t>performance-conditioned equity awards that are aligned with long-term</w:t>
            </w:r>
          </w:p>
        </w:tc>
        <w:tc>
          <w:tcPr>
            <w:tcW w:w="140" w:type="dxa"/>
            <w:vAlign w:val="bottom"/>
            <w:vMerge w:val="continue"/>
          </w:tcPr>
          <w:p>
            <w:pPr>
              <w:spacing w:after="0"/>
              <w:rPr>
                <w:sz w:val="12"/>
                <w:szCs w:val="12"/>
                <w:color w:val="auto"/>
              </w:rPr>
            </w:pPr>
          </w:p>
        </w:tc>
        <w:tc>
          <w:tcPr>
            <w:tcW w:w="1880" w:type="dxa"/>
            <w:vAlign w:val="bottom"/>
            <w:tcBorders>
              <w:right w:val="single" w:sz="8" w:color="494949"/>
            </w:tcBorders>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shareholder interests as the value of payout fluctuates with stock price</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approximately five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performance</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years prior to</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PSUs reinforce accountability by linking objective targets to a</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auto"/>
              </w:rPr>
              <w:t>availability:</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00" w:type="dxa"/>
            <w:vAlign w:val="bottom"/>
            <w:tcBorders>
              <w:right w:val="single" w:sz="8" w:color="494949"/>
            </w:tcBorders>
          </w:tcPr>
          <w:p>
            <w:pPr>
              <w:spacing w:after="0"/>
              <w:rPr>
                <w:sz w:val="8"/>
                <w:szCs w:val="8"/>
                <w:color w:val="auto"/>
              </w:rPr>
            </w:pPr>
          </w:p>
        </w:tc>
        <w:tc>
          <w:tcPr>
            <w:tcW w:w="760" w:type="dxa"/>
            <w:vAlign w:val="bottom"/>
            <w:tcBorders>
              <w:right w:val="single" w:sz="8" w:color="494949"/>
            </w:tcBorders>
          </w:tcPr>
          <w:p>
            <w:pPr>
              <w:spacing w:after="0"/>
              <w:rPr>
                <w:sz w:val="8"/>
                <w:szCs w:val="8"/>
                <w:color w:val="auto"/>
              </w:rPr>
            </w:pPr>
          </w:p>
        </w:tc>
        <w:tc>
          <w:tcPr>
            <w:tcW w:w="760" w:type="dxa"/>
            <w:vAlign w:val="bottom"/>
            <w:tcBorders>
              <w:right w:val="single" w:sz="8" w:color="494949"/>
            </w:tcBorders>
          </w:tcPr>
          <w:p>
            <w:pPr>
              <w:spacing w:after="0"/>
              <w:rPr>
                <w:sz w:val="8"/>
                <w:szCs w:val="8"/>
                <w:color w:val="auto"/>
              </w:rPr>
            </w:pPr>
          </w:p>
        </w:tc>
        <w:tc>
          <w:tcPr>
            <w:tcW w:w="5640" w:type="dxa"/>
            <w:vAlign w:val="bottom"/>
            <w:tcBorders>
              <w:right w:val="single" w:sz="8" w:color="494949"/>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tcBorders>
              <w:right w:val="single" w:sz="8" w:color="494949"/>
            </w:tcBorders>
            <w:vMerge w:val="restart"/>
          </w:tcPr>
          <w:p>
            <w:pPr>
              <w:ind w:left="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Award cliff-vests at</w:t>
            </w: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00" w:type="dxa"/>
            <w:vAlign w:val="bottom"/>
            <w:tcBorders>
              <w:right w:val="single" w:sz="8" w:color="494949"/>
            </w:tcBorders>
          </w:tcPr>
          <w:p>
            <w:pPr>
              <w:spacing w:after="0"/>
              <w:rPr>
                <w:sz w:val="12"/>
                <w:szCs w:val="12"/>
                <w:color w:val="auto"/>
              </w:rPr>
            </w:pPr>
          </w:p>
        </w:tc>
        <w:tc>
          <w:tcPr>
            <w:tcW w:w="760" w:type="dxa"/>
            <w:vAlign w:val="bottom"/>
            <w:tcBorders>
              <w:right w:val="single" w:sz="8" w:color="494949"/>
            </w:tcBorders>
          </w:tcPr>
          <w:p>
            <w:pPr>
              <w:spacing w:after="0"/>
              <w:rPr>
                <w:sz w:val="12"/>
                <w:szCs w:val="12"/>
                <w:color w:val="auto"/>
              </w:rPr>
            </w:pPr>
          </w:p>
        </w:tc>
        <w:tc>
          <w:tcPr>
            <w:tcW w:w="760" w:type="dxa"/>
            <w:vAlign w:val="bottom"/>
            <w:tcBorders>
              <w:right w:val="single" w:sz="8" w:color="494949"/>
            </w:tcBorders>
          </w:tcPr>
          <w:p>
            <w:pPr>
              <w:spacing w:after="0"/>
              <w:rPr>
                <w:sz w:val="12"/>
                <w:szCs w:val="12"/>
                <w:color w:val="auto"/>
              </w:rPr>
            </w:pPr>
          </w:p>
        </w:tc>
        <w:tc>
          <w:tcPr>
            <w:tcW w:w="5640" w:type="dxa"/>
            <w:vAlign w:val="bottom"/>
            <w:tcBorders>
              <w:right w:val="single" w:sz="8" w:color="494949"/>
            </w:tcBorders>
          </w:tcPr>
          <w:p>
            <w:pPr>
              <w:ind w:left="280"/>
              <w:spacing w:after="0" w:line="148" w:lineRule="exact"/>
              <w:rPr>
                <w:sz w:val="20"/>
                <w:szCs w:val="20"/>
                <w:color w:val="auto"/>
              </w:rPr>
            </w:pPr>
            <w:r>
              <w:rPr>
                <w:rFonts w:ascii="Arial" w:cs="Arial" w:eastAsia="Arial" w:hAnsi="Arial"/>
                <w:sz w:val="16"/>
                <w:szCs w:val="16"/>
                <w:color w:val="auto"/>
              </w:rPr>
              <w:t>formulaically determined payout based on absolute and relative ROTCE</w:t>
            </w:r>
          </w:p>
        </w:tc>
        <w:tc>
          <w:tcPr>
            <w:tcW w:w="140" w:type="dxa"/>
            <w:vAlign w:val="bottom"/>
          </w:tcPr>
          <w:p>
            <w:pPr>
              <w:spacing w:after="0"/>
              <w:rPr>
                <w:sz w:val="12"/>
                <w:szCs w:val="12"/>
                <w:color w:val="auto"/>
              </w:rPr>
            </w:pPr>
          </w:p>
        </w:tc>
        <w:tc>
          <w:tcPr>
            <w:tcW w:w="1880" w:type="dxa"/>
            <w:vAlign w:val="bottom"/>
            <w:tcBorders>
              <w:right w:val="single" w:sz="8" w:color="494949"/>
            </w:tcBorders>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vMerge w:val="restart"/>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performance goals are the same for the entire award term</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the end of the three-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0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760" w:type="dxa"/>
            <w:vAlign w:val="bottom"/>
            <w:tcBorders>
              <w:right w:val="single" w:sz="8" w:color="494949"/>
            </w:tcBorders>
          </w:tcPr>
          <w:p>
            <w:pPr>
              <w:spacing w:after="0"/>
              <w:rPr>
                <w:sz w:val="9"/>
                <w:szCs w:val="9"/>
                <w:color w:val="auto"/>
              </w:rPr>
            </w:pPr>
          </w:p>
        </w:tc>
        <w:tc>
          <w:tcPr>
            <w:tcW w:w="5640" w:type="dxa"/>
            <w:vAlign w:val="bottom"/>
            <w:tcBorders>
              <w:right w:val="single" w:sz="8" w:color="494949"/>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880" w:type="dxa"/>
            <w:vAlign w:val="bottom"/>
            <w:tcBorders>
              <w:right w:val="single" w:sz="8" w:color="494949"/>
            </w:tcBorders>
            <w:vMerge w:val="restart"/>
          </w:tcPr>
          <w:p>
            <w:pPr>
              <w:ind w:left="260"/>
              <w:spacing w:after="0"/>
              <w:rPr>
                <w:sz w:val="20"/>
                <w:szCs w:val="20"/>
                <w:color w:val="auto"/>
              </w:rPr>
            </w:pPr>
            <w:r>
              <w:rPr>
                <w:rFonts w:ascii="Arial" w:cs="Arial" w:eastAsia="Arial" w:hAnsi="Arial"/>
                <w:sz w:val="16"/>
                <w:szCs w:val="16"/>
                <w:color w:val="auto"/>
              </w:rPr>
              <w:t>year performance</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0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760" w:type="dxa"/>
            <w:vAlign w:val="bottom"/>
            <w:tcBorders>
              <w:right w:val="single" w:sz="8" w:color="494949"/>
            </w:tcBorders>
          </w:tcPr>
          <w:p>
            <w:pPr>
              <w:spacing w:after="0"/>
              <w:rPr>
                <w:sz w:val="6"/>
                <w:szCs w:val="6"/>
                <w:color w:val="auto"/>
              </w:rPr>
            </w:pPr>
          </w:p>
        </w:tc>
        <w:tc>
          <w:tcPr>
            <w:tcW w:w="5640" w:type="dxa"/>
            <w:vAlign w:val="bottom"/>
            <w:tcBorders>
              <w:right w:val="single" w:sz="8" w:color="494949"/>
            </w:tcBorders>
          </w:tcPr>
          <w:p>
            <w:pPr>
              <w:spacing w:after="0"/>
              <w:rPr>
                <w:sz w:val="6"/>
                <w:szCs w:val="6"/>
                <w:color w:val="auto"/>
              </w:rPr>
            </w:pPr>
          </w:p>
        </w:tc>
        <w:tc>
          <w:tcPr>
            <w:tcW w:w="140" w:type="dxa"/>
            <w:vAlign w:val="bottom"/>
          </w:tcPr>
          <w:p>
            <w:pPr>
              <w:spacing w:after="0"/>
              <w:rPr>
                <w:sz w:val="6"/>
                <w:szCs w:val="6"/>
                <w:color w:val="auto"/>
              </w:rPr>
            </w:pPr>
          </w:p>
        </w:tc>
        <w:tc>
          <w:tcPr>
            <w:tcW w:w="1880" w:type="dxa"/>
            <w:vAlign w:val="bottom"/>
            <w:tcBorders>
              <w:right w:val="single" w:sz="8" w:color="494949"/>
            </w:tcBorders>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PSU payout ranges from 0–150% and is settled in shares</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period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000" w:type="dxa"/>
            <w:vAlign w:val="bottom"/>
            <w:tcBorders>
              <w:right w:val="single" w:sz="8" w:color="494949"/>
            </w:tcBorders>
          </w:tcPr>
          <w:p>
            <w:pPr>
              <w:spacing w:after="0"/>
              <w:rPr>
                <w:sz w:val="21"/>
                <w:szCs w:val="21"/>
                <w:color w:val="auto"/>
              </w:rPr>
            </w:pPr>
          </w:p>
        </w:tc>
        <w:tc>
          <w:tcPr>
            <w:tcW w:w="760" w:type="dxa"/>
            <w:vAlign w:val="bottom"/>
            <w:tcBorders>
              <w:right w:val="single" w:sz="8" w:color="494949"/>
            </w:tcBorders>
          </w:tcPr>
          <w:p>
            <w:pPr>
              <w:spacing w:after="0"/>
              <w:rPr>
                <w:sz w:val="21"/>
                <w:szCs w:val="21"/>
                <w:color w:val="auto"/>
              </w:rPr>
            </w:pPr>
          </w:p>
        </w:tc>
        <w:tc>
          <w:tcPr>
            <w:tcW w:w="760" w:type="dxa"/>
            <w:vAlign w:val="bottom"/>
            <w:tcBorders>
              <w:right w:val="single" w:sz="8" w:color="494949"/>
            </w:tcBorders>
          </w:tcPr>
          <w:p>
            <w:pPr>
              <w:spacing w:after="0"/>
              <w:rPr>
                <w:sz w:val="21"/>
                <w:szCs w:val="21"/>
                <w:color w:val="auto"/>
              </w:rPr>
            </w:pPr>
          </w:p>
        </w:tc>
        <w:tc>
          <w:tcPr>
            <w:tcW w:w="5640" w:type="dxa"/>
            <w:vAlign w:val="bottom"/>
            <w:tcBorders>
              <w:right w:val="single" w:sz="8" w:color="494949"/>
            </w:tcBorders>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Dividend equivalents accrue on PSUs and are subject to the same</w:t>
            </w:r>
          </w:p>
        </w:tc>
        <w:tc>
          <w:tcPr>
            <w:tcW w:w="140" w:type="dxa"/>
            <w:vAlign w:val="bottom"/>
          </w:tcPr>
          <w:p>
            <w:pPr>
              <w:spacing w:after="0"/>
              <w:rPr>
                <w:sz w:val="21"/>
                <w:szCs w:val="21"/>
                <w:color w:val="auto"/>
              </w:rPr>
            </w:pPr>
          </w:p>
        </w:tc>
        <w:tc>
          <w:tcPr>
            <w:tcW w:w="1880" w:type="dxa"/>
            <w:vAlign w:val="bottom"/>
            <w:tcBorders>
              <w:right w:val="single" w:sz="8" w:color="494949"/>
            </w:tcBorders>
          </w:tcPr>
          <w:p>
            <w:pPr>
              <w:ind w:left="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Subject to a two-</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ind w:left="280"/>
              <w:spacing w:after="0"/>
              <w:rPr>
                <w:sz w:val="20"/>
                <w:szCs w:val="20"/>
                <w:color w:val="auto"/>
              </w:rPr>
            </w:pPr>
            <w:r>
              <w:rPr>
                <w:rFonts w:ascii="Arial" w:cs="Arial" w:eastAsia="Arial" w:hAnsi="Arial"/>
                <w:sz w:val="16"/>
                <w:szCs w:val="16"/>
                <w:color w:val="auto"/>
              </w:rPr>
              <w:t>vesting, performance and clawback provisions as the underlying PSUs</w:t>
            </w: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year hold after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760" w:type="dxa"/>
            <w:vAlign w:val="bottom"/>
            <w:tcBorders>
              <w:right w:val="single" w:sz="8" w:color="494949"/>
            </w:tcBorders>
          </w:tcPr>
          <w:p>
            <w:pPr>
              <w:spacing w:after="0"/>
              <w:rPr>
                <w:sz w:val="16"/>
                <w:szCs w:val="16"/>
                <w:color w:val="auto"/>
              </w:rPr>
            </w:pPr>
          </w:p>
        </w:tc>
        <w:tc>
          <w:tcPr>
            <w:tcW w:w="5640" w:type="dxa"/>
            <w:vAlign w:val="bottom"/>
            <w:tcBorders>
              <w:right w:val="single" w:sz="8" w:color="494949"/>
            </w:tcBorders>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right w:val="single" w:sz="8" w:color="494949"/>
            </w:tcBorders>
          </w:tcPr>
          <w:p>
            <w:pPr>
              <w:ind w:left="260"/>
              <w:spacing w:after="0"/>
              <w:rPr>
                <w:sz w:val="20"/>
                <w:szCs w:val="20"/>
                <w:color w:val="auto"/>
              </w:rPr>
            </w:pPr>
            <w:r>
              <w:rPr>
                <w:rFonts w:ascii="Arial" w:cs="Arial" w:eastAsia="Arial" w:hAnsi="Arial"/>
                <w:sz w:val="16"/>
                <w:szCs w:val="16"/>
                <w:color w:val="auto"/>
              </w:rPr>
              <w:t>vesting</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6"/>
        </w:trPr>
        <w:tc>
          <w:tcPr>
            <w:tcW w:w="1000" w:type="dxa"/>
            <w:vAlign w:val="bottom"/>
            <w:tcBorders>
              <w:bottom w:val="single" w:sz="8" w:color="494949"/>
              <w:right w:val="single" w:sz="8" w:color="494949"/>
            </w:tcBorders>
          </w:tcPr>
          <w:p>
            <w:pPr>
              <w:spacing w:after="0"/>
              <w:rPr>
                <w:sz w:val="24"/>
                <w:szCs w:val="24"/>
                <w:color w:val="auto"/>
              </w:rPr>
            </w:pPr>
          </w:p>
        </w:tc>
        <w:tc>
          <w:tcPr>
            <w:tcW w:w="760" w:type="dxa"/>
            <w:vAlign w:val="bottom"/>
            <w:tcBorders>
              <w:bottom w:val="single" w:sz="8" w:color="494949"/>
              <w:right w:val="single" w:sz="8" w:color="494949"/>
            </w:tcBorders>
          </w:tcPr>
          <w:p>
            <w:pPr>
              <w:spacing w:after="0"/>
              <w:rPr>
                <w:sz w:val="24"/>
                <w:szCs w:val="24"/>
                <w:color w:val="auto"/>
              </w:rPr>
            </w:pPr>
          </w:p>
        </w:tc>
        <w:tc>
          <w:tcPr>
            <w:tcW w:w="760" w:type="dxa"/>
            <w:vAlign w:val="bottom"/>
            <w:tcBorders>
              <w:bottom w:val="single" w:sz="8" w:color="494949"/>
              <w:right w:val="single" w:sz="8" w:color="494949"/>
            </w:tcBorders>
          </w:tcPr>
          <w:p>
            <w:pPr>
              <w:spacing w:after="0"/>
              <w:rPr>
                <w:sz w:val="24"/>
                <w:szCs w:val="24"/>
                <w:color w:val="auto"/>
              </w:rPr>
            </w:pPr>
          </w:p>
        </w:tc>
        <w:tc>
          <w:tcPr>
            <w:tcW w:w="5640" w:type="dxa"/>
            <w:vAlign w:val="bottom"/>
            <w:tcBorders>
              <w:bottom w:val="single" w:sz="8" w:color="494949"/>
              <w:right w:val="single" w:sz="8" w:color="494949"/>
            </w:tcBorders>
          </w:tcPr>
          <w:p>
            <w:pPr>
              <w:spacing w:after="0"/>
              <w:rPr>
                <w:sz w:val="24"/>
                <w:szCs w:val="24"/>
                <w:color w:val="auto"/>
              </w:rPr>
            </w:pPr>
          </w:p>
        </w:tc>
        <w:tc>
          <w:tcPr>
            <w:tcW w:w="140" w:type="dxa"/>
            <w:vAlign w:val="bottom"/>
            <w:tcBorders>
              <w:bottom w:val="single" w:sz="8" w:color="494949"/>
            </w:tcBorders>
          </w:tcPr>
          <w:p>
            <w:pPr>
              <w:spacing w:after="0"/>
              <w:rPr>
                <w:sz w:val="24"/>
                <w:szCs w:val="24"/>
                <w:color w:val="auto"/>
              </w:rPr>
            </w:pPr>
          </w:p>
        </w:tc>
        <w:tc>
          <w:tcPr>
            <w:tcW w:w="1880" w:type="dxa"/>
            <w:vAlign w:val="bottom"/>
            <w:tcBorders>
              <w:bottom w:val="single" w:sz="8" w:color="494949"/>
              <w:right w:val="single" w:sz="8" w:color="494949"/>
            </w:tcBorders>
          </w:tcPr>
          <w:p>
            <w:pPr>
              <w:spacing w:after="0"/>
              <w:rPr>
                <w:sz w:val="24"/>
                <w:szCs w:val="24"/>
                <w:color w:val="auto"/>
              </w:rPr>
            </w:pPr>
          </w:p>
        </w:tc>
        <w:tc>
          <w:tcPr>
            <w:tcW w:w="1060" w:type="dxa"/>
            <w:vAlign w:val="bottom"/>
            <w:tcBorders>
              <w:bottom w:val="single" w:sz="8" w:color="49494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-3025775</wp:posOffset>
            </wp:positionV>
            <wp:extent cx="137160" cy="1371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-2288540</wp:posOffset>
            </wp:positionV>
            <wp:extent cx="13716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-985520</wp:posOffset>
            </wp:positionV>
            <wp:extent cx="137160"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right="20" w:hanging="192"/>
        <w:spacing w:after="0" w:line="245" w:lineRule="auto"/>
        <w:tabs>
          <w:tab w:leader="none" w:pos="200" w:val="left"/>
        </w:tabs>
        <w:numPr>
          <w:ilvl w:val="0"/>
          <w:numId w:val="123"/>
        </w:numPr>
        <w:rPr>
          <w:rFonts w:ascii="Arial" w:cs="Arial" w:eastAsia="Arial" w:hAnsi="Arial"/>
          <w:sz w:val="15"/>
          <w:szCs w:val="15"/>
          <w:color w:val="auto"/>
          <w:vertAlign w:val="superscript"/>
        </w:rPr>
      </w:pPr>
      <w:r>
        <w:rPr>
          <w:rFonts w:ascii="Arial" w:cs="Arial" w:eastAsia="Arial" w:hAnsi="Arial"/>
          <w:sz w:val="12"/>
          <w:szCs w:val="12"/>
          <w:color w:val="auto"/>
        </w:rPr>
        <w:t>Excludes Mr. Pinto, who is located in the U.K. Due to local regulations, Mr. Pinto receives a fixed allowance (which is not subject to clawback), did not receive a cash incentive, and both his RSUs and PSUs are subject to: (i) extended seven-year vesting period (commencing ratably on the third anniversary of grant); (ii) additional U.K. clawback/ recovery provisions; and (iii) a minimum twelve-month hold after each vesting, and are not eligible for payment/accrual of dividend equivalents. In addition, as it relates to Mr. Pinto’s PSUs, the CMDC may use its discretion, as appropriate, to downward adjust payout based on his performance against qualitative criteria and priorities during the performance period, including performance against his local regulatory responsibilities as a U.K. “Senior Manager” under the Senior Managers &amp; Certification Regime. Local regulators review compensation structures for Identified Staff periodically and may require future adjustments. Additional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information on the composition of Mr. Pinto’s compensation is on page 65.</w:t>
      </w:r>
    </w:p>
    <w:p>
      <w:pPr>
        <w:ind w:left="200" w:hanging="192"/>
        <w:spacing w:after="0" w:line="198" w:lineRule="auto"/>
        <w:tabs>
          <w:tab w:leader="none" w:pos="200" w:val="left"/>
        </w:tabs>
        <w:numPr>
          <w:ilvl w:val="0"/>
          <w:numId w:val="124"/>
        </w:numPr>
        <w:rPr>
          <w:rFonts w:ascii="Arial" w:cs="Arial" w:eastAsia="Arial" w:hAnsi="Arial"/>
          <w:sz w:val="16"/>
          <w:szCs w:val="16"/>
          <w:color w:val="auto"/>
          <w:vertAlign w:val="superscript"/>
        </w:rPr>
      </w:pPr>
      <w:r>
        <w:rPr>
          <w:rFonts w:ascii="Arial" w:cs="Arial" w:eastAsia="Arial" w:hAnsi="Arial"/>
          <w:sz w:val="13"/>
          <w:szCs w:val="13"/>
          <w:color w:val="auto"/>
        </w:rPr>
        <w:t>Additional information on recovery and clawback provisions is provided on page 52.</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Performance share unit program</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074A75"/>
        </w:rPr>
        <w:t>PROCESS TO DETERMINE PAYOUT</w:t>
      </w:r>
    </w:p>
    <w:p>
      <w:pPr>
        <w:spacing w:after="0" w:line="11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As part of the design of the PSU program, the ultimate number of PSUs paid out at vesting is determined by a pre- established formula determined at the time of the award based on the Firm’s absolute and relative ROTCE performance over the subsequent three years, with the value of the payout ranging from 0% to 150%, subject to risk and control features. Similar to RSUs, the value upon vesting of PSUs is also directly tied to the Firm’s performance through its stock price. The CMDC believes that the PSU design continues to appropriately incentivize strong performance by our OC members, does not encourage excessive risk-taking and is aligned with long-term shareholder interests. Since PSUs were first introduced in 2015, we have received positive shareholder support for this aspect of our executive compensation program.</w:t>
      </w:r>
    </w:p>
    <w:p>
      <w:pPr>
        <w:spacing w:after="0" w:line="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the 2020 PSU awards granted in January 2021, the CMDC maintained the key features of our PSU design, including the enhancements it made to the 2019 PSU awards in response to feedback from shareholders. These enhancements included:</w:t>
      </w:r>
    </w:p>
    <w:p>
      <w:pPr>
        <w:spacing w:after="0" w:line="90" w:lineRule="exact"/>
        <w:rPr>
          <w:sz w:val="20"/>
          <w:szCs w:val="20"/>
          <w:color w:val="auto"/>
        </w:rPr>
      </w:pPr>
    </w:p>
    <w:p>
      <w:pPr>
        <w:ind w:left="200" w:right="40" w:hanging="192"/>
        <w:spacing w:after="0" w:line="261" w:lineRule="auto"/>
        <w:tabs>
          <w:tab w:leader="none" w:pos="204"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Changing the payout calculation methodology to be based on the Firm’s three-year average ROTCE performance on both an absolute and relative basis. Previously, payout was calculated annually for one-third of the awarded units.</w:t>
      </w:r>
    </w:p>
    <w:p>
      <w:pPr>
        <w:spacing w:after="0" w:line="89" w:lineRule="exact"/>
        <w:rPr>
          <w:rFonts w:ascii="Arial" w:cs="Arial" w:eastAsia="Arial" w:hAnsi="Arial"/>
          <w:sz w:val="18"/>
          <w:szCs w:val="18"/>
          <w:color w:val="074A75"/>
        </w:rPr>
      </w:pPr>
    </w:p>
    <w:p>
      <w:pPr>
        <w:ind w:left="200" w:right="1300" w:hanging="192"/>
        <w:spacing w:after="0" w:line="261" w:lineRule="auto"/>
        <w:tabs>
          <w:tab w:leader="none" w:pos="204" w:val="left"/>
        </w:tabs>
        <w:numPr>
          <w:ilvl w:val="0"/>
          <w:numId w:val="125"/>
        </w:numPr>
        <w:rPr>
          <w:rFonts w:ascii="Arial" w:cs="Arial" w:eastAsia="Arial" w:hAnsi="Arial"/>
          <w:sz w:val="18"/>
          <w:szCs w:val="18"/>
          <w:color w:val="074A75"/>
        </w:rPr>
      </w:pPr>
      <w:r>
        <w:rPr>
          <w:rFonts w:ascii="Arial" w:cs="Arial" w:eastAsia="Arial" w:hAnsi="Arial"/>
          <w:sz w:val="18"/>
          <w:szCs w:val="18"/>
          <w:color w:val="auto"/>
        </w:rPr>
        <w:t>Increasing the rigor of the relative payout scale to further differentiate payout for outperformance, median performance and underperformance, as summarized below:</w:t>
      </w:r>
    </w:p>
    <w:p>
      <w:pPr>
        <w:spacing w:after="0" w:line="89" w:lineRule="exact"/>
        <w:rPr>
          <w:rFonts w:ascii="Arial" w:cs="Arial" w:eastAsia="Arial" w:hAnsi="Arial"/>
          <w:sz w:val="18"/>
          <w:szCs w:val="18"/>
          <w:color w:val="074A75"/>
        </w:rPr>
      </w:pPr>
    </w:p>
    <w:p>
      <w:pPr>
        <w:ind w:left="380" w:hanging="178"/>
        <w:spacing w:after="0"/>
        <w:tabs>
          <w:tab w:leader="none" w:pos="380"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Top quartile relative performance no longer pays out at 150% for all three ranks;</w:t>
      </w:r>
    </w:p>
    <w:p>
      <w:pPr>
        <w:spacing w:after="0" w:line="90" w:lineRule="exact"/>
        <w:rPr>
          <w:rFonts w:ascii="Arial" w:cs="Arial" w:eastAsia="Arial" w:hAnsi="Arial"/>
          <w:sz w:val="18"/>
          <w:szCs w:val="18"/>
          <w:color w:val="074A75"/>
        </w:rPr>
      </w:pPr>
    </w:p>
    <w:p>
      <w:pPr>
        <w:ind w:left="380" w:hanging="178"/>
        <w:spacing w:after="0"/>
        <w:tabs>
          <w:tab w:leader="none" w:pos="380"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Target (100%) payout requires above median performance;</w:t>
      </w:r>
    </w:p>
    <w:p>
      <w:pPr>
        <w:spacing w:after="0" w:line="76" w:lineRule="exact"/>
        <w:rPr>
          <w:rFonts w:ascii="Arial" w:cs="Arial" w:eastAsia="Arial" w:hAnsi="Arial"/>
          <w:sz w:val="18"/>
          <w:szCs w:val="18"/>
          <w:color w:val="074A75"/>
        </w:rPr>
      </w:pPr>
    </w:p>
    <w:p>
      <w:pPr>
        <w:ind w:left="380" w:hanging="178"/>
        <w:spacing w:after="0"/>
        <w:tabs>
          <w:tab w:leader="none" w:pos="380"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Below median performance pays out at a maximum of 80%; and</w:t>
      </w:r>
    </w:p>
    <w:p>
      <w:pPr>
        <w:spacing w:after="0" w:line="76" w:lineRule="exact"/>
        <w:rPr>
          <w:rFonts w:ascii="Arial" w:cs="Arial" w:eastAsia="Arial" w:hAnsi="Arial"/>
          <w:sz w:val="18"/>
          <w:szCs w:val="18"/>
          <w:color w:val="074A75"/>
        </w:rPr>
      </w:pPr>
    </w:p>
    <w:p>
      <w:pPr>
        <w:ind w:left="380" w:hanging="178"/>
        <w:spacing w:after="0"/>
        <w:tabs>
          <w:tab w:leader="none" w:pos="380" w:val="left"/>
        </w:tabs>
        <w:numPr>
          <w:ilvl w:val="1"/>
          <w:numId w:val="125"/>
        </w:numPr>
        <w:rPr>
          <w:rFonts w:ascii="Arial" w:cs="Arial" w:eastAsia="Arial" w:hAnsi="Arial"/>
          <w:sz w:val="18"/>
          <w:szCs w:val="18"/>
          <w:color w:val="074A75"/>
        </w:rPr>
      </w:pPr>
      <w:r>
        <w:rPr>
          <w:rFonts w:ascii="Arial" w:cs="Arial" w:eastAsia="Arial" w:hAnsi="Arial"/>
          <w:sz w:val="18"/>
          <w:szCs w:val="18"/>
          <w:color w:val="auto"/>
        </w:rPr>
        <w:t>Bottom relative performance pays out at 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provides a detailed comparison of the relative performance payout levels for PSU awards that were outstanding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92075</wp:posOffset>
            </wp:positionV>
            <wp:extent cx="8255"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92075</wp:posOffset>
            </wp:positionV>
            <wp:extent cx="8890"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92075</wp:posOffset>
            </wp:positionV>
            <wp:extent cx="8890"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92075</wp:posOffset>
            </wp:positionV>
            <wp:extent cx="8890" cy="1714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92075</wp:posOffset>
            </wp:positionV>
            <wp:extent cx="8255"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92075</wp:posOffset>
            </wp:positionV>
            <wp:extent cx="8255"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92075</wp:posOffset>
            </wp:positionV>
            <wp:extent cx="8890"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92075</wp:posOffset>
            </wp:positionV>
            <wp:extent cx="825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92075</wp:posOffset>
            </wp:positionV>
            <wp:extent cx="8890" cy="1714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92075</wp:posOffset>
            </wp:positionV>
            <wp:extent cx="8890" cy="171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92075</wp:posOffset>
            </wp:positionV>
            <wp:extent cx="8890" cy="1714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92075</wp:posOffset>
            </wp:positionV>
            <wp:extent cx="8890" cy="1714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rPr>
              <w:t>Relative Ranking</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w:t>
            </w:r>
          </w:p>
        </w:tc>
        <w:tc>
          <w:tcPr>
            <w:tcW w:w="72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2</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3</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4</w:t>
            </w:r>
          </w:p>
        </w:tc>
        <w:tc>
          <w:tcPr>
            <w:tcW w:w="76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5</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6</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7</w:t>
            </w:r>
          </w:p>
        </w:tc>
        <w:tc>
          <w:tcPr>
            <w:tcW w:w="72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8</w:t>
            </w:r>
          </w:p>
        </w:tc>
        <w:tc>
          <w:tcPr>
            <w:tcW w:w="540" w:type="dxa"/>
            <w:vAlign w:val="bottom"/>
            <w:shd w:val="clear" w:color="auto" w:fill="074A75"/>
          </w:tcPr>
          <w:p>
            <w:pPr>
              <w:jc w:val="center"/>
              <w:ind w:left="119"/>
              <w:spacing w:after="0"/>
              <w:rPr>
                <w:sz w:val="20"/>
                <w:szCs w:val="20"/>
                <w:color w:val="auto"/>
              </w:rPr>
            </w:pPr>
            <w:r>
              <w:rPr>
                <w:rFonts w:ascii="Arial" w:cs="Arial" w:eastAsia="Arial" w:hAnsi="Arial"/>
                <w:sz w:val="18"/>
                <w:szCs w:val="18"/>
                <w:b w:val="1"/>
                <w:bCs w:val="1"/>
                <w:color w:val="FFFFFF"/>
                <w:w w:val="99"/>
              </w:rPr>
              <w:t>9</w:t>
            </w:r>
          </w:p>
        </w:tc>
        <w:tc>
          <w:tcPr>
            <w:tcW w:w="960" w:type="dxa"/>
            <w:vAlign w:val="bottom"/>
            <w:tcBorders>
              <w:right w:val="single" w:sz="8" w:color="074A75"/>
            </w:tcBorders>
            <w:gridSpan w:val="2"/>
            <w:shd w:val="clear" w:color="auto" w:fill="074A75"/>
          </w:tcPr>
          <w:p>
            <w:pPr>
              <w:jc w:val="center"/>
              <w:ind w:left="117"/>
              <w:spacing w:after="0"/>
              <w:rPr>
                <w:sz w:val="20"/>
                <w:szCs w:val="20"/>
                <w:color w:val="auto"/>
              </w:rPr>
            </w:pPr>
            <w:r>
              <w:rPr>
                <w:rFonts w:ascii="Arial" w:cs="Arial" w:eastAsia="Arial" w:hAnsi="Arial"/>
                <w:sz w:val="18"/>
                <w:szCs w:val="18"/>
                <w:b w:val="1"/>
                <w:bCs w:val="1"/>
                <w:color w:val="FFFFFF"/>
                <w:w w:val="99"/>
              </w:rPr>
              <w:t>10</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11</w:t>
            </w:r>
          </w:p>
        </w:tc>
        <w:tc>
          <w:tcPr>
            <w:tcW w:w="740" w:type="dxa"/>
            <w:vAlign w:val="bottom"/>
            <w:tcBorders>
              <w:right w:val="single" w:sz="8" w:color="074A75"/>
            </w:tcBorders>
            <w:shd w:val="clear" w:color="auto" w:fill="074A75"/>
          </w:tcPr>
          <w:p>
            <w:pPr>
              <w:jc w:val="center"/>
              <w:spacing w:after="0"/>
              <w:rPr>
                <w:sz w:val="20"/>
                <w:szCs w:val="20"/>
                <w:color w:val="auto"/>
              </w:rPr>
            </w:pPr>
            <w:r>
              <w:rPr>
                <w:rFonts w:ascii="Arial" w:cs="Arial" w:eastAsia="Arial" w:hAnsi="Arial"/>
                <w:sz w:val="18"/>
                <w:szCs w:val="18"/>
                <w:b w:val="1"/>
                <w:bCs w:val="1"/>
                <w:color w:val="FFFFFF"/>
                <w:w w:val="99"/>
              </w:rPr>
              <w:t>12</w:t>
            </w:r>
          </w:p>
        </w:tc>
        <w:tc>
          <w:tcPr>
            <w:tcW w:w="0" w:type="dxa"/>
            <w:vAlign w:val="bottom"/>
          </w:tcPr>
          <w:p>
            <w:pPr>
              <w:spacing w:after="0"/>
              <w:rPr>
                <w:sz w:val="1"/>
                <w:szCs w:val="1"/>
                <w:color w:val="auto"/>
              </w:rPr>
            </w:pPr>
          </w:p>
        </w:tc>
      </w:tr>
      <w:tr>
        <w:trPr>
          <w:trHeight w:val="68"/>
        </w:trPr>
        <w:tc>
          <w:tcPr>
            <w:tcW w:w="700" w:type="dxa"/>
            <w:vAlign w:val="bottom"/>
            <w:shd w:val="clear" w:color="auto" w:fill="074A75"/>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2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20" w:type="dxa"/>
            <w:vAlign w:val="bottom"/>
            <w:tcBorders>
              <w:right w:val="single" w:sz="8" w:color="074A75"/>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Borders>
              <w:right w:val="single" w:sz="8" w:color="074A75"/>
            </w:tcBorders>
          </w:tcPr>
          <w:p>
            <w:pPr>
              <w:spacing w:after="0"/>
              <w:rPr>
                <w:sz w:val="5"/>
                <w:szCs w:val="5"/>
                <w:color w:val="auto"/>
              </w:rPr>
            </w:pPr>
          </w:p>
        </w:tc>
        <w:tc>
          <w:tcPr>
            <w:tcW w:w="76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740" w:type="dxa"/>
            <w:vAlign w:val="bottom"/>
            <w:tcBorders>
              <w:right w:val="single" w:sz="8" w:color="074A75"/>
            </w:tcBorders>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700" w:type="dxa"/>
            <w:vAlign w:val="bottom"/>
            <w:vMerge w:val="restart"/>
            <w:shd w:val="clear" w:color="auto" w:fill="074A75"/>
          </w:tcPr>
          <w:p>
            <w:pPr>
              <w:ind w:left="80"/>
              <w:spacing w:after="0"/>
              <w:rPr>
                <w:sz w:val="20"/>
                <w:szCs w:val="20"/>
                <w:color w:val="auto"/>
              </w:rPr>
            </w:pPr>
            <w:r>
              <w:rPr>
                <w:rFonts w:ascii="Arial" w:cs="Arial" w:eastAsia="Arial" w:hAnsi="Arial"/>
                <w:sz w:val="18"/>
                <w:szCs w:val="18"/>
                <w:b w:val="1"/>
                <w:bCs w:val="1"/>
                <w:color w:val="FFFFFF"/>
                <w:w w:val="99"/>
              </w:rPr>
              <w:t>Payout</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5"/>
                <w:szCs w:val="15"/>
                <w:b w:val="1"/>
                <w:bCs w:val="1"/>
                <w:color w:val="3E693D"/>
              </w:rPr>
              <w:t>2019-2020 Awards</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rPr>
              <w:t>150%</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3E693D"/>
                <w:w w:val="98"/>
              </w:rPr>
              <w:t>140%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rPr>
              <w:t>130%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rPr>
              <w:t>120%</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3E693D"/>
              </w:rPr>
              <w:t>100%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w w:val="99"/>
              </w:rPr>
              <w:t>90%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w w:val="99"/>
              </w:rPr>
              <w:t>80%</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3E693D"/>
                <w:w w:val="99"/>
              </w:rPr>
              <w:t>70%</w:t>
            </w:r>
          </w:p>
        </w:tc>
        <w:tc>
          <w:tcPr>
            <w:tcW w:w="540" w:type="dxa"/>
            <w:vAlign w:val="bottom"/>
          </w:tcPr>
          <w:p>
            <w:pPr>
              <w:jc w:val="center"/>
              <w:ind w:left="119"/>
              <w:spacing w:after="0"/>
              <w:rPr>
                <w:sz w:val="20"/>
                <w:szCs w:val="20"/>
                <w:color w:val="auto"/>
              </w:rPr>
            </w:pPr>
            <w:r>
              <w:rPr>
                <w:rFonts w:ascii="Arial" w:cs="Arial" w:eastAsia="Arial" w:hAnsi="Arial"/>
                <w:sz w:val="15"/>
                <w:szCs w:val="15"/>
                <w:b w:val="1"/>
                <w:bCs w:val="1"/>
                <w:color w:val="3E693D"/>
                <w:w w:val="99"/>
              </w:rPr>
              <w:t>60%</w:t>
            </w:r>
          </w:p>
        </w:tc>
        <w:tc>
          <w:tcPr>
            <w:tcW w:w="960" w:type="dxa"/>
            <w:vAlign w:val="bottom"/>
            <w:gridSpan w:val="2"/>
          </w:tcPr>
          <w:p>
            <w:pPr>
              <w:jc w:val="center"/>
              <w:ind w:left="97"/>
              <w:spacing w:after="0"/>
              <w:rPr>
                <w:sz w:val="20"/>
                <w:szCs w:val="20"/>
                <w:color w:val="auto"/>
              </w:rPr>
            </w:pPr>
            <w:r>
              <w:rPr>
                <w:rFonts w:ascii="Arial" w:cs="Arial" w:eastAsia="Arial" w:hAnsi="Arial"/>
                <w:sz w:val="15"/>
                <w:szCs w:val="15"/>
                <w:b w:val="1"/>
                <w:bCs w:val="1"/>
                <w:color w:val="3E693D"/>
                <w:w w:val="99"/>
              </w:rPr>
              <w:t>50%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w w:val="99"/>
              </w:rPr>
              <w:t>40%</w:t>
            </w:r>
          </w:p>
        </w:tc>
        <w:tc>
          <w:tcPr>
            <w:tcW w:w="740" w:type="dxa"/>
            <w:vAlign w:val="bottom"/>
          </w:tcPr>
          <w:p>
            <w:pPr>
              <w:jc w:val="center"/>
              <w:spacing w:after="0"/>
              <w:rPr>
                <w:sz w:val="20"/>
                <w:szCs w:val="20"/>
                <w:color w:val="auto"/>
              </w:rPr>
            </w:pPr>
            <w:r>
              <w:rPr>
                <w:rFonts w:ascii="Arial" w:cs="Arial" w:eastAsia="Arial" w:hAnsi="Arial"/>
                <w:sz w:val="15"/>
                <w:szCs w:val="15"/>
                <w:b w:val="1"/>
                <w:bCs w:val="1"/>
                <w:color w:val="3E693D"/>
              </w:rPr>
              <w:t>0%</w:t>
            </w:r>
          </w:p>
        </w:tc>
        <w:tc>
          <w:tcPr>
            <w:tcW w:w="0" w:type="dxa"/>
            <w:vAlign w:val="bottom"/>
          </w:tcPr>
          <w:p>
            <w:pPr>
              <w:spacing w:after="0"/>
              <w:rPr>
                <w:sz w:val="1"/>
                <w:szCs w:val="1"/>
                <w:color w:val="auto"/>
              </w:rPr>
            </w:pPr>
          </w:p>
        </w:tc>
      </w:tr>
      <w:tr>
        <w:trPr>
          <w:trHeight w:val="143"/>
        </w:trPr>
        <w:tc>
          <w:tcPr>
            <w:tcW w:w="700" w:type="dxa"/>
            <w:vAlign w:val="bottom"/>
            <w:vMerge w:val="continue"/>
            <w:shd w:val="clear" w:color="auto" w:fill="074A75"/>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5"/>
                <w:szCs w:val="15"/>
                <w:b w:val="1"/>
                <w:bCs w:val="1"/>
                <w:color w:val="3E693D"/>
              </w:rPr>
              <w:t>2017-2018 Awards</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rPr>
              <w:t>150%</w:t>
            </w:r>
          </w:p>
        </w:tc>
        <w:tc>
          <w:tcPr>
            <w:tcW w:w="720" w:type="dxa"/>
            <w:vAlign w:val="bottom"/>
            <w:vMerge w:val="restart"/>
          </w:tcPr>
          <w:p>
            <w:pPr>
              <w:jc w:val="center"/>
              <w:spacing w:after="0"/>
              <w:rPr>
                <w:sz w:val="20"/>
                <w:szCs w:val="20"/>
                <w:color w:val="auto"/>
              </w:rPr>
            </w:pPr>
            <w:r>
              <w:rPr>
                <w:rFonts w:ascii="Arial" w:cs="Arial" w:eastAsia="Arial" w:hAnsi="Arial"/>
                <w:sz w:val="15"/>
                <w:szCs w:val="15"/>
                <w:b w:val="1"/>
                <w:bCs w:val="1"/>
                <w:color w:val="8A8C8F"/>
                <w:w w:val="98"/>
              </w:rPr>
              <w:t>150%</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rPr>
              <w:t>150%</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rPr>
              <w:t>125%</w:t>
            </w:r>
          </w:p>
        </w:tc>
        <w:tc>
          <w:tcPr>
            <w:tcW w:w="760" w:type="dxa"/>
            <w:vAlign w:val="bottom"/>
            <w:vMerge w:val="restart"/>
          </w:tcPr>
          <w:p>
            <w:pPr>
              <w:jc w:val="center"/>
              <w:spacing w:after="0"/>
              <w:rPr>
                <w:sz w:val="20"/>
                <w:szCs w:val="20"/>
                <w:color w:val="auto"/>
              </w:rPr>
            </w:pPr>
            <w:r>
              <w:rPr>
                <w:rFonts w:ascii="Arial" w:cs="Arial" w:eastAsia="Arial" w:hAnsi="Arial"/>
                <w:sz w:val="15"/>
                <w:szCs w:val="15"/>
                <w:b w:val="1"/>
                <w:bCs w:val="1"/>
                <w:color w:val="8A8C8F"/>
              </w:rPr>
              <w:t>112.5%</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w w:val="98"/>
              </w:rPr>
              <w:t>100%</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rPr>
              <w:t>100%</w:t>
            </w:r>
          </w:p>
        </w:tc>
        <w:tc>
          <w:tcPr>
            <w:tcW w:w="720" w:type="dxa"/>
            <w:vAlign w:val="bottom"/>
            <w:vMerge w:val="restart"/>
          </w:tcPr>
          <w:p>
            <w:pPr>
              <w:jc w:val="center"/>
              <w:spacing w:after="0"/>
              <w:rPr>
                <w:sz w:val="20"/>
                <w:szCs w:val="20"/>
                <w:color w:val="auto"/>
              </w:rPr>
            </w:pPr>
            <w:r>
              <w:rPr>
                <w:rFonts w:ascii="Arial" w:cs="Arial" w:eastAsia="Arial" w:hAnsi="Arial"/>
                <w:sz w:val="15"/>
                <w:szCs w:val="15"/>
                <w:b w:val="1"/>
                <w:bCs w:val="1"/>
                <w:color w:val="8A8C8F"/>
                <w:w w:val="99"/>
              </w:rPr>
              <w:t>85%</w:t>
            </w:r>
          </w:p>
        </w:tc>
        <w:tc>
          <w:tcPr>
            <w:tcW w:w="540" w:type="dxa"/>
            <w:vAlign w:val="bottom"/>
            <w:vMerge w:val="restart"/>
          </w:tcPr>
          <w:p>
            <w:pPr>
              <w:jc w:val="center"/>
              <w:ind w:left="119"/>
              <w:spacing w:after="0"/>
              <w:rPr>
                <w:sz w:val="20"/>
                <w:szCs w:val="20"/>
                <w:color w:val="auto"/>
              </w:rPr>
            </w:pPr>
            <w:r>
              <w:rPr>
                <w:rFonts w:ascii="Arial" w:cs="Arial" w:eastAsia="Arial" w:hAnsi="Arial"/>
                <w:sz w:val="15"/>
                <w:szCs w:val="15"/>
                <w:b w:val="1"/>
                <w:bCs w:val="1"/>
                <w:color w:val="8A8C8F"/>
                <w:w w:val="99"/>
              </w:rPr>
              <w:t>70%</w:t>
            </w:r>
          </w:p>
        </w:tc>
        <w:tc>
          <w:tcPr>
            <w:tcW w:w="960" w:type="dxa"/>
            <w:vAlign w:val="bottom"/>
            <w:gridSpan w:val="2"/>
            <w:vMerge w:val="restart"/>
          </w:tcPr>
          <w:p>
            <w:pPr>
              <w:jc w:val="center"/>
              <w:ind w:left="97"/>
              <w:spacing w:after="0"/>
              <w:rPr>
                <w:sz w:val="20"/>
                <w:szCs w:val="20"/>
                <w:color w:val="auto"/>
              </w:rPr>
            </w:pPr>
            <w:r>
              <w:rPr>
                <w:rFonts w:ascii="Arial" w:cs="Arial" w:eastAsia="Arial" w:hAnsi="Arial"/>
                <w:sz w:val="15"/>
                <w:szCs w:val="15"/>
                <w:b w:val="1"/>
                <w:bCs w:val="1"/>
                <w:color w:val="8A8C8F"/>
                <w:w w:val="99"/>
              </w:rPr>
              <w:t>55%</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w w:val="99"/>
              </w:rPr>
              <w:t>40%</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8A8C8F"/>
                <w:w w:val="99"/>
              </w:rPr>
              <w:t>25%</w:t>
            </w:r>
          </w:p>
        </w:tc>
        <w:tc>
          <w:tcPr>
            <w:tcW w:w="0" w:type="dxa"/>
            <w:vAlign w:val="bottom"/>
          </w:tcPr>
          <w:p>
            <w:pPr>
              <w:spacing w:after="0"/>
              <w:rPr>
                <w:sz w:val="1"/>
                <w:szCs w:val="1"/>
                <w:color w:val="auto"/>
              </w:rPr>
            </w:pPr>
          </w:p>
        </w:tc>
      </w:tr>
      <w:tr>
        <w:trPr>
          <w:trHeight w:val="181"/>
        </w:trPr>
        <w:tc>
          <w:tcPr>
            <w:tcW w:w="700" w:type="dxa"/>
            <w:vAlign w:val="bottom"/>
            <w:shd w:val="clear" w:color="auto" w:fill="074A75"/>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700" w:type="dxa"/>
            <w:vAlign w:val="bottom"/>
            <w:shd w:val="clear" w:color="auto" w:fill="074A75"/>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8A8C8F"/>
              </w:rPr>
              <w:t>75th</w:t>
            </w:r>
          </w:p>
        </w:tc>
        <w:tc>
          <w:tcPr>
            <w:tcW w:w="760" w:type="dxa"/>
            <w:vAlign w:val="bottom"/>
          </w:tcPr>
          <w:p>
            <w:pPr>
              <w:spacing w:after="0"/>
              <w:rPr>
                <w:sz w:val="5"/>
                <w:szCs w:val="5"/>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8A8C8F"/>
              </w:rPr>
              <w:t>Median</w:t>
            </w: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2"/>
            <w:vMerge w:val="restart"/>
          </w:tcPr>
          <w:p>
            <w:pPr>
              <w:spacing w:after="0"/>
              <w:rPr>
                <w:sz w:val="20"/>
                <w:szCs w:val="20"/>
                <w:color w:val="auto"/>
              </w:rPr>
            </w:pPr>
            <w:r>
              <w:rPr>
                <w:rFonts w:ascii="Arial" w:cs="Arial" w:eastAsia="Arial" w:hAnsi="Arial"/>
                <w:sz w:val="18"/>
                <w:szCs w:val="18"/>
                <w:b w:val="1"/>
                <w:bCs w:val="1"/>
                <w:color w:val="8A8C8F"/>
              </w:rPr>
              <w:t>25th</w:t>
            </w: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-680720</wp:posOffset>
            </wp:positionV>
            <wp:extent cx="6660515" cy="5397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660515" cy="539750"/>
                    </a:xfrm>
                    <a:prstGeom prst="rect">
                      <a:avLst/>
                    </a:prstGeom>
                    <a:noFill/>
                  </pic:spPr>
                </pic:pic>
              </a:graphicData>
            </a:graphic>
          </wp:anchor>
        </w:drawing>
      </w:r>
    </w:p>
    <w:p>
      <w:pPr>
        <w:spacing w:after="0" w:line="114"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Additionally, for the 2020 PSU awards, the Committee calibrated the upper and lower absolute ROTCE thresholds to 18% and 6% respectively, based on the current forecast of the Firm’s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194945</wp:posOffset>
            </wp:positionV>
            <wp:extent cx="2743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47  </w:t>
      </w:r>
      <w:r>
        <w:rPr>
          <w:sz w:val="1"/>
          <w:szCs w:val="1"/>
          <w:color w:val="auto"/>
        </w:rPr>
        <w:drawing>
          <wp:inline distT="0" distB="0" distL="0" distR="0">
            <wp:extent cx="2203450" cy="15430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KEY FEATURES OF OUR 2020 PSU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key features of our 2020 PSUs are substantially unchanged and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4316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443166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Plan Feature</w:t>
            </w:r>
          </w:p>
        </w:tc>
        <w:tc>
          <w:tcPr>
            <w:tcW w:w="9840" w:type="dxa"/>
            <w:vAlign w:val="bottom"/>
            <w:tcBorders>
              <w:bottom w:val="single" w:sz="8" w:color="494949"/>
            </w:tcBorders>
          </w:tcPr>
          <w:p>
            <w:pPr>
              <w:ind w:left="3340"/>
              <w:spacing w:after="0"/>
              <w:rPr>
                <w:sz w:val="20"/>
                <w:szCs w:val="20"/>
                <w:color w:val="auto"/>
              </w:rPr>
            </w:pPr>
            <w:r>
              <w:rPr>
                <w:rFonts w:ascii="Arial" w:cs="Arial" w:eastAsia="Arial" w:hAnsi="Arial"/>
                <w:sz w:val="16"/>
                <w:szCs w:val="16"/>
                <w:color w:val="074A75"/>
              </w:rPr>
              <w:t>Performance Year 2020 PSU Award Description</w:t>
            </w:r>
          </w:p>
        </w:tc>
      </w:tr>
      <w:tr>
        <w:trPr>
          <w:trHeight w:val="237"/>
        </w:trPr>
        <w:tc>
          <w:tcPr>
            <w:tcW w:w="140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auto"/>
              </w:rPr>
              <w:t>Vehicle</w:t>
            </w:r>
          </w:p>
        </w:tc>
        <w:tc>
          <w:tcPr>
            <w:tcW w:w="9840" w:type="dxa"/>
            <w:vAlign w:val="bottom"/>
            <w:tcBorders>
              <w:bottom w:val="single" w:sz="8" w:color="494949"/>
            </w:tcBorders>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Value of units moves with stock price during performance period; units are settled in shares at vesting.</w:t>
            </w:r>
          </w:p>
        </w:tc>
      </w:tr>
      <w:tr>
        <w:trPr>
          <w:trHeight w:val="218"/>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Time Horizon</w:t>
            </w:r>
          </w:p>
        </w:tc>
        <w:tc>
          <w:tcPr>
            <w:tcW w:w="984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Three-year cliff-vesting, plus an additional two-year holding period (for a combined five-year holding period). Due to local U.K.</w:t>
            </w:r>
          </w:p>
        </w:tc>
      </w:tr>
      <w:tr>
        <w:trPr>
          <w:trHeight w:val="189"/>
        </w:trPr>
        <w:tc>
          <w:tcPr>
            <w:tcW w:w="1400" w:type="dxa"/>
            <w:vAlign w:val="bottom"/>
          </w:tcPr>
          <w:p>
            <w:pPr>
              <w:spacing w:after="0"/>
              <w:rPr>
                <w:sz w:val="16"/>
                <w:szCs w:val="16"/>
                <w:color w:val="auto"/>
              </w:rPr>
            </w:pPr>
          </w:p>
        </w:tc>
        <w:tc>
          <w:tcPr>
            <w:tcW w:w="9840" w:type="dxa"/>
            <w:vAlign w:val="bottom"/>
          </w:tcPr>
          <w:p>
            <w:pPr>
              <w:ind w:left="560"/>
              <w:spacing w:after="0"/>
              <w:rPr>
                <w:sz w:val="20"/>
                <w:szCs w:val="20"/>
                <w:color w:val="auto"/>
              </w:rPr>
            </w:pPr>
            <w:r>
              <w:rPr>
                <w:rFonts w:ascii="Arial" w:cs="Arial" w:eastAsia="Arial" w:hAnsi="Arial"/>
                <w:sz w:val="16"/>
                <w:szCs w:val="16"/>
                <w:color w:val="auto"/>
              </w:rPr>
              <w:t>regulations, Mr. Pinto's PSUs are subject to an extended seven-year vesting period commencing ratably on the third anniversary</w:t>
            </w:r>
          </w:p>
        </w:tc>
      </w:tr>
      <w:tr>
        <w:trPr>
          <w:trHeight w:val="208"/>
        </w:trPr>
        <w:tc>
          <w:tcPr>
            <w:tcW w:w="1400" w:type="dxa"/>
            <w:vAlign w:val="bottom"/>
            <w:tcBorders>
              <w:bottom w:val="single" w:sz="8" w:color="494949"/>
            </w:tcBorders>
          </w:tcPr>
          <w:p>
            <w:pPr>
              <w:spacing w:after="0"/>
              <w:rPr>
                <w:sz w:val="18"/>
                <w:szCs w:val="18"/>
                <w:color w:val="auto"/>
              </w:rPr>
            </w:pPr>
          </w:p>
        </w:tc>
        <w:tc>
          <w:tcPr>
            <w:tcW w:w="9840" w:type="dxa"/>
            <w:vAlign w:val="bottom"/>
            <w:tcBorders>
              <w:bottom w:val="single" w:sz="8" w:color="494949"/>
            </w:tcBorders>
          </w:tcPr>
          <w:p>
            <w:pPr>
              <w:ind w:left="560"/>
              <w:spacing w:after="0"/>
              <w:rPr>
                <w:sz w:val="20"/>
                <w:szCs w:val="20"/>
                <w:color w:val="auto"/>
              </w:rPr>
            </w:pPr>
            <w:r>
              <w:rPr>
                <w:rFonts w:ascii="Arial" w:cs="Arial" w:eastAsia="Arial" w:hAnsi="Arial"/>
                <w:sz w:val="16"/>
                <w:szCs w:val="16"/>
                <w:color w:val="auto"/>
              </w:rPr>
              <w:t>of the grant.</w:t>
            </w:r>
          </w:p>
        </w:tc>
      </w:tr>
      <w:tr>
        <w:trPr>
          <w:trHeight w:val="198"/>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Performance</w:t>
            </w:r>
          </w:p>
        </w:tc>
        <w:tc>
          <w:tcPr>
            <w:tcW w:w="9840" w:type="dxa"/>
            <w:vAlign w:val="bottom"/>
          </w:tcPr>
          <w:p>
            <w:pPr>
              <w:ind w:left="36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selected ROTCE, a comprehensive performance metric that measures the Firm’s net income applicable to common</w:t>
            </w:r>
          </w:p>
        </w:tc>
      </w:tr>
      <w:tr>
        <w:trPr>
          <w:trHeight w:val="209"/>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Measure</w:t>
            </w:r>
          </w:p>
        </w:tc>
        <w:tc>
          <w:tcPr>
            <w:tcW w:w="9840" w:type="dxa"/>
            <w:vAlign w:val="bottom"/>
          </w:tcPr>
          <w:p>
            <w:pPr>
              <w:ind w:left="560"/>
              <w:spacing w:after="0"/>
              <w:rPr>
                <w:sz w:val="20"/>
                <w:szCs w:val="20"/>
                <w:color w:val="auto"/>
              </w:rPr>
            </w:pPr>
            <w:r>
              <w:rPr>
                <w:rFonts w:ascii="Arial" w:cs="Arial" w:eastAsia="Arial" w:hAnsi="Arial"/>
                <w:sz w:val="16"/>
                <w:szCs w:val="16"/>
                <w:color w:val="auto"/>
              </w:rPr>
              <w:t>equity as a percentage of average tangible common equity. ROTCE is used by the Firm, as well as investors and analysts, in</w:t>
            </w:r>
          </w:p>
        </w:tc>
      </w:tr>
      <w:tr>
        <w:trPr>
          <w:trHeight w:val="189"/>
        </w:trPr>
        <w:tc>
          <w:tcPr>
            <w:tcW w:w="1400" w:type="dxa"/>
            <w:vAlign w:val="bottom"/>
          </w:tcPr>
          <w:p>
            <w:pPr>
              <w:spacing w:after="0"/>
              <w:rPr>
                <w:sz w:val="16"/>
                <w:szCs w:val="16"/>
                <w:color w:val="auto"/>
              </w:rPr>
            </w:pPr>
          </w:p>
        </w:tc>
        <w:tc>
          <w:tcPr>
            <w:tcW w:w="9840" w:type="dxa"/>
            <w:vAlign w:val="bottom"/>
          </w:tcPr>
          <w:p>
            <w:pPr>
              <w:ind w:left="560"/>
              <w:spacing w:after="0"/>
              <w:rPr>
                <w:sz w:val="20"/>
                <w:szCs w:val="20"/>
                <w:color w:val="auto"/>
              </w:rPr>
            </w:pPr>
            <w:r>
              <w:rPr>
                <w:rFonts w:ascii="Arial" w:cs="Arial" w:eastAsia="Arial" w:hAnsi="Arial"/>
                <w:sz w:val="16"/>
                <w:szCs w:val="16"/>
                <w:color w:val="auto"/>
              </w:rPr>
              <w:t>assessing the earnings power of common shareholders’ equity capital and is a useful metric for comparing the profitability of the</w:t>
            </w:r>
          </w:p>
        </w:tc>
      </w:tr>
      <w:tr>
        <w:trPr>
          <w:trHeight w:val="208"/>
        </w:trPr>
        <w:tc>
          <w:tcPr>
            <w:tcW w:w="1400" w:type="dxa"/>
            <w:vAlign w:val="bottom"/>
            <w:tcBorders>
              <w:bottom w:val="single" w:sz="8" w:color="494949"/>
            </w:tcBorders>
          </w:tcPr>
          <w:p>
            <w:pPr>
              <w:spacing w:after="0"/>
              <w:rPr>
                <w:sz w:val="18"/>
                <w:szCs w:val="18"/>
                <w:color w:val="auto"/>
              </w:rPr>
            </w:pPr>
          </w:p>
        </w:tc>
        <w:tc>
          <w:tcPr>
            <w:tcW w:w="9840" w:type="dxa"/>
            <w:vAlign w:val="bottom"/>
            <w:tcBorders>
              <w:bottom w:val="single" w:sz="8" w:color="494949"/>
            </w:tcBorders>
          </w:tcPr>
          <w:p>
            <w:pPr>
              <w:ind w:left="560"/>
              <w:spacing w:after="0"/>
              <w:rPr>
                <w:sz w:val="20"/>
                <w:szCs w:val="20"/>
                <w:color w:val="auto"/>
              </w:rPr>
            </w:pPr>
            <w:r>
              <w:rPr>
                <w:rFonts w:ascii="Arial" w:cs="Arial" w:eastAsia="Arial" w:hAnsi="Arial"/>
                <w:sz w:val="16"/>
                <w:szCs w:val="16"/>
                <w:color w:val="auto"/>
              </w:rPr>
              <w:t>Firm with that of competitors.</w:t>
            </w: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Payout Scale</w:t>
            </w:r>
          </w:p>
        </w:tc>
        <w:tc>
          <w:tcPr>
            <w:tcW w:w="9840" w:type="dxa"/>
            <w:vAlign w:val="bottom"/>
          </w:tcPr>
          <w:p>
            <w:pPr>
              <w:ind w:left="38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Payout under the PSU plan is calculated at the end of the three-year performance period based on absolute and relative</w:t>
            </w:r>
          </w:p>
        </w:tc>
      </w:tr>
      <w:tr>
        <w:trPr>
          <w:trHeight w:val="192"/>
        </w:trPr>
        <w:tc>
          <w:tcPr>
            <w:tcW w:w="1400" w:type="dxa"/>
            <w:vAlign w:val="bottom"/>
          </w:tcPr>
          <w:p>
            <w:pPr>
              <w:spacing w:after="0"/>
              <w:rPr>
                <w:sz w:val="16"/>
                <w:szCs w:val="16"/>
                <w:color w:val="auto"/>
              </w:rPr>
            </w:pPr>
          </w:p>
        </w:tc>
        <w:tc>
          <w:tcPr>
            <w:tcW w:w="9840" w:type="dxa"/>
            <w:vAlign w:val="bottom"/>
          </w:tcPr>
          <w:p>
            <w:pPr>
              <w:ind w:left="580"/>
              <w:spacing w:after="0" w:line="192" w:lineRule="exact"/>
              <w:rPr>
                <w:sz w:val="20"/>
                <w:szCs w:val="20"/>
                <w:color w:val="auto"/>
              </w:rPr>
            </w:pPr>
            <w:r>
              <w:rPr>
                <w:rFonts w:ascii="Arial" w:cs="Arial" w:eastAsia="Arial" w:hAnsi="Arial"/>
                <w:sz w:val="16"/>
                <w:szCs w:val="16"/>
                <w:color w:val="auto"/>
              </w:rPr>
              <w:t>average ROTCE</w:t>
            </w:r>
            <w:r>
              <w:rPr>
                <w:rFonts w:ascii="Arial" w:cs="Arial" w:eastAsia="Arial" w:hAnsi="Arial"/>
                <w:sz w:val="21"/>
                <w:szCs w:val="21"/>
                <w:color w:val="auto"/>
                <w:vertAlign w:val="superscript"/>
              </w:rPr>
              <w:t>1</w:t>
            </w:r>
            <w:r>
              <w:rPr>
                <w:rFonts w:ascii="Arial" w:cs="Arial" w:eastAsia="Arial" w:hAnsi="Arial"/>
                <w:sz w:val="16"/>
                <w:szCs w:val="16"/>
                <w:color w:val="auto"/>
              </w:rPr>
              <w:t>, per the payout scale below. The use of both absolute and relative ROTCE helps promote a reasonable</w:t>
            </w:r>
          </w:p>
        </w:tc>
      </w:tr>
      <w:tr>
        <w:trPr>
          <w:trHeight w:val="189"/>
        </w:trPr>
        <w:tc>
          <w:tcPr>
            <w:tcW w:w="1400" w:type="dxa"/>
            <w:vAlign w:val="bottom"/>
          </w:tcPr>
          <w:p>
            <w:pPr>
              <w:spacing w:after="0"/>
              <w:rPr>
                <w:sz w:val="16"/>
                <w:szCs w:val="16"/>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outcome for both shareholders and participants. For the 2020 PSU award, the CMDC set the absolute ROTCE thresholds as</w:t>
            </w:r>
          </w:p>
        </w:tc>
      </w:tr>
      <w:tr>
        <w:trPr>
          <w:trHeight w:val="189"/>
        </w:trPr>
        <w:tc>
          <w:tcPr>
            <w:tcW w:w="1400" w:type="dxa"/>
            <w:vAlign w:val="bottom"/>
          </w:tcPr>
          <w:p>
            <w:pPr>
              <w:spacing w:after="0"/>
              <w:rPr>
                <w:sz w:val="16"/>
                <w:szCs w:val="16"/>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follows: (1) maximum payout at 18% or greater, (vs. 17% in 2017, and 18% in 2018 and 2019); and (2) zero payout at less than</w:t>
            </w:r>
          </w:p>
        </w:tc>
      </w:tr>
      <w:tr>
        <w:trPr>
          <w:trHeight w:val="195"/>
        </w:trPr>
        <w:tc>
          <w:tcPr>
            <w:tcW w:w="1400" w:type="dxa"/>
            <w:vAlign w:val="bottom"/>
          </w:tcPr>
          <w:p>
            <w:pPr>
              <w:spacing w:after="0"/>
              <w:rPr>
                <w:sz w:val="16"/>
                <w:szCs w:val="16"/>
                <w:color w:val="auto"/>
              </w:rPr>
            </w:pPr>
          </w:p>
        </w:tc>
        <w:tc>
          <w:tcPr>
            <w:tcW w:w="9840" w:type="dxa"/>
            <w:vAlign w:val="bottom"/>
          </w:tcPr>
          <w:p>
            <w:pPr>
              <w:ind w:left="580"/>
              <w:spacing w:after="0"/>
              <w:rPr>
                <w:sz w:val="20"/>
                <w:szCs w:val="20"/>
                <w:color w:val="auto"/>
              </w:rPr>
            </w:pPr>
            <w:r>
              <w:rPr>
                <w:rFonts w:ascii="Arial" w:cs="Arial" w:eastAsia="Arial" w:hAnsi="Arial"/>
                <w:sz w:val="16"/>
                <w:szCs w:val="16"/>
                <w:color w:val="auto"/>
              </w:rPr>
              <w:t>6%, no change from prior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PSU Performance</w:t>
            </w:r>
          </w:p>
        </w:tc>
        <w:tc>
          <w:tcPr>
            <w:tcW w:w="9600" w:type="dxa"/>
            <w:vAlign w:val="bottom"/>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determining companies to include in the relative ROTCE scale, the CMDC selected competitors with business activities that</w:t>
            </w:r>
          </w:p>
        </w:tc>
      </w:tr>
      <w:tr>
        <w:trPr>
          <w:trHeight w:val="20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Companies</w:t>
            </w:r>
          </w:p>
        </w:tc>
        <w:tc>
          <w:tcPr>
            <w:tcW w:w="9600" w:type="dxa"/>
            <w:vAlign w:val="bottom"/>
          </w:tcPr>
          <w:p>
            <w:pPr>
              <w:ind w:left="320"/>
              <w:spacing w:after="0"/>
              <w:rPr>
                <w:sz w:val="20"/>
                <w:szCs w:val="20"/>
                <w:color w:val="auto"/>
              </w:rPr>
            </w:pPr>
            <w:r>
              <w:rPr>
                <w:rFonts w:ascii="Arial" w:cs="Arial" w:eastAsia="Arial" w:hAnsi="Arial"/>
                <w:sz w:val="16"/>
                <w:szCs w:val="16"/>
                <w:color w:val="auto"/>
              </w:rPr>
              <w:t>overlap with at least 30% of the Firm’s revenue mix. These are unchanged from prior years and include Bank of America,</w:t>
            </w:r>
          </w:p>
        </w:tc>
      </w:tr>
      <w:tr>
        <w:trPr>
          <w:trHeight w:val="189"/>
        </w:trPr>
        <w:tc>
          <w:tcPr>
            <w:tcW w:w="1640" w:type="dxa"/>
            <w:vAlign w:val="bottom"/>
          </w:tcPr>
          <w:p>
            <w:pPr>
              <w:spacing w:after="0"/>
              <w:rPr>
                <w:sz w:val="16"/>
                <w:szCs w:val="16"/>
                <w:color w:val="auto"/>
              </w:rPr>
            </w:pPr>
          </w:p>
        </w:tc>
        <w:tc>
          <w:tcPr>
            <w:tcW w:w="9600" w:type="dxa"/>
            <w:vAlign w:val="bottom"/>
          </w:tcPr>
          <w:p>
            <w:pPr>
              <w:ind w:left="320"/>
              <w:spacing w:after="0"/>
              <w:rPr>
                <w:sz w:val="20"/>
                <w:szCs w:val="20"/>
                <w:color w:val="auto"/>
              </w:rPr>
            </w:pPr>
            <w:r>
              <w:rPr>
                <w:rFonts w:ascii="Arial" w:cs="Arial" w:eastAsia="Arial" w:hAnsi="Arial"/>
                <w:sz w:val="16"/>
                <w:szCs w:val="16"/>
                <w:color w:val="auto"/>
              </w:rPr>
              <w:t>Barclays, Capital One Financial, Citigroup, Credit Suisse, Deutsche Bank, Goldman Sachs, HSBC, Morgan Stanley, UBS and</w:t>
            </w:r>
          </w:p>
        </w:tc>
      </w:tr>
      <w:tr>
        <w:trPr>
          <w:trHeight w:val="208"/>
        </w:trPr>
        <w:tc>
          <w:tcPr>
            <w:tcW w:w="1640" w:type="dxa"/>
            <w:vAlign w:val="bottom"/>
            <w:tcBorders>
              <w:bottom w:val="single" w:sz="8" w:color="494949"/>
            </w:tcBorders>
          </w:tcPr>
          <w:p>
            <w:pPr>
              <w:spacing w:after="0"/>
              <w:rPr>
                <w:sz w:val="18"/>
                <w:szCs w:val="18"/>
                <w:color w:val="auto"/>
              </w:rPr>
            </w:pPr>
          </w:p>
        </w:tc>
        <w:tc>
          <w:tcPr>
            <w:tcW w:w="9600" w:type="dxa"/>
            <w:vAlign w:val="bottom"/>
            <w:tcBorders>
              <w:bottom w:val="single" w:sz="8" w:color="494949"/>
            </w:tcBorders>
          </w:tcPr>
          <w:p>
            <w:pPr>
              <w:ind w:left="320"/>
              <w:spacing w:after="0"/>
              <w:rPr>
                <w:sz w:val="20"/>
                <w:szCs w:val="20"/>
                <w:color w:val="auto"/>
              </w:rPr>
            </w:pPr>
            <w:r>
              <w:rPr>
                <w:rFonts w:ascii="Arial" w:cs="Arial" w:eastAsia="Arial" w:hAnsi="Arial"/>
                <w:sz w:val="16"/>
                <w:szCs w:val="16"/>
                <w:color w:val="auto"/>
              </w:rPr>
              <w:t>Wells Fargo.</w:t>
            </w: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Minimum</w:t>
            </w:r>
          </w:p>
        </w:tc>
        <w:tc>
          <w:tcPr>
            <w:tcW w:w="9600" w:type="dxa"/>
            <w:vAlign w:val="bottom"/>
          </w:tcPr>
          <w:p>
            <w:pPr>
              <w:ind w:left="140"/>
              <w:spacing w:after="0" w:line="203"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If the Firm’s common equity Tier 1 (“CET1”) capital ratio</w:t>
            </w:r>
            <w:r>
              <w:rPr>
                <w:rFonts w:ascii="Arial" w:cs="Arial" w:eastAsia="Arial" w:hAnsi="Arial"/>
                <w:sz w:val="21"/>
                <w:szCs w:val="21"/>
                <w:color w:val="000000"/>
                <w:vertAlign w:val="superscript"/>
              </w:rPr>
              <w:t>2</w:t>
            </w:r>
            <w:r>
              <w:rPr>
                <w:rFonts w:ascii="Arial" w:cs="Arial" w:eastAsia="Arial" w:hAnsi="Arial"/>
                <w:sz w:val="16"/>
                <w:szCs w:val="16"/>
                <w:color w:val="074A75"/>
              </w:rPr>
              <w:t xml:space="preserve"> </w:t>
            </w:r>
            <w:r>
              <w:rPr>
                <w:rFonts w:ascii="Arial" w:cs="Arial" w:eastAsia="Arial" w:hAnsi="Arial"/>
                <w:sz w:val="16"/>
                <w:szCs w:val="16"/>
                <w:color w:val="000000"/>
              </w:rPr>
              <w:t>is less than 7.5% at any year-end, then up to one-third of unvested</w:t>
            </w:r>
          </w:p>
        </w:tc>
      </w:tr>
      <w:tr>
        <w:trPr>
          <w:trHeight w:val="231"/>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Risk-based Hurdle</w:t>
            </w:r>
          </w:p>
        </w:tc>
        <w:tc>
          <w:tcPr>
            <w:tcW w:w="9600" w:type="dxa"/>
            <w:vAlign w:val="bottom"/>
          </w:tcPr>
          <w:p>
            <w:pPr>
              <w:ind w:left="340"/>
              <w:spacing w:after="0"/>
              <w:rPr>
                <w:sz w:val="20"/>
                <w:szCs w:val="20"/>
                <w:color w:val="auto"/>
              </w:rPr>
            </w:pPr>
            <w:r>
              <w:rPr>
                <w:rFonts w:ascii="Arial" w:cs="Arial" w:eastAsia="Arial" w:hAnsi="Arial"/>
                <w:sz w:val="16"/>
                <w:szCs w:val="16"/>
                <w:color w:val="auto"/>
              </w:rPr>
              <w:t>PSUs will be subject to downward adjustment by the CMDC for each such year. The CET1 feature was first introduced with the</w:t>
            </w:r>
          </w:p>
        </w:tc>
      </w:tr>
      <w:tr>
        <w:trPr>
          <w:trHeight w:val="195"/>
        </w:trPr>
        <w:tc>
          <w:tcPr>
            <w:tcW w:w="1640" w:type="dxa"/>
            <w:vAlign w:val="bottom"/>
          </w:tcPr>
          <w:p>
            <w:pPr>
              <w:spacing w:after="0"/>
              <w:rPr>
                <w:sz w:val="16"/>
                <w:szCs w:val="16"/>
                <w:color w:val="auto"/>
              </w:rPr>
            </w:pPr>
          </w:p>
        </w:tc>
        <w:tc>
          <w:tcPr>
            <w:tcW w:w="9600" w:type="dxa"/>
            <w:vAlign w:val="bottom"/>
          </w:tcPr>
          <w:p>
            <w:pPr>
              <w:ind w:left="340"/>
              <w:spacing w:after="0"/>
              <w:rPr>
                <w:sz w:val="20"/>
                <w:szCs w:val="20"/>
                <w:color w:val="auto"/>
              </w:rPr>
            </w:pPr>
            <w:r>
              <w:rPr>
                <w:rFonts w:ascii="Arial" w:cs="Arial" w:eastAsia="Arial" w:hAnsi="Arial"/>
                <w:sz w:val="16"/>
                <w:szCs w:val="16"/>
                <w:color w:val="auto"/>
              </w:rPr>
              <w:t>2017 PSU award.</w:t>
            </w:r>
          </w:p>
        </w:tc>
      </w:tr>
      <w:tr>
        <w:trPr>
          <w:trHeight w:val="33"/>
        </w:trPr>
        <w:tc>
          <w:tcPr>
            <w:tcW w:w="1640" w:type="dxa"/>
            <w:vAlign w:val="bottom"/>
            <w:tcBorders>
              <w:bottom w:val="single" w:sz="8" w:color="494949"/>
            </w:tcBorders>
          </w:tcPr>
          <w:p>
            <w:pPr>
              <w:spacing w:after="0"/>
              <w:rPr>
                <w:sz w:val="2"/>
                <w:szCs w:val="2"/>
                <w:color w:val="auto"/>
              </w:rPr>
            </w:pPr>
          </w:p>
        </w:tc>
        <w:tc>
          <w:tcPr>
            <w:tcW w:w="9600" w:type="dxa"/>
            <w:vAlign w:val="bottom"/>
            <w:tcBorders>
              <w:bottom w:val="single" w:sz="8" w:color="494949"/>
            </w:tcBorders>
          </w:tcPr>
          <w:p>
            <w:pPr>
              <w:spacing w:after="0"/>
              <w:rPr>
                <w:sz w:val="2"/>
                <w:szCs w:val="2"/>
                <w:color w:val="auto"/>
              </w:rPr>
            </w:pPr>
          </w:p>
        </w:tc>
      </w:tr>
      <w:tr>
        <w:trPr>
          <w:trHeight w:val="191"/>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Narrow Adjustment</w:t>
            </w:r>
          </w:p>
        </w:tc>
        <w:tc>
          <w:tcPr>
            <w:tcW w:w="9600" w:type="dxa"/>
            <w:vAlign w:val="bottom"/>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CMDC may make adjustments (up or down) to maintain the intended economics of the award in light of changed</w:t>
            </w:r>
          </w:p>
        </w:tc>
      </w:tr>
      <w:tr>
        <w:trPr>
          <w:trHeight w:val="209"/>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Provision</w:t>
            </w:r>
          </w:p>
        </w:tc>
        <w:tc>
          <w:tcPr>
            <w:tcW w:w="9600" w:type="dxa"/>
            <w:vAlign w:val="bottom"/>
          </w:tcPr>
          <w:p>
            <w:pPr>
              <w:ind w:left="320"/>
              <w:spacing w:after="0"/>
              <w:rPr>
                <w:sz w:val="20"/>
                <w:szCs w:val="20"/>
                <w:color w:val="auto"/>
              </w:rPr>
            </w:pPr>
            <w:r>
              <w:rPr>
                <w:rFonts w:ascii="Arial" w:cs="Arial" w:eastAsia="Arial" w:hAnsi="Arial"/>
                <w:sz w:val="16"/>
                <w:szCs w:val="16"/>
                <w:color w:val="auto"/>
              </w:rPr>
              <w:t>circumstances (e.g., change in accounting rules/policies or changes in capital structure). The CMDC may also make additional</w:t>
            </w:r>
          </w:p>
        </w:tc>
      </w:tr>
      <w:tr>
        <w:trPr>
          <w:trHeight w:val="195"/>
        </w:trPr>
        <w:tc>
          <w:tcPr>
            <w:tcW w:w="1640" w:type="dxa"/>
            <w:vAlign w:val="bottom"/>
          </w:tcPr>
          <w:p>
            <w:pPr>
              <w:spacing w:after="0"/>
              <w:rPr>
                <w:sz w:val="16"/>
                <w:szCs w:val="16"/>
                <w:color w:val="auto"/>
              </w:rPr>
            </w:pPr>
          </w:p>
        </w:tc>
        <w:tc>
          <w:tcPr>
            <w:tcW w:w="9600" w:type="dxa"/>
            <w:vAlign w:val="bottom"/>
          </w:tcPr>
          <w:p>
            <w:pPr>
              <w:ind w:left="320"/>
              <w:spacing w:after="0"/>
              <w:rPr>
                <w:sz w:val="20"/>
                <w:szCs w:val="20"/>
                <w:color w:val="auto"/>
              </w:rPr>
            </w:pPr>
            <w:r>
              <w:rPr>
                <w:rFonts w:ascii="Arial" w:cs="Arial" w:eastAsia="Arial" w:hAnsi="Arial"/>
                <w:sz w:val="16"/>
                <w:szCs w:val="16"/>
                <w:color w:val="auto"/>
              </w:rPr>
              <w:t>downward adjustments in relation to Mr. Pinto’s PSUs (refer to Note 1 on page 46).</w:t>
            </w:r>
          </w:p>
        </w:tc>
      </w:tr>
    </w:tbl>
    <w:p>
      <w:pPr>
        <w:spacing w:after="0" w:line="326" w:lineRule="exact"/>
        <w:rPr>
          <w:sz w:val="20"/>
          <w:szCs w:val="20"/>
          <w:color w:val="auto"/>
        </w:rPr>
      </w:pPr>
    </w:p>
    <w:p>
      <w:pPr>
        <w:jc w:val="right"/>
        <w:ind w:right="5820"/>
        <w:spacing w:after="0" w:line="432" w:lineRule="auto"/>
        <w:rPr>
          <w:sz w:val="20"/>
          <w:szCs w:val="20"/>
          <w:color w:val="auto"/>
        </w:rPr>
      </w:pPr>
      <w:r>
        <w:rPr>
          <w:rFonts w:ascii="Arial" w:cs="Arial" w:eastAsia="Arial" w:hAnsi="Arial"/>
          <w:sz w:val="19"/>
          <w:szCs w:val="19"/>
          <w:color w:val="074A75"/>
        </w:rPr>
        <w:t>PERFORMANCE SHARE UNITS — 5-YEAR TIME HORIZON PSU goal is set at beginning of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-230505</wp:posOffset>
            </wp:positionV>
            <wp:extent cx="188595" cy="514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88595" cy="5143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-230505</wp:posOffset>
            </wp:positionV>
            <wp:extent cx="188595" cy="514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88595"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1560" w:type="dxa"/>
            <w:vAlign w:val="bottom"/>
            <w:shd w:val="clear" w:color="auto" w:fill="074A75"/>
          </w:tcPr>
          <w:p>
            <w:pPr>
              <w:spacing w:after="0"/>
              <w:rPr>
                <w:sz w:val="21"/>
                <w:szCs w:val="21"/>
                <w:color w:val="auto"/>
              </w:rPr>
            </w:pPr>
          </w:p>
        </w:tc>
        <w:tc>
          <w:tcPr>
            <w:tcW w:w="3340" w:type="dxa"/>
            <w:vAlign w:val="bottom"/>
            <w:shd w:val="clear" w:color="auto" w:fill="074A75"/>
          </w:tcPr>
          <w:p>
            <w:pPr>
              <w:jc w:val="center"/>
              <w:spacing w:after="0"/>
              <w:rPr>
                <w:sz w:val="20"/>
                <w:szCs w:val="20"/>
                <w:color w:val="auto"/>
              </w:rPr>
            </w:pPr>
            <w:r>
              <w:rPr>
                <w:rFonts w:ascii="Arial" w:cs="Arial" w:eastAsia="Arial" w:hAnsi="Arial"/>
                <w:sz w:val="15"/>
                <w:szCs w:val="15"/>
                <w:b w:val="1"/>
                <w:bCs w:val="1"/>
                <w:color w:val="FFFFFF"/>
              </w:rPr>
              <w:t>3-Year Performance Period (cliff-vest)</w:t>
            </w:r>
          </w:p>
        </w:tc>
        <w:tc>
          <w:tcPr>
            <w:tcW w:w="1540" w:type="dxa"/>
            <w:vAlign w:val="bottom"/>
            <w:shd w:val="clear" w:color="auto" w:fill="074A75"/>
          </w:tcPr>
          <w:p>
            <w:pPr>
              <w:spacing w:after="0"/>
              <w:rPr>
                <w:sz w:val="21"/>
                <w:szCs w:val="21"/>
                <w:color w:val="auto"/>
              </w:rPr>
            </w:pPr>
          </w:p>
        </w:tc>
        <w:tc>
          <w:tcPr>
            <w:tcW w:w="500" w:type="dxa"/>
            <w:vAlign w:val="bottom"/>
          </w:tcPr>
          <w:p>
            <w:pPr>
              <w:spacing w:after="0"/>
              <w:rPr>
                <w:sz w:val="21"/>
                <w:szCs w:val="21"/>
                <w:color w:val="auto"/>
              </w:rPr>
            </w:pPr>
          </w:p>
        </w:tc>
        <w:tc>
          <w:tcPr>
            <w:tcW w:w="4300" w:type="dxa"/>
            <w:vAlign w:val="bottom"/>
            <w:gridSpan w:val="2"/>
            <w:shd w:val="clear" w:color="auto" w:fill="074A75"/>
          </w:tcPr>
          <w:p>
            <w:pPr>
              <w:jc w:val="center"/>
              <w:spacing w:after="0"/>
              <w:rPr>
                <w:sz w:val="20"/>
                <w:szCs w:val="20"/>
                <w:color w:val="auto"/>
              </w:rPr>
            </w:pPr>
            <w:r>
              <w:rPr>
                <w:rFonts w:ascii="Arial" w:cs="Arial" w:eastAsia="Arial" w:hAnsi="Arial"/>
                <w:sz w:val="15"/>
                <w:szCs w:val="15"/>
                <w:b w:val="1"/>
                <w:bCs w:val="1"/>
                <w:color w:val="FFFFFF"/>
              </w:rPr>
              <w:t>2-Year Additional Hold on Fully Vested Awards</w:t>
            </w:r>
          </w:p>
        </w:tc>
      </w:tr>
      <w:tr>
        <w:trPr>
          <w:trHeight w:val="62"/>
        </w:trPr>
        <w:tc>
          <w:tcPr>
            <w:tcW w:w="1560" w:type="dxa"/>
            <w:vAlign w:val="bottom"/>
            <w:shd w:val="clear" w:color="auto" w:fill="074A75"/>
          </w:tcPr>
          <w:p>
            <w:pPr>
              <w:spacing w:after="0"/>
              <w:rPr>
                <w:sz w:val="5"/>
                <w:szCs w:val="5"/>
                <w:color w:val="auto"/>
              </w:rPr>
            </w:pPr>
          </w:p>
        </w:tc>
        <w:tc>
          <w:tcPr>
            <w:tcW w:w="3340" w:type="dxa"/>
            <w:vAlign w:val="bottom"/>
            <w:shd w:val="clear" w:color="auto" w:fill="074A75"/>
          </w:tcPr>
          <w:p>
            <w:pPr>
              <w:spacing w:after="0"/>
              <w:rPr>
                <w:sz w:val="5"/>
                <w:szCs w:val="5"/>
                <w:color w:val="auto"/>
              </w:rPr>
            </w:pPr>
          </w:p>
        </w:tc>
        <w:tc>
          <w:tcPr>
            <w:tcW w:w="1540" w:type="dxa"/>
            <w:vAlign w:val="bottom"/>
            <w:shd w:val="clear" w:color="auto" w:fill="074A75"/>
          </w:tcPr>
          <w:p>
            <w:pPr>
              <w:spacing w:after="0"/>
              <w:rPr>
                <w:sz w:val="5"/>
                <w:szCs w:val="5"/>
                <w:color w:val="auto"/>
              </w:rPr>
            </w:pPr>
          </w:p>
        </w:tc>
        <w:tc>
          <w:tcPr>
            <w:tcW w:w="500" w:type="dxa"/>
            <w:vAlign w:val="bottom"/>
          </w:tcPr>
          <w:p>
            <w:pPr>
              <w:spacing w:after="0"/>
              <w:rPr>
                <w:sz w:val="5"/>
                <w:szCs w:val="5"/>
                <w:color w:val="auto"/>
              </w:rPr>
            </w:pPr>
          </w:p>
        </w:tc>
        <w:tc>
          <w:tcPr>
            <w:tcW w:w="2160" w:type="dxa"/>
            <w:vAlign w:val="bottom"/>
            <w:shd w:val="clear" w:color="auto" w:fill="074A75"/>
          </w:tcPr>
          <w:p>
            <w:pPr>
              <w:spacing w:after="0"/>
              <w:rPr>
                <w:sz w:val="5"/>
                <w:szCs w:val="5"/>
                <w:color w:val="auto"/>
              </w:rPr>
            </w:pPr>
          </w:p>
        </w:tc>
        <w:tc>
          <w:tcPr>
            <w:tcW w:w="2140" w:type="dxa"/>
            <w:vAlign w:val="bottom"/>
            <w:shd w:val="clear" w:color="auto" w:fill="074A75"/>
          </w:tcPr>
          <w:p>
            <w:pPr>
              <w:spacing w:after="0"/>
              <w:rPr>
                <w:sz w:val="5"/>
                <w:szCs w:val="5"/>
                <w:color w:val="auto"/>
              </w:rPr>
            </w:pPr>
          </w:p>
        </w:tc>
      </w:tr>
      <w:tr>
        <w:trPr>
          <w:trHeight w:val="237"/>
        </w:trPr>
        <w:tc>
          <w:tcPr>
            <w:tcW w:w="1560" w:type="dxa"/>
            <w:vAlign w:val="bottom"/>
            <w:tcBorders>
              <w:bottom w:val="single" w:sz="8" w:color="939598"/>
            </w:tcBorders>
            <w:shd w:val="clear" w:color="auto" w:fill="939598"/>
          </w:tcPr>
          <w:p>
            <w:pPr>
              <w:jc w:val="right"/>
              <w:ind w:right="224"/>
              <w:spacing w:after="0"/>
              <w:rPr>
                <w:sz w:val="20"/>
                <w:szCs w:val="20"/>
                <w:color w:val="auto"/>
              </w:rPr>
            </w:pPr>
            <w:r>
              <w:rPr>
                <w:rFonts w:ascii="Arial" w:cs="Arial" w:eastAsia="Arial" w:hAnsi="Arial"/>
                <w:sz w:val="16"/>
                <w:szCs w:val="16"/>
                <w:color w:val="FFFFFF"/>
              </w:rPr>
              <w:t>2021</w:t>
            </w:r>
          </w:p>
        </w:tc>
        <w:tc>
          <w:tcPr>
            <w:tcW w:w="3340" w:type="dxa"/>
            <w:vAlign w:val="bottom"/>
            <w:tcBorders>
              <w:bottom w:val="single" w:sz="8" w:color="939598"/>
            </w:tcBorders>
            <w:shd w:val="clear" w:color="auto" w:fill="939598"/>
          </w:tcPr>
          <w:p>
            <w:pPr>
              <w:jc w:val="center"/>
              <w:spacing w:after="0"/>
              <w:rPr>
                <w:sz w:val="20"/>
                <w:szCs w:val="20"/>
                <w:color w:val="auto"/>
              </w:rPr>
            </w:pPr>
            <w:r>
              <w:rPr>
                <w:rFonts w:ascii="Arial" w:cs="Arial" w:eastAsia="Arial" w:hAnsi="Arial"/>
                <w:sz w:val="16"/>
                <w:szCs w:val="16"/>
                <w:color w:val="FFFFFF"/>
              </w:rPr>
              <w:t>2022</w:t>
            </w:r>
          </w:p>
        </w:tc>
        <w:tc>
          <w:tcPr>
            <w:tcW w:w="1540" w:type="dxa"/>
            <w:vAlign w:val="bottom"/>
            <w:tcBorders>
              <w:bottom w:val="single" w:sz="8" w:color="939598"/>
            </w:tcBorders>
            <w:shd w:val="clear" w:color="auto" w:fill="939598"/>
          </w:tcPr>
          <w:p>
            <w:pPr>
              <w:jc w:val="right"/>
              <w:ind w:right="799"/>
              <w:spacing w:after="0"/>
              <w:rPr>
                <w:sz w:val="20"/>
                <w:szCs w:val="20"/>
                <w:color w:val="auto"/>
              </w:rPr>
            </w:pPr>
            <w:r>
              <w:rPr>
                <w:rFonts w:ascii="Arial" w:cs="Arial" w:eastAsia="Arial" w:hAnsi="Arial"/>
                <w:sz w:val="16"/>
                <w:szCs w:val="16"/>
                <w:color w:val="FFFFFF"/>
              </w:rPr>
              <w:t>2023</w:t>
            </w:r>
          </w:p>
        </w:tc>
        <w:tc>
          <w:tcPr>
            <w:tcW w:w="500" w:type="dxa"/>
            <w:vAlign w:val="bottom"/>
          </w:tcPr>
          <w:p>
            <w:pPr>
              <w:spacing w:after="0"/>
              <w:rPr>
                <w:sz w:val="20"/>
                <w:szCs w:val="20"/>
                <w:color w:val="auto"/>
              </w:rPr>
            </w:pPr>
          </w:p>
        </w:tc>
        <w:tc>
          <w:tcPr>
            <w:tcW w:w="2160" w:type="dxa"/>
            <w:vAlign w:val="bottom"/>
            <w:tcBorders>
              <w:bottom w:val="single" w:sz="8" w:color="859EB9"/>
            </w:tcBorders>
            <w:shd w:val="clear" w:color="auto" w:fill="859EB9"/>
          </w:tcPr>
          <w:p>
            <w:pPr>
              <w:jc w:val="right"/>
              <w:ind w:right="824"/>
              <w:spacing w:after="0"/>
              <w:rPr>
                <w:sz w:val="20"/>
                <w:szCs w:val="20"/>
                <w:color w:val="auto"/>
              </w:rPr>
            </w:pPr>
            <w:r>
              <w:rPr>
                <w:rFonts w:ascii="Arial" w:cs="Arial" w:eastAsia="Arial" w:hAnsi="Arial"/>
                <w:sz w:val="16"/>
                <w:szCs w:val="16"/>
                <w:color w:val="FFFFFF"/>
              </w:rPr>
              <w:t>2024</w:t>
            </w:r>
          </w:p>
        </w:tc>
        <w:tc>
          <w:tcPr>
            <w:tcW w:w="2140" w:type="dxa"/>
            <w:vAlign w:val="bottom"/>
            <w:tcBorders>
              <w:bottom w:val="single" w:sz="8" w:color="859EB9"/>
            </w:tcBorders>
            <w:shd w:val="clear" w:color="auto" w:fill="859EB9"/>
          </w:tcPr>
          <w:p>
            <w:pPr>
              <w:jc w:val="right"/>
              <w:ind w:right="799"/>
              <w:spacing w:after="0"/>
              <w:rPr>
                <w:sz w:val="20"/>
                <w:szCs w:val="20"/>
                <w:color w:val="auto"/>
              </w:rPr>
            </w:pPr>
            <w:r>
              <w:rPr>
                <w:rFonts w:ascii="Arial" w:cs="Arial" w:eastAsia="Arial" w:hAnsi="Arial"/>
                <w:sz w:val="16"/>
                <w:szCs w:val="16"/>
                <w:color w:val="FFFFFF"/>
              </w:rPr>
              <w:t>2025</w:t>
            </w:r>
          </w:p>
        </w:tc>
      </w:tr>
      <w:tr>
        <w:trPr>
          <w:trHeight w:val="298"/>
        </w:trPr>
        <w:tc>
          <w:tcPr>
            <w:tcW w:w="6440" w:type="dxa"/>
            <w:vAlign w:val="bottom"/>
            <w:gridSpan w:val="3"/>
            <w:shd w:val="clear" w:color="auto" w:fill="EFF3F7"/>
          </w:tcPr>
          <w:p>
            <w:pPr>
              <w:jc w:val="center"/>
              <w:spacing w:after="0"/>
              <w:rPr>
                <w:sz w:val="20"/>
                <w:szCs w:val="20"/>
                <w:color w:val="auto"/>
              </w:rPr>
            </w:pPr>
            <w:r>
              <w:rPr>
                <w:rFonts w:ascii="Arial" w:cs="Arial" w:eastAsia="Arial" w:hAnsi="Arial"/>
                <w:sz w:val="14"/>
                <w:szCs w:val="14"/>
                <w:b w:val="1"/>
                <w:bCs w:val="1"/>
                <w:color w:val="3E693D"/>
              </w:rPr>
              <w:t>Payout is calculated based on average ROTCE over the 3-year performance period</w:t>
            </w:r>
          </w:p>
        </w:tc>
        <w:tc>
          <w:tcPr>
            <w:tcW w:w="500" w:type="dxa"/>
            <w:vAlign w:val="bottom"/>
          </w:tcPr>
          <w:p>
            <w:pPr>
              <w:spacing w:after="0"/>
              <w:rPr>
                <w:sz w:val="24"/>
                <w:szCs w:val="24"/>
                <w:color w:val="auto"/>
              </w:rPr>
            </w:pPr>
          </w:p>
        </w:tc>
        <w:tc>
          <w:tcPr>
            <w:tcW w:w="4300" w:type="dxa"/>
            <w:vAlign w:val="bottom"/>
            <w:gridSpan w:val="2"/>
            <w:shd w:val="clear" w:color="auto" w:fill="EFF3F7"/>
          </w:tcPr>
          <w:p>
            <w:pPr>
              <w:jc w:val="center"/>
              <w:spacing w:after="0"/>
              <w:rPr>
                <w:sz w:val="20"/>
                <w:szCs w:val="20"/>
                <w:color w:val="auto"/>
              </w:rPr>
            </w:pPr>
            <w:r>
              <w:rPr>
                <w:rFonts w:ascii="Arial" w:cs="Arial" w:eastAsia="Arial" w:hAnsi="Arial"/>
                <w:sz w:val="14"/>
                <w:szCs w:val="14"/>
                <w:b w:val="1"/>
                <w:bCs w:val="1"/>
                <w:color w:val="3E693D"/>
              </w:rPr>
              <w:t>Ultimate number of units earned</w:t>
            </w:r>
          </w:p>
        </w:tc>
      </w:tr>
      <w:tr>
        <w:trPr>
          <w:trHeight w:val="93"/>
        </w:trPr>
        <w:tc>
          <w:tcPr>
            <w:tcW w:w="1560" w:type="dxa"/>
            <w:vAlign w:val="bottom"/>
            <w:shd w:val="clear" w:color="auto" w:fill="EFF3F7"/>
          </w:tcPr>
          <w:p>
            <w:pPr>
              <w:spacing w:after="0"/>
              <w:rPr>
                <w:sz w:val="8"/>
                <w:szCs w:val="8"/>
                <w:color w:val="auto"/>
              </w:rPr>
            </w:pPr>
          </w:p>
        </w:tc>
        <w:tc>
          <w:tcPr>
            <w:tcW w:w="3340" w:type="dxa"/>
            <w:vAlign w:val="bottom"/>
            <w:shd w:val="clear" w:color="auto" w:fill="EFF3F7"/>
          </w:tcPr>
          <w:p>
            <w:pPr>
              <w:spacing w:after="0"/>
              <w:rPr>
                <w:sz w:val="8"/>
                <w:szCs w:val="8"/>
                <w:color w:val="auto"/>
              </w:rPr>
            </w:pPr>
          </w:p>
        </w:tc>
        <w:tc>
          <w:tcPr>
            <w:tcW w:w="1540" w:type="dxa"/>
            <w:vAlign w:val="bottom"/>
            <w:shd w:val="clear" w:color="auto" w:fill="EFF3F7"/>
          </w:tcPr>
          <w:p>
            <w:pPr>
              <w:spacing w:after="0"/>
              <w:rPr>
                <w:sz w:val="8"/>
                <w:szCs w:val="8"/>
                <w:color w:val="auto"/>
              </w:rPr>
            </w:pPr>
          </w:p>
        </w:tc>
        <w:tc>
          <w:tcPr>
            <w:tcW w:w="500" w:type="dxa"/>
            <w:vAlign w:val="bottom"/>
          </w:tcPr>
          <w:p>
            <w:pPr>
              <w:spacing w:after="0"/>
              <w:rPr>
                <w:sz w:val="8"/>
                <w:szCs w:val="8"/>
                <w:color w:val="auto"/>
              </w:rPr>
            </w:pPr>
          </w:p>
        </w:tc>
        <w:tc>
          <w:tcPr>
            <w:tcW w:w="2160" w:type="dxa"/>
            <w:vAlign w:val="bottom"/>
            <w:shd w:val="clear" w:color="auto" w:fill="EFF3F7"/>
          </w:tcPr>
          <w:p>
            <w:pPr>
              <w:spacing w:after="0"/>
              <w:rPr>
                <w:sz w:val="8"/>
                <w:szCs w:val="8"/>
                <w:color w:val="auto"/>
              </w:rPr>
            </w:pPr>
          </w:p>
        </w:tc>
        <w:tc>
          <w:tcPr>
            <w:tcW w:w="2140" w:type="dxa"/>
            <w:vAlign w:val="bottom"/>
            <w:shd w:val="clear" w:color="auto" w:fill="EFF3F7"/>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4972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54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074A75"/>
        </w:rPr>
        <w:t>Awards subject to reduction/cancellation/recovery based on Risk/Control features (including protection-based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0" w:hanging="252"/>
        <w:spacing w:after="0"/>
        <w:tabs>
          <w:tab w:leader="none" w:pos="260" w:val="left"/>
        </w:tabs>
        <w:numPr>
          <w:ilvl w:val="0"/>
          <w:numId w:val="126"/>
        </w:numPr>
        <w:rPr>
          <w:rFonts w:ascii="Arial" w:cs="Arial" w:eastAsia="Arial" w:hAnsi="Arial"/>
          <w:sz w:val="16"/>
          <w:szCs w:val="16"/>
          <w:color w:val="auto"/>
          <w:vertAlign w:val="superscript"/>
        </w:rPr>
      </w:pPr>
      <w:r>
        <w:rPr>
          <w:rFonts w:ascii="Arial" w:cs="Arial" w:eastAsia="Arial" w:hAnsi="Arial"/>
          <w:sz w:val="13"/>
          <w:szCs w:val="13"/>
          <w:color w:val="auto"/>
        </w:rPr>
        <w:t>Average ROTCE is calculated over the three-year performance period using unadjusted reported data as set forth in public financial disclosures.</w:t>
      </w:r>
    </w:p>
    <w:p>
      <w:pPr>
        <w:ind w:left="260" w:hanging="252"/>
        <w:spacing w:after="0" w:line="216" w:lineRule="auto"/>
        <w:tabs>
          <w:tab w:leader="none" w:pos="260" w:val="left"/>
        </w:tabs>
        <w:numPr>
          <w:ilvl w:val="0"/>
          <w:numId w:val="127"/>
        </w:numPr>
        <w:rPr>
          <w:rFonts w:ascii="Arial" w:cs="Arial" w:eastAsia="Arial" w:hAnsi="Arial"/>
          <w:sz w:val="16"/>
          <w:szCs w:val="16"/>
          <w:color w:val="auto"/>
          <w:vertAlign w:val="superscript"/>
        </w:rPr>
      </w:pPr>
      <w:r>
        <w:rPr>
          <w:rFonts w:ascii="Arial" w:cs="Arial" w:eastAsia="Arial" w:hAnsi="Arial"/>
          <w:sz w:val="13"/>
          <w:szCs w:val="13"/>
          <w:color w:val="auto"/>
        </w:rPr>
        <w:t>The CET1 ratio is a key regulatory capital measure; refer to Additional notes, Note 2, on page 114, for additional information on this measure.</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48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DETERMINING ABSOLUTE AND RELATIVE PSU PERFORMANCE GOALS</w:t>
      </w:r>
    </w:p>
    <w:p>
      <w:pPr>
        <w:spacing w:after="0" w:line="110" w:lineRule="exact"/>
        <w:rPr>
          <w:sz w:val="20"/>
          <w:szCs w:val="20"/>
          <w:color w:val="auto"/>
        </w:rPr>
      </w:pPr>
    </w:p>
    <w:p>
      <w:pPr>
        <w:ind w:left="200" w:right="120" w:hanging="192"/>
        <w:spacing w:after="0" w:line="253" w:lineRule="auto"/>
        <w:tabs>
          <w:tab w:leader="none" w:pos="204" w:val="left"/>
        </w:tabs>
        <w:numPr>
          <w:ilvl w:val="0"/>
          <w:numId w:val="128"/>
        </w:numPr>
        <w:rPr>
          <w:rFonts w:ascii="Arial" w:cs="Arial" w:eastAsia="Arial" w:hAnsi="Arial"/>
          <w:sz w:val="18"/>
          <w:szCs w:val="18"/>
          <w:color w:val="074A75"/>
        </w:rPr>
      </w:pPr>
      <w:r>
        <w:rPr>
          <w:rFonts w:ascii="Arial" w:cs="Arial" w:eastAsia="Arial" w:hAnsi="Arial"/>
          <w:sz w:val="18"/>
          <w:szCs w:val="18"/>
          <w:color w:val="auto"/>
        </w:rPr>
        <w:t>Each year the CMDC sets the absolute ROTCE goal and minimum threshold for that year’s PSU awards by reviewing the Firm’s historical performance and a reasonable range of possible net income and capital outcomes over the next three years. For the 2020 PSU awards granted in January 2021, these outcomes were considered in the context of (among other things) the expected impacts of: regulatory capital requirements; annual stress tests; interest rates; COVID-19; and the U.S. and global economic environment, all of which affect the range of ROTCE outcomes in the medium-term.</w:t>
      </w:r>
    </w:p>
    <w:p>
      <w:pPr>
        <w:spacing w:after="0" w:line="97" w:lineRule="exact"/>
        <w:rPr>
          <w:rFonts w:ascii="Arial" w:cs="Arial" w:eastAsia="Arial" w:hAnsi="Arial"/>
          <w:sz w:val="18"/>
          <w:szCs w:val="18"/>
          <w:color w:val="074A75"/>
        </w:rPr>
      </w:pPr>
    </w:p>
    <w:p>
      <w:pPr>
        <w:ind w:left="200" w:right="40" w:hanging="192"/>
        <w:spacing w:after="0" w:line="254" w:lineRule="auto"/>
        <w:tabs>
          <w:tab w:leader="none" w:pos="204" w:val="left"/>
        </w:tabs>
        <w:numPr>
          <w:ilvl w:val="0"/>
          <w:numId w:val="128"/>
        </w:numPr>
        <w:rPr>
          <w:rFonts w:ascii="Arial" w:cs="Arial" w:eastAsia="Arial" w:hAnsi="Arial"/>
          <w:sz w:val="18"/>
          <w:szCs w:val="18"/>
          <w:color w:val="074A75"/>
        </w:rPr>
      </w:pPr>
      <w:r>
        <w:rPr>
          <w:rFonts w:ascii="Arial" w:cs="Arial" w:eastAsia="Arial" w:hAnsi="Arial"/>
          <w:sz w:val="18"/>
          <w:szCs w:val="18"/>
          <w:color w:val="auto"/>
        </w:rPr>
        <w:t>Consistent with the Firm’s pay-for-performance philosophy, in setting the relative ROTCE performance goals for the 2020 PSU awards, the CMDC determined that payout above target should be limited to instances in which the Firm outperforms the majority of its competitors on a relative basis, with below target payout occurring in instances of underperformance. Achievement of median relative performance results in below-target payout. Outstanding relative performance, which results in a payout of 150%, is limited to achieving a top ranking.</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PSUS AWARDED FOR PERFORMANCE YEARS 2017, 2018 AND 2019</w:t>
      </w:r>
    </w:p>
    <w:p>
      <w:pPr>
        <w:spacing w:after="0" w:line="110" w:lineRule="exact"/>
        <w:rPr>
          <w:sz w:val="20"/>
          <w:szCs w:val="20"/>
          <w:color w:val="auto"/>
        </w:rPr>
      </w:pPr>
    </w:p>
    <w:p>
      <w:pPr>
        <w:jc w:val="both"/>
        <w:ind w:left="200" w:right="180" w:hanging="192"/>
        <w:spacing w:after="0" w:line="254" w:lineRule="auto"/>
        <w:tabs>
          <w:tab w:leader="none" w:pos="204" w:val="left"/>
        </w:tabs>
        <w:numPr>
          <w:ilvl w:val="0"/>
          <w:numId w:val="129"/>
        </w:numPr>
        <w:rPr>
          <w:rFonts w:ascii="Arial" w:cs="Arial" w:eastAsia="Arial" w:hAnsi="Arial"/>
          <w:sz w:val="18"/>
          <w:szCs w:val="18"/>
          <w:color w:val="074A75"/>
        </w:rPr>
      </w:pPr>
      <w:r>
        <w:rPr>
          <w:rFonts w:ascii="Arial" w:cs="Arial" w:eastAsia="Arial" w:hAnsi="Arial"/>
          <w:sz w:val="18"/>
          <w:szCs w:val="18"/>
          <w:color w:val="auto"/>
        </w:rPr>
        <w:t>The Firm reported ROTCE of 17%, 19% and 14% in 2018, 2019 and 2020 respectively, resulting in first quartile relative performance and an expected payout of 150% for each tranche of the 2017 and 2018 PSU awards referencing those years. For the 2019 PSU awards, the payout will be calculated once the performance period ends on December 31, 2022 based on the Firm's absolute and relative three-year average ROTCE performance. On March 25, 2021, the 2017 PSU awards vested at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421640</wp:posOffset>
            </wp:positionV>
            <wp:extent cx="2743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49  </w:t>
      </w:r>
      <w:r>
        <w:rPr>
          <w:sz w:val="1"/>
          <w:szCs w:val="1"/>
          <w:color w:val="auto"/>
        </w:rPr>
        <w:drawing>
          <wp:inline distT="0" distB="0" distL="0" distR="0">
            <wp:extent cx="2203450" cy="15430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Strong ownership &amp; accountability provisions support our compensation philosophy</w:t>
      </w:r>
    </w:p>
    <w:p>
      <w:pPr>
        <w:sectPr>
          <w:pgSz w:w="11900" w:h="16838" w:orient="portrait"/>
          <w:cols w:equalWidth="0" w:num="1">
            <w:col w:w="11260"/>
          </w:cols>
          <w:pgMar w:left="320" w:top="171" w:right="319" w:bottom="1440" w:gutter="0" w:footer="0" w:header="0"/>
        </w:sectPr>
      </w:pPr>
    </w:p>
    <w:p>
      <w:pPr>
        <w:spacing w:after="0" w:line="221" w:lineRule="exact"/>
        <w:rPr>
          <w:sz w:val="20"/>
          <w:szCs w:val="20"/>
          <w:color w:val="auto"/>
        </w:rPr>
      </w:pPr>
    </w:p>
    <w:p>
      <w:pPr>
        <w:ind w:right="580"/>
        <w:spacing w:after="0" w:line="246" w:lineRule="auto"/>
        <w:rPr>
          <w:sz w:val="20"/>
          <w:szCs w:val="20"/>
          <w:color w:val="auto"/>
        </w:rPr>
      </w:pPr>
      <w:r>
        <w:rPr>
          <w:rFonts w:ascii="Arial" w:cs="Arial" w:eastAsia="Arial" w:hAnsi="Arial"/>
          <w:sz w:val="20"/>
          <w:szCs w:val="20"/>
          <w:color w:val="074A75"/>
        </w:rPr>
        <w:t>STOCK OWNERSHIP GUIDELINE AND RETENTION REQUIREMENTS</w:t>
      </w:r>
    </w:p>
    <w:p>
      <w:pPr>
        <w:spacing w:after="0" w:line="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CMDC believes it is important to align the interests of the OC members with those of our shareholders. To meet this objective, OC members are subject to a stock ownership guideline and retention policy.</w:t>
      </w:r>
    </w:p>
    <w:p>
      <w:pPr>
        <w:spacing w:after="0" w:line="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90" w:lineRule="exact"/>
        <w:rPr>
          <w:sz w:val="20"/>
          <w:szCs w:val="20"/>
          <w:color w:val="auto"/>
        </w:rPr>
      </w:pPr>
    </w:p>
    <w:p>
      <w:pPr>
        <w:ind w:left="200" w:right="200" w:hanging="192"/>
        <w:spacing w:after="0" w:line="261" w:lineRule="auto"/>
        <w:tabs>
          <w:tab w:leader="none" w:pos="204" w:val="left"/>
        </w:tabs>
        <w:numPr>
          <w:ilvl w:val="0"/>
          <w:numId w:val="130"/>
        </w:numPr>
        <w:rPr>
          <w:rFonts w:ascii="Arial" w:cs="Arial" w:eastAsia="Arial" w:hAnsi="Arial"/>
          <w:sz w:val="18"/>
          <w:szCs w:val="18"/>
          <w:color w:val="074A75"/>
        </w:rPr>
      </w:pPr>
      <w:r>
        <w:rPr>
          <w:rFonts w:ascii="Arial" w:cs="Arial" w:eastAsia="Arial" w:hAnsi="Arial"/>
          <w:sz w:val="18"/>
          <w:szCs w:val="18"/>
          <w:color w:val="auto"/>
        </w:rPr>
        <w:t>A minimum of between 200,000 and 400,000 shares (1 million shares for the CEO); or</w:t>
      </w:r>
    </w:p>
    <w:p>
      <w:pPr>
        <w:spacing w:after="0" w:line="62" w:lineRule="exact"/>
        <w:rPr>
          <w:rFonts w:ascii="Arial" w:cs="Arial" w:eastAsia="Arial" w:hAnsi="Arial"/>
          <w:sz w:val="18"/>
          <w:szCs w:val="18"/>
          <w:color w:val="074A75"/>
        </w:rPr>
      </w:pPr>
    </w:p>
    <w:p>
      <w:pPr>
        <w:ind w:left="200" w:right="200" w:hanging="192"/>
        <w:spacing w:after="0" w:line="261" w:lineRule="auto"/>
        <w:tabs>
          <w:tab w:leader="none" w:pos="204" w:val="left"/>
        </w:tabs>
        <w:numPr>
          <w:ilvl w:val="0"/>
          <w:numId w:val="130"/>
        </w:numPr>
        <w:rPr>
          <w:rFonts w:ascii="Arial" w:cs="Arial" w:eastAsia="Arial" w:hAnsi="Arial"/>
          <w:sz w:val="18"/>
          <w:szCs w:val="18"/>
          <w:color w:val="074A75"/>
        </w:rPr>
      </w:pPr>
      <w:r>
        <w:rPr>
          <w:rFonts w:ascii="Arial" w:cs="Arial" w:eastAsia="Arial" w:hAnsi="Arial"/>
          <w:sz w:val="18"/>
          <w:szCs w:val="18"/>
          <w:color w:val="auto"/>
        </w:rPr>
        <w:t>A minimum fixed dollar value of shares of between $10 million and $30 million ($75 million for the CEO).</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appreciation rights ("SARs") or stock options.</w:t>
      </w:r>
    </w:p>
    <w:p>
      <w:pPr>
        <w:spacing w:after="0" w:line="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increased, the higher ownership guideline must be satisfied within six years of such revision, unless otherwise determined by the CEO and CMDC.</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reaching their designated share ownership guideline, OC members are required to retain 75% of all net shares received from equity awards granted after they join the Operating Committee. Once they have met their ownership guideline, the policy requires OC members to continue retaining 50% of all net shares received from awards (75% for the CEO)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368675" cy="780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8675" cy="780415"/>
                    </a:xfrm>
                    <a:prstGeom prst="rect">
                      <a:avLst/>
                    </a:prstGeom>
                    <a:noFill/>
                  </pic:spPr>
                </pic:pic>
              </a:graphicData>
            </a:graphic>
          </wp:anchor>
        </w:drawing>
      </w:r>
    </w:p>
    <w:p>
      <w:pPr>
        <w:spacing w:after="0" w:line="147"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FFFFFF"/>
        </w:rPr>
        <w:t>Retention Requirement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74A75"/>
              </w:rPr>
              <w:t>Before Guideline Met</w:t>
            </w:r>
          </w:p>
        </w:tc>
        <w:tc>
          <w:tcPr>
            <w:tcW w:w="2580" w:type="dxa"/>
            <w:vAlign w:val="bottom"/>
            <w:shd w:val="clear" w:color="auto" w:fill="E7E7E8"/>
          </w:tcPr>
          <w:p>
            <w:pPr>
              <w:jc w:val="center"/>
              <w:spacing w:after="0"/>
              <w:rPr>
                <w:sz w:val="20"/>
                <w:szCs w:val="20"/>
                <w:color w:val="auto"/>
              </w:rPr>
            </w:pPr>
            <w:r>
              <w:rPr>
                <w:rFonts w:ascii="Arial" w:cs="Arial" w:eastAsia="Arial" w:hAnsi="Arial"/>
                <w:sz w:val="14"/>
                <w:szCs w:val="14"/>
                <w:b w:val="1"/>
                <w:bCs w:val="1"/>
                <w:color w:val="074A75"/>
              </w:rPr>
              <w:t>After Guideline Met</w:t>
            </w:r>
          </w:p>
        </w:tc>
      </w:tr>
      <w:tr>
        <w:trPr>
          <w:trHeight w:val="194"/>
        </w:trPr>
        <w:tc>
          <w:tcPr>
            <w:tcW w:w="2720" w:type="dxa"/>
            <w:vAlign w:val="bottom"/>
          </w:tcPr>
          <w:p>
            <w:pPr>
              <w:jc w:val="center"/>
              <w:spacing w:after="0"/>
              <w:rPr>
                <w:sz w:val="20"/>
                <w:szCs w:val="20"/>
                <w:color w:val="auto"/>
              </w:rPr>
            </w:pPr>
            <w:r>
              <w:rPr>
                <w:rFonts w:ascii="Arial" w:cs="Arial" w:eastAsia="Arial" w:hAnsi="Arial"/>
                <w:sz w:val="14"/>
                <w:szCs w:val="14"/>
                <w:color w:val="auto"/>
              </w:rPr>
              <w:t>75% of net shares until</w:t>
            </w:r>
          </w:p>
        </w:tc>
        <w:tc>
          <w:tcPr>
            <w:tcW w:w="2580" w:type="dxa"/>
            <w:vAlign w:val="bottom"/>
          </w:tcPr>
          <w:p>
            <w:pPr>
              <w:jc w:val="center"/>
              <w:spacing w:after="0"/>
              <w:rPr>
                <w:sz w:val="20"/>
                <w:szCs w:val="20"/>
                <w:color w:val="auto"/>
              </w:rPr>
            </w:pPr>
            <w:r>
              <w:rPr>
                <w:rFonts w:ascii="Arial" w:cs="Arial" w:eastAsia="Arial" w:hAnsi="Arial"/>
                <w:sz w:val="14"/>
                <w:szCs w:val="14"/>
                <w:color w:val="auto"/>
              </w:rPr>
              <w:t>50% of net shares for the</w:t>
            </w:r>
          </w:p>
        </w:tc>
      </w:tr>
      <w:tr>
        <w:trPr>
          <w:trHeight w:val="162"/>
        </w:trPr>
        <w:tc>
          <w:tcPr>
            <w:tcW w:w="2720" w:type="dxa"/>
            <w:vAlign w:val="bottom"/>
          </w:tcPr>
          <w:p>
            <w:pPr>
              <w:jc w:val="center"/>
              <w:spacing w:after="0"/>
              <w:rPr>
                <w:sz w:val="20"/>
                <w:szCs w:val="20"/>
                <w:color w:val="auto"/>
              </w:rPr>
            </w:pPr>
            <w:r>
              <w:rPr>
                <w:rFonts w:ascii="Arial" w:cs="Arial" w:eastAsia="Arial" w:hAnsi="Arial"/>
                <w:sz w:val="14"/>
                <w:szCs w:val="14"/>
                <w:color w:val="auto"/>
              </w:rPr>
              <w:t>stock ownership guideline is met</w:t>
            </w:r>
          </w:p>
        </w:tc>
        <w:tc>
          <w:tcPr>
            <w:tcW w:w="2580" w:type="dxa"/>
            <w:vAlign w:val="bottom"/>
          </w:tcPr>
          <w:p>
            <w:pPr>
              <w:jc w:val="center"/>
              <w:spacing w:after="0"/>
              <w:rPr>
                <w:sz w:val="20"/>
                <w:szCs w:val="20"/>
                <w:color w:val="auto"/>
              </w:rPr>
            </w:pPr>
            <w:r>
              <w:rPr>
                <w:rFonts w:ascii="Arial" w:cs="Arial" w:eastAsia="Arial" w:hAnsi="Arial"/>
                <w:sz w:val="14"/>
                <w:szCs w:val="14"/>
                <w:color w:val="auto"/>
              </w:rPr>
              <w:t>duration of their service on the</w:t>
            </w:r>
          </w:p>
        </w:tc>
      </w:tr>
      <w:tr>
        <w:trPr>
          <w:trHeight w:val="148"/>
        </w:trPr>
        <w:tc>
          <w:tcPr>
            <w:tcW w:w="2720" w:type="dxa"/>
            <w:vAlign w:val="bottom"/>
          </w:tcPr>
          <w:p>
            <w:pPr>
              <w:spacing w:after="0"/>
              <w:rPr>
                <w:sz w:val="12"/>
                <w:szCs w:val="12"/>
                <w:color w:val="auto"/>
              </w:rPr>
            </w:pPr>
          </w:p>
        </w:tc>
        <w:tc>
          <w:tcPr>
            <w:tcW w:w="2580" w:type="dxa"/>
            <w:vAlign w:val="bottom"/>
          </w:tcPr>
          <w:p>
            <w:pPr>
              <w:jc w:val="center"/>
              <w:spacing w:after="0" w:line="148" w:lineRule="exact"/>
              <w:rPr>
                <w:sz w:val="20"/>
                <w:szCs w:val="20"/>
                <w:color w:val="auto"/>
              </w:rPr>
            </w:pPr>
            <w:r>
              <w:rPr>
                <w:rFonts w:ascii="Arial" w:cs="Arial" w:eastAsia="Arial" w:hAnsi="Arial"/>
                <w:sz w:val="14"/>
                <w:szCs w:val="14"/>
                <w:color w:val="auto"/>
              </w:rPr>
              <w:t>Operating Committee</w:t>
            </w:r>
          </w:p>
        </w:tc>
      </w:tr>
      <w:tr>
        <w:trPr>
          <w:trHeight w:val="186"/>
        </w:trPr>
        <w:tc>
          <w:tcPr>
            <w:tcW w:w="272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Arial" w:cs="Arial" w:eastAsia="Arial" w:hAnsi="Arial"/>
                <w:sz w:val="14"/>
                <w:szCs w:val="14"/>
                <w:i w:val="1"/>
                <w:iCs w:val="1"/>
                <w:color w:val="auto"/>
              </w:rPr>
              <w:t>(75% for the CEO)</w:t>
            </w:r>
          </w:p>
        </w:tc>
      </w:tr>
    </w:tbl>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OC members are required to continue accumulating shares even after having met their share ownership guideline, the resulting increase of share ownership over time further strengthens their interests with those of our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ANTI-HEDGING/ANTI-PLEDGING PROVISIONS</w:t>
      </w:r>
    </w:p>
    <w:p>
      <w:pPr>
        <w:spacing w:after="0" w:line="11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All employees are prohibited from hedging or pledging unvested RSUs and PSUs, and unexercised stock appreciation rights or stock options. In addition:</w:t>
      </w:r>
    </w:p>
    <w:p>
      <w:pPr>
        <w:spacing w:after="0" w:line="94" w:lineRule="exact"/>
        <w:rPr>
          <w:sz w:val="20"/>
          <w:szCs w:val="20"/>
          <w:color w:val="auto"/>
        </w:rPr>
      </w:pPr>
    </w:p>
    <w:p>
      <w:pPr>
        <w:ind w:left="200" w:right="720" w:hanging="192"/>
        <w:spacing w:after="0" w:line="261" w:lineRule="auto"/>
        <w:tabs>
          <w:tab w:leader="none" w:pos="204" w:val="left"/>
        </w:tabs>
        <w:numPr>
          <w:ilvl w:val="0"/>
          <w:numId w:val="131"/>
        </w:numPr>
        <w:rPr>
          <w:rFonts w:ascii="Arial" w:cs="Arial" w:eastAsia="Arial" w:hAnsi="Arial"/>
          <w:sz w:val="18"/>
          <w:szCs w:val="18"/>
          <w:color w:val="074A75"/>
        </w:rPr>
      </w:pPr>
      <w:r>
        <w:rPr>
          <w:rFonts w:ascii="Arial" w:cs="Arial" w:eastAsia="Arial" w:hAnsi="Arial"/>
          <w:sz w:val="18"/>
          <w:szCs w:val="18"/>
          <w:color w:val="auto"/>
        </w:rPr>
        <w:t>Hedging any shares owned outright or through deferred compensation by an OC member is prohibited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0" w:right="140" w:hanging="196"/>
        <w:spacing w:after="0" w:line="261" w:lineRule="auto"/>
        <w:tabs>
          <w:tab w:leader="none" w:pos="204" w:val="left"/>
        </w:tabs>
        <w:numPr>
          <w:ilvl w:val="0"/>
          <w:numId w:val="132"/>
        </w:numPr>
        <w:rPr>
          <w:rFonts w:ascii="Arial" w:cs="Arial" w:eastAsia="Arial" w:hAnsi="Arial"/>
          <w:sz w:val="18"/>
          <w:szCs w:val="18"/>
          <w:color w:val="074A75"/>
        </w:rPr>
      </w:pPr>
      <w:r>
        <w:rPr>
          <w:rFonts w:ascii="Arial" w:cs="Arial" w:eastAsia="Arial" w:hAnsi="Arial"/>
          <w:sz w:val="18"/>
          <w:szCs w:val="18"/>
          <w:color w:val="auto"/>
        </w:rPr>
        <w:t>Shares held directly by an OC or Board member may not be held in margin accounts or otherwise pledged</w:t>
      </w:r>
    </w:p>
    <w:p>
      <w:pPr>
        <w:spacing w:after="0" w:line="9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information on the hedging/pledging restrictions applicable to our directors, please see “Director compensation” on page 33.</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INTEGRATING RISK WITH COMPENSATION</w:t>
      </w:r>
    </w:p>
    <w:p>
      <w:pPr>
        <w:spacing w:after="0" w:line="11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CMDC holds an annual joint session with the Risk Committee to review Firmwide Human Resources and compensation practices, including:</w:t>
      </w:r>
    </w:p>
    <w:p>
      <w:pPr>
        <w:spacing w:after="0" w:line="94" w:lineRule="exact"/>
        <w:rPr>
          <w:sz w:val="20"/>
          <w:szCs w:val="20"/>
          <w:color w:val="auto"/>
        </w:rPr>
      </w:pPr>
    </w:p>
    <w:p>
      <w:pPr>
        <w:ind w:left="200" w:right="280" w:hanging="196"/>
        <w:spacing w:after="0" w:line="256"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How we integrate risk, controls and conduct considerations into key HR practices including performance development, compensation, promotion and succession planning</w:t>
      </w:r>
    </w:p>
    <w:p>
      <w:pPr>
        <w:spacing w:after="0" w:line="53" w:lineRule="exact"/>
        <w:rPr>
          <w:rFonts w:ascii="Arial" w:cs="Arial" w:eastAsia="Arial" w:hAnsi="Arial"/>
          <w:sz w:val="18"/>
          <w:szCs w:val="18"/>
          <w:color w:val="074A75"/>
        </w:rPr>
      </w:pPr>
    </w:p>
    <w:p>
      <w:pPr>
        <w:ind w:left="200" w:right="420" w:hanging="196"/>
        <w:spacing w:after="0" w:line="256"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53" w:lineRule="exact"/>
        <w:rPr>
          <w:rFonts w:ascii="Arial" w:cs="Arial" w:eastAsia="Arial" w:hAnsi="Arial"/>
          <w:sz w:val="18"/>
          <w:szCs w:val="18"/>
          <w:color w:val="074A75"/>
        </w:rPr>
      </w:pPr>
    </w:p>
    <w:p>
      <w:pPr>
        <w:ind w:left="200" w:hanging="196"/>
        <w:spacing w:after="0"/>
        <w:tabs>
          <w:tab w:leader="none" w:pos="200"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Annual incentive pool processes for LOBs and functions</w:t>
      </w:r>
    </w:p>
    <w:p>
      <w:pPr>
        <w:spacing w:after="0" w:line="90" w:lineRule="exact"/>
        <w:rPr>
          <w:rFonts w:ascii="Arial" w:cs="Arial" w:eastAsia="Arial" w:hAnsi="Arial"/>
          <w:sz w:val="18"/>
          <w:szCs w:val="18"/>
          <w:color w:val="074A75"/>
        </w:rPr>
      </w:pPr>
    </w:p>
    <w:p>
      <w:pPr>
        <w:ind w:left="200" w:right="540" w:hanging="196"/>
        <w:spacing w:after="0" w:line="261" w:lineRule="auto"/>
        <w:tabs>
          <w:tab w:leader="none" w:pos="204" w:val="left"/>
        </w:tabs>
        <w:numPr>
          <w:ilvl w:val="0"/>
          <w:numId w:val="133"/>
        </w:numPr>
        <w:rPr>
          <w:rFonts w:ascii="Arial" w:cs="Arial" w:eastAsia="Arial" w:hAnsi="Arial"/>
          <w:sz w:val="18"/>
          <w:szCs w:val="18"/>
          <w:color w:val="074A75"/>
        </w:rPr>
      </w:pPr>
      <w:r>
        <w:rPr>
          <w:rFonts w:ascii="Arial" w:cs="Arial" w:eastAsia="Arial" w:hAnsi="Arial"/>
          <w:sz w:val="18"/>
          <w:szCs w:val="18"/>
          <w:color w:val="auto"/>
        </w:rPr>
        <w:t>Regulatory updates which have impacted or may impact HR practices in the future</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93" w:lineRule="exact"/>
        <w:rPr>
          <w:sz w:val="20"/>
          <w:szCs w:val="20"/>
          <w:color w:val="auto"/>
        </w:rPr>
      </w:pPr>
    </w:p>
    <w:p>
      <w:pPr>
        <w:ind w:right="1280"/>
        <w:spacing w:after="0" w:line="246" w:lineRule="auto"/>
        <w:rPr>
          <w:sz w:val="20"/>
          <w:szCs w:val="20"/>
          <w:color w:val="auto"/>
        </w:rPr>
      </w:pPr>
      <w:r>
        <w:rPr>
          <w:rFonts w:ascii="Arial" w:cs="Arial" w:eastAsia="Arial" w:hAnsi="Arial"/>
          <w:sz w:val="20"/>
          <w:szCs w:val="20"/>
          <w:color w:val="074A75"/>
        </w:rPr>
        <w:t>STRONG ACCOUNTABILITY AND RECOVERY PROVISIONS</w:t>
      </w:r>
    </w:p>
    <w:p>
      <w:pPr>
        <w:spacing w:after="0" w:line="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Issues that may warrant recovery determinations can be raised at any time, including in HR Control Forums, annual assessments of employee performance and when Designated Employees resign or their employment is terminated by the Firm. Under the Firm’s process to govern these determinations:</w:t>
      </w:r>
    </w:p>
    <w:p>
      <w:pPr>
        <w:spacing w:after="0" w:line="97" w:lineRule="exact"/>
        <w:rPr>
          <w:sz w:val="20"/>
          <w:szCs w:val="20"/>
          <w:color w:val="auto"/>
        </w:rPr>
      </w:pPr>
    </w:p>
    <w:p>
      <w:pPr>
        <w:ind w:left="200" w:right="240" w:hanging="196"/>
        <w:spacing w:after="0" w:line="273" w:lineRule="auto"/>
        <w:tabs>
          <w:tab w:leader="none" w:pos="204" w:val="left"/>
        </w:tabs>
        <w:numPr>
          <w:ilvl w:val="0"/>
          <w:numId w:val="134"/>
        </w:numPr>
        <w:rPr>
          <w:rFonts w:ascii="Arial" w:cs="Arial" w:eastAsia="Arial" w:hAnsi="Arial"/>
          <w:sz w:val="17"/>
          <w:szCs w:val="17"/>
          <w:color w:val="074A75"/>
        </w:rPr>
      </w:pPr>
      <w:r>
        <w:rPr>
          <w:rFonts w:ascii="Arial" w:cs="Arial" w:eastAsia="Arial" w:hAnsi="Arial"/>
          <w:sz w:val="17"/>
          <w:szCs w:val="17"/>
          <w:color w:val="auto"/>
        </w:rPr>
        <w:t>We have established a process for reviewing compensation or other employee actions following a determination that the cause and materiality of a risk-related loss, issue or other set of facts and circumstances warrants such a review of accountability</w:t>
      </w:r>
    </w:p>
    <w:p>
      <w:pPr>
        <w:spacing w:after="0" w:line="42" w:lineRule="exact"/>
        <w:rPr>
          <w:rFonts w:ascii="Arial" w:cs="Arial" w:eastAsia="Arial" w:hAnsi="Arial"/>
          <w:sz w:val="17"/>
          <w:szCs w:val="17"/>
          <w:color w:val="074A75"/>
        </w:rPr>
      </w:pPr>
    </w:p>
    <w:p>
      <w:pPr>
        <w:ind w:left="200" w:right="340" w:hanging="196"/>
        <w:spacing w:after="0" w:line="252" w:lineRule="auto"/>
        <w:tabs>
          <w:tab w:leader="none" w:pos="204" w:val="left"/>
        </w:tabs>
        <w:numPr>
          <w:ilvl w:val="0"/>
          <w:numId w:val="134"/>
        </w:numPr>
        <w:rPr>
          <w:rFonts w:ascii="Arial" w:cs="Arial" w:eastAsia="Arial" w:hAnsi="Arial"/>
          <w:sz w:val="18"/>
          <w:szCs w:val="18"/>
          <w:color w:val="074A75"/>
        </w:rPr>
      </w:pPr>
      <w:r>
        <w:rPr>
          <w:rFonts w:ascii="Arial" w:cs="Arial" w:eastAsia="Arial" w:hAnsi="Arial"/>
          <w:sz w:val="18"/>
          <w:szCs w:val="18"/>
          <w:color w:val="auto"/>
        </w:rPr>
        <w:t>The CMDC is responsible for determinations involving OC members (determinations involving the CEO are subject to ratification by independent members of the Board). The CMDC has delegated authority for determinations involving other employees to the Head of Human Resources or his or her designee, usually through the HR Control Forum process described on page 51.</w:t>
      </w:r>
    </w:p>
    <w:p>
      <w:pPr>
        <w:spacing w:after="0" w:line="424" w:lineRule="exact"/>
        <w:rPr>
          <w:sz w:val="20"/>
          <w:szCs w:val="20"/>
          <w:color w:val="auto"/>
        </w:rPr>
      </w:pPr>
    </w:p>
    <w:p>
      <w:pPr>
        <w:sectPr>
          <w:pgSz w:w="11900" w:h="16838" w:orient="portrait"/>
          <w:cols w:equalWidth="0" w:num="2">
            <w:col w:w="5340" w:space="400"/>
            <w:col w:w="5520"/>
          </w:cols>
          <w:pgMar w:left="320" w:top="171" w:right="319" w:bottom="1440" w:gutter="0" w:footer="0" w:header="0"/>
          <w:type w:val="continuous"/>
        </w:sectPr>
      </w:pP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HOLDING INDIVIDUALS ACCOUNTABLE</w:t>
      </w:r>
    </w:p>
    <w:p>
      <w:pPr>
        <w:spacing w:after="0" w:line="11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To hold individuals responsible for taking risks inconsistent with the Firm’s risk appetite and to discourage future imprudent behavior, the Firm has policies and procedures that enable it to take prompt and proportionate actions with respect to accountable individuals, including:</w:t>
      </w:r>
    </w:p>
    <w:p>
      <w:pPr>
        <w:sectPr>
          <w:pgSz w:w="11900" w:h="16838" w:orient="portrait"/>
          <w:cols w:equalWidth="0" w:num="1">
            <w:col w:w="11260"/>
          </w:cols>
          <w:pgMar w:left="320" w:top="171" w:right="319" w:bottom="865" w:gutter="0" w:footer="0" w:header="0"/>
        </w:sectPr>
      </w:pPr>
    </w:p>
    <w:p>
      <w:pPr>
        <w:spacing w:after="0" w:line="117"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Reduce or altogether eliminate annual incentive compensation;</w:t>
      </w:r>
    </w:p>
    <w:p>
      <w:pPr>
        <w:spacing w:after="0" w:line="3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7"/>
          <w:szCs w:val="17"/>
          <w:color w:val="auto"/>
        </w:rPr>
        <w:t>Cancel unvested awards (in full or in part);</w:t>
      </w:r>
    </w:p>
    <w:p>
      <w:pPr>
        <w:spacing w:after="0" w:line="23" w:lineRule="exact"/>
        <w:rPr>
          <w:sz w:val="20"/>
          <w:szCs w:val="20"/>
          <w:color w:val="auto"/>
        </w:rPr>
      </w:pPr>
    </w:p>
    <w:p>
      <w:pPr>
        <w:ind w:left="340" w:right="340" w:hanging="332"/>
        <w:spacing w:after="0" w:line="261" w:lineRule="auto"/>
        <w:tabs>
          <w:tab w:leader="none" w:pos="3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Summary of Cancellation &amp; Clawbacks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74A75"/>
              </w:rPr>
              <w:t>Trigger</w:t>
            </w:r>
          </w:p>
        </w:tc>
        <w:tc>
          <w:tcPr>
            <w:tcW w:w="1840" w:type="dxa"/>
            <w:vAlign w:val="bottom"/>
            <w:tcBorders>
              <w:bottom w:val="single" w:sz="8" w:color="auto"/>
            </w:tcBorders>
          </w:tcPr>
          <w:p>
            <w:pPr>
              <w:jc w:val="center"/>
              <w:ind w:left="832"/>
              <w:spacing w:after="0"/>
              <w:rPr>
                <w:sz w:val="20"/>
                <w:szCs w:val="20"/>
                <w:color w:val="auto"/>
              </w:rPr>
            </w:pPr>
            <w:r>
              <w:rPr>
                <w:rFonts w:ascii="Arial" w:cs="Arial" w:eastAsia="Arial" w:hAnsi="Arial"/>
                <w:sz w:val="16"/>
                <w:szCs w:val="16"/>
                <w:b w:val="1"/>
                <w:bCs w:val="1"/>
                <w:color w:val="074A75"/>
                <w:w w:val="99"/>
              </w:rPr>
              <w:t>Vested</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74A75"/>
              </w:rPr>
              <w:t>Unvested</w:t>
            </w:r>
          </w:p>
        </w:tc>
      </w:tr>
      <w:tr>
        <w:trPr>
          <w:trHeight w:val="270"/>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Restatement</w:t>
            </w:r>
          </w:p>
        </w:tc>
        <w:tc>
          <w:tcPr>
            <w:tcW w:w="1840" w:type="dxa"/>
            <w:vAlign w:val="bottom"/>
            <w:shd w:val="clear" w:color="auto" w:fill="E7E7E8"/>
          </w:tcPr>
          <w:p>
            <w:pPr>
              <w:jc w:val="center"/>
              <w:ind w:left="812"/>
              <w:spacing w:after="0"/>
              <w:rPr>
                <w:sz w:val="20"/>
                <w:szCs w:val="20"/>
                <w:color w:val="auto"/>
              </w:rPr>
            </w:pPr>
            <w:r>
              <w:rPr>
                <w:rFonts w:ascii="Arial" w:cs="Arial" w:eastAsia="Arial" w:hAnsi="Arial"/>
                <w:sz w:val="18"/>
                <w:szCs w:val="18"/>
                <w:color w:val="3E693D"/>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3E693D"/>
                <w:w w:val="99"/>
              </w:rPr>
              <w:t>ü</w:t>
            </w:r>
          </w:p>
        </w:tc>
      </w:tr>
      <w:tr>
        <w:trPr>
          <w:trHeight w:val="260"/>
        </w:trPr>
        <w:tc>
          <w:tcPr>
            <w:tcW w:w="2380" w:type="dxa"/>
            <w:vAlign w:val="bottom"/>
          </w:tcPr>
          <w:p>
            <w:pPr>
              <w:ind w:left="20"/>
              <w:spacing w:after="0"/>
              <w:rPr>
                <w:sz w:val="20"/>
                <w:szCs w:val="20"/>
                <w:color w:val="auto"/>
              </w:rPr>
            </w:pPr>
            <w:r>
              <w:rPr>
                <w:rFonts w:ascii="Arial" w:cs="Arial" w:eastAsia="Arial" w:hAnsi="Arial"/>
                <w:sz w:val="16"/>
                <w:szCs w:val="16"/>
                <w:color w:val="auto"/>
              </w:rPr>
              <w:t>Misconduct</w:t>
            </w:r>
          </w:p>
        </w:tc>
        <w:tc>
          <w:tcPr>
            <w:tcW w:w="1840" w:type="dxa"/>
            <w:vAlign w:val="bottom"/>
          </w:tcPr>
          <w:p>
            <w:pPr>
              <w:jc w:val="center"/>
              <w:ind w:left="812"/>
              <w:spacing w:after="0"/>
              <w:rPr>
                <w:sz w:val="20"/>
                <w:szCs w:val="20"/>
                <w:color w:val="auto"/>
              </w:rPr>
            </w:pPr>
            <w:r>
              <w:rPr>
                <w:rFonts w:ascii="Arial" w:cs="Arial" w:eastAsia="Arial" w:hAnsi="Arial"/>
                <w:sz w:val="18"/>
                <w:szCs w:val="18"/>
                <w:color w:val="3E693D"/>
                <w:w w:val="99"/>
              </w:rPr>
              <w:t>ü</w:t>
            </w:r>
          </w:p>
        </w:tc>
        <w:tc>
          <w:tcPr>
            <w:tcW w:w="1100" w:type="dxa"/>
            <w:vAlign w:val="bottom"/>
          </w:tcPr>
          <w:p>
            <w:pPr>
              <w:jc w:val="center"/>
              <w:spacing w:after="0"/>
              <w:rPr>
                <w:sz w:val="20"/>
                <w:szCs w:val="20"/>
                <w:color w:val="auto"/>
              </w:rPr>
            </w:pPr>
            <w:r>
              <w:rPr>
                <w:rFonts w:ascii="Arial" w:cs="Arial" w:eastAsia="Arial" w:hAnsi="Arial"/>
                <w:sz w:val="18"/>
                <w:szCs w:val="18"/>
                <w:color w:val="3E693D"/>
                <w:w w:val="99"/>
              </w:rPr>
              <w:t>ü</w:t>
            </w:r>
          </w:p>
        </w:tc>
      </w:tr>
      <w:tr>
        <w:trPr>
          <w:trHeight w:val="280"/>
        </w:trPr>
        <w:tc>
          <w:tcPr>
            <w:tcW w:w="23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Risk-related</w:t>
            </w:r>
          </w:p>
        </w:tc>
        <w:tc>
          <w:tcPr>
            <w:tcW w:w="1840" w:type="dxa"/>
            <w:vAlign w:val="bottom"/>
            <w:shd w:val="clear" w:color="auto" w:fill="E7E7E8"/>
          </w:tcPr>
          <w:p>
            <w:pPr>
              <w:jc w:val="center"/>
              <w:ind w:left="812"/>
              <w:spacing w:after="0"/>
              <w:rPr>
                <w:sz w:val="20"/>
                <w:szCs w:val="20"/>
                <w:color w:val="auto"/>
              </w:rPr>
            </w:pPr>
            <w:r>
              <w:rPr>
                <w:rFonts w:ascii="Arial" w:cs="Arial" w:eastAsia="Arial" w:hAnsi="Arial"/>
                <w:sz w:val="18"/>
                <w:szCs w:val="18"/>
                <w:color w:val="3E693D"/>
                <w:w w:val="99"/>
              </w:rPr>
              <w:t>ü</w:t>
            </w:r>
          </w:p>
        </w:tc>
        <w:tc>
          <w:tcPr>
            <w:tcW w:w="1100" w:type="dxa"/>
            <w:vAlign w:val="bottom"/>
            <w:shd w:val="clear" w:color="auto" w:fill="E7E7E8"/>
          </w:tcPr>
          <w:p>
            <w:pPr>
              <w:jc w:val="center"/>
              <w:spacing w:after="0"/>
              <w:rPr>
                <w:sz w:val="20"/>
                <w:szCs w:val="20"/>
                <w:color w:val="auto"/>
              </w:rPr>
            </w:pPr>
            <w:r>
              <w:rPr>
                <w:rFonts w:ascii="Arial" w:cs="Arial" w:eastAsia="Arial" w:hAnsi="Arial"/>
                <w:sz w:val="18"/>
                <w:szCs w:val="18"/>
                <w:color w:val="3E693D"/>
                <w:w w:val="99"/>
              </w:rPr>
              <w:t>ü</w:t>
            </w:r>
          </w:p>
        </w:tc>
      </w:tr>
      <w:tr>
        <w:trPr>
          <w:trHeight w:val="251"/>
        </w:trPr>
        <w:tc>
          <w:tcPr>
            <w:tcW w:w="2380" w:type="dxa"/>
            <w:vAlign w:val="bottom"/>
          </w:tcPr>
          <w:p>
            <w:pPr>
              <w:ind w:left="20"/>
              <w:spacing w:after="0"/>
              <w:rPr>
                <w:sz w:val="20"/>
                <w:szCs w:val="20"/>
                <w:color w:val="auto"/>
              </w:rPr>
            </w:pPr>
            <w:r>
              <w:rPr>
                <w:rFonts w:ascii="Arial" w:cs="Arial" w:eastAsia="Arial" w:hAnsi="Arial"/>
                <w:sz w:val="16"/>
                <w:szCs w:val="16"/>
                <w:color w:val="auto"/>
              </w:rPr>
              <w:t>Protection-based</w:t>
            </w:r>
          </w:p>
        </w:tc>
        <w:tc>
          <w:tcPr>
            <w:tcW w:w="18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3E693D"/>
                <w:w w:val="99"/>
              </w:rPr>
              <w:t>ü</w:t>
            </w: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320" w:right="460" w:hanging="319"/>
        <w:spacing w:after="0" w:line="258" w:lineRule="auto"/>
        <w:tabs>
          <w:tab w:leader="none" w:pos="300" w:val="left"/>
        </w:tabs>
        <w:rPr>
          <w:sz w:val="20"/>
          <w:szCs w:val="20"/>
          <w:color w:val="auto"/>
        </w:rPr>
      </w:pPr>
      <w:r>
        <w:rPr>
          <w:rFonts w:ascii="Arial" w:cs="Arial" w:eastAsia="Arial" w:hAnsi="Arial"/>
          <w:sz w:val="18"/>
          <w:szCs w:val="18"/>
          <w:color w:val="auto"/>
        </w:rPr>
        <w:t>IV.</w:t>
        <w:tab/>
        <w:t>Demotion, negative performance rating or other appropriate employment actions; and</w:t>
      </w:r>
    </w:p>
    <w:p>
      <w:pPr>
        <w:spacing w:after="0"/>
        <w:tabs>
          <w:tab w:leader="none" w:pos="32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7"/>
          <w:szCs w:val="17"/>
          <w:color w:val="auto"/>
        </w:rPr>
        <w:t>Termination of employment.</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precise actions we take with respect to accountable individuals are based on the relevant circumstances, including the nature of their involvement, the magnitude of the event and the impact on the Firm.</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Clawback Disclosure</w:t>
      </w:r>
    </w:p>
    <w:p>
      <w:pPr>
        <w:spacing w:after="0" w:line="1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2020, we did not take any action to recover or clawback any incentive compensation from the OC members or Firmwide Controller.</w:t>
      </w:r>
    </w:p>
    <w:p>
      <w:pPr>
        <w:spacing w:after="0" w:line="200" w:lineRule="exact"/>
        <w:rPr>
          <w:sz w:val="20"/>
          <w:szCs w:val="20"/>
          <w:color w:val="auto"/>
        </w:rPr>
      </w:pPr>
    </w:p>
    <w:p>
      <w:pPr>
        <w:sectPr>
          <w:pgSz w:w="11900" w:h="16838" w:orient="portrait"/>
          <w:cols w:equalWidth="0" w:num="2">
            <w:col w:w="5360" w:space="380"/>
            <w:col w:w="5520"/>
          </w:cols>
          <w:pgMar w:left="320" w:top="171" w:right="319" w:bottom="865"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074A75"/>
        </w:rPr>
        <w:t>RISK, CONTROLS &amp; CONDUCT REVIEW PROCESS</w:t>
      </w:r>
    </w:p>
    <w:p>
      <w:pPr>
        <w:spacing w:after="0" w:line="11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summary of the review processes we maintain to evaluate risk, controls and conduct issues and to identify individuals who may be subject to remedial actions such as impacts to compensation and/or termination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9749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2974975"/>
                    </a:xfrm>
                    <a:prstGeom prst="rect">
                      <a:avLst/>
                    </a:prstGeom>
                    <a:noFill/>
                  </pic:spPr>
                </pic:pic>
              </a:graphicData>
            </a:graphic>
          </wp:anchor>
        </w:drawing>
      </w:r>
    </w:p>
    <w:p>
      <w:pPr>
        <w:sectPr>
          <w:pgSz w:w="11900" w:h="16838" w:orient="portrait"/>
          <w:cols w:equalWidth="0" w:num="1">
            <w:col w:w="11260"/>
          </w:cols>
          <w:pgMar w:left="320" w:top="171" w:right="319" w:bottom="865" w:gutter="0" w:footer="0" w:header="0"/>
          <w:type w:val="continuous"/>
        </w:sectPr>
      </w:pPr>
    </w:p>
    <w:p>
      <w:pPr>
        <w:spacing w:after="0" w:line="128" w:lineRule="exact"/>
        <w:rPr>
          <w:sz w:val="20"/>
          <w:szCs w:val="20"/>
          <w:color w:val="auto"/>
        </w:rPr>
      </w:pPr>
    </w:p>
    <w:p>
      <w:pPr>
        <w:ind w:left="720" w:hanging="532"/>
        <w:spacing w:after="0"/>
        <w:tabs>
          <w:tab w:leader="none" w:pos="720" w:val="left"/>
        </w:tabs>
        <w:numPr>
          <w:ilvl w:val="1"/>
          <w:numId w:val="137"/>
        </w:numPr>
        <w:rPr>
          <w:rFonts w:ascii="Arial" w:cs="Arial" w:eastAsia="Arial" w:hAnsi="Arial"/>
          <w:sz w:val="32"/>
          <w:szCs w:val="32"/>
          <w:b w:val="1"/>
          <w:bCs w:val="1"/>
          <w:color w:val="FFFFFF"/>
        </w:rPr>
      </w:pPr>
      <w:r>
        <w:rPr>
          <w:rFonts w:ascii="Arial" w:cs="Arial" w:eastAsia="Arial" w:hAnsi="Arial"/>
          <w:sz w:val="18"/>
          <w:szCs w:val="18"/>
          <w:b w:val="1"/>
          <w:bCs w:val="1"/>
          <w:color w:val="3E693D"/>
        </w:rPr>
        <w:t>Enhanced performance reviews</w:t>
      </w:r>
    </w:p>
    <w:p>
      <w:pPr>
        <w:spacing w:after="0" w:line="200" w:lineRule="exact"/>
        <w:rPr>
          <w:rFonts w:ascii="Arial" w:cs="Arial" w:eastAsia="Arial" w:hAnsi="Arial"/>
          <w:sz w:val="32"/>
          <w:szCs w:val="32"/>
          <w:b w:val="1"/>
          <w:bCs w:val="1"/>
          <w:color w:val="FFFFFF"/>
        </w:rPr>
      </w:pPr>
    </w:p>
    <w:p>
      <w:pPr>
        <w:spacing w:after="0" w:line="220" w:lineRule="exact"/>
        <w:rPr>
          <w:rFonts w:ascii="Arial" w:cs="Arial" w:eastAsia="Arial" w:hAnsi="Arial"/>
          <w:sz w:val="32"/>
          <w:szCs w:val="32"/>
          <w:b w:val="1"/>
          <w:bCs w:val="1"/>
          <w:color w:val="FFFFFF"/>
        </w:rPr>
      </w:pPr>
    </w:p>
    <w:p>
      <w:pPr>
        <w:ind w:left="280" w:right="60" w:hanging="233"/>
        <w:spacing w:after="0" w:line="250"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Employees in roles which could expose the Firm to greater risks (including</w:t>
      </w:r>
      <w:r>
        <w:rPr>
          <w:rFonts w:ascii="Arial" w:cs="Arial" w:eastAsia="Arial" w:hAnsi="Arial"/>
          <w:sz w:val="16"/>
          <w:szCs w:val="16"/>
          <w:color w:val="3E693D"/>
        </w:rPr>
        <w:t xml:space="preserve"> </w:t>
      </w:r>
      <w:r>
        <w:rPr>
          <w:rFonts w:ascii="Arial" w:cs="Arial" w:eastAsia="Arial" w:hAnsi="Arial"/>
          <w:sz w:val="16"/>
          <w:szCs w:val="16"/>
          <w:color w:val="000000"/>
          <w:shd w:val="clear" w:color="auto" w:fill="EEEFEF"/>
        </w:rPr>
        <w:t>OC, Tier 1 and Identified Staff) are subject to a more disciplined evaluation process, including certain compensation terms and conditions as a mechanism to balance the greater risk. The enhanced performance process includes:</w:t>
      </w:r>
    </w:p>
    <w:p>
      <w:pPr>
        <w:spacing w:after="0" w:line="54" w:lineRule="exact"/>
        <w:rPr>
          <w:sz w:val="20"/>
          <w:szCs w:val="20"/>
          <w:color w:val="auto"/>
        </w:rPr>
      </w:pPr>
    </w:p>
    <w:p>
      <w:pPr>
        <w:ind w:left="520" w:hanging="233"/>
        <w:spacing w:after="0" w:line="253"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Formal Risk and Control Feedback that is solicited from Control Function</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partners on an annual basis for certain Designated Employees across the Firm</w:t>
      </w:r>
    </w:p>
    <w:p>
      <w:pPr>
        <w:spacing w:after="0" w:line="52" w:lineRule="exact"/>
        <w:rPr>
          <w:sz w:val="20"/>
          <w:szCs w:val="20"/>
          <w:color w:val="auto"/>
        </w:rPr>
      </w:pPr>
    </w:p>
    <w:p>
      <w:pPr>
        <w:ind w:left="520" w:right="220" w:hanging="233"/>
        <w:spacing w:after="0" w:line="253"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High and medium severity issues owned directly or indirectly by certain</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Designated Employees are summarized on a Risk and Control Issue Report</w:t>
      </w:r>
    </w:p>
    <w:p>
      <w:pPr>
        <w:spacing w:after="0" w:line="66" w:lineRule="exact"/>
        <w:rPr>
          <w:sz w:val="20"/>
          <w:szCs w:val="20"/>
          <w:color w:val="auto"/>
        </w:rPr>
      </w:pPr>
    </w:p>
    <w:p>
      <w:pPr>
        <w:ind w:left="280" w:right="20" w:hanging="233"/>
        <w:spacing w:after="0" w:line="260"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This feedback is used by managers to help assess whether these employees</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are meeting our risk, controls and conduct expectations</w:t>
      </w:r>
    </w:p>
    <w:p>
      <w:pPr>
        <w:spacing w:after="0" w:line="46" w:lineRule="exact"/>
        <w:rPr>
          <w:sz w:val="20"/>
          <w:szCs w:val="20"/>
          <w:color w:val="auto"/>
        </w:rPr>
      </w:pPr>
    </w:p>
    <w:p>
      <w:pPr>
        <w:ind w:left="280" w:right="120" w:hanging="233"/>
        <w:spacing w:after="0" w:line="253" w:lineRule="auto"/>
        <w:rPr>
          <w:sz w:val="20"/>
          <w:szCs w:val="20"/>
          <w:color w:val="auto"/>
        </w:rPr>
      </w:pP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All other employees are evaluated by their managers against the Firm’s four</w:t>
      </w:r>
      <w:r>
        <w:rPr>
          <w:rFonts w:ascii="Arial" w:cs="Arial" w:eastAsia="Arial" w:hAnsi="Arial"/>
          <w:sz w:val="16"/>
          <w:szCs w:val="16"/>
          <w:color w:val="3E693D"/>
          <w:shd w:val="clear" w:color="auto" w:fill="EEEFEF"/>
        </w:rPr>
        <w:t xml:space="preserve"> </w:t>
      </w:r>
      <w:r>
        <w:rPr>
          <w:rFonts w:ascii="Arial" w:cs="Arial" w:eastAsia="Arial" w:hAnsi="Arial"/>
          <w:sz w:val="16"/>
          <w:szCs w:val="16"/>
          <w:color w:val="000000"/>
          <w:shd w:val="clear" w:color="auto" w:fill="EEEFEF"/>
        </w:rPr>
        <w:t>performance dimensions, which include the Risk, Controls &amp; Conduct dimension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3728720" cy="3257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7287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16"/>
          <w:szCs w:val="16"/>
          <w:color w:val="FFFFFF"/>
        </w:rPr>
        <w:t>OC member self-assessments are shared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165100</wp:posOffset>
            </wp:positionV>
            <wp:extent cx="85725" cy="685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7969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796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538" w:hanging="538"/>
        <w:spacing w:after="0"/>
        <w:tabs>
          <w:tab w:leader="none" w:pos="538" w:val="left"/>
        </w:tabs>
        <w:numPr>
          <w:ilvl w:val="1"/>
          <w:numId w:val="139"/>
        </w:numPr>
        <w:rPr>
          <w:rFonts w:ascii="Arial" w:cs="Arial" w:eastAsia="Arial" w:hAnsi="Arial"/>
          <w:sz w:val="32"/>
          <w:szCs w:val="32"/>
          <w:b w:val="1"/>
          <w:bCs w:val="1"/>
          <w:color w:val="FFFFFF"/>
        </w:rPr>
      </w:pPr>
      <w:r>
        <w:rPr>
          <w:rFonts w:ascii="Arial" w:cs="Arial" w:eastAsia="Arial" w:hAnsi="Arial"/>
          <w:sz w:val="18"/>
          <w:szCs w:val="18"/>
          <w:b w:val="1"/>
          <w:bCs w:val="1"/>
          <w:color w:val="3E693D"/>
        </w:rPr>
        <w:t>Employee conduct matters</w:t>
      </w:r>
    </w:p>
    <w:p>
      <w:pPr>
        <w:spacing w:after="0" w:line="325" w:lineRule="exact"/>
        <w:rPr>
          <w:rFonts w:ascii="Arial" w:cs="Arial" w:eastAsia="Arial" w:hAnsi="Arial"/>
          <w:sz w:val="32"/>
          <w:szCs w:val="32"/>
          <w:b w:val="1"/>
          <w:bCs w:val="1"/>
          <w:color w:val="FFFFFF"/>
        </w:rPr>
      </w:pPr>
    </w:p>
    <w:p>
      <w:pPr>
        <w:jc w:val="both"/>
        <w:ind w:left="98" w:right="120" w:hanging="233"/>
        <w:spacing w:after="0" w:line="235"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We have a single enterprise-wide framework for management to</w:t>
      </w:r>
      <w:r>
        <w:rPr>
          <w:rFonts w:ascii="Arial" w:cs="Arial" w:eastAsia="Arial" w:hAnsi="Arial"/>
          <w:sz w:val="16"/>
          <w:szCs w:val="16"/>
          <w:color w:val="3E693D"/>
        </w:rPr>
        <w:t xml:space="preserve"> </w:t>
      </w:r>
      <w:r>
        <w:rPr>
          <w:rFonts w:ascii="Arial" w:cs="Arial" w:eastAsia="Arial" w:hAnsi="Arial"/>
          <w:sz w:val="16"/>
          <w:szCs w:val="16"/>
          <w:color w:val="000000"/>
        </w:rPr>
        <w:t>oversee and respond to workforce conduct-related matters that may otherwise expose the Firm to financial, reputational, compliance and other operating risks</w:t>
      </w:r>
    </w:p>
    <w:p>
      <w:pPr>
        <w:spacing w:after="0" w:line="224" w:lineRule="exact"/>
        <w:rPr>
          <w:rFonts w:ascii="Arial" w:cs="Arial" w:eastAsia="Arial" w:hAnsi="Arial"/>
          <w:sz w:val="32"/>
          <w:szCs w:val="32"/>
          <w:b w:val="1"/>
          <w:bCs w:val="1"/>
          <w:color w:val="FFFFFF"/>
        </w:rPr>
      </w:pPr>
    </w:p>
    <w:p>
      <w:pPr>
        <w:ind w:left="98" w:right="360" w:hanging="233"/>
        <w:spacing w:after="0" w:line="237" w:lineRule="auto"/>
        <w:rPr>
          <w:rFonts w:ascii="Arial" w:cs="Arial" w:eastAsia="Arial" w:hAnsi="Arial"/>
          <w:sz w:val="32"/>
          <w:szCs w:val="32"/>
          <w:b w:val="1"/>
          <w:bCs w:val="1"/>
          <w:color w:val="FFFFFF"/>
        </w:rPr>
      </w:pPr>
      <w:r>
        <w:rPr>
          <w:rFonts w:ascii="Arial" w:cs="Arial" w:eastAsia="Arial" w:hAnsi="Arial"/>
          <w:sz w:val="16"/>
          <w:szCs w:val="16"/>
          <w:color w:val="3E693D"/>
        </w:rPr>
        <w:t xml:space="preserve">} </w:t>
      </w:r>
      <w:r>
        <w:rPr>
          <w:rFonts w:ascii="Arial" w:cs="Arial" w:eastAsia="Arial" w:hAnsi="Arial"/>
          <w:sz w:val="16"/>
          <w:szCs w:val="16"/>
          <w:color w:val="000000"/>
        </w:rPr>
        <w:t>Actual or potential misconduct for matters that create material risk</w:t>
      </w:r>
      <w:r>
        <w:rPr>
          <w:rFonts w:ascii="Arial" w:cs="Arial" w:eastAsia="Arial" w:hAnsi="Arial"/>
          <w:sz w:val="16"/>
          <w:szCs w:val="16"/>
          <w:color w:val="3E693D"/>
        </w:rPr>
        <w:t xml:space="preserve"> </w:t>
      </w:r>
      <w:r>
        <w:rPr>
          <w:rFonts w:ascii="Arial" w:cs="Arial" w:eastAsia="Arial" w:hAnsi="Arial"/>
          <w:sz w:val="16"/>
          <w:szCs w:val="16"/>
          <w:color w:val="000000"/>
        </w:rPr>
        <w:t>and control concerns are escalated to our HR Control Forum process,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107315</wp:posOffset>
            </wp:positionV>
            <wp:extent cx="3343275" cy="3771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43275" cy="377190"/>
                    </a:xfrm>
                    <a:prstGeom prst="rect">
                      <a:avLst/>
                    </a:prstGeom>
                    <a:noFill/>
                  </pic:spPr>
                </pic:pic>
              </a:graphicData>
            </a:graphic>
          </wp:anchor>
        </w:drawing>
      </w:r>
    </w:p>
    <w:p>
      <w:pPr>
        <w:spacing w:after="0" w:line="353" w:lineRule="exact"/>
        <w:rPr>
          <w:sz w:val="20"/>
          <w:szCs w:val="20"/>
          <w:color w:val="auto"/>
        </w:rPr>
      </w:pPr>
    </w:p>
    <w:p>
      <w:pPr>
        <w:ind w:left="558"/>
        <w:spacing w:after="0"/>
        <w:rPr>
          <w:sz w:val="20"/>
          <w:szCs w:val="20"/>
          <w:color w:val="auto"/>
        </w:rPr>
      </w:pPr>
      <w:r>
        <w:rPr>
          <w:rFonts w:ascii="Arial" w:cs="Arial" w:eastAsia="Arial" w:hAnsi="Arial"/>
          <w:sz w:val="16"/>
          <w:szCs w:val="16"/>
          <w:color w:val="FFFFFF"/>
        </w:rPr>
        <w:t>Escalation by Control Committees and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302260</wp:posOffset>
            </wp:positionV>
            <wp:extent cx="3343275" cy="3771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43275" cy="377190"/>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156210</wp:posOffset>
            </wp:positionV>
            <wp:extent cx="85725" cy="685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000000"/>
                        </a:clrFrom>
                        <a:clrTo>
                          <a:srgbClr val="000000">
                            <a:alpha val="0"/>
                          </a:srgbClr>
                        </a:clrTo>
                      </a:clrChange>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156210</wp:posOffset>
            </wp:positionV>
            <wp:extent cx="85725" cy="685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38"/>
        <w:spacing w:after="0"/>
        <w:rPr>
          <w:sz w:val="20"/>
          <w:szCs w:val="20"/>
          <w:color w:val="auto"/>
        </w:rPr>
      </w:pPr>
      <w:r>
        <w:rPr>
          <w:rFonts w:ascii="Arial" w:cs="Arial" w:eastAsia="Arial" w:hAnsi="Arial"/>
          <w:sz w:val="16"/>
          <w:szCs w:val="16"/>
          <w:color w:val="FFFFFF"/>
        </w:rPr>
        <w:t>LOB, function, and regional HR Control Forums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302260</wp:posOffset>
            </wp:positionV>
            <wp:extent cx="3343275" cy="7029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43275" cy="70294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156210</wp:posOffset>
            </wp:positionV>
            <wp:extent cx="188595" cy="685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000000"/>
                        </a:clrFrom>
                        <a:clrTo>
                          <a:srgbClr val="000000">
                            <a:alpha val="0"/>
                          </a:srgbClr>
                        </a:clrTo>
                      </a:clrChange>
                      <a:extLst>
                        <a:ext uri="{28A0092B-C50C-407E-A947-70E740481C1C}"/>
                      </a:extLst>
                    </a:blip>
                    <a:srcRect/>
                    <a:stretch>
                      <a:fillRect/>
                    </a:stretch>
                  </pic:blipFill>
                  <pic:spPr bwMode="auto">
                    <a:xfrm>
                      <a:off x="0" y="0"/>
                      <a:ext cx="188595" cy="6858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156210</wp:posOffset>
            </wp:positionV>
            <wp:extent cx="188595" cy="685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18859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58" w:right="202"/>
        <w:spacing w:after="0" w:line="253" w:lineRule="auto"/>
        <w:rPr>
          <w:sz w:val="20"/>
          <w:szCs w:val="20"/>
          <w:color w:val="auto"/>
        </w:rPr>
      </w:pPr>
      <w:r>
        <w:rPr>
          <w:rFonts w:ascii="Arial" w:cs="Arial" w:eastAsia="Arial" w:hAnsi="Arial"/>
          <w:sz w:val="16"/>
          <w:szCs w:val="16"/>
          <w:color w:val="FFFFFF"/>
        </w:rPr>
        <w:t>Firmwide HR Control Forums review outputs from and provide feedback to LOB/function/regional forums and provide constructive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194945</wp:posOffset>
            </wp:positionV>
            <wp:extent cx="85725" cy="685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780" w:space="382"/>
            <w:col w:w="5098"/>
          </w:cols>
          <w:pgMar w:left="320" w:top="171" w:right="319" w:bottom="865"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E693D"/>
        </w:rPr>
        <w:t>Compensation &amp; Management Development Committee</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3E693D"/>
        </w:rPr>
        <w:t xml:space="preserve">}  </w:t>
      </w:r>
      <w:r>
        <w:rPr>
          <w:rFonts w:ascii="Arial" w:cs="Arial" w:eastAsia="Arial" w:hAnsi="Arial"/>
          <w:sz w:val="16"/>
          <w:szCs w:val="16"/>
          <w:color w:val="000000"/>
        </w:rPr>
        <w:t>The CMDC reviews a summary of outcomes of HR Control Forums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3E693D"/>
        </w:rPr>
        <w:t xml:space="preserve">}  </w:t>
      </w:r>
      <w:r>
        <w:rPr>
          <w:rFonts w:ascii="Arial" w:cs="Arial" w:eastAsia="Arial" w:hAnsi="Arial"/>
          <w:sz w:val="16"/>
          <w:szCs w:val="16"/>
          <w:color w:val="000000"/>
        </w:rPr>
        <w:t>The outcomes of these Forums are factored into incentive compensation,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402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50" w:lineRule="exact"/>
        <w:rPr>
          <w:sz w:val="20"/>
          <w:szCs w:val="20"/>
          <w:color w:val="auto"/>
        </w:rPr>
      </w:pPr>
    </w:p>
    <w:p>
      <w:pPr>
        <w:ind w:left="720" w:hanging="532"/>
        <w:spacing w:after="0"/>
        <w:tabs>
          <w:tab w:leader="none" w:pos="720" w:val="left"/>
        </w:tabs>
        <w:numPr>
          <w:ilvl w:val="0"/>
          <w:numId w:val="141"/>
        </w:numPr>
        <w:rPr>
          <w:rFonts w:ascii="Arial" w:cs="Arial" w:eastAsia="Arial" w:hAnsi="Arial"/>
          <w:sz w:val="32"/>
          <w:szCs w:val="32"/>
          <w:b w:val="1"/>
          <w:bCs w:val="1"/>
          <w:color w:val="FFFFFF"/>
        </w:rPr>
      </w:pPr>
      <w:r>
        <w:rPr>
          <w:rFonts w:ascii="Arial" w:cs="Arial" w:eastAsia="Arial" w:hAnsi="Arial"/>
          <w:sz w:val="16"/>
          <w:szCs w:val="16"/>
          <w:b w:val="1"/>
          <w:bCs w:val="1"/>
          <w:color w:val="3E693D"/>
        </w:rPr>
        <w:t>Designated Employees exit reviews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4800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31" w:lineRule="exact"/>
        <w:rPr>
          <w:sz w:val="20"/>
          <w:szCs w:val="20"/>
          <w:color w:val="auto"/>
        </w:rPr>
      </w:pPr>
    </w:p>
    <w:p>
      <w:pPr>
        <w:ind w:left="20" w:right="260"/>
        <w:spacing w:after="0" w:line="253" w:lineRule="auto"/>
        <w:rPr>
          <w:sz w:val="20"/>
          <w:szCs w:val="20"/>
          <w:color w:val="auto"/>
        </w:rPr>
      </w:pPr>
      <w:r>
        <w:rPr>
          <w:rFonts w:ascii="Arial" w:cs="Arial" w:eastAsia="Arial" w:hAnsi="Arial"/>
          <w:sz w:val="16"/>
          <w:szCs w:val="16"/>
          <w:color w:val="auto"/>
        </w:rPr>
        <w:t>Certain Designated Employees are subject to an enhanced exit process prior to separating from the Firm to determine the circumstances surrounding the employee's termination, including seeking feedback from senior Control Function employees to see if they are associated with any known or potential emerging risk, controls and conduct issues that may warrant current or potential future monitoring for forfeiture or clawback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366395</wp:posOffset>
            </wp:positionV>
            <wp:extent cx="274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51  </w:t>
      </w:r>
      <w:r>
        <w:rPr>
          <w:sz w:val="1"/>
          <w:szCs w:val="1"/>
          <w:color w:val="auto"/>
        </w:rPr>
        <w:drawing>
          <wp:inline distT="0" distB="0" distL="0" distR="0">
            <wp:extent cx="2203450" cy="154305"/>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865"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4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5"/>
                <w:szCs w:val="15"/>
                <w:color w:val="074A75"/>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CLAWBACK/RECOVERY PROVISIONS</w:t>
      </w:r>
    </w:p>
    <w:p>
      <w:pPr>
        <w:spacing w:after="0" w:line="11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the clawback provisions that apply to our OC members and the Firmwide Controller.</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074A75"/>
        </w:rPr>
        <w:t>EQUITY CLAWBACK REVIEW PROVISIONS</w:t>
      </w:r>
      <w:r>
        <w:rPr>
          <w:rFonts w:ascii="Arial" w:cs="Arial" w:eastAsia="Arial" w:hAnsi="Arial"/>
          <w:sz w:val="25"/>
          <w:szCs w:val="25"/>
          <w:color w:val="074A75"/>
          <w:vertAlign w:val="superscript"/>
        </w:rPr>
        <w:t>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8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920" w:type="dxa"/>
            <w:vAlign w:val="bottom"/>
            <w:tcBorders>
              <w:bottom w:val="single" w:sz="8" w:color="494949"/>
            </w:tcBorders>
            <w:gridSpan w:val="2"/>
          </w:tcPr>
          <w:p>
            <w:pPr>
              <w:ind w:left="520"/>
              <w:spacing w:after="0"/>
              <w:rPr>
                <w:sz w:val="20"/>
                <w:szCs w:val="20"/>
                <w:color w:val="auto"/>
              </w:rPr>
            </w:pPr>
            <w:r>
              <w:rPr>
                <w:rFonts w:ascii="Arial" w:cs="Arial" w:eastAsia="Arial" w:hAnsi="Arial"/>
                <w:sz w:val="16"/>
                <w:szCs w:val="16"/>
                <w:color w:val="auto"/>
              </w:rPr>
              <w:t>Award Type</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Category</w:t>
            </w:r>
          </w:p>
        </w:tc>
        <w:tc>
          <w:tcPr>
            <w:tcW w:w="754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074A75"/>
              </w:rPr>
              <w:t>Trigger</w:t>
            </w:r>
          </w:p>
        </w:tc>
        <w:tc>
          <w:tcPr>
            <w:tcW w:w="960" w:type="dxa"/>
            <w:vAlign w:val="bottom"/>
            <w:tcBorders>
              <w:bottom w:val="single" w:sz="8" w:color="494949"/>
            </w:tcBorders>
          </w:tcPr>
          <w:p>
            <w:pPr>
              <w:ind w:left="220"/>
              <w:spacing w:after="0"/>
              <w:rPr>
                <w:sz w:val="20"/>
                <w:szCs w:val="20"/>
                <w:color w:val="auto"/>
              </w:rPr>
            </w:pPr>
            <w:r>
              <w:rPr>
                <w:rFonts w:ascii="Arial" w:cs="Arial" w:eastAsia="Arial" w:hAnsi="Arial"/>
                <w:sz w:val="16"/>
                <w:szCs w:val="16"/>
                <w:color w:val="074A75"/>
              </w:rPr>
              <w:t>Vested</w:t>
            </w:r>
          </w:p>
        </w:tc>
        <w:tc>
          <w:tcPr>
            <w:tcW w:w="960" w:type="dxa"/>
            <w:vAlign w:val="bottom"/>
            <w:tcBorders>
              <w:bottom w:val="single" w:sz="8" w:color="494949"/>
            </w:tcBorders>
          </w:tcPr>
          <w:p>
            <w:pPr>
              <w:ind w:left="140"/>
              <w:spacing w:after="0"/>
              <w:rPr>
                <w:sz w:val="20"/>
                <w:szCs w:val="20"/>
                <w:color w:val="auto"/>
              </w:rPr>
            </w:pPr>
            <w:r>
              <w:rPr>
                <w:rFonts w:ascii="Arial" w:cs="Arial" w:eastAsia="Arial" w:hAnsi="Arial"/>
                <w:sz w:val="16"/>
                <w:szCs w:val="16"/>
                <w:color w:val="074A75"/>
              </w:rPr>
              <w:t>Unvested</w:t>
            </w:r>
          </w:p>
        </w:tc>
        <w:tc>
          <w:tcPr>
            <w:tcW w:w="0" w:type="dxa"/>
            <w:vAlign w:val="bottom"/>
          </w:tcPr>
          <w:p>
            <w:pPr>
              <w:spacing w:after="0"/>
              <w:rPr>
                <w:sz w:val="1"/>
                <w:szCs w:val="1"/>
                <w:color w:val="auto"/>
              </w:rPr>
            </w:pPr>
          </w:p>
        </w:tc>
      </w:tr>
      <w:tr>
        <w:trPr>
          <w:trHeight w:val="226"/>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Restatement</w:t>
            </w:r>
          </w:p>
        </w:tc>
        <w:tc>
          <w:tcPr>
            <w:tcW w:w="75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In the event of a</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restatement of the Firm’s financial results</w:t>
            </w:r>
            <w:r>
              <w:rPr>
                <w:rFonts w:ascii="Arial" w:cs="Arial" w:eastAsia="Arial" w:hAnsi="Arial"/>
                <w:sz w:val="17"/>
                <w:szCs w:val="17"/>
                <w:color w:val="205A85"/>
              </w:rPr>
              <w:t xml:space="preserve"> </w:t>
            </w:r>
            <w:r>
              <w:rPr>
                <w:rFonts w:ascii="Arial" w:cs="Arial" w:eastAsia="Arial" w:hAnsi="Arial"/>
                <w:sz w:val="17"/>
                <w:szCs w:val="17"/>
                <w:color w:val="000000"/>
              </w:rPr>
              <w:t>for the relevant period</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780" w:type="dxa"/>
            <w:vAlign w:val="bottom"/>
            <w:tcBorders>
              <w:right w:val="single" w:sz="8" w:color="494949"/>
            </w:tcBorders>
          </w:tcPr>
          <w:p>
            <w:pPr>
              <w:spacing w:after="0"/>
              <w:rPr>
                <w:sz w:val="8"/>
                <w:szCs w:val="8"/>
                <w:color w:val="auto"/>
              </w:rPr>
            </w:pPr>
          </w:p>
        </w:tc>
        <w:tc>
          <w:tcPr>
            <w:tcW w:w="7540" w:type="dxa"/>
            <w:vAlign w:val="bottom"/>
            <w:tcBorders>
              <w:right w:val="single" w:sz="8" w:color="494949"/>
            </w:tcBorders>
            <w:vMerge w:val="continue"/>
          </w:tcPr>
          <w:p>
            <w:pPr>
              <w:spacing w:after="0"/>
              <w:rPr>
                <w:sz w:val="8"/>
                <w:szCs w:val="8"/>
                <w:color w:val="auto"/>
              </w:rPr>
            </w:pPr>
          </w:p>
        </w:tc>
        <w:tc>
          <w:tcPr>
            <w:tcW w:w="960" w:type="dxa"/>
            <w:vAlign w:val="bottom"/>
            <w:tcBorders>
              <w:right w:val="single" w:sz="8" w:color="494949"/>
            </w:tcBorders>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780" w:type="dxa"/>
            <w:vAlign w:val="bottom"/>
            <w:tcBorders>
              <w:right w:val="single" w:sz="8" w:color="494949"/>
            </w:tcBorders>
          </w:tcPr>
          <w:p>
            <w:pPr>
              <w:spacing w:after="0"/>
              <w:rPr>
                <w:sz w:val="12"/>
                <w:szCs w:val="12"/>
                <w:color w:val="auto"/>
              </w:rPr>
            </w:pPr>
          </w:p>
        </w:tc>
        <w:tc>
          <w:tcPr>
            <w:tcW w:w="7540" w:type="dxa"/>
            <w:vAlign w:val="bottom"/>
            <w:tcBorders>
              <w:bottom w:val="single" w:sz="8" w:color="494949"/>
              <w:right w:val="single" w:sz="8" w:color="494949"/>
            </w:tcBorders>
          </w:tcPr>
          <w:p>
            <w:pPr>
              <w:spacing w:after="0"/>
              <w:rPr>
                <w:sz w:val="12"/>
                <w:szCs w:val="12"/>
                <w:color w:val="auto"/>
              </w:rPr>
            </w:pPr>
          </w:p>
        </w:tc>
        <w:tc>
          <w:tcPr>
            <w:tcW w:w="960" w:type="dxa"/>
            <w:vAlign w:val="bottom"/>
            <w:tcBorders>
              <w:right w:val="single" w:sz="8" w:color="494949"/>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This provision also</w:t>
            </w:r>
            <w:r>
              <w:rPr>
                <w:rFonts w:ascii="Arial" w:cs="Arial" w:eastAsia="Arial" w:hAnsi="Arial"/>
                <w:sz w:val="17"/>
                <w:szCs w:val="17"/>
                <w:color w:val="205A85"/>
              </w:rPr>
              <w:t xml:space="preserve"> </w:t>
            </w:r>
            <w:r>
              <w:rPr>
                <w:rFonts w:ascii="Arial" w:cs="Arial" w:eastAsia="Arial" w:hAnsi="Arial"/>
                <w:sz w:val="17"/>
                <w:szCs w:val="17"/>
                <w:b w:val="1"/>
                <w:bCs w:val="1"/>
                <w:color w:val="000000"/>
              </w:rPr>
              <w:t>applies to cash incentives</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Misconduct</w:t>
            </w: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engaged in</w:t>
            </w:r>
            <w:r>
              <w:rPr>
                <w:rFonts w:ascii="Arial" w:cs="Arial" w:eastAsia="Arial" w:hAnsi="Arial"/>
                <w:sz w:val="17"/>
                <w:szCs w:val="17"/>
                <w:color w:val="205A85"/>
              </w:rPr>
              <w:t xml:space="preserve"> </w:t>
            </w:r>
            <w:r>
              <w:rPr>
                <w:rFonts w:ascii="Arial" w:cs="Arial" w:eastAsia="Arial" w:hAnsi="Arial"/>
                <w:sz w:val="17"/>
                <w:szCs w:val="17"/>
                <w:b w:val="1"/>
                <w:bCs w:val="1"/>
                <w:color w:val="000000"/>
              </w:rPr>
              <w:t>conduct detrimental</w:t>
            </w:r>
            <w:r>
              <w:rPr>
                <w:rFonts w:ascii="Arial" w:cs="Arial" w:eastAsia="Arial" w:hAnsi="Arial"/>
                <w:sz w:val="17"/>
                <w:szCs w:val="17"/>
                <w:color w:val="205A85"/>
              </w:rPr>
              <w:t xml:space="preserve"> </w:t>
            </w:r>
            <w:r>
              <w:rPr>
                <w:rFonts w:ascii="Arial" w:cs="Arial" w:eastAsia="Arial" w:hAnsi="Arial"/>
                <w:sz w:val="17"/>
                <w:szCs w:val="17"/>
                <w:color w:val="000000"/>
              </w:rPr>
              <w:t>to the Firm that causes material financial or</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reputational harm to the Firm, or engaged in knowing and willful misconduct related to</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employment</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1780" w:type="dxa"/>
            <w:vAlign w:val="bottom"/>
            <w:tcBorders>
              <w:right w:val="single" w:sz="8" w:color="494949"/>
            </w:tcBorders>
          </w:tcPr>
          <w:p>
            <w:pPr>
              <w:spacing w:after="0"/>
              <w:rPr>
                <w:sz w:val="24"/>
                <w:szCs w:val="24"/>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 misrepresentation</w:t>
            </w:r>
            <w:r>
              <w:rPr>
                <w:rFonts w:ascii="Arial" w:cs="Arial" w:eastAsia="Arial" w:hAnsi="Arial"/>
                <w:sz w:val="17"/>
                <w:szCs w:val="17"/>
                <w:color w:val="205A85"/>
              </w:rPr>
              <w:t xml:space="preserve"> </w:t>
            </w:r>
            <w:r>
              <w:rPr>
                <w:rFonts w:ascii="Arial" w:cs="Arial" w:eastAsia="Arial" w:hAnsi="Arial"/>
                <w:sz w:val="17"/>
                <w:szCs w:val="17"/>
                <w:color w:val="000000"/>
              </w:rPr>
              <w:t>by the employee</w:t>
            </w:r>
          </w:p>
        </w:tc>
        <w:tc>
          <w:tcPr>
            <w:tcW w:w="960" w:type="dxa"/>
            <w:vAlign w:val="bottom"/>
            <w:tcBorders>
              <w:right w:val="single" w:sz="8" w:color="494949"/>
            </w:tcBorders>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80" w:type="dxa"/>
            <w:vAlign w:val="bottom"/>
            <w:tcBorders>
              <w:right w:val="single" w:sz="8" w:color="494949"/>
            </w:tcBorders>
          </w:tcPr>
          <w:p>
            <w:pPr>
              <w:spacing w:after="0"/>
              <w:rPr>
                <w:sz w:val="9"/>
                <w:szCs w:val="9"/>
                <w:color w:val="auto"/>
              </w:rPr>
            </w:pPr>
          </w:p>
        </w:tc>
        <w:tc>
          <w:tcPr>
            <w:tcW w:w="7540" w:type="dxa"/>
            <w:vAlign w:val="bottom"/>
            <w:tcBorders>
              <w:bottom w:val="single" w:sz="8" w:color="494949"/>
              <w:right w:val="single" w:sz="8" w:color="494949"/>
            </w:tcBorders>
          </w:tcPr>
          <w:p>
            <w:pPr>
              <w:spacing w:after="0"/>
              <w:rPr>
                <w:sz w:val="9"/>
                <w:szCs w:val="9"/>
                <w:color w:val="auto"/>
              </w:rPr>
            </w:pPr>
          </w:p>
        </w:tc>
        <w:tc>
          <w:tcPr>
            <w:tcW w:w="960" w:type="dxa"/>
            <w:vAlign w:val="bottom"/>
            <w:tcBorders>
              <w:bottom w:val="single" w:sz="8" w:color="494949"/>
              <w:right w:val="single" w:sz="8" w:color="494949"/>
            </w:tcBorders>
          </w:tcPr>
          <w:p>
            <w:pPr>
              <w:spacing w:after="0"/>
              <w:rPr>
                <w:sz w:val="9"/>
                <w:szCs w:val="9"/>
                <w:color w:val="auto"/>
              </w:rPr>
            </w:pPr>
          </w:p>
        </w:tc>
        <w:tc>
          <w:tcPr>
            <w:tcW w:w="960" w:type="dxa"/>
            <w:vAlign w:val="bottom"/>
            <w:tcBorders>
              <w:bottom w:val="single" w:sz="8" w:color="494949"/>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780" w:type="dxa"/>
            <w:vAlign w:val="bottom"/>
            <w:tcBorders>
              <w:right w:val="single" w:sz="8" w:color="494949"/>
            </w:tcBorders>
          </w:tcPr>
          <w:p>
            <w:pPr>
              <w:spacing w:after="0"/>
              <w:rPr>
                <w:sz w:val="23"/>
                <w:szCs w:val="23"/>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is</w:t>
            </w:r>
            <w:r>
              <w:rPr>
                <w:rFonts w:ascii="Arial" w:cs="Arial" w:eastAsia="Arial" w:hAnsi="Arial"/>
                <w:sz w:val="17"/>
                <w:szCs w:val="17"/>
                <w:color w:val="205A85"/>
              </w:rPr>
              <w:t xml:space="preserve"> </w:t>
            </w:r>
            <w:r>
              <w:rPr>
                <w:rFonts w:ascii="Arial" w:cs="Arial" w:eastAsia="Arial" w:hAnsi="Arial"/>
                <w:sz w:val="17"/>
                <w:szCs w:val="17"/>
                <w:b w:val="1"/>
                <w:bCs w:val="1"/>
                <w:color w:val="000000"/>
              </w:rPr>
              <w:t>terminated for cause</w:t>
            </w:r>
          </w:p>
        </w:tc>
        <w:tc>
          <w:tcPr>
            <w:tcW w:w="960" w:type="dxa"/>
            <w:vAlign w:val="bottom"/>
            <w:tcBorders>
              <w:right w:val="single" w:sz="8" w:color="494949"/>
            </w:tcBorders>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
        </w:trPr>
        <w:tc>
          <w:tcPr>
            <w:tcW w:w="1780" w:type="dxa"/>
            <w:vAlign w:val="bottom"/>
            <w:tcBorders>
              <w:bottom w:val="single" w:sz="8" w:color="494949"/>
              <w:right w:val="single" w:sz="8" w:color="494949"/>
            </w:tcBorders>
          </w:tcPr>
          <w:p>
            <w:pPr>
              <w:spacing w:after="0"/>
              <w:rPr>
                <w:sz w:val="7"/>
                <w:szCs w:val="7"/>
                <w:color w:val="auto"/>
              </w:rPr>
            </w:pPr>
          </w:p>
        </w:tc>
        <w:tc>
          <w:tcPr>
            <w:tcW w:w="7540" w:type="dxa"/>
            <w:vAlign w:val="bottom"/>
            <w:tcBorders>
              <w:bottom w:val="single" w:sz="8" w:color="494949"/>
              <w:right w:val="single" w:sz="8" w:color="494949"/>
            </w:tcBorders>
          </w:tcPr>
          <w:p>
            <w:pPr>
              <w:spacing w:after="0"/>
              <w:rPr>
                <w:sz w:val="7"/>
                <w:szCs w:val="7"/>
                <w:color w:val="auto"/>
              </w:rPr>
            </w:pPr>
          </w:p>
        </w:tc>
        <w:tc>
          <w:tcPr>
            <w:tcW w:w="960" w:type="dxa"/>
            <w:vAlign w:val="bottom"/>
            <w:tcBorders>
              <w:bottom w:val="single" w:sz="8" w:color="494949"/>
              <w:right w:val="single" w:sz="8" w:color="494949"/>
            </w:tcBorders>
          </w:tcPr>
          <w:p>
            <w:pPr>
              <w:spacing w:after="0"/>
              <w:rPr>
                <w:sz w:val="7"/>
                <w:szCs w:val="7"/>
                <w:color w:val="auto"/>
              </w:rPr>
            </w:pPr>
          </w:p>
        </w:tc>
        <w:tc>
          <w:tcPr>
            <w:tcW w:w="960" w:type="dxa"/>
            <w:vAlign w:val="bottom"/>
            <w:tcBorders>
              <w:bottom w:val="single" w:sz="8" w:color="494949"/>
            </w:tcBorders>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Risk-related</w:t>
            </w: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employee improperly or with gross negligence</w:t>
            </w:r>
            <w:r>
              <w:rPr>
                <w:rFonts w:ascii="Arial" w:cs="Arial" w:eastAsia="Arial" w:hAnsi="Arial"/>
                <w:sz w:val="17"/>
                <w:szCs w:val="17"/>
                <w:color w:val="205A85"/>
              </w:rPr>
              <w:t xml:space="preserve"> </w:t>
            </w:r>
            <w:r>
              <w:rPr>
                <w:rFonts w:ascii="Arial" w:cs="Arial" w:eastAsia="Arial" w:hAnsi="Arial"/>
                <w:sz w:val="17"/>
                <w:szCs w:val="17"/>
                <w:b w:val="1"/>
                <w:bCs w:val="1"/>
                <w:color w:val="000000"/>
              </w:rPr>
              <w:t>failed to identify, raise or assess,</w:t>
            </w:r>
            <w:r>
              <w:rPr>
                <w:rFonts w:ascii="Arial" w:cs="Arial" w:eastAsia="Arial" w:hAnsi="Arial"/>
                <w:sz w:val="17"/>
                <w:szCs w:val="17"/>
                <w:color w:val="205A85"/>
              </w:rPr>
              <w:t xml:space="preserve"> </w:t>
            </w:r>
            <w:r>
              <w:rPr>
                <w:rFonts w:ascii="Arial" w:cs="Arial" w:eastAsia="Arial" w:hAnsi="Arial"/>
                <w:sz w:val="17"/>
                <w:szCs w:val="17"/>
                <w:color w:val="000000"/>
              </w:rPr>
              <w:t>in a</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7"/>
                <w:szCs w:val="17"/>
                <w:b w:val="1"/>
                <w:bCs w:val="1"/>
                <w:color w:val="auto"/>
              </w:rPr>
              <w:t>and Other</w:t>
            </w: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timely manner and as reasonably expected, issues and/or concerns with respect to </w:t>
            </w:r>
            <w:r>
              <w:rPr>
                <w:rFonts w:ascii="Arial" w:cs="Arial" w:eastAsia="Arial" w:hAnsi="Arial"/>
                <w:sz w:val="17"/>
                <w:szCs w:val="17"/>
                <w:b w:val="1"/>
                <w:bCs w:val="1"/>
                <w:color w:val="auto"/>
              </w:rPr>
              <w:t>risks</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material to the Firm</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80" w:type="dxa"/>
            <w:vAlign w:val="bottom"/>
            <w:tcBorders>
              <w:right w:val="single" w:sz="8" w:color="494949"/>
            </w:tcBorders>
          </w:tcPr>
          <w:p>
            <w:pPr>
              <w:spacing w:after="0"/>
              <w:rPr>
                <w:sz w:val="18"/>
                <w:szCs w:val="18"/>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the award was based on</w:t>
            </w:r>
            <w:r>
              <w:rPr>
                <w:rFonts w:ascii="Arial" w:cs="Arial" w:eastAsia="Arial" w:hAnsi="Arial"/>
                <w:sz w:val="17"/>
                <w:szCs w:val="17"/>
                <w:color w:val="205A85"/>
              </w:rPr>
              <w:t xml:space="preserve"> </w:t>
            </w:r>
            <w:r>
              <w:rPr>
                <w:rFonts w:ascii="Arial" w:cs="Arial" w:eastAsia="Arial" w:hAnsi="Arial"/>
                <w:sz w:val="17"/>
                <w:szCs w:val="17"/>
                <w:b w:val="1"/>
                <w:bCs w:val="1"/>
                <w:color w:val="000000"/>
              </w:rPr>
              <w:t>materially inaccurate performance metrics</w:t>
            </w:r>
            <w:r>
              <w:rPr>
                <w:rFonts w:ascii="Arial" w:cs="Arial" w:eastAsia="Arial" w:hAnsi="Arial"/>
                <w:sz w:val="17"/>
                <w:szCs w:val="17"/>
                <w:color w:val="000000"/>
              </w:rPr>
              <w:t>, whether or not the</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employee was responsible for the inaccuracy</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80" w:type="dxa"/>
            <w:vAlign w:val="bottom"/>
            <w:tcBorders>
              <w:right w:val="single" w:sz="8" w:color="494949"/>
            </w:tcBorders>
          </w:tcPr>
          <w:p>
            <w:pPr>
              <w:ind w:left="20"/>
              <w:spacing w:after="0"/>
              <w:rPr>
                <w:sz w:val="20"/>
                <w:szCs w:val="20"/>
                <w:color w:val="auto"/>
              </w:rPr>
            </w:pPr>
            <w:r>
              <w:rPr>
                <w:rFonts w:ascii="Arial" w:cs="Arial" w:eastAsia="Arial" w:hAnsi="Arial"/>
                <w:sz w:val="16"/>
                <w:szCs w:val="16"/>
                <w:b w:val="1"/>
                <w:bCs w:val="1"/>
                <w:color w:val="auto"/>
              </w:rPr>
              <w:t>Protection-Based</w:t>
            </w:r>
          </w:p>
        </w:tc>
        <w:tc>
          <w:tcPr>
            <w:tcW w:w="7540" w:type="dxa"/>
            <w:vAlign w:val="bottom"/>
            <w:tcBorders>
              <w:right w:val="single" w:sz="8" w:color="494949"/>
            </w:tcBorders>
            <w:vMerge w:val="restart"/>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w:t>
            </w:r>
            <w:r>
              <w:rPr>
                <w:rFonts w:ascii="Arial" w:cs="Arial" w:eastAsia="Arial" w:hAnsi="Arial"/>
                <w:sz w:val="17"/>
                <w:szCs w:val="17"/>
                <w:color w:val="205A85"/>
              </w:rPr>
              <w:t xml:space="preserve"> </w:t>
            </w:r>
            <w:r>
              <w:rPr>
                <w:rFonts w:ascii="Arial" w:cs="Arial" w:eastAsia="Arial" w:hAnsi="Arial"/>
                <w:sz w:val="17"/>
                <w:szCs w:val="17"/>
                <w:b w:val="1"/>
                <w:bCs w:val="1"/>
                <w:color w:val="000000"/>
              </w:rPr>
              <w:t>performance in relation to the priorities</w:t>
            </w:r>
            <w:r>
              <w:rPr>
                <w:rFonts w:ascii="Arial" w:cs="Arial" w:eastAsia="Arial" w:hAnsi="Arial"/>
                <w:sz w:val="17"/>
                <w:szCs w:val="17"/>
                <w:color w:val="205A85"/>
              </w:rPr>
              <w:t xml:space="preserve"> </w:t>
            </w:r>
            <w:r>
              <w:rPr>
                <w:rFonts w:ascii="Arial" w:cs="Arial" w:eastAsia="Arial" w:hAnsi="Arial"/>
                <w:sz w:val="17"/>
                <w:szCs w:val="17"/>
                <w:color w:val="000000"/>
              </w:rPr>
              <w:t>for their position, or the Firm’s performance in</w:t>
            </w:r>
          </w:p>
        </w:tc>
        <w:tc>
          <w:tcPr>
            <w:tcW w:w="960" w:type="dxa"/>
            <w:vAlign w:val="bottom"/>
            <w:tcBorders>
              <w:right w:val="single" w:sz="8" w:color="494949"/>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780" w:type="dxa"/>
            <w:vAlign w:val="bottom"/>
            <w:tcBorders>
              <w:right w:val="single" w:sz="8" w:color="494949"/>
            </w:tcBorders>
            <w:vMerge w:val="restart"/>
          </w:tcPr>
          <w:p>
            <w:pPr>
              <w:ind w:left="20"/>
              <w:spacing w:after="0"/>
              <w:rPr>
                <w:sz w:val="20"/>
                <w:szCs w:val="20"/>
                <w:color w:val="auto"/>
              </w:rPr>
            </w:pPr>
            <w:r>
              <w:rPr>
                <w:rFonts w:ascii="Arial" w:cs="Arial" w:eastAsia="Arial" w:hAnsi="Arial"/>
                <w:sz w:val="16"/>
                <w:szCs w:val="16"/>
                <w:b w:val="1"/>
                <w:bCs w:val="1"/>
                <w:color w:val="auto"/>
              </w:rPr>
              <w:t>Vesting</w:t>
            </w:r>
            <w:r>
              <w:rPr>
                <w:rFonts w:ascii="Arial" w:cs="Arial" w:eastAsia="Arial" w:hAnsi="Arial"/>
                <w:sz w:val="21"/>
                <w:szCs w:val="21"/>
                <w:b w:val="1"/>
                <w:bCs w:val="1"/>
                <w:color w:val="auto"/>
                <w:vertAlign w:val="superscript"/>
              </w:rPr>
              <w:t>2</w:t>
            </w:r>
          </w:p>
        </w:tc>
        <w:tc>
          <w:tcPr>
            <w:tcW w:w="7540" w:type="dxa"/>
            <w:vAlign w:val="bottom"/>
            <w:tcBorders>
              <w:right w:val="single" w:sz="8" w:color="494949"/>
            </w:tcBorders>
            <w:vMerge w:val="continue"/>
          </w:tcPr>
          <w:p>
            <w:pPr>
              <w:spacing w:after="0"/>
              <w:rPr>
                <w:sz w:val="8"/>
                <w:szCs w:val="8"/>
                <w:color w:val="auto"/>
              </w:rPr>
            </w:pPr>
          </w:p>
        </w:tc>
        <w:tc>
          <w:tcPr>
            <w:tcW w:w="960" w:type="dxa"/>
            <w:vAlign w:val="bottom"/>
            <w:tcBorders>
              <w:right w:val="single" w:sz="8" w:color="494949"/>
            </w:tcBorders>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80" w:type="dxa"/>
            <w:vAlign w:val="bottom"/>
            <w:tcBorders>
              <w:right w:val="single" w:sz="8" w:color="494949"/>
            </w:tcBorders>
            <w:vMerge w:val="continue"/>
          </w:tcPr>
          <w:p>
            <w:pPr>
              <w:spacing w:after="0"/>
              <w:rPr>
                <w:sz w:val="13"/>
                <w:szCs w:val="13"/>
                <w:color w:val="auto"/>
              </w:rPr>
            </w:pPr>
          </w:p>
        </w:tc>
        <w:tc>
          <w:tcPr>
            <w:tcW w:w="7540" w:type="dxa"/>
            <w:vAlign w:val="bottom"/>
            <w:tcBorders>
              <w:right w:val="single" w:sz="8" w:color="494949"/>
            </w:tcBorders>
            <w:vMerge w:val="restart"/>
          </w:tcPr>
          <w:p>
            <w:pPr>
              <w:ind w:left="280"/>
              <w:spacing w:after="0" w:line="183" w:lineRule="exact"/>
              <w:rPr>
                <w:sz w:val="20"/>
                <w:szCs w:val="20"/>
                <w:color w:val="auto"/>
              </w:rPr>
            </w:pPr>
            <w:r>
              <w:rPr>
                <w:rFonts w:ascii="Arial" w:cs="Arial" w:eastAsia="Arial" w:hAnsi="Arial"/>
                <w:sz w:val="17"/>
                <w:szCs w:val="17"/>
                <w:color w:val="auto"/>
              </w:rPr>
              <w:t>relation to the priorities for which they share responsibility as a member of the Operating</w:t>
            </w:r>
          </w:p>
        </w:tc>
        <w:tc>
          <w:tcPr>
            <w:tcW w:w="960" w:type="dxa"/>
            <w:vAlign w:val="bottom"/>
            <w:tcBorders>
              <w:right w:val="single" w:sz="8" w:color="494949"/>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780" w:type="dxa"/>
            <w:vAlign w:val="bottom"/>
            <w:tcBorders>
              <w:right w:val="single" w:sz="8" w:color="494949"/>
            </w:tcBorders>
          </w:tcPr>
          <w:p>
            <w:pPr>
              <w:spacing w:after="0"/>
              <w:rPr>
                <w:sz w:val="2"/>
                <w:szCs w:val="2"/>
                <w:color w:val="auto"/>
              </w:rPr>
            </w:pPr>
          </w:p>
        </w:tc>
        <w:tc>
          <w:tcPr>
            <w:tcW w:w="7540" w:type="dxa"/>
            <w:vAlign w:val="bottom"/>
            <w:tcBorders>
              <w:right w:val="single" w:sz="8" w:color="494949"/>
            </w:tcBorders>
            <w:vMerge w:val="continue"/>
          </w:tcPr>
          <w:p>
            <w:pPr>
              <w:spacing w:after="0"/>
              <w:rPr>
                <w:sz w:val="2"/>
                <w:szCs w:val="2"/>
                <w:color w:val="auto"/>
              </w:rPr>
            </w:pPr>
          </w:p>
        </w:tc>
        <w:tc>
          <w:tcPr>
            <w:tcW w:w="960" w:type="dxa"/>
            <w:vAlign w:val="bottom"/>
            <w:tcBorders>
              <w:right w:val="single" w:sz="8" w:color="494949"/>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Committee, </w:t>
            </w:r>
            <w:r>
              <w:rPr>
                <w:rFonts w:ascii="Arial" w:cs="Arial" w:eastAsia="Arial" w:hAnsi="Arial"/>
                <w:sz w:val="17"/>
                <w:szCs w:val="17"/>
                <w:b w:val="1"/>
                <w:bCs w:val="1"/>
                <w:color w:val="auto"/>
              </w:rPr>
              <w:t>has been unsatisfactory for a sustained period of time</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80" w:type="dxa"/>
            <w:vAlign w:val="bottom"/>
            <w:tcBorders>
              <w:right w:val="single" w:sz="8" w:color="494949"/>
            </w:tcBorders>
          </w:tcPr>
          <w:p>
            <w:pPr>
              <w:spacing w:after="0"/>
              <w:rPr>
                <w:sz w:val="10"/>
                <w:szCs w:val="10"/>
                <w:color w:val="auto"/>
              </w:rPr>
            </w:pPr>
          </w:p>
        </w:tc>
        <w:tc>
          <w:tcPr>
            <w:tcW w:w="7540" w:type="dxa"/>
            <w:vAlign w:val="bottom"/>
            <w:tcBorders>
              <w:bottom w:val="single" w:sz="8" w:color="494949"/>
              <w:right w:val="single" w:sz="8" w:color="494949"/>
            </w:tcBorders>
          </w:tcPr>
          <w:p>
            <w:pPr>
              <w:spacing w:after="0"/>
              <w:rPr>
                <w:sz w:val="10"/>
                <w:szCs w:val="10"/>
                <w:color w:val="auto"/>
              </w:rPr>
            </w:pPr>
          </w:p>
        </w:tc>
        <w:tc>
          <w:tcPr>
            <w:tcW w:w="960" w:type="dxa"/>
            <w:vAlign w:val="bottom"/>
            <w:tcBorders>
              <w:bottom w:val="single" w:sz="8" w:color="494949"/>
              <w:right w:val="single" w:sz="8" w:color="494949"/>
            </w:tcBorders>
          </w:tcPr>
          <w:p>
            <w:pPr>
              <w:spacing w:after="0"/>
              <w:rPr>
                <w:sz w:val="10"/>
                <w:szCs w:val="10"/>
                <w:color w:val="auto"/>
              </w:rPr>
            </w:pPr>
          </w:p>
        </w:tc>
        <w:tc>
          <w:tcPr>
            <w:tcW w:w="960" w:type="dxa"/>
            <w:vAlign w:val="bottom"/>
            <w:tcBorders>
              <w:bottom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awards granted to participants in a LOB for which the Operating Committee member</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color w:val="auto"/>
              </w:rPr>
              <w:t xml:space="preserve">exercised responsibility were in whole or in part cancelled because the LOB </w:t>
            </w:r>
            <w:r>
              <w:rPr>
                <w:rFonts w:ascii="Arial" w:cs="Arial" w:eastAsia="Arial" w:hAnsi="Arial"/>
                <w:sz w:val="17"/>
                <w:szCs w:val="17"/>
                <w:b w:val="1"/>
                <w:bCs w:val="1"/>
                <w:color w:val="auto"/>
              </w:rPr>
              <w:t>did not meet its</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annual LOB financial threshold</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any one calendar year during the vesting period,</w:t>
            </w:r>
            <w:r>
              <w:rPr>
                <w:rFonts w:ascii="Arial" w:cs="Arial" w:eastAsia="Arial" w:hAnsi="Arial"/>
                <w:sz w:val="17"/>
                <w:szCs w:val="17"/>
                <w:color w:val="205A85"/>
              </w:rPr>
              <w:t xml:space="preserve"> </w:t>
            </w:r>
            <w:r>
              <w:rPr>
                <w:rFonts w:ascii="Arial" w:cs="Arial" w:eastAsia="Arial" w:hAnsi="Arial"/>
                <w:sz w:val="17"/>
                <w:szCs w:val="17"/>
                <w:b w:val="1"/>
                <w:bCs w:val="1"/>
                <w:color w:val="000000"/>
              </w:rPr>
              <w:t>pre-tax pre-provision income is</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negative</w:t>
            </w:r>
            <w:r>
              <w:rPr>
                <w:rFonts w:ascii="Arial" w:cs="Arial" w:eastAsia="Arial" w:hAnsi="Arial"/>
                <w:sz w:val="17"/>
                <w:szCs w:val="17"/>
                <w:color w:val="auto"/>
              </w:rPr>
              <w:t>, as reported by the Firm</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80" w:type="dxa"/>
            <w:vAlign w:val="bottom"/>
            <w:tcBorders>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780" w:type="dxa"/>
            <w:vAlign w:val="bottom"/>
            <w:tcBorders>
              <w:right w:val="single" w:sz="8" w:color="494949"/>
            </w:tcBorders>
          </w:tcPr>
          <w:p>
            <w:pPr>
              <w:spacing w:after="0"/>
              <w:rPr>
                <w:sz w:val="17"/>
                <w:szCs w:val="17"/>
                <w:color w:val="auto"/>
              </w:rPr>
            </w:pPr>
          </w:p>
        </w:tc>
        <w:tc>
          <w:tcPr>
            <w:tcW w:w="7540" w:type="dxa"/>
            <w:vAlign w:val="bottom"/>
            <w:tcBorders>
              <w:right w:val="single" w:sz="8" w:color="494949"/>
            </w:tcBorders>
          </w:tcPr>
          <w:p>
            <w:pPr>
              <w:ind w:left="80"/>
              <w:spacing w:after="0"/>
              <w:rPr>
                <w:sz w:val="20"/>
                <w:szCs w:val="20"/>
                <w:color w:val="auto"/>
              </w:rPr>
            </w:pPr>
            <w:r>
              <w:rPr>
                <w:rFonts w:ascii="Arial" w:cs="Arial" w:eastAsia="Arial" w:hAnsi="Arial"/>
                <w:sz w:val="17"/>
                <w:szCs w:val="17"/>
                <w:color w:val="205A85"/>
              </w:rPr>
              <w:t xml:space="preserve">•  </w:t>
            </w:r>
            <w:r>
              <w:rPr>
                <w:rFonts w:ascii="Arial" w:cs="Arial" w:eastAsia="Arial" w:hAnsi="Arial"/>
                <w:sz w:val="17"/>
                <w:szCs w:val="17"/>
                <w:color w:val="000000"/>
              </w:rPr>
              <w:t>If, for the three calendar years preceding the third year vesting date, the</w:t>
            </w:r>
            <w:r>
              <w:rPr>
                <w:rFonts w:ascii="Arial" w:cs="Arial" w:eastAsia="Arial" w:hAnsi="Arial"/>
                <w:sz w:val="17"/>
                <w:szCs w:val="17"/>
                <w:color w:val="205A85"/>
              </w:rPr>
              <w:t xml:space="preserve"> </w:t>
            </w:r>
            <w:r>
              <w:rPr>
                <w:rFonts w:ascii="Arial" w:cs="Arial" w:eastAsia="Arial" w:hAnsi="Arial"/>
                <w:sz w:val="17"/>
                <w:szCs w:val="17"/>
                <w:b w:val="1"/>
                <w:bCs w:val="1"/>
                <w:color w:val="000000"/>
              </w:rPr>
              <w:t>Firm does not meet a</w:t>
            </w:r>
          </w:p>
        </w:tc>
        <w:tc>
          <w:tcPr>
            <w:tcW w:w="960" w:type="dxa"/>
            <w:vAlign w:val="bottom"/>
            <w:tcBorders>
              <w:right w:val="single" w:sz="8" w:color="494949"/>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80" w:type="dxa"/>
            <w:vAlign w:val="bottom"/>
            <w:tcBorders>
              <w:right w:val="single" w:sz="8" w:color="494949"/>
            </w:tcBorders>
          </w:tcPr>
          <w:p>
            <w:pPr>
              <w:spacing w:after="0"/>
              <w:rPr>
                <w:sz w:val="19"/>
                <w:szCs w:val="19"/>
                <w:color w:val="auto"/>
              </w:rPr>
            </w:pPr>
          </w:p>
        </w:tc>
        <w:tc>
          <w:tcPr>
            <w:tcW w:w="7540" w:type="dxa"/>
            <w:vAlign w:val="bottom"/>
            <w:tcBorders>
              <w:right w:val="single" w:sz="8" w:color="494949"/>
            </w:tcBorders>
          </w:tcPr>
          <w:p>
            <w:pPr>
              <w:ind w:left="280"/>
              <w:spacing w:after="0"/>
              <w:rPr>
                <w:sz w:val="20"/>
                <w:szCs w:val="20"/>
                <w:color w:val="auto"/>
              </w:rPr>
            </w:pPr>
            <w:r>
              <w:rPr>
                <w:rFonts w:ascii="Arial" w:cs="Arial" w:eastAsia="Arial" w:hAnsi="Arial"/>
                <w:sz w:val="17"/>
                <w:szCs w:val="17"/>
                <w:b w:val="1"/>
                <w:bCs w:val="1"/>
                <w:color w:val="auto"/>
              </w:rPr>
              <w:t>15% cumulative ROTCE</w:t>
            </w:r>
          </w:p>
        </w:tc>
        <w:tc>
          <w:tcPr>
            <w:tcW w:w="960" w:type="dxa"/>
            <w:vAlign w:val="bottom"/>
            <w:tcBorders>
              <w:right w:val="single" w:sz="8" w:color="494949"/>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80" w:type="dxa"/>
            <w:vAlign w:val="bottom"/>
            <w:tcBorders>
              <w:bottom w:val="single" w:sz="8" w:color="494949"/>
              <w:right w:val="single" w:sz="8" w:color="494949"/>
            </w:tcBorders>
          </w:tcPr>
          <w:p>
            <w:pPr>
              <w:spacing w:after="0"/>
              <w:rPr>
                <w:sz w:val="2"/>
                <w:szCs w:val="2"/>
                <w:color w:val="auto"/>
              </w:rPr>
            </w:pPr>
          </w:p>
        </w:tc>
        <w:tc>
          <w:tcPr>
            <w:tcW w:w="754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right w:val="single" w:sz="8" w:color="494949"/>
            </w:tcBorders>
          </w:tcPr>
          <w:p>
            <w:pPr>
              <w:spacing w:after="0"/>
              <w:rPr>
                <w:sz w:val="2"/>
                <w:szCs w:val="2"/>
                <w:color w:val="auto"/>
              </w:rPr>
            </w:pPr>
          </w:p>
        </w:tc>
        <w:tc>
          <w:tcPr>
            <w:tcW w:w="960" w:type="dxa"/>
            <w:vAlign w:val="bottom"/>
            <w:tcBorders>
              <w:bottom w:val="single" w:sz="8" w:color="49494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-3883025</wp:posOffset>
            </wp:positionV>
            <wp:extent cx="8255" cy="1714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-3574415</wp:posOffset>
            </wp:positionV>
            <wp:extent cx="137160"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-3574415</wp:posOffset>
            </wp:positionV>
            <wp:extent cx="13716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-3119755</wp:posOffset>
            </wp:positionV>
            <wp:extent cx="137160"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-3119755</wp:posOffset>
            </wp:positionV>
            <wp:extent cx="137160"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-2776855</wp:posOffset>
            </wp:positionV>
            <wp:extent cx="137160"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-2776855</wp:posOffset>
            </wp:positionV>
            <wp:extent cx="137160"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-2519680</wp:posOffset>
            </wp:positionV>
            <wp:extent cx="137160" cy="1371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-2519680</wp:posOffset>
            </wp:positionV>
            <wp:extent cx="137160"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-2185670</wp:posOffset>
            </wp:positionV>
            <wp:extent cx="13716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-2185670</wp:posOffset>
            </wp:positionV>
            <wp:extent cx="137160"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-1825625</wp:posOffset>
            </wp:positionV>
            <wp:extent cx="137160"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-1825625</wp:posOffset>
            </wp:positionV>
            <wp:extent cx="13716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-1397000</wp:posOffset>
            </wp:positionV>
            <wp:extent cx="137160"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-908050</wp:posOffset>
            </wp:positionV>
            <wp:extent cx="137160"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-548005</wp:posOffset>
            </wp:positionV>
            <wp:extent cx="13716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-248285</wp:posOffset>
            </wp:positionV>
            <wp:extent cx="13716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hanging="192"/>
        <w:spacing w:after="0"/>
        <w:tabs>
          <w:tab w:leader="none" w:pos="200" w:val="left"/>
        </w:tabs>
        <w:numPr>
          <w:ilvl w:val="0"/>
          <w:numId w:val="142"/>
        </w:numPr>
        <w:rPr>
          <w:rFonts w:ascii="Arial" w:cs="Arial" w:eastAsia="Arial" w:hAnsi="Arial"/>
          <w:sz w:val="15"/>
          <w:szCs w:val="15"/>
          <w:color w:val="auto"/>
          <w:vertAlign w:val="superscript"/>
        </w:rPr>
      </w:pPr>
      <w:r>
        <w:rPr>
          <w:rFonts w:ascii="Arial" w:cs="Arial" w:eastAsia="Arial" w:hAnsi="Arial"/>
          <w:sz w:val="12"/>
          <w:szCs w:val="12"/>
          <w:color w:val="auto"/>
        </w:rPr>
        <w:t>Since 2015, the Firm has maintained a local Malus and Clawback Policy in accordance with E.U. and U.K. regulations which operates in addition to the recovery provisions in the table above. Under</w:t>
      </w:r>
    </w:p>
    <w:p>
      <w:pPr>
        <w:ind w:left="200" w:right="20"/>
        <w:spacing w:after="0" w:line="237" w:lineRule="auto"/>
        <w:rPr>
          <w:sz w:val="20"/>
          <w:szCs w:val="20"/>
          <w:color w:val="auto"/>
        </w:rPr>
      </w:pPr>
      <w:r>
        <w:rPr>
          <w:rFonts w:ascii="Arial" w:cs="Arial" w:eastAsia="Arial" w:hAnsi="Arial"/>
          <w:sz w:val="13"/>
          <w:szCs w:val="13"/>
          <w:color w:val="auto"/>
        </w:rPr>
        <w:t>the policy, the Firm is able to cancel and/or recover incentive compensation for relevant Identified Staff (including Mr. Pinto) in certain circumstances for a minimum period of seven years following the date of the award.</w:t>
      </w:r>
    </w:p>
    <w:p>
      <w:pPr>
        <w:ind w:left="200" w:hanging="192"/>
        <w:spacing w:after="0" w:line="200" w:lineRule="auto"/>
        <w:tabs>
          <w:tab w:leader="none" w:pos="200" w:val="left"/>
        </w:tabs>
        <w:numPr>
          <w:ilvl w:val="0"/>
          <w:numId w:val="143"/>
        </w:numPr>
        <w:rPr>
          <w:rFonts w:ascii="Arial" w:cs="Arial" w:eastAsia="Arial" w:hAnsi="Arial"/>
          <w:sz w:val="16"/>
          <w:szCs w:val="16"/>
          <w:color w:val="auto"/>
          <w:vertAlign w:val="superscript"/>
        </w:rPr>
      </w:pPr>
      <w:r>
        <w:rPr>
          <w:rFonts w:ascii="Arial" w:cs="Arial" w:eastAsia="Arial" w:hAnsi="Arial"/>
          <w:sz w:val="13"/>
          <w:szCs w:val="13"/>
          <w:color w:val="auto"/>
        </w:rPr>
        <w:t>Provisions apply to PSUs and RSUs granted to the Operating Committee and may result in cancellation of up to a total of 50% of the award.</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631"/>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22"/>
                <w:szCs w:val="122"/>
                <w:color w:val="074A75"/>
              </w:rPr>
              <w:t>2</w:t>
            </w:r>
          </w:p>
        </w:tc>
        <w:tc>
          <w:tcPr>
            <w:tcW w:w="9360" w:type="dxa"/>
            <w:vAlign w:val="bottom"/>
          </w:tcPr>
          <w:p>
            <w:pPr>
              <w:ind w:left="180"/>
              <w:spacing w:after="0"/>
              <w:rPr>
                <w:sz w:val="20"/>
                <w:szCs w:val="20"/>
                <w:color w:val="auto"/>
              </w:rPr>
            </w:pPr>
            <w:r>
              <w:rPr>
                <w:rFonts w:ascii="Arial" w:cs="Arial" w:eastAsia="Arial" w:hAnsi="Arial"/>
                <w:sz w:val="40"/>
                <w:szCs w:val="40"/>
                <w:color w:val="074A75"/>
              </w:rPr>
              <w:t>How we performed against our business strategy</w:t>
            </w:r>
          </w:p>
        </w:tc>
        <w:tc>
          <w:tcPr>
            <w:tcW w:w="0" w:type="dxa"/>
            <w:vAlign w:val="bottom"/>
          </w:tcPr>
          <w:p>
            <w:pPr>
              <w:spacing w:after="0"/>
              <w:rPr>
                <w:sz w:val="1"/>
                <w:szCs w:val="1"/>
                <w:color w:val="auto"/>
              </w:rPr>
            </w:pPr>
          </w:p>
        </w:tc>
      </w:tr>
      <w:tr>
        <w:trPr>
          <w:trHeight w:val="282"/>
        </w:trPr>
        <w:tc>
          <w:tcPr>
            <w:tcW w:w="1440" w:type="dxa"/>
            <w:vAlign w:val="bottom"/>
            <w:vMerge w:val="continue"/>
            <w:shd w:val="clear" w:color="auto" w:fill="E7E7E8"/>
          </w:tcPr>
          <w:p>
            <w:pPr>
              <w:spacing w:after="0"/>
              <w:rPr>
                <w:sz w:val="24"/>
                <w:szCs w:val="24"/>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rPr>
              <w:t>We continued to deliver strong multi-year financial performance, invest in our future, strengthen our risk and control</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w w:val="99"/>
              </w:rPr>
              <w:t>environment, and reinforce our culture and values, including our long-standing commitment to serve our customers,</w:t>
            </w:r>
          </w:p>
        </w:tc>
        <w:tc>
          <w:tcPr>
            <w:tcW w:w="0" w:type="dxa"/>
            <w:vAlign w:val="bottom"/>
          </w:tcPr>
          <w:p>
            <w:pPr>
              <w:spacing w:after="0"/>
              <w:rPr>
                <w:sz w:val="1"/>
                <w:szCs w:val="1"/>
                <w:color w:val="auto"/>
              </w:rPr>
            </w:pPr>
          </w:p>
        </w:tc>
      </w:tr>
      <w:tr>
        <w:trPr>
          <w:trHeight w:val="383"/>
        </w:trPr>
        <w:tc>
          <w:tcPr>
            <w:tcW w:w="1440" w:type="dxa"/>
            <w:vAlign w:val="bottom"/>
            <w:vMerge w:val="continue"/>
            <w:shd w:val="clear" w:color="auto" w:fill="E7E7E8"/>
          </w:tcPr>
          <w:p>
            <w:pPr>
              <w:spacing w:after="0"/>
              <w:rPr>
                <w:sz w:val="24"/>
                <w:szCs w:val="24"/>
                <w:color w:val="auto"/>
              </w:rPr>
            </w:pPr>
          </w:p>
        </w:tc>
        <w:tc>
          <w:tcPr>
            <w:tcW w:w="9360" w:type="dxa"/>
            <w:vAlign w:val="bottom"/>
          </w:tcPr>
          <w:p>
            <w:pPr>
              <w:ind w:left="180"/>
              <w:spacing w:after="0"/>
              <w:rPr>
                <w:sz w:val="20"/>
                <w:szCs w:val="20"/>
                <w:color w:val="auto"/>
              </w:rPr>
            </w:pPr>
            <w:r>
              <w:rPr>
                <w:rFonts w:ascii="Arial" w:cs="Arial" w:eastAsia="Arial" w:hAnsi="Arial"/>
                <w:sz w:val="18"/>
                <w:szCs w:val="18"/>
                <w:i w:val="1"/>
                <w:iCs w:val="1"/>
                <w:color w:val="074A75"/>
              </w:rPr>
              <w:t>employees and communities, and conduct business in a responsible way to drive inclusive growth.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assessing the Firm’s performance in 2020, the CMDC considered the following factors in the context of the Firm’s Business Principles and strategic framework:</w:t>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274"/>
        </w:trPr>
        <w:tc>
          <w:tcPr>
            <w:tcW w:w="2000" w:type="dxa"/>
            <w:vAlign w:val="bottom"/>
            <w:vMerge w:val="restart"/>
            <w:shd w:val="clear" w:color="auto" w:fill="074A75"/>
          </w:tcPr>
          <w:p>
            <w:pPr>
              <w:ind w:left="240"/>
              <w:spacing w:after="0"/>
              <w:rPr>
                <w:sz w:val="20"/>
                <w:szCs w:val="20"/>
                <w:color w:val="auto"/>
              </w:rPr>
            </w:pPr>
            <w:r>
              <w:rPr>
                <w:rFonts w:ascii="Arial" w:cs="Arial" w:eastAsia="Arial" w:hAnsi="Arial"/>
                <w:sz w:val="18"/>
                <w:szCs w:val="18"/>
                <w:b w:val="1"/>
                <w:bCs w:val="1"/>
                <w:color w:val="FFFFFF"/>
              </w:rPr>
              <w:t>Business Results</w:t>
            </w:r>
          </w:p>
        </w:tc>
        <w:tc>
          <w:tcPr>
            <w:tcW w:w="240" w:type="dxa"/>
            <w:vAlign w:val="bottom"/>
          </w:tcPr>
          <w:p>
            <w:pPr>
              <w:spacing w:after="0"/>
              <w:rPr>
                <w:sz w:val="23"/>
                <w:szCs w:val="23"/>
                <w:color w:val="auto"/>
              </w:rPr>
            </w:pPr>
          </w:p>
        </w:tc>
        <w:tc>
          <w:tcPr>
            <w:tcW w:w="2020" w:type="dxa"/>
            <w:vAlign w:val="bottom"/>
            <w:shd w:val="clear" w:color="auto" w:fill="6484A5"/>
          </w:tcPr>
          <w:p>
            <w:pPr>
              <w:jc w:val="center"/>
              <w:spacing w:after="0"/>
              <w:rPr>
                <w:sz w:val="20"/>
                <w:szCs w:val="20"/>
                <w:color w:val="auto"/>
              </w:rPr>
            </w:pPr>
            <w:r>
              <w:rPr>
                <w:rFonts w:ascii="Arial" w:cs="Arial" w:eastAsia="Arial" w:hAnsi="Arial"/>
                <w:sz w:val="18"/>
                <w:szCs w:val="18"/>
                <w:b w:val="1"/>
                <w:bCs w:val="1"/>
                <w:color w:val="FFFFFF"/>
                <w:w w:val="99"/>
              </w:rPr>
              <w:t>Risk, Controls &amp;</w:t>
            </w:r>
          </w:p>
        </w:tc>
        <w:tc>
          <w:tcPr>
            <w:tcW w:w="240" w:type="dxa"/>
            <w:vAlign w:val="bottom"/>
          </w:tcPr>
          <w:p>
            <w:pPr>
              <w:spacing w:after="0"/>
              <w:rPr>
                <w:sz w:val="23"/>
                <w:szCs w:val="23"/>
                <w:color w:val="auto"/>
              </w:rPr>
            </w:pPr>
          </w:p>
        </w:tc>
        <w:tc>
          <w:tcPr>
            <w:tcW w:w="2040" w:type="dxa"/>
            <w:vAlign w:val="bottom"/>
            <w:shd w:val="clear" w:color="auto" w:fill="939598"/>
          </w:tcPr>
          <w:p>
            <w:pPr>
              <w:jc w:val="center"/>
              <w:spacing w:after="0"/>
              <w:rPr>
                <w:sz w:val="20"/>
                <w:szCs w:val="20"/>
                <w:color w:val="auto"/>
              </w:rPr>
            </w:pPr>
            <w:r>
              <w:rPr>
                <w:rFonts w:ascii="Arial" w:cs="Arial" w:eastAsia="Arial" w:hAnsi="Arial"/>
                <w:sz w:val="18"/>
                <w:szCs w:val="18"/>
                <w:b w:val="1"/>
                <w:bCs w:val="1"/>
                <w:color w:val="FFFFFF"/>
                <w:w w:val="99"/>
              </w:rPr>
              <w:t>Client / Customer /</w:t>
            </w:r>
          </w:p>
        </w:tc>
        <w:tc>
          <w:tcPr>
            <w:tcW w:w="240" w:type="dxa"/>
            <w:vAlign w:val="bottom"/>
          </w:tcPr>
          <w:p>
            <w:pPr>
              <w:spacing w:after="0"/>
              <w:rPr>
                <w:sz w:val="23"/>
                <w:szCs w:val="23"/>
                <w:color w:val="auto"/>
              </w:rPr>
            </w:pPr>
          </w:p>
        </w:tc>
        <w:tc>
          <w:tcPr>
            <w:tcW w:w="2040" w:type="dxa"/>
            <w:vAlign w:val="bottom"/>
            <w:shd w:val="clear" w:color="auto" w:fill="6D6E71"/>
          </w:tcPr>
          <w:p>
            <w:pPr>
              <w:jc w:val="center"/>
              <w:spacing w:after="0"/>
              <w:rPr>
                <w:sz w:val="20"/>
                <w:szCs w:val="20"/>
                <w:color w:val="auto"/>
              </w:rPr>
            </w:pPr>
            <w:r>
              <w:rPr>
                <w:rFonts w:ascii="Arial" w:cs="Arial" w:eastAsia="Arial" w:hAnsi="Arial"/>
                <w:sz w:val="18"/>
                <w:szCs w:val="18"/>
                <w:b w:val="1"/>
                <w:bCs w:val="1"/>
                <w:color w:val="FFFFFF"/>
                <w:w w:val="98"/>
              </w:rPr>
              <w:t>Teamwork &amp;</w:t>
            </w:r>
          </w:p>
        </w:tc>
        <w:tc>
          <w:tcPr>
            <w:tcW w:w="0" w:type="dxa"/>
            <w:vAlign w:val="bottom"/>
          </w:tcPr>
          <w:p>
            <w:pPr>
              <w:spacing w:after="0"/>
              <w:rPr>
                <w:sz w:val="1"/>
                <w:szCs w:val="1"/>
                <w:color w:val="auto"/>
              </w:rPr>
            </w:pPr>
          </w:p>
        </w:tc>
      </w:tr>
      <w:tr>
        <w:trPr>
          <w:trHeight w:val="131"/>
        </w:trPr>
        <w:tc>
          <w:tcPr>
            <w:tcW w:w="2000" w:type="dxa"/>
            <w:vAlign w:val="bottom"/>
            <w:vMerge w:val="continue"/>
            <w:shd w:val="clear" w:color="auto" w:fill="074A75"/>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vMerge w:val="restart"/>
            <w:shd w:val="clear" w:color="auto" w:fill="6484A5"/>
          </w:tcPr>
          <w:p>
            <w:pPr>
              <w:jc w:val="center"/>
              <w:spacing w:after="0"/>
              <w:rPr>
                <w:sz w:val="20"/>
                <w:szCs w:val="20"/>
                <w:color w:val="auto"/>
              </w:rPr>
            </w:pPr>
            <w:r>
              <w:rPr>
                <w:rFonts w:ascii="Arial" w:cs="Arial" w:eastAsia="Arial" w:hAnsi="Arial"/>
                <w:sz w:val="18"/>
                <w:szCs w:val="18"/>
                <w:b w:val="1"/>
                <w:bCs w:val="1"/>
                <w:color w:val="FFFFFF"/>
                <w:w w:val="98"/>
              </w:rPr>
              <w:t>Conduct</w:t>
            </w:r>
          </w:p>
        </w:tc>
        <w:tc>
          <w:tcPr>
            <w:tcW w:w="240" w:type="dxa"/>
            <w:vAlign w:val="bottom"/>
          </w:tcPr>
          <w:p>
            <w:pPr>
              <w:spacing w:after="0"/>
              <w:rPr>
                <w:sz w:val="11"/>
                <w:szCs w:val="11"/>
                <w:color w:val="auto"/>
              </w:rPr>
            </w:pPr>
          </w:p>
        </w:tc>
        <w:tc>
          <w:tcPr>
            <w:tcW w:w="2040" w:type="dxa"/>
            <w:vAlign w:val="bottom"/>
            <w:vMerge w:val="restart"/>
            <w:shd w:val="clear" w:color="auto" w:fill="939598"/>
          </w:tcPr>
          <w:p>
            <w:pPr>
              <w:jc w:val="center"/>
              <w:spacing w:after="0"/>
              <w:rPr>
                <w:sz w:val="20"/>
                <w:szCs w:val="20"/>
                <w:color w:val="auto"/>
              </w:rPr>
            </w:pPr>
            <w:r>
              <w:rPr>
                <w:rFonts w:ascii="Arial" w:cs="Arial" w:eastAsia="Arial" w:hAnsi="Arial"/>
                <w:sz w:val="18"/>
                <w:szCs w:val="18"/>
                <w:b w:val="1"/>
                <w:bCs w:val="1"/>
                <w:color w:val="FFFFFF"/>
                <w:w w:val="98"/>
              </w:rPr>
              <w:t>Stakeholder</w:t>
            </w:r>
          </w:p>
        </w:tc>
        <w:tc>
          <w:tcPr>
            <w:tcW w:w="240" w:type="dxa"/>
            <w:vAlign w:val="bottom"/>
          </w:tcPr>
          <w:p>
            <w:pPr>
              <w:spacing w:after="0"/>
              <w:rPr>
                <w:sz w:val="11"/>
                <w:szCs w:val="11"/>
                <w:color w:val="auto"/>
              </w:rPr>
            </w:pPr>
          </w:p>
        </w:tc>
        <w:tc>
          <w:tcPr>
            <w:tcW w:w="2040" w:type="dxa"/>
            <w:vAlign w:val="bottom"/>
            <w:vMerge w:val="restart"/>
            <w:shd w:val="clear" w:color="auto" w:fill="6D6E71"/>
          </w:tcPr>
          <w:p>
            <w:pPr>
              <w:jc w:val="center"/>
              <w:spacing w:after="0"/>
              <w:rPr>
                <w:sz w:val="20"/>
                <w:szCs w:val="20"/>
                <w:color w:val="auto"/>
              </w:rPr>
            </w:pPr>
            <w:r>
              <w:rPr>
                <w:rFonts w:ascii="Arial" w:cs="Arial" w:eastAsia="Arial" w:hAnsi="Arial"/>
                <w:sz w:val="18"/>
                <w:szCs w:val="18"/>
                <w:b w:val="1"/>
                <w:bCs w:val="1"/>
                <w:color w:val="FFFFFF"/>
                <w:w w:val="99"/>
              </w:rPr>
              <w:t>Leadership</w:t>
            </w:r>
          </w:p>
        </w:tc>
        <w:tc>
          <w:tcPr>
            <w:tcW w:w="0" w:type="dxa"/>
            <w:vAlign w:val="bottom"/>
          </w:tcPr>
          <w:p>
            <w:pPr>
              <w:spacing w:after="0"/>
              <w:rPr>
                <w:sz w:val="1"/>
                <w:szCs w:val="1"/>
                <w:color w:val="auto"/>
              </w:rPr>
            </w:pPr>
          </w:p>
        </w:tc>
      </w:tr>
      <w:tr>
        <w:trPr>
          <w:trHeight w:val="108"/>
        </w:trPr>
        <w:tc>
          <w:tcPr>
            <w:tcW w:w="2000" w:type="dxa"/>
            <w:vAlign w:val="bottom"/>
            <w:shd w:val="clear" w:color="auto" w:fill="074A75"/>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vMerge w:val="continue"/>
            <w:shd w:val="clear" w:color="auto" w:fill="6484A5"/>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939598"/>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vMerge w:val="continue"/>
            <w:shd w:val="clear" w:color="auto" w:fill="6D6E7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00" w:type="dxa"/>
            <w:vAlign w:val="bottom"/>
            <w:shd w:val="clear" w:color="auto" w:fill="074A75"/>
          </w:tcPr>
          <w:p>
            <w:pPr>
              <w:spacing w:after="0"/>
              <w:rPr>
                <w:sz w:val="7"/>
                <w:szCs w:val="7"/>
                <w:color w:val="auto"/>
              </w:rPr>
            </w:pPr>
          </w:p>
        </w:tc>
        <w:tc>
          <w:tcPr>
            <w:tcW w:w="240" w:type="dxa"/>
            <w:vAlign w:val="bottom"/>
          </w:tcPr>
          <w:p>
            <w:pPr>
              <w:spacing w:after="0"/>
              <w:rPr>
                <w:sz w:val="7"/>
                <w:szCs w:val="7"/>
                <w:color w:val="auto"/>
              </w:rPr>
            </w:pPr>
          </w:p>
        </w:tc>
        <w:tc>
          <w:tcPr>
            <w:tcW w:w="2020" w:type="dxa"/>
            <w:vAlign w:val="bottom"/>
            <w:shd w:val="clear" w:color="auto" w:fill="6484A5"/>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shd w:val="clear" w:color="auto" w:fill="939598"/>
          </w:tcPr>
          <w:p>
            <w:pPr>
              <w:spacing w:after="0"/>
              <w:rPr>
                <w:sz w:val="7"/>
                <w:szCs w:val="7"/>
                <w:color w:val="auto"/>
              </w:rPr>
            </w:pPr>
          </w:p>
        </w:tc>
        <w:tc>
          <w:tcPr>
            <w:tcW w:w="240" w:type="dxa"/>
            <w:vAlign w:val="bottom"/>
          </w:tcPr>
          <w:p>
            <w:pPr>
              <w:spacing w:after="0"/>
              <w:rPr>
                <w:sz w:val="7"/>
                <w:szCs w:val="7"/>
                <w:color w:val="auto"/>
              </w:rPr>
            </w:pPr>
          </w:p>
        </w:tc>
        <w:tc>
          <w:tcPr>
            <w:tcW w:w="2040" w:type="dxa"/>
            <w:vAlign w:val="bottom"/>
            <w:shd w:val="clear" w:color="auto" w:fill="6D6E71"/>
          </w:tcPr>
          <w:p>
            <w:pPr>
              <w:spacing w:after="0"/>
              <w:rPr>
                <w:sz w:val="7"/>
                <w:szCs w:val="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Business results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074A75"/>
        </w:rPr>
        <w:t>2020 KEY HIGHLIGHTS</w:t>
      </w:r>
    </w:p>
    <w:p>
      <w:pPr>
        <w:spacing w:after="0" w:line="110"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Firm continued to build upon its strong momentum from prior years amid the unprecedented health and economic consequences of COVID-19. In 2020, the Firm reported record revenue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$122.9 billion and net income of $29.1 billion, or $8.88 per share, with ROE of 12% and ROTCE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of 14%, while adding $12.2 billion of credit reserves during the year to absorb potential future losses and returning $16.3 billion of capital to shareholders (including common dividends and net share repurchases). We gained market share in our businesses, demonstrated strong expense discipline,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5314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15175" cy="531495"/>
                    </a:xfrm>
                    <a:prstGeom prst="rect">
                      <a:avLst/>
                    </a:prstGeom>
                    <a:noFill/>
                  </pic:spPr>
                </pic:pic>
              </a:graphicData>
            </a:graphic>
          </wp:anchor>
        </w:drawing>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36"/>
          <w:szCs w:val="36"/>
          <w:color w:val="074A75"/>
        </w:rPr>
        <w:t>JPMORGAN CHASE &amp; CO.</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shd w:val="clear" w:color="auto" w:fill="EEEFEF"/>
          </w:tcPr>
          <w:p>
            <w:pPr>
              <w:spacing w:after="0"/>
              <w:rPr>
                <w:sz w:val="15"/>
                <w:szCs w:val="15"/>
                <w:color w:val="auto"/>
              </w:rPr>
            </w:pPr>
          </w:p>
        </w:tc>
        <w:tc>
          <w:tcPr>
            <w:tcW w:w="1700" w:type="dxa"/>
            <w:vAlign w:val="bottom"/>
            <w:vMerge w:val="restart"/>
          </w:tcPr>
          <w:p>
            <w:pPr>
              <w:ind w:left="420"/>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29.1</w:t>
            </w:r>
            <w:r>
              <w:rPr>
                <w:rFonts w:ascii="Arial" w:cs="Arial" w:eastAsia="Arial" w:hAnsi="Arial"/>
                <w:sz w:val="23"/>
                <w:szCs w:val="23"/>
                <w:color w:val="074A75"/>
              </w:rPr>
              <w:t>B</w:t>
            </w:r>
          </w:p>
        </w:tc>
        <w:tc>
          <w:tcPr>
            <w:tcW w:w="140" w:type="dxa"/>
            <w:vAlign w:val="bottom"/>
            <w:shd w:val="clear" w:color="auto" w:fill="EEEFEF"/>
          </w:tcPr>
          <w:p>
            <w:pPr>
              <w:spacing w:after="0"/>
              <w:rPr>
                <w:sz w:val="15"/>
                <w:szCs w:val="15"/>
                <w:color w:val="auto"/>
              </w:rPr>
            </w:pPr>
          </w:p>
        </w:tc>
        <w:tc>
          <w:tcPr>
            <w:tcW w:w="1680" w:type="dxa"/>
            <w:vAlign w:val="bottom"/>
            <w:vMerge w:val="restart"/>
          </w:tcPr>
          <w:p>
            <w:pPr>
              <w:jc w:val="center"/>
              <w:ind w:right="34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8.88</w:t>
            </w:r>
          </w:p>
        </w:tc>
        <w:tc>
          <w:tcPr>
            <w:tcW w:w="160" w:type="dxa"/>
            <w:vAlign w:val="bottom"/>
            <w:shd w:val="clear" w:color="auto" w:fill="EEEFEF"/>
          </w:tcPr>
          <w:p>
            <w:pPr>
              <w:spacing w:after="0"/>
              <w:rPr>
                <w:sz w:val="15"/>
                <w:szCs w:val="15"/>
                <w:color w:val="auto"/>
              </w:rPr>
            </w:pPr>
          </w:p>
        </w:tc>
        <w:tc>
          <w:tcPr>
            <w:tcW w:w="1160" w:type="dxa"/>
            <w:vAlign w:val="bottom"/>
            <w:vMerge w:val="restart"/>
          </w:tcPr>
          <w:p>
            <w:pPr>
              <w:jc w:val="center"/>
              <w:ind w:right="188"/>
              <w:spacing w:after="0"/>
              <w:rPr>
                <w:sz w:val="20"/>
                <w:szCs w:val="20"/>
                <w:color w:val="auto"/>
              </w:rPr>
            </w:pPr>
            <w:r>
              <w:rPr>
                <w:rFonts w:ascii="Arial" w:cs="Arial" w:eastAsia="Arial" w:hAnsi="Arial"/>
                <w:sz w:val="31"/>
                <w:szCs w:val="31"/>
                <w:color w:val="074A75"/>
              </w:rPr>
              <w:t>12</w:t>
            </w:r>
            <w:r>
              <w:rPr>
                <w:rFonts w:ascii="Arial" w:cs="Arial" w:eastAsia="Arial" w:hAnsi="Arial"/>
                <w:sz w:val="39"/>
                <w:szCs w:val="39"/>
                <w:color w:val="074A75"/>
                <w:vertAlign w:val="superscript"/>
              </w:rPr>
              <w:t>%</w:t>
            </w:r>
          </w:p>
        </w:tc>
        <w:tc>
          <w:tcPr>
            <w:tcW w:w="20" w:type="dxa"/>
            <w:vAlign w:val="bottom"/>
          </w:tcPr>
          <w:p>
            <w:pPr>
              <w:spacing w:after="0"/>
              <w:rPr>
                <w:sz w:val="15"/>
                <w:szCs w:val="15"/>
                <w:color w:val="auto"/>
              </w:rPr>
            </w:pPr>
          </w:p>
        </w:tc>
        <w:tc>
          <w:tcPr>
            <w:tcW w:w="1160" w:type="dxa"/>
            <w:vAlign w:val="bottom"/>
            <w:vMerge w:val="restart"/>
          </w:tcPr>
          <w:p>
            <w:pPr>
              <w:ind w:left="320"/>
              <w:spacing w:after="0"/>
              <w:rPr>
                <w:sz w:val="20"/>
                <w:szCs w:val="20"/>
                <w:color w:val="auto"/>
              </w:rPr>
            </w:pPr>
            <w:r>
              <w:rPr>
                <w:rFonts w:ascii="Arial" w:cs="Arial" w:eastAsia="Arial" w:hAnsi="Arial"/>
                <w:sz w:val="31"/>
                <w:szCs w:val="31"/>
                <w:color w:val="074A75"/>
              </w:rPr>
              <w:t>14</w:t>
            </w:r>
            <w:r>
              <w:rPr>
                <w:rFonts w:ascii="Arial" w:cs="Arial" w:eastAsia="Arial" w:hAnsi="Arial"/>
                <w:sz w:val="39"/>
                <w:szCs w:val="39"/>
                <w:color w:val="074A75"/>
                <w:vertAlign w:val="superscript"/>
              </w:rPr>
              <w:t>%</w:t>
            </w:r>
          </w:p>
        </w:tc>
        <w:tc>
          <w:tcPr>
            <w:tcW w:w="160" w:type="dxa"/>
            <w:vAlign w:val="bottom"/>
            <w:shd w:val="clear" w:color="auto" w:fill="EEEFEF"/>
          </w:tcPr>
          <w:p>
            <w:pPr>
              <w:spacing w:after="0"/>
              <w:rPr>
                <w:sz w:val="15"/>
                <w:szCs w:val="15"/>
                <w:color w:val="auto"/>
              </w:rPr>
            </w:pPr>
          </w:p>
        </w:tc>
        <w:tc>
          <w:tcPr>
            <w:tcW w:w="1440" w:type="dxa"/>
            <w:vAlign w:val="bottom"/>
            <w:vMerge w:val="restart"/>
          </w:tcPr>
          <w:p>
            <w:pPr>
              <w:jc w:val="center"/>
              <w:ind w:right="14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81.75</w:t>
            </w:r>
          </w:p>
        </w:tc>
        <w:tc>
          <w:tcPr>
            <w:tcW w:w="20" w:type="dxa"/>
            <w:vAlign w:val="bottom"/>
          </w:tcPr>
          <w:p>
            <w:pPr>
              <w:spacing w:after="0"/>
              <w:rPr>
                <w:sz w:val="15"/>
                <w:szCs w:val="15"/>
                <w:color w:val="auto"/>
              </w:rPr>
            </w:pPr>
          </w:p>
        </w:tc>
        <w:tc>
          <w:tcPr>
            <w:tcW w:w="1420" w:type="dxa"/>
            <w:vAlign w:val="bottom"/>
            <w:vMerge w:val="restart"/>
          </w:tcPr>
          <w:p>
            <w:pPr>
              <w:jc w:val="center"/>
              <w:ind w:right="148"/>
              <w:spacing w:after="0"/>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66.11</w:t>
            </w:r>
          </w:p>
        </w:tc>
        <w:tc>
          <w:tcPr>
            <w:tcW w:w="140" w:type="dxa"/>
            <w:vAlign w:val="bottom"/>
            <w:shd w:val="clear" w:color="auto" w:fill="EEEFEF"/>
          </w:tcPr>
          <w:p>
            <w:pPr>
              <w:spacing w:after="0"/>
              <w:rPr>
                <w:sz w:val="15"/>
                <w:szCs w:val="15"/>
                <w:color w:val="auto"/>
              </w:rPr>
            </w:pPr>
          </w:p>
        </w:tc>
        <w:tc>
          <w:tcPr>
            <w:tcW w:w="1720" w:type="dxa"/>
            <w:vAlign w:val="bottom"/>
            <w:vMerge w:val="restart"/>
          </w:tcPr>
          <w:p>
            <w:pPr>
              <w:jc w:val="center"/>
              <w:spacing w:after="0"/>
              <w:rPr>
                <w:sz w:val="20"/>
                <w:szCs w:val="20"/>
                <w:color w:val="auto"/>
              </w:rPr>
            </w:pPr>
            <w:r>
              <w:rPr>
                <w:rFonts w:ascii="Arial" w:cs="Arial" w:eastAsia="Arial" w:hAnsi="Arial"/>
                <w:sz w:val="39"/>
                <w:szCs w:val="39"/>
                <w:color w:val="074A75"/>
                <w:w w:val="95"/>
                <w:vertAlign w:val="superscript"/>
              </w:rPr>
              <w:t>$</w:t>
            </w:r>
            <w:r>
              <w:rPr>
                <w:rFonts w:ascii="Arial" w:cs="Arial" w:eastAsia="Arial" w:hAnsi="Arial"/>
                <w:sz w:val="31"/>
                <w:szCs w:val="31"/>
                <w:color w:val="074A75"/>
                <w:w w:val="95"/>
              </w:rPr>
              <w:t>16.3</w:t>
            </w:r>
            <w:r>
              <w:rPr>
                <w:rFonts w:ascii="Arial" w:cs="Arial" w:eastAsia="Arial" w:hAnsi="Arial"/>
                <w:sz w:val="23"/>
                <w:szCs w:val="23"/>
                <w:color w:val="074A75"/>
                <w:w w:val="95"/>
              </w:rPr>
              <w:t>B</w:t>
            </w:r>
          </w:p>
        </w:tc>
        <w:tc>
          <w:tcPr>
            <w:tcW w:w="16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640"/>
        </w:trPr>
        <w:tc>
          <w:tcPr>
            <w:tcW w:w="140" w:type="dxa"/>
            <w:vAlign w:val="bottom"/>
            <w:shd w:val="clear" w:color="auto" w:fill="EEEFEF"/>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1160" w:type="dxa"/>
            <w:vAlign w:val="bottom"/>
            <w:vMerge w:val="continue"/>
          </w:tcPr>
          <w:p>
            <w:pPr>
              <w:spacing w:after="0"/>
              <w:rPr>
                <w:sz w:val="24"/>
                <w:szCs w:val="24"/>
                <w:color w:val="auto"/>
              </w:rPr>
            </w:pPr>
          </w:p>
        </w:tc>
        <w:tc>
          <w:tcPr>
            <w:tcW w:w="20" w:type="dxa"/>
            <w:vAlign w:val="bottom"/>
            <w:shd w:val="clear" w:color="auto" w:fill="494949"/>
          </w:tcPr>
          <w:p>
            <w:pPr>
              <w:spacing w:after="0"/>
              <w:rPr>
                <w:sz w:val="24"/>
                <w:szCs w:val="24"/>
                <w:color w:val="auto"/>
              </w:rPr>
            </w:pPr>
          </w:p>
        </w:tc>
        <w:tc>
          <w:tcPr>
            <w:tcW w:w="116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1440" w:type="dxa"/>
            <w:vAlign w:val="bottom"/>
            <w:vMerge w:val="continue"/>
          </w:tcPr>
          <w:p>
            <w:pPr>
              <w:spacing w:after="0"/>
              <w:rPr>
                <w:sz w:val="24"/>
                <w:szCs w:val="24"/>
                <w:color w:val="auto"/>
              </w:rPr>
            </w:pPr>
          </w:p>
        </w:tc>
        <w:tc>
          <w:tcPr>
            <w:tcW w:w="20" w:type="dxa"/>
            <w:vAlign w:val="bottom"/>
            <w:shd w:val="clear" w:color="auto" w:fill="494949"/>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shd w:val="clear" w:color="auto" w:fill="EEEFEF"/>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shd w:val="clear" w:color="auto" w:fill="EEEFE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 w:type="dxa"/>
            <w:vAlign w:val="bottom"/>
            <w:shd w:val="clear" w:color="auto" w:fill="EEEFEF"/>
          </w:tcPr>
          <w:p>
            <w:pPr>
              <w:spacing w:after="0"/>
              <w:rPr>
                <w:sz w:val="16"/>
                <w:szCs w:val="16"/>
                <w:color w:val="auto"/>
              </w:rPr>
            </w:pPr>
          </w:p>
        </w:tc>
        <w:tc>
          <w:tcPr>
            <w:tcW w:w="1700" w:type="dxa"/>
            <w:vAlign w:val="bottom"/>
          </w:tcPr>
          <w:p>
            <w:pPr>
              <w:ind w:left="4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EEEFEF"/>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9"/>
              </w:rPr>
              <w:t>EPS</w:t>
            </w:r>
          </w:p>
        </w:tc>
        <w:tc>
          <w:tcPr>
            <w:tcW w:w="160" w:type="dxa"/>
            <w:vAlign w:val="bottom"/>
            <w:shd w:val="clear" w:color="auto" w:fill="EEEFEF"/>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ROE</w:t>
            </w:r>
          </w:p>
        </w:tc>
        <w:tc>
          <w:tcPr>
            <w:tcW w:w="20" w:type="dxa"/>
            <w:vAlign w:val="bottom"/>
            <w:shd w:val="clear" w:color="auto" w:fill="494949"/>
          </w:tcPr>
          <w:p>
            <w:pPr>
              <w:spacing w:after="0"/>
              <w:rPr>
                <w:sz w:val="16"/>
                <w:szCs w:val="16"/>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color w:val="auto"/>
              </w:rPr>
              <w:t>ROTCE</w:t>
            </w:r>
            <w:r>
              <w:rPr>
                <w:rFonts w:ascii="Arial" w:cs="Arial" w:eastAsia="Arial" w:hAnsi="Arial"/>
                <w:sz w:val="9"/>
                <w:szCs w:val="9"/>
                <w:color w:val="auto"/>
              </w:rPr>
              <w:t>2</w:t>
            </w:r>
          </w:p>
        </w:tc>
        <w:tc>
          <w:tcPr>
            <w:tcW w:w="160" w:type="dxa"/>
            <w:vAlign w:val="bottom"/>
            <w:shd w:val="clear" w:color="auto" w:fill="EEEFEF"/>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BVPS</w:t>
            </w:r>
          </w:p>
        </w:tc>
        <w:tc>
          <w:tcPr>
            <w:tcW w:w="20" w:type="dxa"/>
            <w:vAlign w:val="bottom"/>
            <w:shd w:val="clear" w:color="auto" w:fill="494949"/>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TBVPS</w:t>
            </w:r>
            <w:r>
              <w:rPr>
                <w:rFonts w:ascii="Arial" w:cs="Arial" w:eastAsia="Arial" w:hAnsi="Arial"/>
                <w:sz w:val="9"/>
                <w:szCs w:val="9"/>
                <w:color w:val="auto"/>
              </w:rPr>
              <w:t>2</w:t>
            </w:r>
          </w:p>
        </w:tc>
        <w:tc>
          <w:tcPr>
            <w:tcW w:w="140" w:type="dxa"/>
            <w:vAlign w:val="bottom"/>
            <w:shd w:val="clear" w:color="auto" w:fill="EEEFEF"/>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NET CAPITAL</w:t>
            </w:r>
          </w:p>
        </w:tc>
        <w:tc>
          <w:tcPr>
            <w:tcW w:w="160" w:type="dxa"/>
            <w:vAlign w:val="bottom"/>
            <w:shd w:val="clear" w:color="auto" w:fill="EEEFE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EEEFEF"/>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shd w:val="clear" w:color="auto" w:fill="EEEFEF"/>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shd w:val="clear" w:color="auto" w:fill="494949"/>
          </w:tcPr>
          <w:p>
            <w:pPr>
              <w:spacing w:after="0"/>
              <w:rPr>
                <w:sz w:val="14"/>
                <w:szCs w:val="14"/>
                <w:color w:val="auto"/>
              </w:rPr>
            </w:pPr>
          </w:p>
        </w:tc>
        <w:tc>
          <w:tcPr>
            <w:tcW w:w="1160" w:type="dxa"/>
            <w:vAlign w:val="bottom"/>
            <w:vMerge w:val="continue"/>
          </w:tcPr>
          <w:p>
            <w:pPr>
              <w:spacing w:after="0"/>
              <w:rPr>
                <w:sz w:val="14"/>
                <w:szCs w:val="14"/>
                <w:color w:val="auto"/>
              </w:rPr>
            </w:pPr>
          </w:p>
        </w:tc>
        <w:tc>
          <w:tcPr>
            <w:tcW w:w="160" w:type="dxa"/>
            <w:vAlign w:val="bottom"/>
            <w:shd w:val="clear" w:color="auto" w:fill="EEEFEF"/>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shd w:val="clear" w:color="auto" w:fill="494949"/>
          </w:tcPr>
          <w:p>
            <w:pPr>
              <w:spacing w:after="0"/>
              <w:rPr>
                <w:sz w:val="14"/>
                <w:szCs w:val="14"/>
                <w:color w:val="auto"/>
              </w:rPr>
            </w:pPr>
          </w:p>
        </w:tc>
        <w:tc>
          <w:tcPr>
            <w:tcW w:w="1420" w:type="dxa"/>
            <w:vAlign w:val="bottom"/>
            <w:vMerge w:val="continue"/>
          </w:tcPr>
          <w:p>
            <w:pPr>
              <w:spacing w:after="0"/>
              <w:rPr>
                <w:sz w:val="14"/>
                <w:szCs w:val="14"/>
                <w:color w:val="auto"/>
              </w:rPr>
            </w:pPr>
          </w:p>
        </w:tc>
        <w:tc>
          <w:tcPr>
            <w:tcW w:w="140" w:type="dxa"/>
            <w:vAlign w:val="bottom"/>
            <w:shd w:val="clear" w:color="auto" w:fill="EEEFEF"/>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DISTRIBUTIONS</w:t>
            </w:r>
            <w:r>
              <w:rPr>
                <w:rFonts w:ascii="Arial" w:cs="Arial" w:eastAsia="Arial" w:hAnsi="Arial"/>
                <w:sz w:val="9"/>
                <w:szCs w:val="9"/>
                <w:color w:val="auto"/>
              </w:rPr>
              <w:t>3</w:t>
            </w:r>
          </w:p>
        </w:tc>
        <w:tc>
          <w:tcPr>
            <w:tcW w:w="160" w:type="dxa"/>
            <w:vAlign w:val="bottom"/>
            <w:shd w:val="clear" w:color="auto" w:fill="EEEFE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40" w:type="dxa"/>
            <w:vAlign w:val="bottom"/>
            <w:shd w:val="clear" w:color="auto" w:fill="EEEFEF"/>
          </w:tcPr>
          <w:p>
            <w:pPr>
              <w:spacing w:after="0"/>
              <w:rPr>
                <w:sz w:val="5"/>
                <w:szCs w:val="5"/>
                <w:color w:val="auto"/>
              </w:rPr>
            </w:pPr>
          </w:p>
        </w:tc>
        <w:tc>
          <w:tcPr>
            <w:tcW w:w="1700" w:type="dxa"/>
            <w:vAlign w:val="bottom"/>
          </w:tcPr>
          <w:p>
            <w:pPr>
              <w:spacing w:after="0"/>
              <w:rPr>
                <w:sz w:val="5"/>
                <w:szCs w:val="5"/>
                <w:color w:val="auto"/>
              </w:rPr>
            </w:pPr>
          </w:p>
        </w:tc>
        <w:tc>
          <w:tcPr>
            <w:tcW w:w="140" w:type="dxa"/>
            <w:vAlign w:val="bottom"/>
            <w:shd w:val="clear" w:color="auto" w:fill="EEEFEF"/>
          </w:tcPr>
          <w:p>
            <w:pPr>
              <w:spacing w:after="0"/>
              <w:rPr>
                <w:sz w:val="5"/>
                <w:szCs w:val="5"/>
                <w:color w:val="auto"/>
              </w:rPr>
            </w:pPr>
          </w:p>
        </w:tc>
        <w:tc>
          <w:tcPr>
            <w:tcW w:w="1680" w:type="dxa"/>
            <w:vAlign w:val="bottom"/>
          </w:tcPr>
          <w:p>
            <w:pPr>
              <w:spacing w:after="0"/>
              <w:rPr>
                <w:sz w:val="5"/>
                <w:szCs w:val="5"/>
                <w:color w:val="auto"/>
              </w:rPr>
            </w:pPr>
          </w:p>
        </w:tc>
        <w:tc>
          <w:tcPr>
            <w:tcW w:w="160" w:type="dxa"/>
            <w:vAlign w:val="bottom"/>
            <w:shd w:val="clear" w:color="auto" w:fill="EEEFEF"/>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shd w:val="clear" w:color="auto" w:fill="494949"/>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shd w:val="clear" w:color="auto" w:fill="EEEFEF"/>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shd w:val="clear" w:color="auto" w:fill="494949"/>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shd w:val="clear" w:color="auto" w:fill="EEEFEF"/>
          </w:tcPr>
          <w:p>
            <w:pPr>
              <w:spacing w:after="0"/>
              <w:rPr>
                <w:sz w:val="5"/>
                <w:szCs w:val="5"/>
                <w:color w:val="auto"/>
              </w:rPr>
            </w:pPr>
          </w:p>
        </w:tc>
        <w:tc>
          <w:tcPr>
            <w:tcW w:w="1720" w:type="dxa"/>
            <w:vAlign w:val="bottom"/>
          </w:tcPr>
          <w:p>
            <w:pPr>
              <w:spacing w:after="0"/>
              <w:rPr>
                <w:sz w:val="5"/>
                <w:szCs w:val="5"/>
                <w:color w:val="auto"/>
              </w:rPr>
            </w:pPr>
          </w:p>
        </w:tc>
        <w:tc>
          <w:tcPr>
            <w:tcW w:w="160" w:type="dxa"/>
            <w:vAlign w:val="bottom"/>
            <w:shd w:val="clear" w:color="auto" w:fill="EEEFE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EEEFEF"/>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shd w:val="clear" w:color="auto" w:fill="EEEFEF"/>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shd w:val="clear" w:color="auto" w:fill="EEEFE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40" w:type="dxa"/>
            <w:vAlign w:val="bottom"/>
            <w:shd w:val="clear" w:color="auto" w:fill="EEEFEF"/>
          </w:tcPr>
          <w:p>
            <w:pPr>
              <w:spacing w:after="0"/>
              <w:rPr>
                <w:sz w:val="11"/>
                <w:szCs w:val="11"/>
                <w:color w:val="auto"/>
              </w:rPr>
            </w:pPr>
          </w:p>
        </w:tc>
        <w:tc>
          <w:tcPr>
            <w:tcW w:w="170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168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1160" w:type="dxa"/>
            <w:vAlign w:val="bottom"/>
            <w:shd w:val="clear" w:color="auto" w:fill="EEEFEF"/>
          </w:tcPr>
          <w:p>
            <w:pPr>
              <w:spacing w:after="0"/>
              <w:rPr>
                <w:sz w:val="11"/>
                <w:szCs w:val="11"/>
                <w:color w:val="auto"/>
              </w:rPr>
            </w:pPr>
          </w:p>
        </w:tc>
        <w:tc>
          <w:tcPr>
            <w:tcW w:w="20" w:type="dxa"/>
            <w:vAlign w:val="bottom"/>
            <w:shd w:val="clear" w:color="auto" w:fill="EEEFEF"/>
          </w:tcPr>
          <w:p>
            <w:pPr>
              <w:spacing w:after="0"/>
              <w:rPr>
                <w:sz w:val="11"/>
                <w:szCs w:val="11"/>
                <w:color w:val="auto"/>
              </w:rPr>
            </w:pPr>
          </w:p>
        </w:tc>
        <w:tc>
          <w:tcPr>
            <w:tcW w:w="116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1440" w:type="dxa"/>
            <w:vAlign w:val="bottom"/>
            <w:shd w:val="clear" w:color="auto" w:fill="EEEFEF"/>
          </w:tcPr>
          <w:p>
            <w:pPr>
              <w:spacing w:after="0"/>
              <w:rPr>
                <w:sz w:val="11"/>
                <w:szCs w:val="11"/>
                <w:color w:val="auto"/>
              </w:rPr>
            </w:pPr>
          </w:p>
        </w:tc>
        <w:tc>
          <w:tcPr>
            <w:tcW w:w="20" w:type="dxa"/>
            <w:vAlign w:val="bottom"/>
            <w:shd w:val="clear" w:color="auto" w:fill="EEEFEF"/>
          </w:tcPr>
          <w:p>
            <w:pPr>
              <w:spacing w:after="0"/>
              <w:rPr>
                <w:sz w:val="11"/>
                <w:szCs w:val="11"/>
                <w:color w:val="auto"/>
              </w:rPr>
            </w:pPr>
          </w:p>
        </w:tc>
        <w:tc>
          <w:tcPr>
            <w:tcW w:w="1420" w:type="dxa"/>
            <w:vAlign w:val="bottom"/>
            <w:shd w:val="clear" w:color="auto" w:fill="EEEFEF"/>
          </w:tcPr>
          <w:p>
            <w:pPr>
              <w:spacing w:after="0"/>
              <w:rPr>
                <w:sz w:val="11"/>
                <w:szCs w:val="11"/>
                <w:color w:val="auto"/>
              </w:rPr>
            </w:pPr>
          </w:p>
        </w:tc>
        <w:tc>
          <w:tcPr>
            <w:tcW w:w="140" w:type="dxa"/>
            <w:vAlign w:val="bottom"/>
            <w:shd w:val="clear" w:color="auto" w:fill="EEEFEF"/>
          </w:tcPr>
          <w:p>
            <w:pPr>
              <w:spacing w:after="0"/>
              <w:rPr>
                <w:sz w:val="11"/>
                <w:szCs w:val="11"/>
                <w:color w:val="auto"/>
              </w:rPr>
            </w:pPr>
          </w:p>
        </w:tc>
        <w:tc>
          <w:tcPr>
            <w:tcW w:w="1720" w:type="dxa"/>
            <w:vAlign w:val="bottom"/>
            <w:shd w:val="clear" w:color="auto" w:fill="EEEFEF"/>
          </w:tcPr>
          <w:p>
            <w:pPr>
              <w:spacing w:after="0"/>
              <w:rPr>
                <w:sz w:val="11"/>
                <w:szCs w:val="11"/>
                <w:color w:val="auto"/>
              </w:rPr>
            </w:pPr>
          </w:p>
        </w:tc>
        <w:tc>
          <w:tcPr>
            <w:tcW w:w="160" w:type="dxa"/>
            <w:vAlign w:val="bottom"/>
            <w:shd w:val="clear" w:color="auto" w:fill="EEEF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9347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ectPr>
          <w:pgSz w:w="11900" w:h="16838" w:orient="portrait"/>
          <w:cols w:equalWidth="0" w:num="1">
            <w:col w:w="11240"/>
          </w:cols>
          <w:pgMar w:left="320" w:top="171" w:right="339" w:bottom="609" w:gutter="0" w:footer="0" w:header="0"/>
        </w:sectPr>
      </w:pPr>
    </w:p>
    <w:p>
      <w:pPr>
        <w:spacing w:after="0" w:line="142" w:lineRule="exact"/>
        <w:rPr>
          <w:sz w:val="20"/>
          <w:szCs w:val="20"/>
          <w:color w:val="auto"/>
        </w:rPr>
      </w:pPr>
    </w:p>
    <w:p>
      <w:pPr>
        <w:jc w:val="center"/>
        <w:ind w:left="103" w:right="103"/>
        <w:spacing w:after="0" w:line="272" w:lineRule="auto"/>
        <w:rPr>
          <w:sz w:val="20"/>
          <w:szCs w:val="20"/>
          <w:color w:val="auto"/>
        </w:rPr>
      </w:pPr>
      <w:r>
        <w:rPr>
          <w:rFonts w:ascii="Arial" w:cs="Arial" w:eastAsia="Arial" w:hAnsi="Arial"/>
          <w:sz w:val="21"/>
          <w:szCs w:val="21"/>
          <w:color w:val="074A75"/>
        </w:rPr>
        <w:t>CONSUMER &amp; COMMUNITY BANKING</w:t>
      </w:r>
    </w:p>
    <w:p>
      <w:pPr>
        <w:spacing w:after="0" w:line="116" w:lineRule="exact"/>
        <w:rPr>
          <w:sz w:val="20"/>
          <w:szCs w:val="20"/>
          <w:color w:val="auto"/>
        </w:rPr>
      </w:pPr>
    </w:p>
    <w:p>
      <w:pPr>
        <w:ind w:left="320"/>
        <w:spacing w:after="0"/>
        <w:tabs>
          <w:tab w:leader="none" w:pos="174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8.2</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15</w:t>
      </w:r>
      <w:r>
        <w:rPr>
          <w:rFonts w:ascii="Arial" w:cs="Arial" w:eastAsia="Arial" w:hAnsi="Arial"/>
          <w:sz w:val="35"/>
          <w:szCs w:val="35"/>
          <w:color w:val="074A75"/>
          <w:vertAlign w:val="superscript"/>
        </w:rPr>
        <w:t>%</w:t>
      </w:r>
    </w:p>
    <w:p>
      <w:pPr>
        <w:spacing w:after="0" w:line="7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58"/>
        </w:trPr>
        <w:tc>
          <w:tcPr>
            <w:tcW w:w="1120" w:type="dxa"/>
            <w:vAlign w:val="bottom"/>
          </w:tcPr>
          <w:p>
            <w:pPr>
              <w:spacing w:after="0"/>
              <w:rPr>
                <w:sz w:val="5"/>
                <w:szCs w:val="5"/>
                <w:color w:val="auto"/>
              </w:rPr>
            </w:pPr>
          </w:p>
        </w:tc>
        <w:tc>
          <w:tcPr>
            <w:tcW w:w="1340" w:type="dxa"/>
            <w:vAlign w:val="bottom"/>
            <w:shd w:val="clear" w:color="auto" w:fill="EEEFE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697355" cy="2074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697355" cy="2074545"/>
                    </a:xfrm>
                    <a:prstGeom prst="rect">
                      <a:avLst/>
                    </a:prstGeom>
                    <a:noFill/>
                  </pic:spPr>
                </pic:pic>
              </a:graphicData>
            </a:graphic>
          </wp:anchor>
        </w:drawing>
      </w:r>
    </w:p>
    <w:p>
      <w:pPr>
        <w:spacing w:after="0" w:line="147" w:lineRule="exact"/>
        <w:rPr>
          <w:sz w:val="20"/>
          <w:szCs w:val="20"/>
          <w:color w:val="auto"/>
        </w:rPr>
      </w:pPr>
    </w:p>
    <w:p>
      <w:pPr>
        <w:ind w:left="300" w:hanging="197"/>
        <w:spacing w:after="0"/>
        <w:tabs>
          <w:tab w:leader="none" w:pos="300"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$51.3B</w:t>
      </w:r>
    </w:p>
    <w:p>
      <w:pPr>
        <w:spacing w:after="0" w:line="30" w:lineRule="exact"/>
        <w:rPr>
          <w:rFonts w:ascii="Arial" w:cs="Arial" w:eastAsia="Arial" w:hAnsi="Arial"/>
          <w:sz w:val="15"/>
          <w:szCs w:val="15"/>
          <w:color w:val="074A75"/>
        </w:rPr>
      </w:pPr>
    </w:p>
    <w:p>
      <w:pPr>
        <w:jc w:val="both"/>
        <w:ind w:left="300" w:right="160" w:hanging="197"/>
        <w:spacing w:after="0" w:line="252" w:lineRule="auto"/>
        <w:tabs>
          <w:tab w:leader="none" w:pos="294"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Average deposits of $851.4B (up 22%); average loans of $448.3B (down 6%)</w:t>
      </w:r>
    </w:p>
    <w:p>
      <w:pPr>
        <w:spacing w:after="0" w:line="64" w:lineRule="exact"/>
        <w:rPr>
          <w:rFonts w:ascii="Arial" w:cs="Arial" w:eastAsia="Arial" w:hAnsi="Arial"/>
          <w:sz w:val="15"/>
          <w:szCs w:val="15"/>
          <w:color w:val="074A75"/>
        </w:rPr>
      </w:pPr>
    </w:p>
    <w:p>
      <w:pPr>
        <w:ind w:left="300" w:right="220" w:hanging="197"/>
        <w:spacing w:after="0" w:line="252" w:lineRule="auto"/>
        <w:tabs>
          <w:tab w:leader="none" w:pos="294"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Primary bank relationships for over 75% of Consumer Banking checking households</w:t>
      </w:r>
    </w:p>
    <w:p>
      <w:pPr>
        <w:spacing w:after="0" w:line="50" w:lineRule="exact"/>
        <w:rPr>
          <w:rFonts w:ascii="Arial" w:cs="Arial" w:eastAsia="Arial" w:hAnsi="Arial"/>
          <w:sz w:val="15"/>
          <w:szCs w:val="15"/>
          <w:color w:val="074A75"/>
        </w:rPr>
      </w:pPr>
    </w:p>
    <w:p>
      <w:pPr>
        <w:jc w:val="both"/>
        <w:ind w:left="300" w:right="300" w:hanging="197"/>
        <w:spacing w:after="0" w:line="252" w:lineRule="auto"/>
        <w:tabs>
          <w:tab w:leader="none" w:pos="294"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Maintained #1 market share in Card, based on U.S. sales and outstandings</w:t>
      </w:r>
    </w:p>
    <w:p>
      <w:pPr>
        <w:spacing w:after="0" w:line="50" w:lineRule="exact"/>
        <w:rPr>
          <w:rFonts w:ascii="Arial" w:cs="Arial" w:eastAsia="Arial" w:hAnsi="Arial"/>
          <w:sz w:val="15"/>
          <w:szCs w:val="15"/>
          <w:color w:val="074A75"/>
        </w:rPr>
      </w:pPr>
    </w:p>
    <w:p>
      <w:pPr>
        <w:ind w:left="300" w:right="40" w:hanging="197"/>
        <w:spacing w:after="0" w:line="255" w:lineRule="auto"/>
        <w:tabs>
          <w:tab w:leader="none" w:pos="294"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Largest active digital and mobile customer base among U.S. banks, customers up 5% and 10% respectively</w:t>
      </w:r>
      <w:r>
        <w:rPr>
          <w:rFonts w:ascii="Arial" w:cs="Arial" w:eastAsia="Arial" w:hAnsi="Arial"/>
          <w:sz w:val="19"/>
          <w:szCs w:val="19"/>
          <w:color w:val="auto"/>
          <w:vertAlign w:val="superscript"/>
        </w:rPr>
        <w:t>4</w:t>
      </w:r>
    </w:p>
    <w:p>
      <w:pPr>
        <w:spacing w:after="0" w:line="1" w:lineRule="exact"/>
        <w:rPr>
          <w:rFonts w:ascii="Arial" w:cs="Arial" w:eastAsia="Arial" w:hAnsi="Arial"/>
          <w:sz w:val="15"/>
          <w:szCs w:val="15"/>
          <w:color w:val="074A75"/>
        </w:rPr>
      </w:pPr>
    </w:p>
    <w:p>
      <w:pPr>
        <w:ind w:left="300" w:hanging="197"/>
        <w:spacing w:after="0"/>
        <w:tabs>
          <w:tab w:leader="none" w:pos="300" w:val="left"/>
        </w:tabs>
        <w:numPr>
          <w:ilvl w:val="0"/>
          <w:numId w:val="144"/>
        </w:numPr>
        <w:rPr>
          <w:rFonts w:ascii="Arial" w:cs="Arial" w:eastAsia="Arial" w:hAnsi="Arial"/>
          <w:sz w:val="15"/>
          <w:szCs w:val="15"/>
          <w:color w:val="074A75"/>
        </w:rPr>
      </w:pPr>
      <w:r>
        <w:rPr>
          <w:rFonts w:ascii="Arial" w:cs="Arial" w:eastAsia="Arial" w:hAnsi="Arial"/>
          <w:sz w:val="15"/>
          <w:szCs w:val="15"/>
          <w:color w:val="auto"/>
        </w:rPr>
        <w:t>Added $7.8B of credit reserves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074A75"/>
        </w:rPr>
        <w:t>CORPORATE &amp;</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074A75"/>
        </w:rPr>
        <w:t>INVESTMENT BANK</w:t>
      </w:r>
    </w:p>
    <w:p>
      <w:pPr>
        <w:spacing w:after="0" w:line="154" w:lineRule="exact"/>
        <w:rPr>
          <w:sz w:val="20"/>
          <w:szCs w:val="20"/>
          <w:color w:val="auto"/>
        </w:rPr>
      </w:pPr>
    </w:p>
    <w:p>
      <w:pPr>
        <w:ind w:left="160"/>
        <w:spacing w:after="0"/>
        <w:tabs>
          <w:tab w:leader="none" w:pos="166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17.1</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20</w:t>
      </w:r>
      <w:r>
        <w:rPr>
          <w:rFonts w:ascii="Arial" w:cs="Arial" w:eastAsia="Arial" w:hAnsi="Arial"/>
          <w:sz w:val="35"/>
          <w:szCs w:val="35"/>
          <w:color w:val="074A75"/>
          <w:vertAlign w:val="superscript"/>
        </w:rPr>
        <w:t>%</w:t>
      </w:r>
    </w:p>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58"/>
        </w:trPr>
        <w:tc>
          <w:tcPr>
            <w:tcW w:w="1120" w:type="dxa"/>
            <w:vAlign w:val="bottom"/>
          </w:tcPr>
          <w:p>
            <w:pPr>
              <w:spacing w:after="0"/>
              <w:rPr>
                <w:sz w:val="5"/>
                <w:szCs w:val="5"/>
                <w:color w:val="auto"/>
              </w:rPr>
            </w:pPr>
          </w:p>
        </w:tc>
        <w:tc>
          <w:tcPr>
            <w:tcW w:w="1340" w:type="dxa"/>
            <w:vAlign w:val="bottom"/>
            <w:shd w:val="clear" w:color="auto" w:fill="EEEFE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0</wp:posOffset>
            </wp:positionV>
            <wp:extent cx="1714500" cy="2074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14500" cy="2074545"/>
                    </a:xfrm>
                    <a:prstGeom prst="rect">
                      <a:avLst/>
                    </a:prstGeom>
                    <a:noFill/>
                  </pic:spPr>
                </pic:pic>
              </a:graphicData>
            </a:graphic>
          </wp:anchor>
        </w:drawing>
      </w:r>
    </w:p>
    <w:p>
      <w:pPr>
        <w:spacing w:after="0" w:line="112" w:lineRule="exact"/>
        <w:rPr>
          <w:sz w:val="20"/>
          <w:szCs w:val="20"/>
          <w:color w:val="auto"/>
        </w:rPr>
      </w:pPr>
    </w:p>
    <w:p>
      <w:pPr>
        <w:ind w:left="200" w:right="440" w:hanging="195"/>
        <w:spacing w:after="0" w:line="277" w:lineRule="auto"/>
        <w:tabs>
          <w:tab w:leader="none" w:pos="1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Record net income on record 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$49.3B</w:t>
      </w:r>
    </w:p>
    <w:p>
      <w:pPr>
        <w:spacing w:after="0" w:line="7" w:lineRule="exact"/>
        <w:rPr>
          <w:rFonts w:ascii="Arial" w:cs="Arial" w:eastAsia="Arial" w:hAnsi="Arial"/>
          <w:sz w:val="15"/>
          <w:szCs w:val="15"/>
          <w:color w:val="074A75"/>
        </w:rPr>
      </w:pPr>
    </w:p>
    <w:p>
      <w:pPr>
        <w:ind w:left="200" w:right="480" w:hanging="195"/>
        <w:spacing w:after="0" w:line="252" w:lineRule="auto"/>
        <w:tabs>
          <w:tab w:leader="none" w:pos="1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Record IB fees of $9.5B (up 25%); record Markets revenue of $29.5B (up 41%)</w:t>
      </w:r>
    </w:p>
    <w:p>
      <w:pPr>
        <w:spacing w:after="0" w:line="91" w:lineRule="exact"/>
        <w:rPr>
          <w:rFonts w:ascii="Arial" w:cs="Arial" w:eastAsia="Arial" w:hAnsi="Arial"/>
          <w:sz w:val="15"/>
          <w:szCs w:val="15"/>
          <w:color w:val="074A75"/>
        </w:rPr>
      </w:pPr>
    </w:p>
    <w:p>
      <w:pPr>
        <w:ind w:left="200" w:right="280" w:hanging="195"/>
        <w:spacing w:after="0" w:line="260" w:lineRule="auto"/>
        <w:tabs>
          <w:tab w:leader="none" w:pos="1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#1 in Markets revenue; #1 in IB fees for 12 consecutive years</w:t>
      </w:r>
    </w:p>
    <w:p>
      <w:pPr>
        <w:spacing w:after="0" w:line="85" w:lineRule="exact"/>
        <w:rPr>
          <w:rFonts w:ascii="Arial" w:cs="Arial" w:eastAsia="Arial" w:hAnsi="Arial"/>
          <w:sz w:val="15"/>
          <w:szCs w:val="15"/>
          <w:color w:val="074A75"/>
        </w:rPr>
      </w:pPr>
    </w:p>
    <w:p>
      <w:pPr>
        <w:ind w:left="200" w:right="600" w:hanging="195"/>
        <w:spacing w:after="0" w:line="252" w:lineRule="auto"/>
        <w:tabs>
          <w:tab w:leader="none" w:pos="194"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#2 custodian globally as measured by assets under custody of $31T (up 15%)</w:t>
      </w:r>
    </w:p>
    <w:p>
      <w:pPr>
        <w:spacing w:after="0" w:line="91" w:lineRule="exact"/>
        <w:rPr>
          <w:rFonts w:ascii="Arial" w:cs="Arial" w:eastAsia="Arial" w:hAnsi="Arial"/>
          <w:sz w:val="15"/>
          <w:szCs w:val="15"/>
          <w:color w:val="074A75"/>
        </w:rPr>
      </w:pPr>
    </w:p>
    <w:p>
      <w:pPr>
        <w:ind w:left="200" w:hanging="195"/>
        <w:spacing w:after="0"/>
        <w:tabs>
          <w:tab w:leader="none" w:pos="200"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#1 in USD Payments volume</w:t>
      </w:r>
    </w:p>
    <w:p>
      <w:pPr>
        <w:spacing w:after="0" w:line="111" w:lineRule="exact"/>
        <w:rPr>
          <w:rFonts w:ascii="Arial" w:cs="Arial" w:eastAsia="Arial" w:hAnsi="Arial"/>
          <w:sz w:val="15"/>
          <w:szCs w:val="15"/>
          <w:color w:val="074A75"/>
        </w:rPr>
      </w:pPr>
    </w:p>
    <w:p>
      <w:pPr>
        <w:ind w:left="200" w:hanging="195"/>
        <w:spacing w:after="0"/>
        <w:tabs>
          <w:tab w:leader="none" w:pos="200" w:val="left"/>
        </w:tabs>
        <w:numPr>
          <w:ilvl w:val="0"/>
          <w:numId w:val="145"/>
        </w:numPr>
        <w:rPr>
          <w:rFonts w:ascii="Arial" w:cs="Arial" w:eastAsia="Arial" w:hAnsi="Arial"/>
          <w:sz w:val="15"/>
          <w:szCs w:val="15"/>
          <w:color w:val="074A75"/>
        </w:rPr>
      </w:pPr>
      <w:r>
        <w:rPr>
          <w:rFonts w:ascii="Arial" w:cs="Arial" w:eastAsia="Arial" w:hAnsi="Arial"/>
          <w:sz w:val="15"/>
          <w:szCs w:val="15"/>
          <w:color w:val="auto"/>
        </w:rPr>
        <w:t>Added $2.4B of credit reserves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074A75"/>
        </w:rPr>
        <w:t>COMMERCIAL</w:t>
      </w:r>
    </w:p>
    <w:p>
      <w:pPr>
        <w:spacing w:after="0" w:line="4" w:lineRule="exact"/>
        <w:rPr>
          <w:sz w:val="20"/>
          <w:szCs w:val="20"/>
          <w:color w:val="auto"/>
        </w:rPr>
      </w:pPr>
    </w:p>
    <w:p>
      <w:pPr>
        <w:jc w:val="center"/>
        <w:ind w:right="93"/>
        <w:spacing w:after="0"/>
        <w:rPr>
          <w:sz w:val="20"/>
          <w:szCs w:val="20"/>
          <w:color w:val="auto"/>
        </w:rPr>
      </w:pPr>
      <w:r>
        <w:rPr>
          <w:rFonts w:ascii="Arial" w:cs="Arial" w:eastAsia="Arial" w:hAnsi="Arial"/>
          <w:sz w:val="22"/>
          <w:szCs w:val="22"/>
          <w:color w:val="074A75"/>
        </w:rPr>
        <w:t>BANKING</w:t>
      </w:r>
    </w:p>
    <w:p>
      <w:pPr>
        <w:spacing w:after="0" w:line="154" w:lineRule="exact"/>
        <w:rPr>
          <w:sz w:val="20"/>
          <w:szCs w:val="20"/>
          <w:color w:val="auto"/>
        </w:rPr>
      </w:pPr>
    </w:p>
    <w:p>
      <w:pPr>
        <w:ind w:left="227"/>
        <w:spacing w:after="0"/>
        <w:tabs>
          <w:tab w:leader="none" w:pos="1666"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2.6</w:t>
      </w:r>
      <w:r>
        <w:rPr>
          <w:rFonts w:ascii="Arial" w:cs="Arial" w:eastAsia="Arial" w:hAnsi="Arial"/>
          <w:sz w:val="23"/>
          <w:szCs w:val="23"/>
          <w:color w:val="074A75"/>
        </w:rPr>
        <w:t>B</w:t>
      </w:r>
      <w:r>
        <w:rPr>
          <w:sz w:val="20"/>
          <w:szCs w:val="20"/>
          <w:color w:val="auto"/>
        </w:rPr>
        <w:tab/>
      </w:r>
      <w:r>
        <w:rPr>
          <w:rFonts w:ascii="Arial" w:cs="Arial" w:eastAsia="Arial" w:hAnsi="Arial"/>
          <w:sz w:val="26"/>
          <w:szCs w:val="26"/>
          <w:color w:val="074A75"/>
        </w:rPr>
        <w:t>11</w:t>
      </w:r>
      <w:r>
        <w:rPr>
          <w:rFonts w:ascii="Arial" w:cs="Arial" w:eastAsia="Arial" w:hAnsi="Arial"/>
          <w:sz w:val="33"/>
          <w:szCs w:val="33"/>
          <w:color w:val="074A75"/>
          <w:vertAlign w:val="superscript"/>
        </w:rPr>
        <w:t>%</w:t>
      </w:r>
    </w:p>
    <w:p>
      <w:pPr>
        <w:spacing w:after="0" w:line="76" w:lineRule="exact"/>
        <w:rPr>
          <w:sz w:val="20"/>
          <w:szCs w:val="20"/>
          <w:color w:val="auto"/>
        </w:rPr>
      </w:pPr>
    </w:p>
    <w:tbl>
      <w:tblPr>
        <w:tblLayout w:type="fixed"/>
        <w:tblInd w:w="127" w:type="dxa"/>
        <w:tblCellMar>
          <w:top w:w="0" w:type="dxa"/>
          <w:left w:w="0" w:type="dxa"/>
          <w:bottom w:w="0" w:type="dxa"/>
          <w:right w:w="0" w:type="dxa"/>
        </w:tblCellMar>
      </w:tblPr>
      <w:tr>
        <w:trPr>
          <w:trHeight w:val="192"/>
        </w:trPr>
        <w:tc>
          <w:tcPr>
            <w:tcW w:w="1120" w:type="dxa"/>
            <w:vAlign w:val="bottom"/>
          </w:tcPr>
          <w:p>
            <w:pPr>
              <w:spacing w:after="0"/>
              <w:rPr>
                <w:sz w:val="20"/>
                <w:szCs w:val="20"/>
                <w:color w:val="auto"/>
              </w:rPr>
            </w:pPr>
            <w:r>
              <w:rPr>
                <w:rFonts w:ascii="Arial" w:cs="Arial" w:eastAsia="Arial" w:hAnsi="Arial"/>
                <w:sz w:val="14"/>
                <w:szCs w:val="14"/>
                <w:color w:val="auto"/>
              </w:rPr>
              <w:t>NET INCOME</w:t>
            </w:r>
          </w:p>
        </w:tc>
        <w:tc>
          <w:tcPr>
            <w:tcW w:w="1360" w:type="dxa"/>
            <w:vAlign w:val="bottom"/>
            <w:shd w:val="clear" w:color="auto" w:fill="EEEFEF"/>
          </w:tcPr>
          <w:p>
            <w:pPr>
              <w:ind w:left="540"/>
              <w:spacing w:after="0"/>
              <w:rPr>
                <w:sz w:val="20"/>
                <w:szCs w:val="20"/>
                <w:color w:val="auto"/>
              </w:rPr>
            </w:pPr>
            <w:r>
              <w:rPr>
                <w:rFonts w:ascii="Arial" w:cs="Arial" w:eastAsia="Arial" w:hAnsi="Arial"/>
                <w:sz w:val="14"/>
                <w:szCs w:val="14"/>
                <w:color w:val="auto"/>
              </w:rPr>
              <w:t>ROE</w:t>
            </w:r>
          </w:p>
        </w:tc>
      </w:tr>
      <w:tr>
        <w:trPr>
          <w:trHeight w:val="58"/>
        </w:trPr>
        <w:tc>
          <w:tcPr>
            <w:tcW w:w="1120" w:type="dxa"/>
            <w:vAlign w:val="bottom"/>
          </w:tcPr>
          <w:p>
            <w:pPr>
              <w:spacing w:after="0"/>
              <w:rPr>
                <w:sz w:val="5"/>
                <w:szCs w:val="5"/>
                <w:color w:val="auto"/>
              </w:rPr>
            </w:pPr>
          </w:p>
        </w:tc>
        <w:tc>
          <w:tcPr>
            <w:tcW w:w="1360" w:type="dxa"/>
            <w:vAlign w:val="bottom"/>
            <w:shd w:val="clear" w:color="auto" w:fill="EEEFE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0</wp:posOffset>
            </wp:positionV>
            <wp:extent cx="1714500" cy="2074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00" cy="2074545"/>
                    </a:xfrm>
                    <a:prstGeom prst="rect">
                      <a:avLst/>
                    </a:prstGeom>
                    <a:noFill/>
                  </pic:spPr>
                </pic:pic>
              </a:graphicData>
            </a:graphic>
          </wp:anchor>
        </w:drawing>
      </w:r>
    </w:p>
    <w:p>
      <w:pPr>
        <w:spacing w:after="0" w:line="106" w:lineRule="exact"/>
        <w:rPr>
          <w:sz w:val="20"/>
          <w:szCs w:val="20"/>
          <w:color w:val="auto"/>
        </w:rPr>
      </w:pPr>
    </w:p>
    <w:p>
      <w:pPr>
        <w:ind w:left="187" w:hanging="187"/>
        <w:spacing w:after="0"/>
        <w:tabs>
          <w:tab w:leader="none" w:pos="187"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Revenue</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of $9.3B</w:t>
      </w:r>
    </w:p>
    <w:p>
      <w:pPr>
        <w:spacing w:after="0" w:line="36" w:lineRule="exact"/>
        <w:rPr>
          <w:rFonts w:ascii="Arial" w:cs="Arial" w:eastAsia="Arial" w:hAnsi="Arial"/>
          <w:sz w:val="15"/>
          <w:szCs w:val="15"/>
          <w:color w:val="074A75"/>
        </w:rPr>
      </w:pPr>
    </w:p>
    <w:p>
      <w:pPr>
        <w:ind w:left="187" w:hanging="187"/>
        <w:spacing w:after="0" w:line="230" w:lineRule="auto"/>
        <w:tabs>
          <w:tab w:leader="none" w:pos="187"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Record gross IB revenue</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of</w:t>
      </w:r>
    </w:p>
    <w:p>
      <w:pPr>
        <w:ind w:left="187" w:right="140"/>
        <w:spacing w:after="0" w:line="244" w:lineRule="auto"/>
        <w:rPr>
          <w:rFonts w:ascii="Arial" w:cs="Arial" w:eastAsia="Arial" w:hAnsi="Arial"/>
          <w:sz w:val="15"/>
          <w:szCs w:val="15"/>
          <w:color w:val="074A75"/>
        </w:rPr>
      </w:pPr>
      <w:r>
        <w:rPr>
          <w:rFonts w:ascii="Arial" w:cs="Arial" w:eastAsia="Arial" w:hAnsi="Arial"/>
          <w:sz w:val="15"/>
          <w:szCs w:val="15"/>
          <w:color w:val="auto"/>
        </w:rPr>
        <w:t>$3.3B (up 22%), surpassing long-term target of $3B, including record year for both MMBSI and</w:t>
      </w:r>
    </w:p>
    <w:p>
      <w:pPr>
        <w:ind w:left="187"/>
        <w:spacing w:after="0"/>
        <w:rPr>
          <w:rFonts w:ascii="Arial" w:cs="Arial" w:eastAsia="Arial" w:hAnsi="Arial"/>
          <w:sz w:val="15"/>
          <w:szCs w:val="15"/>
          <w:color w:val="074A75"/>
        </w:rPr>
      </w:pPr>
      <w:r>
        <w:rPr>
          <w:rFonts w:ascii="Arial" w:cs="Arial" w:eastAsia="Arial" w:hAnsi="Arial"/>
          <w:sz w:val="15"/>
          <w:szCs w:val="15"/>
          <w:color w:val="auto"/>
        </w:rPr>
        <w:t>CCBSI</w:t>
      </w:r>
    </w:p>
    <w:p>
      <w:pPr>
        <w:spacing w:after="0" w:line="111" w:lineRule="exact"/>
        <w:rPr>
          <w:rFonts w:ascii="Arial" w:cs="Arial" w:eastAsia="Arial" w:hAnsi="Arial"/>
          <w:sz w:val="15"/>
          <w:szCs w:val="15"/>
          <w:color w:val="074A75"/>
        </w:rPr>
      </w:pPr>
    </w:p>
    <w:p>
      <w:pPr>
        <w:ind w:left="187" w:right="180" w:hanging="187"/>
        <w:spacing w:after="0" w:line="252" w:lineRule="auto"/>
        <w:tabs>
          <w:tab w:leader="none" w:pos="181"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Record Middle Market expansion market revenue of $911M (up 13%), approaching $1B target</w:t>
      </w:r>
    </w:p>
    <w:p>
      <w:pPr>
        <w:spacing w:after="0" w:line="91" w:lineRule="exact"/>
        <w:rPr>
          <w:rFonts w:ascii="Arial" w:cs="Arial" w:eastAsia="Arial" w:hAnsi="Arial"/>
          <w:sz w:val="15"/>
          <w:szCs w:val="15"/>
          <w:color w:val="074A75"/>
        </w:rPr>
      </w:pPr>
    </w:p>
    <w:p>
      <w:pPr>
        <w:jc w:val="both"/>
        <w:ind w:left="187" w:right="200" w:hanging="187"/>
        <w:spacing w:after="0" w:line="252" w:lineRule="auto"/>
        <w:tabs>
          <w:tab w:leader="none" w:pos="181"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Average deposits of $237.6B (up 38%); average loans of $218.9B (up 5%)</w:t>
      </w:r>
    </w:p>
    <w:p>
      <w:pPr>
        <w:spacing w:after="0" w:line="91" w:lineRule="exact"/>
        <w:rPr>
          <w:rFonts w:ascii="Arial" w:cs="Arial" w:eastAsia="Arial" w:hAnsi="Arial"/>
          <w:sz w:val="15"/>
          <w:szCs w:val="15"/>
          <w:color w:val="074A75"/>
        </w:rPr>
      </w:pPr>
    </w:p>
    <w:p>
      <w:pPr>
        <w:ind w:left="187" w:hanging="187"/>
        <w:spacing w:after="0"/>
        <w:tabs>
          <w:tab w:leader="none" w:pos="187" w:val="left"/>
        </w:tabs>
        <w:numPr>
          <w:ilvl w:val="0"/>
          <w:numId w:val="146"/>
        </w:numPr>
        <w:rPr>
          <w:rFonts w:ascii="Arial" w:cs="Arial" w:eastAsia="Arial" w:hAnsi="Arial"/>
          <w:sz w:val="15"/>
          <w:szCs w:val="15"/>
          <w:color w:val="074A75"/>
        </w:rPr>
      </w:pPr>
      <w:r>
        <w:rPr>
          <w:rFonts w:ascii="Arial" w:cs="Arial" w:eastAsia="Arial" w:hAnsi="Arial"/>
          <w:sz w:val="15"/>
          <w:szCs w:val="15"/>
          <w:color w:val="auto"/>
        </w:rPr>
        <w:t>Added $1.7B of credit reserves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ASSET &amp; WEALTH</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074A75"/>
        </w:rPr>
        <w:t>MANAGEMENT</w:t>
      </w:r>
    </w:p>
    <w:p>
      <w:pPr>
        <w:spacing w:after="0" w:line="154" w:lineRule="exact"/>
        <w:rPr>
          <w:sz w:val="20"/>
          <w:szCs w:val="20"/>
          <w:color w:val="auto"/>
        </w:rPr>
      </w:pPr>
    </w:p>
    <w:p>
      <w:pPr>
        <w:ind w:left="240"/>
        <w:spacing w:after="0"/>
        <w:tabs>
          <w:tab w:leader="none" w:pos="1660" w:val="left"/>
        </w:tabs>
        <w:rPr>
          <w:sz w:val="20"/>
          <w:szCs w:val="20"/>
          <w:color w:val="auto"/>
        </w:rPr>
      </w:pPr>
      <w:r>
        <w:rPr>
          <w:rFonts w:ascii="Arial" w:cs="Arial" w:eastAsia="Arial" w:hAnsi="Arial"/>
          <w:sz w:val="39"/>
          <w:szCs w:val="39"/>
          <w:color w:val="074A75"/>
          <w:vertAlign w:val="superscript"/>
        </w:rPr>
        <w:t>$</w:t>
      </w:r>
      <w:r>
        <w:rPr>
          <w:rFonts w:ascii="Arial" w:cs="Arial" w:eastAsia="Arial" w:hAnsi="Arial"/>
          <w:sz w:val="31"/>
          <w:szCs w:val="31"/>
          <w:color w:val="074A75"/>
        </w:rPr>
        <w:t>3.0</w:t>
      </w:r>
      <w:r>
        <w:rPr>
          <w:rFonts w:ascii="Arial" w:cs="Arial" w:eastAsia="Arial" w:hAnsi="Arial"/>
          <w:sz w:val="23"/>
          <w:szCs w:val="23"/>
          <w:color w:val="074A75"/>
        </w:rPr>
        <w:t>B</w:t>
      </w:r>
      <w:r>
        <w:rPr>
          <w:sz w:val="20"/>
          <w:szCs w:val="20"/>
          <w:color w:val="auto"/>
        </w:rPr>
        <w:tab/>
      </w:r>
      <w:r>
        <w:rPr>
          <w:rFonts w:ascii="Arial" w:cs="Arial" w:eastAsia="Arial" w:hAnsi="Arial"/>
          <w:sz w:val="28"/>
          <w:szCs w:val="28"/>
          <w:color w:val="074A75"/>
        </w:rPr>
        <w:t>28</w:t>
      </w:r>
      <w:r>
        <w:rPr>
          <w:rFonts w:ascii="Arial" w:cs="Arial" w:eastAsia="Arial" w:hAnsi="Arial"/>
          <w:sz w:val="35"/>
          <w:szCs w:val="35"/>
          <w:color w:val="074A75"/>
          <w:vertAlign w:val="superscript"/>
        </w:rPr>
        <w:t>%</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1140" w:type="dxa"/>
            <w:vAlign w:val="bottom"/>
          </w:tcPr>
          <w:p>
            <w:pPr>
              <w:spacing w:after="0"/>
              <w:rPr>
                <w:sz w:val="20"/>
                <w:szCs w:val="20"/>
                <w:color w:val="auto"/>
              </w:rPr>
            </w:pPr>
            <w:r>
              <w:rPr>
                <w:rFonts w:ascii="Arial" w:cs="Arial" w:eastAsia="Arial" w:hAnsi="Arial"/>
                <w:sz w:val="14"/>
                <w:szCs w:val="14"/>
                <w:color w:val="auto"/>
              </w:rPr>
              <w:t>NET INCOME</w:t>
            </w:r>
          </w:p>
        </w:tc>
        <w:tc>
          <w:tcPr>
            <w:tcW w:w="1360" w:type="dxa"/>
            <w:vAlign w:val="bottom"/>
            <w:shd w:val="clear" w:color="auto" w:fill="EEEFEF"/>
          </w:tcPr>
          <w:p>
            <w:pPr>
              <w:ind w:left="520"/>
              <w:spacing w:after="0"/>
              <w:rPr>
                <w:sz w:val="20"/>
                <w:szCs w:val="20"/>
                <w:color w:val="auto"/>
              </w:rPr>
            </w:pPr>
            <w:r>
              <w:rPr>
                <w:rFonts w:ascii="Arial" w:cs="Arial" w:eastAsia="Arial" w:hAnsi="Arial"/>
                <w:sz w:val="14"/>
                <w:szCs w:val="14"/>
                <w:color w:val="auto"/>
              </w:rPr>
              <w:t>ROE</w:t>
            </w:r>
          </w:p>
        </w:tc>
      </w:tr>
      <w:tr>
        <w:trPr>
          <w:trHeight w:val="58"/>
        </w:trPr>
        <w:tc>
          <w:tcPr>
            <w:tcW w:w="1140" w:type="dxa"/>
            <w:vAlign w:val="bottom"/>
          </w:tcPr>
          <w:p>
            <w:pPr>
              <w:spacing w:after="0"/>
              <w:rPr>
                <w:sz w:val="5"/>
                <w:szCs w:val="5"/>
                <w:color w:val="auto"/>
              </w:rPr>
            </w:pPr>
          </w:p>
        </w:tc>
        <w:tc>
          <w:tcPr>
            <w:tcW w:w="1360" w:type="dxa"/>
            <w:vAlign w:val="bottom"/>
            <w:shd w:val="clear" w:color="auto" w:fill="EEEFE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0</wp:posOffset>
            </wp:positionV>
            <wp:extent cx="1722755" cy="2074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22755" cy="2074545"/>
                    </a:xfrm>
                    <a:prstGeom prst="rect">
                      <a:avLst/>
                    </a:prstGeom>
                    <a:noFill/>
                  </pic:spPr>
                </pic:pic>
              </a:graphicData>
            </a:graphic>
          </wp:anchor>
        </w:drawing>
      </w:r>
    </w:p>
    <w:p>
      <w:pPr>
        <w:spacing w:after="0" w:line="106" w:lineRule="exact"/>
        <w:rPr>
          <w:sz w:val="20"/>
          <w:szCs w:val="20"/>
          <w:color w:val="auto"/>
        </w:rPr>
      </w:pPr>
    </w:p>
    <w:p>
      <w:pPr>
        <w:ind w:left="200" w:right="400" w:hanging="198"/>
        <w:spacing w:after="0" w:line="213"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net income</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on record revenue</w:t>
      </w:r>
      <w:r>
        <w:rPr>
          <w:rFonts w:ascii="Arial" w:cs="Arial" w:eastAsia="Arial" w:hAnsi="Arial"/>
          <w:sz w:val="19"/>
          <w:szCs w:val="19"/>
          <w:color w:val="auto"/>
          <w:vertAlign w:val="superscript"/>
        </w:rPr>
        <w:t>1,6</w:t>
      </w:r>
      <w:r>
        <w:rPr>
          <w:rFonts w:ascii="Arial" w:cs="Arial" w:eastAsia="Arial" w:hAnsi="Arial"/>
          <w:sz w:val="15"/>
          <w:szCs w:val="15"/>
          <w:color w:val="auto"/>
        </w:rPr>
        <w:t xml:space="preserve"> of $14.2B; pre-tax margin of 28%</w:t>
      </w:r>
    </w:p>
    <w:p>
      <w:pPr>
        <w:spacing w:after="0" w:line="99" w:lineRule="exact"/>
        <w:rPr>
          <w:rFonts w:ascii="Arial" w:cs="Arial" w:eastAsia="Arial" w:hAnsi="Arial"/>
          <w:sz w:val="15"/>
          <w:szCs w:val="15"/>
          <w:color w:val="074A75"/>
        </w:rPr>
      </w:pPr>
    </w:p>
    <w:p>
      <w:pPr>
        <w:ind w:left="200" w:right="200" w:hanging="198"/>
        <w:spacing w:after="0" w:line="218"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assets under management</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$2.7T (up 17%) and client assets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$3.7T (up 18%)</w:t>
      </w:r>
    </w:p>
    <w:p>
      <w:pPr>
        <w:spacing w:after="0" w:line="99" w:lineRule="exact"/>
        <w:rPr>
          <w:rFonts w:ascii="Arial" w:cs="Arial" w:eastAsia="Arial" w:hAnsi="Arial"/>
          <w:sz w:val="15"/>
          <w:szCs w:val="15"/>
          <w:color w:val="074A75"/>
        </w:rPr>
      </w:pPr>
    </w:p>
    <w:p>
      <w:pPr>
        <w:jc w:val="both"/>
        <w:ind w:left="200" w:right="200" w:hanging="198"/>
        <w:spacing w:after="0" w:line="228"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80% of 10-year long-term mutual fund AUM</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performing in top two quartiles</w:t>
      </w:r>
    </w:p>
    <w:p>
      <w:pPr>
        <w:spacing w:after="0" w:line="93" w:lineRule="exact"/>
        <w:rPr>
          <w:rFonts w:ascii="Arial" w:cs="Arial" w:eastAsia="Arial" w:hAnsi="Arial"/>
          <w:sz w:val="15"/>
          <w:szCs w:val="15"/>
          <w:color w:val="074A75"/>
        </w:rPr>
      </w:pPr>
    </w:p>
    <w:p>
      <w:pPr>
        <w:ind w:left="200" w:right="360" w:hanging="198"/>
        <w:spacing w:after="0" w:line="219" w:lineRule="auto"/>
        <w:tabs>
          <w:tab w:leader="none" w:pos="194" w:val="left"/>
        </w:tabs>
        <w:numPr>
          <w:ilvl w:val="0"/>
          <w:numId w:val="147"/>
        </w:numPr>
        <w:rPr>
          <w:rFonts w:ascii="Arial" w:cs="Arial" w:eastAsia="Arial" w:hAnsi="Arial"/>
          <w:sz w:val="15"/>
          <w:szCs w:val="15"/>
          <w:color w:val="074A75"/>
        </w:rPr>
      </w:pPr>
      <w:r>
        <w:rPr>
          <w:rFonts w:ascii="Arial" w:cs="Arial" w:eastAsia="Arial" w:hAnsi="Arial"/>
          <w:sz w:val="15"/>
          <w:szCs w:val="15"/>
          <w:color w:val="auto"/>
        </w:rPr>
        <w:t>Record average deposits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$162.0B (up 20%); record average loans</w:t>
      </w:r>
      <w:r>
        <w:rPr>
          <w:rFonts w:ascii="Arial" w:cs="Arial" w:eastAsia="Arial" w:hAnsi="Arial"/>
          <w:sz w:val="19"/>
          <w:szCs w:val="19"/>
          <w:color w:val="auto"/>
          <w:vertAlign w:val="superscript"/>
        </w:rPr>
        <w:t>6</w:t>
      </w:r>
      <w:r>
        <w:rPr>
          <w:rFonts w:ascii="Arial" w:cs="Arial" w:eastAsia="Arial" w:hAnsi="Arial"/>
          <w:sz w:val="15"/>
          <w:szCs w:val="15"/>
          <w:color w:val="auto"/>
        </w:rPr>
        <w:t xml:space="preserve"> of $166.3B (up 13%)</w:t>
      </w:r>
    </w:p>
    <w:p>
      <w:pPr>
        <w:spacing w:after="0" w:line="447" w:lineRule="exact"/>
        <w:rPr>
          <w:sz w:val="20"/>
          <w:szCs w:val="20"/>
          <w:color w:val="auto"/>
        </w:rPr>
      </w:pPr>
    </w:p>
    <w:p>
      <w:pPr>
        <w:sectPr>
          <w:pgSz w:w="11900" w:h="16838" w:orient="portrait"/>
          <w:cols w:equalWidth="0" w:num="4">
            <w:col w:w="2680" w:space="240"/>
            <w:col w:w="2600" w:space="253"/>
            <w:col w:w="2607" w:space="240"/>
            <w:col w:w="2620"/>
          </w:cols>
          <w:pgMar w:left="320" w:top="171" w:right="339" w:bottom="609"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0" w:type="dxa"/>
            <w:vAlign w:val="bottom"/>
            <w:shd w:val="clear" w:color="auto" w:fill="EEEFEF"/>
          </w:tcPr>
          <w:p>
            <w:pPr>
              <w:spacing w:after="0"/>
              <w:rPr>
                <w:sz w:val="11"/>
                <w:szCs w:val="11"/>
                <w:color w:val="auto"/>
              </w:rPr>
            </w:pPr>
          </w:p>
        </w:tc>
        <w:tc>
          <w:tcPr>
            <w:tcW w:w="3660" w:type="dxa"/>
            <w:vAlign w:val="bottom"/>
            <w:shd w:val="clear" w:color="auto" w:fill="EEEFEF"/>
          </w:tcPr>
          <w:p>
            <w:pPr>
              <w:spacing w:after="0"/>
              <w:rPr>
                <w:sz w:val="11"/>
                <w:szCs w:val="11"/>
                <w:color w:val="auto"/>
              </w:rPr>
            </w:pPr>
          </w:p>
        </w:tc>
        <w:tc>
          <w:tcPr>
            <w:tcW w:w="3700" w:type="dxa"/>
            <w:vAlign w:val="bottom"/>
            <w:shd w:val="clear" w:color="auto" w:fill="EEEFEF"/>
          </w:tcPr>
          <w:p>
            <w:pPr>
              <w:spacing w:after="0"/>
              <w:rPr>
                <w:sz w:val="11"/>
                <w:szCs w:val="11"/>
                <w:color w:val="auto"/>
              </w:rPr>
            </w:pPr>
          </w:p>
        </w:tc>
        <w:tc>
          <w:tcPr>
            <w:tcW w:w="3680" w:type="dxa"/>
            <w:vAlign w:val="bottom"/>
            <w:shd w:val="clear" w:color="auto" w:fill="EEEFEF"/>
          </w:tcPr>
          <w:p>
            <w:pPr>
              <w:spacing w:after="0"/>
              <w:rPr>
                <w:sz w:val="11"/>
                <w:szCs w:val="11"/>
                <w:color w:val="auto"/>
              </w:rPr>
            </w:pPr>
          </w:p>
        </w:tc>
        <w:tc>
          <w:tcPr>
            <w:tcW w:w="100" w:type="dxa"/>
            <w:vAlign w:val="bottom"/>
            <w:shd w:val="clear" w:color="auto" w:fill="EEEFEF"/>
          </w:tcPr>
          <w:p>
            <w:pPr>
              <w:spacing w:after="0"/>
              <w:rPr>
                <w:sz w:val="11"/>
                <w:szCs w:val="11"/>
                <w:color w:val="auto"/>
              </w:rPr>
            </w:pPr>
          </w:p>
        </w:tc>
      </w:tr>
      <w:tr>
        <w:trPr>
          <w:trHeight w:val="359"/>
        </w:trPr>
        <w:tc>
          <w:tcPr>
            <w:tcW w:w="100" w:type="dxa"/>
            <w:vAlign w:val="bottom"/>
            <w:shd w:val="clear" w:color="auto" w:fill="EEEFEF"/>
          </w:tcPr>
          <w:p>
            <w:pPr>
              <w:spacing w:after="0"/>
              <w:rPr>
                <w:sz w:val="24"/>
                <w:szCs w:val="24"/>
                <w:color w:val="auto"/>
              </w:rPr>
            </w:pPr>
          </w:p>
        </w:tc>
        <w:tc>
          <w:tcPr>
            <w:tcW w:w="3660" w:type="dxa"/>
            <w:vAlign w:val="bottom"/>
            <w:shd w:val="clear" w:color="auto" w:fill="074A75"/>
          </w:tcPr>
          <w:p>
            <w:pPr>
              <w:ind w:left="400"/>
              <w:spacing w:after="0"/>
              <w:rPr>
                <w:sz w:val="20"/>
                <w:szCs w:val="20"/>
                <w:color w:val="auto"/>
              </w:rPr>
            </w:pPr>
            <w:r>
              <w:rPr>
                <w:rFonts w:ascii="Arial" w:cs="Arial" w:eastAsia="Arial" w:hAnsi="Arial"/>
                <w:sz w:val="16"/>
                <w:szCs w:val="16"/>
                <w:color w:val="FFFFFF"/>
              </w:rPr>
              <w:t>EXCEPTIONAL CLIENT FRANCHISES</w:t>
            </w:r>
          </w:p>
        </w:tc>
        <w:tc>
          <w:tcPr>
            <w:tcW w:w="3700" w:type="dxa"/>
            <w:vAlign w:val="bottom"/>
            <w:shd w:val="clear" w:color="auto" w:fill="074A75"/>
          </w:tcPr>
          <w:p>
            <w:pPr>
              <w:ind w:left="140"/>
              <w:spacing w:after="0"/>
              <w:rPr>
                <w:sz w:val="20"/>
                <w:szCs w:val="20"/>
                <w:color w:val="auto"/>
              </w:rPr>
            </w:pPr>
            <w:r>
              <w:rPr>
                <w:rFonts w:ascii="Arial" w:cs="Arial" w:eastAsia="Arial" w:hAnsi="Arial"/>
                <w:sz w:val="16"/>
                <w:szCs w:val="16"/>
                <w:color w:val="FFFFFF"/>
              </w:rPr>
              <w:t>FORTRESS BALANCE SHEET &amp; PRINCIPLES</w:t>
            </w:r>
          </w:p>
        </w:tc>
        <w:tc>
          <w:tcPr>
            <w:tcW w:w="3680" w:type="dxa"/>
            <w:vAlign w:val="bottom"/>
            <w:shd w:val="clear" w:color="auto" w:fill="074A75"/>
          </w:tcPr>
          <w:p>
            <w:pPr>
              <w:ind w:left="440"/>
              <w:spacing w:after="0"/>
              <w:rPr>
                <w:sz w:val="20"/>
                <w:szCs w:val="20"/>
                <w:color w:val="auto"/>
              </w:rPr>
            </w:pPr>
            <w:r>
              <w:rPr>
                <w:rFonts w:ascii="Arial" w:cs="Arial" w:eastAsia="Arial" w:hAnsi="Arial"/>
                <w:sz w:val="16"/>
                <w:szCs w:val="16"/>
                <w:color w:val="FFFFFF"/>
              </w:rPr>
              <w:t>LONG-TERM SHAREHOLDER VALUE</w:t>
            </w:r>
          </w:p>
        </w:tc>
        <w:tc>
          <w:tcPr>
            <w:tcW w:w="100" w:type="dxa"/>
            <w:vAlign w:val="bottom"/>
            <w:shd w:val="clear" w:color="auto" w:fill="EEEFEF"/>
          </w:tcPr>
          <w:p>
            <w:pPr>
              <w:spacing w:after="0"/>
              <w:rPr>
                <w:sz w:val="24"/>
                <w:szCs w:val="24"/>
                <w:color w:val="auto"/>
              </w:rPr>
            </w:pPr>
          </w:p>
        </w:tc>
      </w:tr>
      <w:tr>
        <w:trPr>
          <w:trHeight w:val="155"/>
        </w:trPr>
        <w:tc>
          <w:tcPr>
            <w:tcW w:w="100" w:type="dxa"/>
            <w:vAlign w:val="bottom"/>
            <w:shd w:val="clear" w:color="auto" w:fill="EEEFEF"/>
          </w:tcPr>
          <w:p>
            <w:pPr>
              <w:spacing w:after="0"/>
              <w:rPr>
                <w:sz w:val="13"/>
                <w:szCs w:val="13"/>
                <w:color w:val="auto"/>
              </w:rPr>
            </w:pPr>
          </w:p>
        </w:tc>
        <w:tc>
          <w:tcPr>
            <w:tcW w:w="3660" w:type="dxa"/>
            <w:vAlign w:val="bottom"/>
            <w:shd w:val="clear" w:color="auto" w:fill="074A75"/>
          </w:tcPr>
          <w:p>
            <w:pPr>
              <w:spacing w:after="0"/>
              <w:rPr>
                <w:sz w:val="13"/>
                <w:szCs w:val="13"/>
                <w:color w:val="auto"/>
              </w:rPr>
            </w:pPr>
          </w:p>
        </w:tc>
        <w:tc>
          <w:tcPr>
            <w:tcW w:w="3700" w:type="dxa"/>
            <w:vAlign w:val="bottom"/>
            <w:shd w:val="clear" w:color="auto" w:fill="074A75"/>
          </w:tcPr>
          <w:p>
            <w:pPr>
              <w:spacing w:after="0"/>
              <w:rPr>
                <w:sz w:val="13"/>
                <w:szCs w:val="13"/>
                <w:color w:val="auto"/>
              </w:rPr>
            </w:pPr>
          </w:p>
        </w:tc>
        <w:tc>
          <w:tcPr>
            <w:tcW w:w="3680" w:type="dxa"/>
            <w:vAlign w:val="bottom"/>
            <w:shd w:val="clear" w:color="auto" w:fill="074A75"/>
          </w:tcPr>
          <w:p>
            <w:pPr>
              <w:spacing w:after="0"/>
              <w:rPr>
                <w:sz w:val="13"/>
                <w:szCs w:val="13"/>
                <w:color w:val="auto"/>
              </w:rPr>
            </w:pPr>
          </w:p>
        </w:tc>
        <w:tc>
          <w:tcPr>
            <w:tcW w:w="100" w:type="dxa"/>
            <w:vAlign w:val="bottom"/>
            <w:shd w:val="clear" w:color="auto" w:fill="EEEFEF"/>
          </w:tcPr>
          <w:p>
            <w:pPr>
              <w:spacing w:after="0"/>
              <w:rPr>
                <w:sz w:val="13"/>
                <w:szCs w:val="13"/>
                <w:color w:val="auto"/>
              </w:rPr>
            </w:pPr>
          </w:p>
        </w:tc>
      </w:tr>
      <w:tr>
        <w:trPr>
          <w:trHeight w:val="135"/>
        </w:trPr>
        <w:tc>
          <w:tcPr>
            <w:tcW w:w="100" w:type="dxa"/>
            <w:vAlign w:val="bottom"/>
            <w:shd w:val="clear" w:color="auto" w:fill="EEEFEF"/>
          </w:tcPr>
          <w:p>
            <w:pPr>
              <w:spacing w:after="0"/>
              <w:rPr>
                <w:sz w:val="11"/>
                <w:szCs w:val="11"/>
                <w:color w:val="auto"/>
              </w:rPr>
            </w:pPr>
          </w:p>
        </w:tc>
        <w:tc>
          <w:tcPr>
            <w:tcW w:w="3660" w:type="dxa"/>
            <w:vAlign w:val="bottom"/>
            <w:shd w:val="clear" w:color="auto" w:fill="EEEFEF"/>
          </w:tcPr>
          <w:p>
            <w:pPr>
              <w:spacing w:after="0"/>
              <w:rPr>
                <w:sz w:val="11"/>
                <w:szCs w:val="11"/>
                <w:color w:val="auto"/>
              </w:rPr>
            </w:pPr>
          </w:p>
        </w:tc>
        <w:tc>
          <w:tcPr>
            <w:tcW w:w="3700" w:type="dxa"/>
            <w:vAlign w:val="bottom"/>
            <w:shd w:val="clear" w:color="auto" w:fill="EEEFEF"/>
          </w:tcPr>
          <w:p>
            <w:pPr>
              <w:spacing w:after="0"/>
              <w:rPr>
                <w:sz w:val="11"/>
                <w:szCs w:val="11"/>
                <w:color w:val="auto"/>
              </w:rPr>
            </w:pPr>
          </w:p>
        </w:tc>
        <w:tc>
          <w:tcPr>
            <w:tcW w:w="3680" w:type="dxa"/>
            <w:vAlign w:val="bottom"/>
            <w:shd w:val="clear" w:color="auto" w:fill="EEEFEF"/>
          </w:tcPr>
          <w:p>
            <w:pPr>
              <w:spacing w:after="0"/>
              <w:rPr>
                <w:sz w:val="11"/>
                <w:szCs w:val="11"/>
                <w:color w:val="auto"/>
              </w:rPr>
            </w:pPr>
          </w:p>
        </w:tc>
        <w:tc>
          <w:tcPr>
            <w:tcW w:w="100" w:type="dxa"/>
            <w:vAlign w:val="bottom"/>
            <w:shd w:val="clear" w:color="auto" w:fill="EEEFE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-410845</wp:posOffset>
            </wp:positionV>
            <wp:extent cx="8255" cy="3257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-410845</wp:posOffset>
            </wp:positionV>
            <wp:extent cx="8890" cy="3257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22" w:lineRule="exact"/>
        <w:rPr>
          <w:sz w:val="20"/>
          <w:szCs w:val="20"/>
          <w:color w:val="auto"/>
        </w:rPr>
      </w:pPr>
    </w:p>
    <w:p>
      <w:pPr>
        <w:ind w:left="200" w:hanging="192"/>
        <w:spacing w:after="0"/>
        <w:tabs>
          <w:tab w:leader="none" w:pos="200" w:val="left"/>
        </w:tabs>
        <w:numPr>
          <w:ilvl w:val="0"/>
          <w:numId w:val="148"/>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114 for a definition of managed basis.</w:t>
      </w:r>
    </w:p>
    <w:p>
      <w:pPr>
        <w:ind w:left="200" w:hanging="192"/>
        <w:spacing w:after="0" w:line="187" w:lineRule="auto"/>
        <w:tabs>
          <w:tab w:leader="none" w:pos="200" w:val="left"/>
        </w:tabs>
        <w:numPr>
          <w:ilvl w:val="0"/>
          <w:numId w:val="149"/>
        </w:numPr>
        <w:rPr>
          <w:rFonts w:ascii="Arial" w:cs="Arial" w:eastAsia="Arial" w:hAnsi="Arial"/>
          <w:sz w:val="15"/>
          <w:szCs w:val="15"/>
          <w:color w:val="auto"/>
          <w:vertAlign w:val="superscript"/>
        </w:rPr>
      </w:pPr>
      <w:r>
        <w:rPr>
          <w:rFonts w:ascii="Arial" w:cs="Arial" w:eastAsia="Arial" w:hAnsi="Arial"/>
          <w:sz w:val="12"/>
          <w:szCs w:val="12"/>
          <w:color w:val="auto"/>
        </w:rPr>
        <w:t>ROTCE and TBVPS are each non-GAAP financial measures; refer to Note 1 on page 113 for a further discussion of these measures.</w:t>
      </w:r>
    </w:p>
    <w:p>
      <w:pPr>
        <w:ind w:left="200" w:hanging="192"/>
        <w:spacing w:after="0" w:line="188" w:lineRule="auto"/>
        <w:tabs>
          <w:tab w:leader="none" w:pos="200" w:val="left"/>
        </w:tabs>
        <w:numPr>
          <w:ilvl w:val="0"/>
          <w:numId w:val="150"/>
        </w:numPr>
        <w:rPr>
          <w:rFonts w:ascii="Arial" w:cs="Arial" w:eastAsia="Arial" w:hAnsi="Arial"/>
          <w:sz w:val="15"/>
          <w:szCs w:val="15"/>
          <w:color w:val="auto"/>
          <w:vertAlign w:val="superscript"/>
        </w:rPr>
      </w:pPr>
      <w:r>
        <w:rPr>
          <w:rFonts w:ascii="Arial" w:cs="Arial" w:eastAsia="Arial" w:hAnsi="Arial"/>
          <w:sz w:val="12"/>
          <w:szCs w:val="12"/>
          <w:color w:val="auto"/>
        </w:rPr>
        <w:t>Refer to Note 2 on page 39.</w:t>
      </w:r>
    </w:p>
    <w:p>
      <w:pPr>
        <w:ind w:left="200" w:hanging="192"/>
        <w:spacing w:after="0" w:line="188" w:lineRule="auto"/>
        <w:tabs>
          <w:tab w:leader="none" w:pos="200" w:val="left"/>
        </w:tabs>
        <w:numPr>
          <w:ilvl w:val="0"/>
          <w:numId w:val="151"/>
        </w:numPr>
        <w:rPr>
          <w:rFonts w:ascii="Arial" w:cs="Arial" w:eastAsia="Arial" w:hAnsi="Arial"/>
          <w:sz w:val="15"/>
          <w:szCs w:val="15"/>
          <w:color w:val="auto"/>
          <w:vertAlign w:val="superscript"/>
        </w:rPr>
      </w:pPr>
      <w:r>
        <w:rPr>
          <w:rFonts w:ascii="Arial" w:cs="Arial" w:eastAsia="Arial" w:hAnsi="Arial"/>
          <w:sz w:val="12"/>
          <w:szCs w:val="12"/>
          <w:color w:val="auto"/>
        </w:rPr>
        <w:t>Refer to Notes 2 and 3 on page 69.</w:t>
      </w:r>
    </w:p>
    <w:p>
      <w:pPr>
        <w:ind w:left="200" w:hanging="192"/>
        <w:spacing w:after="0" w:line="188" w:lineRule="auto"/>
        <w:tabs>
          <w:tab w:leader="none" w:pos="200" w:val="left"/>
        </w:tabs>
        <w:numPr>
          <w:ilvl w:val="0"/>
          <w:numId w:val="152"/>
        </w:numPr>
        <w:rPr>
          <w:rFonts w:ascii="Arial" w:cs="Arial" w:eastAsia="Arial" w:hAnsi="Arial"/>
          <w:sz w:val="15"/>
          <w:szCs w:val="15"/>
          <w:color w:val="auto"/>
          <w:vertAlign w:val="superscript"/>
        </w:rPr>
      </w:pPr>
      <w:r>
        <w:rPr>
          <w:rFonts w:ascii="Arial" w:cs="Arial" w:eastAsia="Arial" w:hAnsi="Arial"/>
          <w:sz w:val="12"/>
          <w:szCs w:val="12"/>
          <w:color w:val="auto"/>
        </w:rPr>
        <w:t>Refer to Additional notes, Note 3, on page 114.</w:t>
      </w:r>
    </w:p>
    <w:p>
      <w:pPr>
        <w:ind w:left="200" w:hanging="192"/>
        <w:spacing w:after="0" w:line="199" w:lineRule="auto"/>
        <w:tabs>
          <w:tab w:leader="none" w:pos="200" w:val="left"/>
        </w:tabs>
        <w:numPr>
          <w:ilvl w:val="0"/>
          <w:numId w:val="153"/>
        </w:numPr>
        <w:rPr>
          <w:rFonts w:ascii="Arial" w:cs="Arial" w:eastAsia="Arial" w:hAnsi="Arial"/>
          <w:sz w:val="15"/>
          <w:szCs w:val="15"/>
          <w:color w:val="auto"/>
          <w:vertAlign w:val="superscript"/>
        </w:rPr>
      </w:pPr>
      <w:r>
        <w:rPr>
          <w:rFonts w:ascii="Arial" w:cs="Arial" w:eastAsia="Arial" w:hAnsi="Arial"/>
          <w:sz w:val="12"/>
          <w:szCs w:val="12"/>
          <w:color w:val="auto"/>
        </w:rPr>
        <w:t>Refer to Additional notes, Note 4, on page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193040</wp:posOffset>
            </wp:positionV>
            <wp:extent cx="2743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53  </w:t>
      </w:r>
      <w:r>
        <w:rPr>
          <w:sz w:val="1"/>
          <w:szCs w:val="1"/>
          <w:color w:val="auto"/>
        </w:rPr>
        <w:drawing>
          <wp:inline distT="0" distB="0" distL="0" distR="0">
            <wp:extent cx="2203450" cy="15430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609"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LONG-TERM FINANCIAL PERFORMANCE</w:t>
      </w:r>
    </w:p>
    <w:p>
      <w:pPr>
        <w:spacing w:after="0" w:line="11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generated strong financial results over time, significantly increasing net income by over 50% over the past 10 years while adding substantial credit reserves and capital. Over this period we increased average common equity by over 35% to $237 billion and average 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by over 50% to $191 billion to support growth in the businesses and maintain a fortress balance sheet. We have maintained strong ROE and ROTCE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5674995" cy="3317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67499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over the past 10 years, reflecting compound annual growth rates of 8%, 6%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69215</wp:posOffset>
            </wp:positionV>
            <wp:extent cx="5674995" cy="20656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67499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hanging="192"/>
        <w:spacing w:after="0"/>
        <w:tabs>
          <w:tab w:leader="none" w:pos="200" w:val="left"/>
        </w:tabs>
        <w:numPr>
          <w:ilvl w:val="0"/>
          <w:numId w:val="154"/>
        </w:numPr>
        <w:rPr>
          <w:rFonts w:ascii="Arial" w:cs="Arial" w:eastAsia="Arial" w:hAnsi="Arial"/>
          <w:sz w:val="16"/>
          <w:szCs w:val="16"/>
          <w:color w:val="auto"/>
          <w:vertAlign w:val="superscript"/>
        </w:rPr>
      </w:pPr>
      <w:r>
        <w:rPr>
          <w:rFonts w:ascii="Arial" w:cs="Arial" w:eastAsia="Arial" w:hAnsi="Arial"/>
          <w:sz w:val="13"/>
          <w:szCs w:val="13"/>
          <w:color w:val="auto"/>
        </w:rPr>
        <w:t>Average TCE, ROTCE, and TBVPS are each non-GAAP financial measures; refer to Note 1 on page 113 for a further discussion of these measures.</w:t>
      </w:r>
    </w:p>
    <w:p>
      <w:pPr>
        <w:spacing w:after="0" w:line="1" w:lineRule="exact"/>
        <w:rPr>
          <w:sz w:val="20"/>
          <w:szCs w:val="20"/>
          <w:color w:val="auto"/>
        </w:rPr>
      </w:pPr>
    </w:p>
    <w:p>
      <w:pPr>
        <w:jc w:val="both"/>
        <w:ind w:left="200" w:right="140" w:hanging="192"/>
        <w:spacing w:after="0" w:line="223" w:lineRule="auto"/>
        <w:tabs>
          <w:tab w:leader="none" w:pos="200" w:val="left"/>
        </w:tabs>
        <w:numPr>
          <w:ilvl w:val="0"/>
          <w:numId w:val="155"/>
        </w:numPr>
        <w:rPr>
          <w:rFonts w:ascii="Arial" w:cs="Arial" w:eastAsia="Arial" w:hAnsi="Arial"/>
          <w:sz w:val="16"/>
          <w:szCs w:val="16"/>
          <w:color w:val="auto"/>
          <w:vertAlign w:val="superscript"/>
        </w:rPr>
      </w:pPr>
      <w:r>
        <w:rPr>
          <w:rFonts w:ascii="Arial" w:cs="Arial" w:eastAsia="Arial" w:hAnsi="Arial"/>
          <w:sz w:val="13"/>
          <w:szCs w:val="13"/>
          <w:color w:val="auto"/>
        </w:rPr>
        <w:t>Excluding the impact of the enactment of the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113 for a further discussion of these measures.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TOTAL SHAREHOLDER RETURN</w:t>
      </w:r>
    </w:p>
    <w:p>
      <w:pPr>
        <w:spacing w:after="0" w:line="110"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TSR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(6)% in 2020, following a TSR of 47% in 2019 and (7)% in 2018, for a combined three-year TSR of 30%. The graph below shows our TSR expressed as the cumulative return to shareholders over the past decade. As illustrated, a $100 investment in JPMorgan Chase common stock on December 31, 2010 would be valued at $393 as of December 31, 2020, which significantly outperformed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69850</wp:posOffset>
            </wp:positionV>
            <wp:extent cx="5966460" cy="34118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96646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hanging="192"/>
        <w:spacing w:after="0"/>
        <w:tabs>
          <w:tab w:leader="none" w:pos="200" w:val="left"/>
        </w:tabs>
        <w:numPr>
          <w:ilvl w:val="0"/>
          <w:numId w:val="156"/>
        </w:numPr>
        <w:rPr>
          <w:rFonts w:ascii="Arial" w:cs="Arial" w:eastAsia="Arial" w:hAnsi="Arial"/>
          <w:sz w:val="16"/>
          <w:szCs w:val="16"/>
          <w:color w:val="auto"/>
          <w:vertAlign w:val="superscript"/>
        </w:rPr>
      </w:pPr>
      <w:r>
        <w:rPr>
          <w:rFonts w:ascii="Arial" w:cs="Arial" w:eastAsia="Arial" w:hAnsi="Arial"/>
          <w:sz w:val="13"/>
          <w:szCs w:val="13"/>
          <w:color w:val="auto"/>
        </w:rPr>
        <w:t>TSR shows the actual return of the stock price, with dividends reinvested.</w:t>
      </w:r>
    </w:p>
    <w:p>
      <w:pPr>
        <w:sectPr>
          <w:pgSz w:w="11900" w:h="16838" w:orient="portrait"/>
          <w:cols w:equalWidth="0" w:num="1">
            <w:col w:w="11260"/>
          </w:cols>
          <w:pgMar w:left="320" w:top="171" w:right="31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color w:val="074A75"/>
        </w:rPr>
        <w:t>Risk, controls &amp; conduct</w:t>
      </w:r>
    </w:p>
    <w:p>
      <w:pPr>
        <w:spacing w:after="0" w:line="2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a strong control environment is fundamental to the success of our Firm. We continue to invest in strengthening our controls and infrastructure, including those related to health and safety, as part of our commitment to operate an effective and efficient risk, controls and conduct environment. The LOBs, Risk Management and Compliance, Finance, Legal and Internal Audit continue to focus on identifying our risks and enhancing our control environment. We are also continuing to work on becoming more effective and efficient in addressing risks and controls while improving the client and customer experience.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074A75"/>
        </w:rPr>
        <w:t>CYBERSECURITY</w:t>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Firm devotes significant resources to protecting and continuing to improve the security of computer systems, software, networks and other technology assets. The Firm’s security efforts are designed to protect against, among other things, cybersecurity attacks by unauthorized parties attempting to obtain access to confidential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destroy data, disrupt or degrade service, sabotage systems or cause other damage.</w:t>
      </w:r>
    </w:p>
    <w:p>
      <w:pPr>
        <w:spacing w:after="0" w:line="9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 to make significant investments in enhancing our cyber defense capabilities and to strengthen our partnerships with the appropriate government and law enforcement agencies and other businesses in order to understand the full spectrum of cybersecurity risks in the operating environment, enhance defenses and improve resiliency against cybersecurity threats.</w:t>
      </w:r>
    </w:p>
    <w:p>
      <w:pPr>
        <w:spacing w:after="0" w:line="1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risk of a security breach due to a cyber attack could increase in the future as the Firm continues to expand its mobile banking and other internet-based product offerings and its internal use of internet-based products and applications. Due to the impact of COVID-19, the Firm increased the use of remote access and video conferencing solutions provided by third parties to facilitate remote work. As a result the Firm took additional precautionary measures to mitigate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414020</wp:posOffset>
            </wp:positionV>
            <wp:extent cx="2743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534" w:lineRule="exact"/>
        <w:rPr>
          <w:sz w:val="20"/>
          <w:szCs w:val="20"/>
          <w:color w:val="auto"/>
        </w:rPr>
      </w:pPr>
    </w:p>
    <w:p>
      <w:pPr>
        <w:sectPr>
          <w:pgSz w:w="11900" w:h="16838" w:orient="portrait"/>
          <w:cols w:equalWidth="0" w:num="2">
            <w:col w:w="5360" w:space="380"/>
            <w:col w:w="5520"/>
          </w:cols>
          <w:pgMar w:left="320" w:top="171" w:right="319" w:bottom="1440" w:gutter="0" w:footer="0" w:header="0"/>
          <w:type w:val="continuous"/>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55  </w:t>
      </w:r>
      <w:r>
        <w:rPr>
          <w:sz w:val="1"/>
          <w:szCs w:val="1"/>
          <w:color w:val="auto"/>
        </w:rPr>
        <w:drawing>
          <wp:inline distT="0" distB="0" distL="0" distR="0">
            <wp:extent cx="2203450" cy="15430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71" w:right="319" w:bottom="1440" w:gutter="0" w:footer="0" w:header="0"/>
        </w:sectPr>
      </w:pPr>
    </w:p>
    <w:p>
      <w:pPr>
        <w:spacing w:after="0" w:line="19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Firm’s Security Awareness Program includes training that reinforces the Firm’s Information Technology Risk and Security Management policies, standards and practices, as well as the expectation that employees comply with these policies. The Security Awareness Program engages personnel through training on how to identify potential cybersecurity risks and protect the Firm’s resources and information. This training is mandatory for all employees globally on a periodic basis, and it is supplemented by Firmwide testing initiatives, including periodic phishing tests. Finally, the Firm’s Global Privacy Program requires all employees to take periodic awareness training on data privacy. This privacy-focused training includes information about confidentiality and security, as well as responding to unauthorized access to or use of information.</w:t>
      </w:r>
    </w:p>
    <w:p>
      <w:pPr>
        <w:spacing w:after="0" w:line="10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Audit Committee of the Board of Directors is updated periodically on the Firm’s Information Security Program and any recommended changes, cybersecurity policies and practices, ongoing efforts to improve security, as well as on our efforts regarding significant cybersecurity events.</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074A75"/>
        </w:rPr>
        <w:t>CONTINUED FOCUS ON CULTURE AND CONDUCT RISK MANAGEMENT</w:t>
      </w:r>
    </w:p>
    <w:p>
      <w:pPr>
        <w:spacing w:after="0" w:line="9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continue to reinforce our culture and remain focused on managing employee conduct end-to-end. Our “How We Do Business” principles are embedded throughout the employee lifecycle, starting with the onboarding process and extending to training, compensation, promoting and rewarding employees; and our performance development and compensation processes are designed to hold employees accountable for their conduct, where appropriate.</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and by including culture and conduct related questions in our employee surveys.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because the person reported a concern or assisted with any inquiry or investigation. In 2020, we simplified channels for employees to raise conduct concerns, implemented a new intake process to facilitate appropriate and timely routing, and enhanced our investigations protocols.</w:t>
      </w:r>
    </w:p>
    <w:p>
      <w:pPr>
        <w:spacing w:after="0" w:line="10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Firm reinforced its culture through various efforts throughout the year in response to the COVID-19 pandemic. The Firm supported employees by providing additional paid time off; offering expanded healthcare, well-being and childcare resources; and awarding special payments to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recognize employees whose job requires them to continue working onsite to facilitate essential banking services for our customers, clients and communities.</w:t>
      </w:r>
    </w:p>
    <w:p>
      <w:pPr>
        <w:spacing w:after="0" w:line="9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also introduced new culture initiatives including the launch of additional training for all employees called You Belong Here: Building a More Inclusive JPMC, and enhancements were made to current listening strategies that enable the Firm to more effectively measure how employees are experiencing the company. In addition, as part of our Path Forward commitments, we enhanced our accountability framework for senior managers to further strengthen our approach to incorporate diversity, equity and inclusion priorities and progress into the way we do business.</w:t>
      </w:r>
    </w:p>
    <w:p>
      <w:pPr>
        <w:spacing w:after="0" w:line="10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remain focused on our anti-harassment, anti-racism and culture of respect efforts across the company and continue to take a holistic approach to reinforce our culture by increasing awareness and education through engagement, communication and training while adhering to policy and regulatory requirements. Managers are expected to drive culture activities and initiatives that are consistent with our Business Principles and to escalate issues when appropriate. Our periodic Code of Conduct and Culture of Respect trainings were refreshed and assigned to all active employees.</w:t>
      </w:r>
    </w:p>
    <w:p>
      <w:pPr>
        <w:spacing w:after="0" w:line="8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actual or potential misconduct of individuals involved in matters that create material risk and control concerns is escalated and reviewed through the HR Control Forum process, which is discussed on page 51.</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color w:val="074A75"/>
        </w:rPr>
        <w:t>Client/customer/stakeholder</w:t>
      </w:r>
    </w:p>
    <w:p>
      <w:pPr>
        <w:spacing w:after="0" w:line="11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performance reflects our ongoing commitment to invest in our employees and businesses, further strengthen the market leadership of our franchises, generate long-term value for our shareholders, and help strengthen the broader economy. Amid the unprecedented health and economic consequences of COVID-19, the Firm continued to provide uninterrupted service to our clients and customers. During this time, the Firm continued to invest in our communities, through our initial commitments to support those most impacted by the pandemic and our longer-term commitment to advance racial equity and promote inclusive economic growth.</w:t>
      </w:r>
    </w:p>
    <w:p>
      <w:pPr>
        <w:spacing w:after="0" w:line="10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future success rests on our commitment to deliver value to our customers in meeting or exceeding expectations; deal fairly and ethically with our suppliers as good partners to help us meet our missions; support the communities in which we work, and protect the environment by embracing sustainable practices across our businesses.</w:t>
      </w:r>
    </w:p>
    <w:p>
      <w:pPr>
        <w:spacing w:after="0" w:line="1647"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71" w:right="319" w:bottom="1440" w:gutter="0" w:footer="0" w:header="0"/>
        </w:sectPr>
      </w:pPr>
    </w:p>
    <w:p>
      <w:pPr>
        <w:spacing w:after="0" w:line="188" w:lineRule="exact"/>
        <w:rPr>
          <w:sz w:val="20"/>
          <w:szCs w:val="20"/>
          <w:color w:val="auto"/>
        </w:rPr>
      </w:pPr>
    </w:p>
    <w:p>
      <w:pPr>
        <w:ind w:right="1240"/>
        <w:spacing w:after="0" w:line="246" w:lineRule="auto"/>
        <w:rPr>
          <w:sz w:val="20"/>
          <w:szCs w:val="20"/>
          <w:color w:val="auto"/>
        </w:rPr>
      </w:pPr>
      <w:r>
        <w:rPr>
          <w:rFonts w:ascii="Arial" w:cs="Arial" w:eastAsia="Arial" w:hAnsi="Arial"/>
          <w:sz w:val="20"/>
          <w:szCs w:val="20"/>
          <w:color w:val="074A75"/>
        </w:rPr>
        <w:t>ENHANCING OUR CUSTOMER AND CLIENT EXPERIENCE</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Exceptional Client Service is one of our Business Principles. We strive to deliver value by offering our customers and clients choice, through a full set of products and services; security by protecting their data and transactions; ease of doing business in a fast and simple way; and personalization through tailored customer solutions and integrated experiences. Our LOBs are able to leverage the unique scale advantage of our Firm in order to benefit our customers and clients, as illustrated in the following examples: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&amp; Community Banking (“CCB”)</w:t>
      </w:r>
    </w:p>
    <w:p>
      <w:pPr>
        <w:spacing w:after="0" w:line="135" w:lineRule="exact"/>
        <w:rPr>
          <w:sz w:val="20"/>
          <w:szCs w:val="20"/>
          <w:color w:val="auto"/>
        </w:rPr>
      </w:pPr>
    </w:p>
    <w:p>
      <w:pPr>
        <w:ind w:left="200" w:right="60" w:hanging="192"/>
        <w:spacing w:after="0" w:line="256" w:lineRule="auto"/>
        <w:tabs>
          <w:tab w:leader="none" w:pos="190"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Opened 158 branches, including 87 branches in new markets in 2020, for a total of approximately 170 branches opened in new markets since expansion began</w:t>
      </w:r>
    </w:p>
    <w:p>
      <w:pPr>
        <w:spacing w:after="0" w:line="66" w:lineRule="exact"/>
        <w:rPr>
          <w:rFonts w:ascii="Arial" w:cs="Arial" w:eastAsia="Arial" w:hAnsi="Arial"/>
          <w:sz w:val="18"/>
          <w:szCs w:val="18"/>
          <w:color w:val="074A75"/>
        </w:rPr>
      </w:pPr>
    </w:p>
    <w:p>
      <w:pPr>
        <w:ind w:left="200" w:right="40" w:hanging="192"/>
        <w:spacing w:after="0" w:line="256" w:lineRule="auto"/>
        <w:tabs>
          <w:tab w:leader="none" w:pos="204"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Digital adoption in the fourth quarter saw more than 40% of all check deposits made through QuickDeposit and more than 60% of all consumer mortgage applications were digital</w:t>
      </w:r>
    </w:p>
    <w:p>
      <w:pPr>
        <w:spacing w:after="0" w:line="53" w:lineRule="exact"/>
        <w:rPr>
          <w:rFonts w:ascii="Arial" w:cs="Arial" w:eastAsia="Arial" w:hAnsi="Arial"/>
          <w:sz w:val="18"/>
          <w:szCs w:val="18"/>
          <w:color w:val="074A75"/>
        </w:rPr>
      </w:pPr>
    </w:p>
    <w:p>
      <w:pPr>
        <w:ind w:left="200" w:hanging="192"/>
        <w:spacing w:after="0" w:line="254" w:lineRule="auto"/>
        <w:tabs>
          <w:tab w:leader="none" w:pos="204"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Launched Chase Business Complete Banking with QuickAccept, providing small business clients with credit and debit card payment acceptance capabilities integrated directly into their bank account</w:t>
      </w:r>
    </w:p>
    <w:p>
      <w:pPr>
        <w:spacing w:after="0" w:line="55" w:lineRule="exact"/>
        <w:rPr>
          <w:rFonts w:ascii="Arial" w:cs="Arial" w:eastAsia="Arial" w:hAnsi="Arial"/>
          <w:sz w:val="18"/>
          <w:szCs w:val="18"/>
          <w:color w:val="074A75"/>
        </w:rPr>
      </w:pPr>
    </w:p>
    <w:p>
      <w:pPr>
        <w:ind w:left="200" w:right="320" w:hanging="192"/>
        <w:spacing w:after="0" w:line="291" w:lineRule="auto"/>
        <w:tabs>
          <w:tab w:leader="none" w:pos="204" w:val="left"/>
        </w:tabs>
        <w:numPr>
          <w:ilvl w:val="0"/>
          <w:numId w:val="157"/>
        </w:numPr>
        <w:rPr>
          <w:rFonts w:ascii="Arial" w:cs="Arial" w:eastAsia="Arial" w:hAnsi="Arial"/>
          <w:sz w:val="17"/>
          <w:szCs w:val="17"/>
          <w:color w:val="074A75"/>
        </w:rPr>
      </w:pPr>
      <w:r>
        <w:rPr>
          <w:rFonts w:ascii="Arial" w:cs="Arial" w:eastAsia="Arial" w:hAnsi="Arial"/>
          <w:sz w:val="17"/>
          <w:szCs w:val="17"/>
          <w:color w:val="auto"/>
        </w:rPr>
        <w:t>Expanded rewards with "Pay Yourself Back"; introduced new lending capabilities with My Chase Plan / My Chase Loan</w:t>
      </w:r>
    </w:p>
    <w:p>
      <w:pPr>
        <w:spacing w:after="0" w:line="38" w:lineRule="exact"/>
        <w:rPr>
          <w:rFonts w:ascii="Arial" w:cs="Arial" w:eastAsia="Arial" w:hAnsi="Arial"/>
          <w:sz w:val="17"/>
          <w:szCs w:val="17"/>
          <w:color w:val="074A75"/>
        </w:rPr>
      </w:pPr>
    </w:p>
    <w:p>
      <w:pPr>
        <w:ind w:left="200" w:right="160" w:hanging="192"/>
        <w:spacing w:after="0" w:line="253" w:lineRule="auto"/>
        <w:tabs>
          <w:tab w:leader="none" w:pos="204"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Provided payment relief assistance to customers, representing approximately two million accounts with balances of approximately $83B</w:t>
      </w:r>
      <w:r>
        <w:rPr>
          <w:rFonts w:ascii="Arial" w:cs="Arial" w:eastAsia="Arial" w:hAnsi="Arial"/>
          <w:sz w:val="23"/>
          <w:szCs w:val="23"/>
          <w:color w:val="auto"/>
          <w:vertAlign w:val="superscript"/>
        </w:rPr>
        <w:t>1</w:t>
      </w:r>
    </w:p>
    <w:p>
      <w:pPr>
        <w:ind w:left="200" w:hanging="192"/>
        <w:spacing w:after="0"/>
        <w:tabs>
          <w:tab w:leader="none" w:pos="200"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Helped small businesses secure funding through the SBA's PPP</w:t>
      </w:r>
    </w:p>
    <w:p>
      <w:pPr>
        <w:spacing w:after="0" w:line="76" w:lineRule="exact"/>
        <w:rPr>
          <w:rFonts w:ascii="Arial" w:cs="Arial" w:eastAsia="Arial" w:hAnsi="Arial"/>
          <w:sz w:val="18"/>
          <w:szCs w:val="18"/>
          <w:color w:val="074A75"/>
        </w:rPr>
      </w:pPr>
    </w:p>
    <w:p>
      <w:pPr>
        <w:ind w:left="200" w:right="200" w:hanging="192"/>
        <w:spacing w:after="0" w:line="254" w:lineRule="auto"/>
        <w:tabs>
          <w:tab w:leader="none" w:pos="204"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Throughout the COVID-19 pandemic, gradually re-opened branches since April, with nearly 90% of branches returning to full services by the end of the year, with enhanced safety measures in place</w:t>
      </w:r>
    </w:p>
    <w:p>
      <w:pPr>
        <w:spacing w:after="0" w:line="68" w:lineRule="exact"/>
        <w:rPr>
          <w:rFonts w:ascii="Arial" w:cs="Arial" w:eastAsia="Arial" w:hAnsi="Arial"/>
          <w:sz w:val="18"/>
          <w:szCs w:val="18"/>
          <w:color w:val="074A75"/>
        </w:rPr>
      </w:pPr>
    </w:p>
    <w:p>
      <w:pPr>
        <w:ind w:left="200" w:hanging="192"/>
        <w:spacing w:after="0" w:line="254" w:lineRule="auto"/>
        <w:tabs>
          <w:tab w:leader="none" w:pos="204" w:val="left"/>
        </w:tabs>
        <w:numPr>
          <w:ilvl w:val="0"/>
          <w:numId w:val="157"/>
        </w:numPr>
        <w:rPr>
          <w:rFonts w:ascii="Arial" w:cs="Arial" w:eastAsia="Arial" w:hAnsi="Arial"/>
          <w:sz w:val="18"/>
          <w:szCs w:val="18"/>
          <w:color w:val="074A75"/>
        </w:rPr>
      </w:pPr>
      <w:r>
        <w:rPr>
          <w:rFonts w:ascii="Arial" w:cs="Arial" w:eastAsia="Arial" w:hAnsi="Arial"/>
          <w:sz w:val="18"/>
          <w:szCs w:val="18"/>
          <w:color w:val="auto"/>
        </w:rPr>
        <w:t>Provided seamless digital banking capabilities to help customers impacted by COVID-19, including the ability to remotely deposit stimulus checks, apply digitally for PPP loans, electronically dispute transactions or change travel plans booked with rewards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&amp; Investment Bank (“CIB”)</w:t>
      </w:r>
    </w:p>
    <w:p>
      <w:pPr>
        <w:spacing w:after="0" w:line="135" w:lineRule="exact"/>
        <w:rPr>
          <w:sz w:val="20"/>
          <w:szCs w:val="20"/>
          <w:color w:val="auto"/>
        </w:rPr>
      </w:pPr>
    </w:p>
    <w:p>
      <w:pPr>
        <w:ind w:left="200" w:right="180" w:hanging="196"/>
        <w:spacing w:after="0" w:line="261"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Supported higher trading, payment and deposit volumes through the COVID-19 pandemic</w:t>
      </w:r>
    </w:p>
    <w:p>
      <w:pPr>
        <w:spacing w:after="0" w:line="62" w:lineRule="exact"/>
        <w:rPr>
          <w:rFonts w:ascii="Arial" w:cs="Arial" w:eastAsia="Arial" w:hAnsi="Arial"/>
          <w:sz w:val="18"/>
          <w:szCs w:val="18"/>
          <w:color w:val="074A75"/>
        </w:rPr>
      </w:pPr>
    </w:p>
    <w:p>
      <w:pPr>
        <w:ind w:left="200" w:right="620" w:hanging="196"/>
        <w:spacing w:after="0" w:line="261"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Continued focus on electronic trading to support our clients across flow and non-flow products</w:t>
      </w:r>
    </w:p>
    <w:p>
      <w:pPr>
        <w:spacing w:after="0" w:line="49" w:lineRule="exact"/>
        <w:rPr>
          <w:rFonts w:ascii="Arial" w:cs="Arial" w:eastAsia="Arial" w:hAnsi="Arial"/>
          <w:sz w:val="18"/>
          <w:szCs w:val="18"/>
          <w:color w:val="074A75"/>
        </w:rPr>
      </w:pPr>
    </w:p>
    <w:p>
      <w:pPr>
        <w:ind w:left="200" w:right="540" w:hanging="196"/>
        <w:spacing w:after="0" w:line="261" w:lineRule="auto"/>
        <w:tabs>
          <w:tab w:leader="none" w:pos="204"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Consolidated next generation payments platforms under the newly created Onyx business unit</w:t>
      </w:r>
    </w:p>
    <w:p>
      <w:pPr>
        <w:spacing w:after="0" w:line="49" w:lineRule="exact"/>
        <w:rPr>
          <w:rFonts w:ascii="Arial" w:cs="Arial" w:eastAsia="Arial" w:hAnsi="Arial"/>
          <w:sz w:val="18"/>
          <w:szCs w:val="18"/>
          <w:color w:val="074A75"/>
        </w:rPr>
      </w:pPr>
    </w:p>
    <w:p>
      <w:pPr>
        <w:ind w:left="200" w:hanging="196"/>
        <w:spacing w:after="0"/>
        <w:tabs>
          <w:tab w:leader="none" w:pos="200" w:val="left"/>
        </w:tabs>
        <w:numPr>
          <w:ilvl w:val="0"/>
          <w:numId w:val="158"/>
        </w:numPr>
        <w:rPr>
          <w:rFonts w:ascii="Arial" w:cs="Arial" w:eastAsia="Arial" w:hAnsi="Arial"/>
          <w:sz w:val="18"/>
          <w:szCs w:val="18"/>
          <w:color w:val="074A75"/>
        </w:rPr>
      </w:pPr>
      <w:r>
        <w:rPr>
          <w:rFonts w:ascii="Arial" w:cs="Arial" w:eastAsia="Arial" w:hAnsi="Arial"/>
          <w:sz w:val="18"/>
          <w:szCs w:val="18"/>
          <w:color w:val="auto"/>
        </w:rPr>
        <w:t>Set up the first fully foreign-owned futures business in China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 (“CB”)</w:t>
      </w:r>
    </w:p>
    <w:p>
      <w:pPr>
        <w:spacing w:after="0" w:line="135" w:lineRule="exact"/>
        <w:rPr>
          <w:sz w:val="20"/>
          <w:szCs w:val="20"/>
          <w:color w:val="auto"/>
        </w:rPr>
      </w:pPr>
    </w:p>
    <w:p>
      <w:pPr>
        <w:ind w:left="200" w:right="680" w:hanging="196"/>
        <w:spacing w:after="0" w:line="229"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Extended $21B of new</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credit to vital institutions, including hospitals, healthcare service companies, education organizations, and state and local governments</w:t>
      </w:r>
    </w:p>
    <w:p>
      <w:pPr>
        <w:spacing w:after="0" w:line="81" w:lineRule="exact"/>
        <w:rPr>
          <w:rFonts w:ascii="Arial" w:cs="Arial" w:eastAsia="Arial" w:hAnsi="Arial"/>
          <w:sz w:val="18"/>
          <w:szCs w:val="18"/>
          <w:color w:val="074A75"/>
        </w:rPr>
      </w:pPr>
    </w:p>
    <w:p>
      <w:pPr>
        <w:ind w:left="200" w:hanging="196"/>
        <w:spacing w:after="0"/>
        <w:tabs>
          <w:tab w:leader="none" w:pos="200"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Facilitated critical funding to clients through the SBA's PPP</w:t>
      </w:r>
    </w:p>
    <w:p>
      <w:pPr>
        <w:spacing w:after="0" w:line="76" w:lineRule="exact"/>
        <w:rPr>
          <w:rFonts w:ascii="Arial" w:cs="Arial" w:eastAsia="Arial" w:hAnsi="Arial"/>
          <w:sz w:val="18"/>
          <w:szCs w:val="18"/>
          <w:color w:val="074A75"/>
        </w:rPr>
      </w:pPr>
    </w:p>
    <w:p>
      <w:pPr>
        <w:ind w:left="200" w:right="220" w:hanging="196"/>
        <w:spacing w:after="0" w:line="256"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Continued to develop new wholesale payment solutions and functionality for all clients, providing them with digital capabilities in a new remote environment</w:t>
      </w:r>
    </w:p>
    <w:p>
      <w:pPr>
        <w:spacing w:after="0" w:line="53" w:lineRule="exact"/>
        <w:rPr>
          <w:rFonts w:ascii="Arial" w:cs="Arial" w:eastAsia="Arial" w:hAnsi="Arial"/>
          <w:sz w:val="18"/>
          <w:szCs w:val="18"/>
          <w:color w:val="074A75"/>
        </w:rPr>
      </w:pPr>
    </w:p>
    <w:p>
      <w:pPr>
        <w:ind w:left="200" w:right="500" w:hanging="196"/>
        <w:spacing w:after="0" w:line="261"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Added over 1,800 new relationships, with the majority added since March in a virtual or remote work environment</w:t>
      </w:r>
    </w:p>
    <w:p>
      <w:pPr>
        <w:spacing w:after="0" w:line="62" w:lineRule="exact"/>
        <w:rPr>
          <w:rFonts w:ascii="Arial" w:cs="Arial" w:eastAsia="Arial" w:hAnsi="Arial"/>
          <w:sz w:val="18"/>
          <w:szCs w:val="18"/>
          <w:color w:val="074A75"/>
        </w:rPr>
      </w:pPr>
    </w:p>
    <w:p>
      <w:pPr>
        <w:ind w:left="200" w:right="360" w:hanging="196"/>
        <w:spacing w:after="0" w:line="254" w:lineRule="auto"/>
        <w:tabs>
          <w:tab w:leader="none" w:pos="204" w:val="left"/>
        </w:tabs>
        <w:numPr>
          <w:ilvl w:val="0"/>
          <w:numId w:val="159"/>
        </w:numPr>
        <w:rPr>
          <w:rFonts w:ascii="Arial" w:cs="Arial" w:eastAsia="Arial" w:hAnsi="Arial"/>
          <w:sz w:val="18"/>
          <w:szCs w:val="18"/>
          <w:color w:val="074A75"/>
        </w:rPr>
      </w:pPr>
      <w:r>
        <w:rPr>
          <w:rFonts w:ascii="Arial" w:cs="Arial" w:eastAsia="Arial" w:hAnsi="Arial"/>
          <w:sz w:val="18"/>
          <w:szCs w:val="18"/>
          <w:color w:val="auto"/>
        </w:rPr>
        <w:t>Streamlined onboarding experience for Chase Connect clients through end-to-end data integration with the middle office; modernized lending operations to drive efficiency and digital client engagement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&amp; Wealth Management (“AWM”)</w:t>
      </w:r>
    </w:p>
    <w:p>
      <w:pPr>
        <w:spacing w:after="0" w:line="135" w:lineRule="exact"/>
        <w:rPr>
          <w:sz w:val="20"/>
          <w:szCs w:val="20"/>
          <w:color w:val="auto"/>
        </w:rPr>
      </w:pPr>
    </w:p>
    <w:p>
      <w:pPr>
        <w:ind w:left="200" w:right="340" w:hanging="196"/>
        <w:spacing w:after="0" w:line="261" w:lineRule="auto"/>
        <w:tabs>
          <w:tab w:leader="none" w:pos="204" w:val="left"/>
        </w:tabs>
        <w:numPr>
          <w:ilvl w:val="0"/>
          <w:numId w:val="160"/>
        </w:numPr>
        <w:rPr>
          <w:rFonts w:ascii="Arial" w:cs="Arial" w:eastAsia="Arial" w:hAnsi="Arial"/>
          <w:sz w:val="18"/>
          <w:szCs w:val="18"/>
          <w:color w:val="074A75"/>
        </w:rPr>
      </w:pPr>
      <w:r>
        <w:rPr>
          <w:rFonts w:ascii="Arial" w:cs="Arial" w:eastAsia="Arial" w:hAnsi="Arial"/>
          <w:sz w:val="18"/>
          <w:szCs w:val="18"/>
          <w:color w:val="auto"/>
        </w:rPr>
        <w:t>Launched new, innovative investment strategies to help clients capitalize on market dislocations</w:t>
      </w:r>
    </w:p>
    <w:p>
      <w:pPr>
        <w:spacing w:after="0" w:line="49" w:lineRule="exact"/>
        <w:rPr>
          <w:rFonts w:ascii="Arial" w:cs="Arial" w:eastAsia="Arial" w:hAnsi="Arial"/>
          <w:sz w:val="18"/>
          <w:szCs w:val="18"/>
          <w:color w:val="074A75"/>
        </w:rPr>
      </w:pPr>
    </w:p>
    <w:p>
      <w:pPr>
        <w:ind w:left="200" w:right="860" w:hanging="196"/>
        <w:spacing w:after="0" w:line="261" w:lineRule="auto"/>
        <w:tabs>
          <w:tab w:leader="none" w:pos="204" w:val="left"/>
        </w:tabs>
        <w:numPr>
          <w:ilvl w:val="0"/>
          <w:numId w:val="160"/>
        </w:numPr>
        <w:rPr>
          <w:rFonts w:ascii="Arial" w:cs="Arial" w:eastAsia="Arial" w:hAnsi="Arial"/>
          <w:sz w:val="18"/>
          <w:szCs w:val="18"/>
          <w:color w:val="074A75"/>
        </w:rPr>
      </w:pPr>
      <w:r>
        <w:rPr>
          <w:rFonts w:ascii="Arial" w:cs="Arial" w:eastAsia="Arial" w:hAnsi="Arial"/>
          <w:sz w:val="18"/>
          <w:szCs w:val="18"/>
          <w:color w:val="auto"/>
        </w:rPr>
        <w:t>Launched EveryDay 401(k) for small U.S. businesses in partnership with Chase Business Banking</w:t>
      </w:r>
    </w:p>
    <w:p>
      <w:pPr>
        <w:spacing w:after="0" w:line="62" w:lineRule="exact"/>
        <w:rPr>
          <w:rFonts w:ascii="Arial" w:cs="Arial" w:eastAsia="Arial" w:hAnsi="Arial"/>
          <w:sz w:val="18"/>
          <w:szCs w:val="18"/>
          <w:color w:val="074A75"/>
        </w:rPr>
      </w:pPr>
    </w:p>
    <w:p>
      <w:pPr>
        <w:ind w:left="200" w:right="200" w:hanging="196"/>
        <w:spacing w:after="0" w:line="261" w:lineRule="auto"/>
        <w:tabs>
          <w:tab w:leader="none" w:pos="204" w:val="left"/>
        </w:tabs>
        <w:numPr>
          <w:ilvl w:val="0"/>
          <w:numId w:val="160"/>
        </w:numPr>
        <w:rPr>
          <w:rFonts w:ascii="Arial" w:cs="Arial" w:eastAsia="Arial" w:hAnsi="Arial"/>
          <w:sz w:val="18"/>
          <w:szCs w:val="18"/>
          <w:color w:val="074A75"/>
        </w:rPr>
      </w:pPr>
      <w:r>
        <w:rPr>
          <w:rFonts w:ascii="Arial" w:cs="Arial" w:eastAsia="Arial" w:hAnsi="Arial"/>
          <w:sz w:val="18"/>
          <w:szCs w:val="18"/>
          <w:color w:val="auto"/>
        </w:rPr>
        <w:t>Acquired 55ip, a FinTech company and pioneer in delivering tax-smart investment strategies through model portfolios</w:t>
      </w:r>
    </w:p>
    <w:p>
      <w:pPr>
        <w:spacing w:after="0" w:line="49" w:lineRule="exact"/>
        <w:rPr>
          <w:rFonts w:ascii="Arial" w:cs="Arial" w:eastAsia="Arial" w:hAnsi="Arial"/>
          <w:sz w:val="18"/>
          <w:szCs w:val="18"/>
          <w:color w:val="074A75"/>
        </w:rPr>
      </w:pPr>
    </w:p>
    <w:p>
      <w:pPr>
        <w:ind w:left="200" w:right="480" w:hanging="196"/>
        <w:spacing w:after="0" w:line="256" w:lineRule="auto"/>
        <w:tabs>
          <w:tab w:leader="none" w:pos="204" w:val="left"/>
        </w:tabs>
        <w:numPr>
          <w:ilvl w:val="0"/>
          <w:numId w:val="160"/>
        </w:numPr>
        <w:rPr>
          <w:rFonts w:ascii="Arial" w:cs="Arial" w:eastAsia="Arial" w:hAnsi="Arial"/>
          <w:sz w:val="18"/>
          <w:szCs w:val="18"/>
          <w:color w:val="074A75"/>
        </w:rPr>
      </w:pPr>
      <w:r>
        <w:rPr>
          <w:rFonts w:ascii="Arial" w:cs="Arial" w:eastAsia="Arial" w:hAnsi="Arial"/>
          <w:sz w:val="18"/>
          <w:szCs w:val="18"/>
          <w:color w:val="auto"/>
        </w:rPr>
        <w:t>Increased U.S. Private Bank Overall Customer Satisfaction (OSAT) score by 6 points and our Net Promoter Score (NPS) score by 11 points</w:t>
      </w:r>
    </w:p>
    <w:p>
      <w:pPr>
        <w:spacing w:after="0" w:line="481" w:lineRule="exact"/>
        <w:rPr>
          <w:sz w:val="20"/>
          <w:szCs w:val="20"/>
          <w:color w:val="auto"/>
        </w:rPr>
      </w:pPr>
    </w:p>
    <w:p>
      <w:pPr>
        <w:sectPr>
          <w:pgSz w:w="11900" w:h="16838" w:orient="portrait"/>
          <w:cols w:equalWidth="0" w:num="2">
            <w:col w:w="5340" w:space="400"/>
            <w:col w:w="552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hanging="192"/>
        <w:spacing w:after="0"/>
        <w:tabs>
          <w:tab w:leader="none" w:pos="200" w:val="left"/>
        </w:tabs>
        <w:numPr>
          <w:ilvl w:val="0"/>
          <w:numId w:val="161"/>
        </w:numPr>
        <w:rPr>
          <w:rFonts w:ascii="Arial" w:cs="Arial" w:eastAsia="Arial" w:hAnsi="Arial"/>
          <w:sz w:val="15"/>
          <w:szCs w:val="15"/>
          <w:color w:val="auto"/>
          <w:vertAlign w:val="superscript"/>
        </w:rPr>
      </w:pPr>
      <w:r>
        <w:rPr>
          <w:rFonts w:ascii="Arial" w:cs="Arial" w:eastAsia="Arial" w:hAnsi="Arial"/>
          <w:sz w:val="12"/>
          <w:szCs w:val="12"/>
          <w:color w:val="auto"/>
        </w:rPr>
        <w:t>Represents the December 31, 2020 balances for accounts provided payment relief, including those currently enrolled in relief and those who have exited relief. Includes residential real estate loans</w:t>
      </w:r>
    </w:p>
    <w:p>
      <w:pPr>
        <w:ind w:left="200"/>
        <w:spacing w:after="0" w:line="237" w:lineRule="auto"/>
        <w:rPr>
          <w:sz w:val="20"/>
          <w:szCs w:val="20"/>
          <w:color w:val="auto"/>
        </w:rPr>
      </w:pPr>
      <w:r>
        <w:rPr>
          <w:rFonts w:ascii="Arial" w:cs="Arial" w:eastAsia="Arial" w:hAnsi="Arial"/>
          <w:sz w:val="13"/>
          <w:szCs w:val="13"/>
          <w:color w:val="auto"/>
        </w:rPr>
        <w:t>held in CCB, AWM and Corporate.</w:t>
      </w:r>
    </w:p>
    <w:p>
      <w:pPr>
        <w:ind w:left="200" w:hanging="192"/>
        <w:spacing w:after="0" w:line="199" w:lineRule="auto"/>
        <w:tabs>
          <w:tab w:leader="none" w:pos="200" w:val="left"/>
        </w:tabs>
        <w:numPr>
          <w:ilvl w:val="0"/>
          <w:numId w:val="162"/>
        </w:numPr>
        <w:rPr>
          <w:rFonts w:ascii="Arial" w:cs="Arial" w:eastAsia="Arial" w:hAnsi="Arial"/>
          <w:sz w:val="16"/>
          <w:szCs w:val="16"/>
          <w:color w:val="auto"/>
          <w:vertAlign w:val="superscript"/>
        </w:rPr>
      </w:pPr>
      <w:r>
        <w:rPr>
          <w:rFonts w:ascii="Arial" w:cs="Arial" w:eastAsia="Arial" w:hAnsi="Arial"/>
          <w:sz w:val="13"/>
          <w:szCs w:val="13"/>
          <w:color w:val="auto"/>
        </w:rPr>
        <w:t>Includes new credit commitment originations and existing credit commitments that experienced a major modification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207645</wp:posOffset>
            </wp:positionV>
            <wp:extent cx="27432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57  </w:t>
      </w:r>
      <w:r>
        <w:rPr>
          <w:sz w:val="1"/>
          <w:szCs w:val="1"/>
          <w:color w:val="auto"/>
        </w:rPr>
        <w:drawing>
          <wp:inline distT="0" distB="0" distL="0" distR="0">
            <wp:extent cx="2203450" cy="154305"/>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71" w:right="3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074A75"/>
        </w:rPr>
        <w:t>INVESTING IN OUR COMMUNITIES</w:t>
      </w:r>
    </w:p>
    <w:p>
      <w:pPr>
        <w:spacing w:after="0" w:line="11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endeavor to help build an inclusive global economy and advance racial equity for our customers, clients and communities. We also work to advance environmental sustainability within our business activities and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work include:</w:t>
      </w:r>
    </w:p>
    <w:p>
      <w:pPr>
        <w:spacing w:after="0" w:line="99" w:lineRule="exact"/>
        <w:rPr>
          <w:sz w:val="20"/>
          <w:szCs w:val="20"/>
          <w:color w:val="auto"/>
        </w:rPr>
      </w:pPr>
    </w:p>
    <w:p>
      <w:pPr>
        <w:ind w:left="200" w:hanging="192"/>
        <w:spacing w:after="0" w:line="252" w:lineRule="auto"/>
        <w:tabs>
          <w:tab w:leader="none" w:pos="204" w:val="left"/>
        </w:tabs>
        <w:numPr>
          <w:ilvl w:val="0"/>
          <w:numId w:val="163"/>
        </w:numPr>
        <w:rPr>
          <w:rFonts w:ascii="Arial" w:cs="Arial" w:eastAsia="Arial" w:hAnsi="Arial"/>
          <w:sz w:val="18"/>
          <w:szCs w:val="18"/>
          <w:color w:val="074A75"/>
        </w:rPr>
      </w:pPr>
      <w:r>
        <w:rPr>
          <w:rFonts w:ascii="Arial" w:cs="Arial" w:eastAsia="Arial" w:hAnsi="Arial"/>
          <w:sz w:val="18"/>
          <w:szCs w:val="18"/>
          <w:i w:val="1"/>
          <w:iCs w:val="1"/>
          <w:color w:val="auto"/>
        </w:rPr>
        <w:t xml:space="preserve">Driving inclusive recovery and economic opportunity </w:t>
      </w:r>
      <w:r>
        <w:rPr>
          <w:rFonts w:ascii="Arial" w:cs="Arial" w:eastAsia="Arial" w:hAnsi="Arial"/>
          <w:sz w:val="18"/>
          <w:szCs w:val="18"/>
          <w:color w:val="auto"/>
        </w:rPr>
        <w:t>–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apply our business and policy expertise, sustainable business practices, data, capital and global presence to advance solutions that support an inclusive recovery and create economic opportunity for our customers, employees and the communities we serve. Our efforts focus on the areas where our business and expertise can drive long-term impact: careers and skills, business growth and entrepreneurship, community development, financial health and wealth creation as well as sustainability. As part of our early response to the COVID-19 pandemic, we applied data-driven solutions to help some of the hardest hit communities address the immediate crisis – and to help them recover. This included an initial $250 million global business and philanthropic commitment to support vulnerable and underrepresented communities, existing nonprofit partners and underserved small businesses.</w:t>
      </w:r>
    </w:p>
    <w:p>
      <w:pPr>
        <w:spacing w:after="0" w:line="86" w:lineRule="exact"/>
        <w:rPr>
          <w:rFonts w:ascii="Arial" w:cs="Arial" w:eastAsia="Arial" w:hAnsi="Arial"/>
          <w:sz w:val="18"/>
          <w:szCs w:val="18"/>
          <w:color w:val="074A75"/>
        </w:rPr>
      </w:pPr>
    </w:p>
    <w:p>
      <w:pPr>
        <w:ind w:left="200" w:right="20" w:hanging="192"/>
        <w:spacing w:after="0" w:line="253" w:lineRule="auto"/>
        <w:tabs>
          <w:tab w:leader="none" w:pos="204" w:val="left"/>
        </w:tabs>
        <w:numPr>
          <w:ilvl w:val="0"/>
          <w:numId w:val="163"/>
        </w:numPr>
        <w:rPr>
          <w:rFonts w:ascii="Arial" w:cs="Arial" w:eastAsia="Arial" w:hAnsi="Arial"/>
          <w:sz w:val="18"/>
          <w:szCs w:val="18"/>
          <w:color w:val="074A75"/>
        </w:rPr>
      </w:pPr>
      <w:r>
        <w:rPr>
          <w:rFonts w:ascii="Arial" w:cs="Arial" w:eastAsia="Arial" w:hAnsi="Arial"/>
          <w:sz w:val="18"/>
          <w:szCs w:val="18"/>
          <w:i w:val="1"/>
          <w:iCs w:val="1"/>
          <w:color w:val="auto"/>
        </w:rPr>
        <w:t xml:space="preserve">Advancing racial equity – </w:t>
      </w:r>
      <w:r>
        <w:rPr>
          <w:rFonts w:ascii="Arial" w:cs="Arial" w:eastAsia="Arial" w:hAnsi="Arial"/>
          <w:sz w:val="18"/>
          <w:szCs w:val="18"/>
          <w:color w:val="auto"/>
        </w:rPr>
        <w:t>As described on page 6, we committed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$30 billion to advance racial equity as part of our Path Forward initiative and will harness our expertise in business, public policy and philanthropy across four core areas to help tackle racial inequities and provide economic opportunity for Black and Latinx communities. We are working with partners in cities across the U.S. to understand local needs and develop recommendations that shape local investments. From the way we do business to the policies we advocate, these commitments are part of a continued effort to bring an enhanced equity lens to our businesses and how we serve customers, communities and employees.</w:t>
      </w:r>
    </w:p>
    <w:p>
      <w:pPr>
        <w:spacing w:after="0" w:line="81" w:lineRule="exact"/>
        <w:rPr>
          <w:rFonts w:ascii="Arial" w:cs="Arial" w:eastAsia="Arial" w:hAnsi="Arial"/>
          <w:sz w:val="18"/>
          <w:szCs w:val="18"/>
          <w:color w:val="074A75"/>
        </w:rPr>
      </w:pPr>
    </w:p>
    <w:p>
      <w:pPr>
        <w:ind w:left="200" w:hanging="192"/>
        <w:spacing w:after="0" w:line="258" w:lineRule="auto"/>
        <w:tabs>
          <w:tab w:leader="none" w:pos="204" w:val="left"/>
        </w:tabs>
        <w:numPr>
          <w:ilvl w:val="0"/>
          <w:numId w:val="163"/>
        </w:numPr>
        <w:rPr>
          <w:rFonts w:ascii="Arial" w:cs="Arial" w:eastAsia="Arial" w:hAnsi="Arial"/>
          <w:sz w:val="18"/>
          <w:szCs w:val="18"/>
          <w:color w:val="074A75"/>
        </w:rPr>
      </w:pPr>
      <w:r>
        <w:rPr>
          <w:rFonts w:ascii="Arial" w:cs="Arial" w:eastAsia="Arial" w:hAnsi="Arial"/>
          <w:sz w:val="18"/>
          <w:szCs w:val="18"/>
          <w:i w:val="1"/>
          <w:iCs w:val="1"/>
          <w:color w:val="auto"/>
        </w:rPr>
        <w:t xml:space="preserve">Advancing sustainable development </w:t>
      </w:r>
      <w:r>
        <w:rPr>
          <w:rFonts w:ascii="Arial" w:cs="Arial" w:eastAsia="Arial" w:hAnsi="Arial"/>
          <w:sz w:val="18"/>
          <w:szCs w:val="18"/>
          <w:color w:val="auto"/>
        </w:rPr>
        <w:t>– We leverage our expertise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financial markets to promote sustainable business practices and help our clients raise the capital they need to invest in projects and initiatives intended to achieve positive environmental and social outcomes.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00" w:right="200" w:hanging="196"/>
        <w:spacing w:after="0" w:line="254" w:lineRule="auto"/>
        <w:tabs>
          <w:tab w:leader="none" w:pos="204" w:val="left"/>
        </w:tabs>
        <w:numPr>
          <w:ilvl w:val="0"/>
          <w:numId w:val="164"/>
        </w:numPr>
        <w:rPr>
          <w:rFonts w:ascii="Arial" w:cs="Arial" w:eastAsia="Arial" w:hAnsi="Arial"/>
          <w:sz w:val="18"/>
          <w:szCs w:val="18"/>
          <w:color w:val="074A75"/>
        </w:rPr>
      </w:pPr>
      <w:r>
        <w:rPr>
          <w:rFonts w:ascii="Arial" w:cs="Arial" w:eastAsia="Arial" w:hAnsi="Arial"/>
          <w:sz w:val="18"/>
          <w:szCs w:val="18"/>
          <w:i w:val="1"/>
          <w:iCs w:val="1"/>
          <w:color w:val="auto"/>
        </w:rPr>
        <w:t xml:space="preserve">Minimizing our environmental impact </w:t>
      </w:r>
      <w:r>
        <w:rPr>
          <w:rFonts w:ascii="Arial" w:cs="Arial" w:eastAsia="Arial" w:hAnsi="Arial"/>
          <w:sz w:val="18"/>
          <w:szCs w:val="18"/>
          <w:color w:val="auto"/>
        </w:rPr>
        <w:t>– In addition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source renewable energy for 100% of our global power needs, in 2020, the Firm also announced its commitment to become carbon neutral in its operations; both commitments have been achieved and are pending verification. Over time, we will continue to meet our commitments on an annual basis and aim to do so in a way that maximizes our impact by reducing our energy consumption and bringing more renewable energy onto the grid.</w:t>
      </w:r>
    </w:p>
    <w:p>
      <w:pPr>
        <w:spacing w:after="0" w:line="80" w:lineRule="exact"/>
        <w:rPr>
          <w:rFonts w:ascii="Arial" w:cs="Arial" w:eastAsia="Arial" w:hAnsi="Arial"/>
          <w:sz w:val="18"/>
          <w:szCs w:val="18"/>
          <w:color w:val="074A75"/>
        </w:rPr>
      </w:pPr>
    </w:p>
    <w:p>
      <w:pPr>
        <w:ind w:left="200" w:right="160" w:hanging="196"/>
        <w:spacing w:after="0" w:line="252" w:lineRule="auto"/>
        <w:tabs>
          <w:tab w:leader="none" w:pos="204" w:val="left"/>
        </w:tabs>
        <w:numPr>
          <w:ilvl w:val="0"/>
          <w:numId w:val="164"/>
        </w:numPr>
        <w:rPr>
          <w:rFonts w:ascii="Arial" w:cs="Arial" w:eastAsia="Arial" w:hAnsi="Arial"/>
          <w:sz w:val="18"/>
          <w:szCs w:val="18"/>
          <w:color w:val="074A75"/>
        </w:rPr>
      </w:pPr>
      <w:r>
        <w:rPr>
          <w:rFonts w:ascii="Arial" w:cs="Arial" w:eastAsia="Arial" w:hAnsi="Arial"/>
          <w:sz w:val="18"/>
          <w:szCs w:val="18"/>
          <w:i w:val="1"/>
          <w:iCs w:val="1"/>
          <w:color w:val="auto"/>
        </w:rPr>
        <w:t xml:space="preserve">Providing skills and expertise </w:t>
      </w:r>
      <w:r>
        <w:rPr>
          <w:rFonts w:ascii="Arial" w:cs="Arial" w:eastAsia="Arial" w:hAnsi="Arial"/>
          <w:sz w:val="18"/>
          <w:szCs w:val="18"/>
          <w:color w:val="auto"/>
        </w:rPr>
        <w:t>– Our signature skills-based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Service Corps, has been helping our nonprofit partners overcome strategic business challenges since 2013. In 2020, the program enabled more than 220 global employees to use their skills and expertise through pro bono consulting projects that helped nearly 50 nonprofits deliver on their missions. Despite the challenges presented by the COVID-19 pandemic, the Service Corps still managed to conduct projects in eight countries spanning four continents using a virtual operating model. Across the U.S., colleagues have also mentored mission-oriented fintech entrepreneurs. In addition, we delivered 138 nonprofit solutions with more than 1,300 employee volunteers giving over 38,000 hours of their time through our Force for Good program.</w:t>
      </w:r>
    </w:p>
    <w:p>
      <w:pPr>
        <w:spacing w:after="0" w:line="89" w:lineRule="exact"/>
        <w:rPr>
          <w:rFonts w:ascii="Arial" w:cs="Arial" w:eastAsia="Arial" w:hAnsi="Arial"/>
          <w:sz w:val="18"/>
          <w:szCs w:val="18"/>
          <w:color w:val="074A75"/>
        </w:rPr>
      </w:pPr>
    </w:p>
    <w:p>
      <w:pPr>
        <w:ind w:left="200" w:right="140" w:hanging="196"/>
        <w:spacing w:after="0" w:line="253" w:lineRule="auto"/>
        <w:tabs>
          <w:tab w:leader="none" w:pos="204" w:val="left"/>
        </w:tabs>
        <w:numPr>
          <w:ilvl w:val="0"/>
          <w:numId w:val="164"/>
        </w:numPr>
        <w:rPr>
          <w:rFonts w:ascii="Arial" w:cs="Arial" w:eastAsia="Arial" w:hAnsi="Arial"/>
          <w:sz w:val="18"/>
          <w:szCs w:val="18"/>
          <w:color w:val="074A75"/>
        </w:rPr>
      </w:pPr>
      <w:r>
        <w:rPr>
          <w:rFonts w:ascii="Arial" w:cs="Arial" w:eastAsia="Arial" w:hAnsi="Arial"/>
          <w:sz w:val="18"/>
          <w:szCs w:val="18"/>
          <w:i w:val="1"/>
          <w:iCs w:val="1"/>
          <w:color w:val="auto"/>
        </w:rPr>
        <w:t xml:space="preserve">Mentoring students and young professionals </w:t>
      </w:r>
      <w:r>
        <w:rPr>
          <w:rFonts w:ascii="Arial" w:cs="Arial" w:eastAsia="Arial" w:hAnsi="Arial"/>
          <w:sz w:val="18"/>
          <w:szCs w:val="18"/>
          <w:color w:val="auto"/>
        </w:rPr>
        <w:t>– Globally,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have dedicated their time to help young people develop the skills necessary for future success through programs such as The Fellowship Initiative and Advancing Young Professionals. Through The Schools Challenge in particular, 600 employees in seven cities across the globe volunteered their time as mentors in the program to support the students to gain employability skills to pursue promising careers in the future. In delivering all of these programs virtually during the pandemic, we were able to establish a culture of continuous learning and development while giving back to the community.</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074A75"/>
        </w:rPr>
        <w:t>Reporting on our efforts</w:t>
      </w:r>
    </w:p>
    <w:p>
      <w:pPr>
        <w:spacing w:after="0" w:line="11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Each spring we publish a dedicated ESG Report, which summarizes our efforts and performance on ESG matters that we and our stakeholders view as among the most important to our business. This report and other resources are available on our website at jpmorganchase.com/about/governance/esg.</w:t>
      </w:r>
    </w:p>
    <w:p>
      <w:pPr>
        <w:spacing w:after="0" w:line="200" w:lineRule="exact"/>
        <w:rPr>
          <w:sz w:val="20"/>
          <w:szCs w:val="20"/>
          <w:color w:val="auto"/>
        </w:rPr>
      </w:pPr>
    </w:p>
    <w:p>
      <w:pPr>
        <w:sectPr>
          <w:pgSz w:w="11900" w:h="16838" w:orient="portrait"/>
          <w:cols w:equalWidth="0" w:num="2">
            <w:col w:w="5380" w:space="360"/>
            <w:col w:w="5520"/>
          </w:cols>
          <w:pgMar w:left="320" w:top="171" w:right="319" w:bottom="1440" w:gutter="0" w:footer="0" w:header="0"/>
          <w:type w:val="continuous"/>
        </w:sect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58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Teamwork &amp; leadership</w:t>
      </w:r>
    </w:p>
    <w:p>
      <w:pPr>
        <w:spacing w:after="0" w:line="115"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In order to attract and retain the highest quality talent, we develop key talent and succession plans, invest in Firmwide diversity, equity and inclusion initiatives, and provide well-paid jobs with strong benefits and wellness programs.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74A75"/>
        </w:rPr>
        <w:t>SUCCESSION PLANNING</w:t>
      </w:r>
    </w:p>
    <w:p>
      <w:pPr>
        <w:spacing w:after="0" w:line="11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Succession planning is a top priority for the Board and the Firm’s senior leadership, with the objective of having a pipeline of diverse executives who lead inclusively for today and the future. Over the past several years, we have implemented a disciplined executive talent management and succession planning process that includes LOBs and Functions holding talent review discussions with their management teams and identifying successors for key leadership roles.</w:t>
      </w:r>
    </w:p>
    <w:p>
      <w:pPr>
        <w:spacing w:after="0" w:line="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CMDC reviews the succession plan for the CEO followed by discussion with the non-executive directors of the Board led by the Lead Independent Director. The CMDC also reviews the succession plan for members of the Operating Committee other than the CEO, which is discussed by the full Board of Directors. These processes enable the Board to address both long-term planned occurrences, such as retirement or change in roles, as well as short-term unexpected events. For example, in March 2020, the Board's short-term plan was initiated when it asked the Firm's Co-Presidents and Co-Chief Operating Officers, Mr. Pinto and Mr. Smith, to jointly lead the company while Mr. Dimon recuperated from an emergency surgery.</w:t>
      </w:r>
    </w:p>
    <w:p>
      <w:pPr>
        <w:spacing w:after="0" w:line="10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We continue to focus on our leadership pipeline through enhanced data and reporting capabilities to drive manager engagement and accountability in processes, including our mobility and promotion pipeline from Executive Director to Managing Director.</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74A75"/>
        </w:rPr>
        <w:t>DIVERSITY, EQUITY AND INCLUSION</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Diversity, equity and inclusion are of strategic importance to the Firm. We are committed to maintaining a culture of respect and inclusion and believe that all individuals should have the opportunity to succeed. We believe a diverse and inclusive environment fosters innovation, creativity and productivity, which is critical to our success. We are committed to hiring and retaining employees from all races, ethnicities, genders, sexual orientations, abilities, backgrounds, experiences and locations.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focused on being an employer of choice for all talent, where employees feel like they belong. As a firm, we strive to embed diversity, inclusion and accessibility into the way we do business every day. While we are proud of the industry recognition our Firm and leaders have received, we continue to be intentional about investing in women; the Black, Latinx, Asian and LGBT+ communities; individuals with disabilities; and veterans.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part of the Firm's Path Forward commitment, we established an executive accountability framework that strengthens the way the Firm incorporates diversity, equity and inclusion priorities and progress into year-end performance evaluations and compensation decisions for OC members and their direct reports.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continue to invest significant time and effort toward executing diversity, equity and inclusion best practices firmwide. Our Business Resource Groups (“BRGs”) are groups of employees who volunteer to serve as ambassadors to drive inclusiveness, mentor junior talent and help facilitate advancement opportunities while advancing our Firm’s position in the global marketplace. With approximately 43% of our employees participating in one of our 10 BRGs, they are key Firm culture carriers, providing a unique bridge between the organization and our people - driving Firmwide diversity, equity and inclusion strategies and helping to connect employees to the Firm's business priorities. Overall, our BRGs focus on providing support for various communities: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740" w:type="dxa"/>
            <w:vAlign w:val="bottom"/>
            <w:gridSpan w:val="2"/>
          </w:tcPr>
          <w:p>
            <w:pPr>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b w:val="1"/>
                <w:bCs w:val="1"/>
                <w:color w:val="000000"/>
              </w:rPr>
              <w:t>Access Ability</w:t>
            </w:r>
            <w:r>
              <w:rPr>
                <w:rFonts w:ascii="Arial" w:cs="Arial" w:eastAsia="Arial" w:hAnsi="Arial"/>
                <w:sz w:val="18"/>
                <w:szCs w:val="18"/>
                <w:color w:val="074A75"/>
              </w:rPr>
              <w:t xml:space="preserve"> </w:t>
            </w:r>
            <w:r>
              <w:rPr>
                <w:rFonts w:ascii="Arial" w:cs="Arial" w:eastAsia="Arial" w:hAnsi="Arial"/>
                <w:sz w:val="18"/>
                <w:szCs w:val="18"/>
                <w:color w:val="000000"/>
              </w:rPr>
              <w:t>(employees with disabilities)</w:t>
            </w:r>
          </w:p>
        </w:tc>
        <w:tc>
          <w:tcPr>
            <w:tcW w:w="1160" w:type="dxa"/>
            <w:vAlign w:val="bottom"/>
          </w:tcPr>
          <w:p>
            <w:pPr>
              <w:ind w:left="1040"/>
              <w:spacing w:after="0"/>
              <w:rPr>
                <w:sz w:val="20"/>
                <w:szCs w:val="20"/>
                <w:color w:val="auto"/>
              </w:rPr>
            </w:pPr>
            <w:r>
              <w:rPr>
                <w:rFonts w:ascii="Arial" w:cs="Arial" w:eastAsia="Arial" w:hAnsi="Arial"/>
                <w:sz w:val="18"/>
                <w:szCs w:val="18"/>
                <w:color w:val="074A75"/>
              </w:rPr>
              <w:t>•</w:t>
            </w: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 xml:space="preserve">Pride </w:t>
            </w:r>
            <w:r>
              <w:rPr>
                <w:rFonts w:ascii="Arial" w:cs="Arial" w:eastAsia="Arial" w:hAnsi="Arial"/>
                <w:sz w:val="18"/>
                <w:szCs w:val="18"/>
                <w:color w:val="auto"/>
              </w:rPr>
              <w:t>(LGBT+)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4600" w:type="dxa"/>
            <w:vAlign w:val="bottom"/>
          </w:tcPr>
          <w:p>
            <w:pPr>
              <w:ind w:left="60"/>
              <w:spacing w:after="0"/>
              <w:rPr>
                <w:sz w:val="20"/>
                <w:szCs w:val="20"/>
                <w:color w:val="auto"/>
              </w:rPr>
            </w:pPr>
            <w:r>
              <w:rPr>
                <w:rFonts w:ascii="Arial" w:cs="Arial" w:eastAsia="Arial" w:hAnsi="Arial"/>
                <w:sz w:val="18"/>
                <w:szCs w:val="18"/>
                <w:b w:val="1"/>
                <w:bCs w:val="1"/>
                <w:color w:val="auto"/>
              </w:rPr>
              <w:t xml:space="preserve">Adelante </w:t>
            </w:r>
            <w:r>
              <w:rPr>
                <w:rFonts w:ascii="Arial" w:cs="Arial" w:eastAsia="Arial" w:hAnsi="Arial"/>
                <w:sz w:val="18"/>
                <w:szCs w:val="18"/>
                <w:color w:val="auto"/>
              </w:rPr>
              <w:t>(Hispanic/Latinx)</w:t>
            </w:r>
          </w:p>
        </w:tc>
        <w:tc>
          <w:tcPr>
            <w:tcW w:w="1160" w:type="dxa"/>
            <w:vAlign w:val="bottom"/>
          </w:tcPr>
          <w:p>
            <w:pPr>
              <w:ind w:left="1040"/>
              <w:spacing w:after="0"/>
              <w:rPr>
                <w:sz w:val="20"/>
                <w:szCs w:val="20"/>
                <w:color w:val="auto"/>
              </w:rPr>
            </w:pPr>
            <w:r>
              <w:rPr>
                <w:rFonts w:ascii="Arial" w:cs="Arial" w:eastAsia="Arial" w:hAnsi="Arial"/>
                <w:sz w:val="18"/>
                <w:szCs w:val="18"/>
                <w:color w:val="074A75"/>
              </w:rPr>
              <w:t>•</w:t>
            </w: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 xml:space="preserve">Sage </w:t>
            </w:r>
            <w:r>
              <w:rPr>
                <w:rFonts w:ascii="Arial" w:cs="Arial" w:eastAsia="Arial" w:hAnsi="Arial"/>
                <w:sz w:val="18"/>
                <w:szCs w:val="18"/>
                <w:color w:val="auto"/>
              </w:rPr>
              <w:t>(administrative professionals)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4600" w:type="dxa"/>
            <w:vAlign w:val="bottom"/>
          </w:tcPr>
          <w:p>
            <w:pPr>
              <w:ind w:left="60"/>
              <w:spacing w:after="0"/>
              <w:rPr>
                <w:sz w:val="20"/>
                <w:szCs w:val="20"/>
                <w:color w:val="auto"/>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(Asian/Pacific Islander)</w:t>
            </w:r>
          </w:p>
        </w:tc>
        <w:tc>
          <w:tcPr>
            <w:tcW w:w="4680" w:type="dxa"/>
            <w:vAlign w:val="bottom"/>
            <w:gridSpan w:val="2"/>
          </w:tcPr>
          <w:p>
            <w:pPr>
              <w:ind w:left="1040"/>
              <w:spacing w:after="0"/>
              <w:rPr>
                <w:sz w:val="20"/>
                <w:szCs w:val="20"/>
                <w:color w:val="auto"/>
              </w:rPr>
            </w:pPr>
            <w:r>
              <w:rPr>
                <w:rFonts w:ascii="Arial" w:cs="Arial" w:eastAsia="Arial" w:hAnsi="Arial"/>
                <w:sz w:val="18"/>
                <w:szCs w:val="18"/>
                <w:color w:val="074A75"/>
                <w:w w:val="99"/>
              </w:rPr>
              <w:t xml:space="preserve">•  </w:t>
            </w:r>
            <w:r>
              <w:rPr>
                <w:rFonts w:ascii="Arial" w:cs="Arial" w:eastAsia="Arial" w:hAnsi="Arial"/>
                <w:sz w:val="18"/>
                <w:szCs w:val="18"/>
                <w:b w:val="1"/>
                <w:bCs w:val="1"/>
                <w:color w:val="000000"/>
                <w:w w:val="99"/>
              </w:rPr>
              <w:t>VETS</w:t>
            </w:r>
            <w:r>
              <w:rPr>
                <w:rFonts w:ascii="Arial" w:cs="Arial" w:eastAsia="Arial" w:hAnsi="Arial"/>
                <w:sz w:val="18"/>
                <w:szCs w:val="18"/>
                <w:color w:val="074A75"/>
                <w:w w:val="99"/>
              </w:rPr>
              <w:t xml:space="preserve"> </w:t>
            </w:r>
            <w:r>
              <w:rPr>
                <w:rFonts w:ascii="Arial" w:cs="Arial" w:eastAsia="Arial" w:hAnsi="Arial"/>
                <w:sz w:val="18"/>
                <w:szCs w:val="18"/>
                <w:color w:val="000000"/>
                <w:w w:val="99"/>
              </w:rPr>
              <w:t>(military, veterans, and their families)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074A75"/>
              </w:rPr>
              <w:t>•</w:t>
            </w:r>
          </w:p>
        </w:tc>
        <w:tc>
          <w:tcPr>
            <w:tcW w:w="4600" w:type="dxa"/>
            <w:vAlign w:val="bottom"/>
          </w:tcPr>
          <w:p>
            <w:pPr>
              <w:ind w:left="60"/>
              <w:spacing w:after="0"/>
              <w:rPr>
                <w:sz w:val="20"/>
                <w:szCs w:val="20"/>
                <w:color w:val="auto"/>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w:t>
            </w:r>
          </w:p>
        </w:tc>
        <w:tc>
          <w:tcPr>
            <w:tcW w:w="4680" w:type="dxa"/>
            <w:vAlign w:val="bottom"/>
            <w:gridSpan w:val="2"/>
          </w:tcPr>
          <w:p>
            <w:pPr>
              <w:ind w:left="1040"/>
              <w:spacing w:after="0"/>
              <w:rPr>
                <w:sz w:val="20"/>
                <w:szCs w:val="20"/>
                <w:color w:val="auto"/>
              </w:rPr>
            </w:pPr>
            <w:r>
              <w:rPr>
                <w:rFonts w:ascii="Arial" w:cs="Arial" w:eastAsia="Arial" w:hAnsi="Arial"/>
                <w:sz w:val="18"/>
                <w:szCs w:val="18"/>
                <w:color w:val="074A75"/>
                <w:w w:val="99"/>
              </w:rPr>
              <w:t xml:space="preserve">•  </w:t>
            </w:r>
            <w:r>
              <w:rPr>
                <w:rFonts w:ascii="Arial" w:cs="Arial" w:eastAsia="Arial" w:hAnsi="Arial"/>
                <w:sz w:val="18"/>
                <w:szCs w:val="18"/>
                <w:b w:val="1"/>
                <w:bCs w:val="1"/>
                <w:color w:val="000000"/>
                <w:w w:val="99"/>
              </w:rPr>
              <w:t>Women on the Move Interactive Network</w:t>
            </w:r>
          </w:p>
        </w:tc>
      </w:tr>
      <w:tr>
        <w:trPr>
          <w:trHeight w:val="324"/>
        </w:trPr>
        <w:tc>
          <w:tcPr>
            <w:tcW w:w="4740" w:type="dxa"/>
            <w:vAlign w:val="bottom"/>
            <w:gridSpan w:val="2"/>
          </w:tcPr>
          <w:p>
            <w:pPr>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b w:val="1"/>
                <w:bCs w:val="1"/>
                <w:color w:val="000000"/>
              </w:rPr>
              <w:t>NextGen</w:t>
            </w:r>
            <w:r>
              <w:rPr>
                <w:rFonts w:ascii="Arial" w:cs="Arial" w:eastAsia="Arial" w:hAnsi="Arial"/>
                <w:sz w:val="18"/>
                <w:szCs w:val="18"/>
                <w:color w:val="074A75"/>
              </w:rPr>
              <w:t xml:space="preserve"> </w:t>
            </w:r>
            <w:r>
              <w:rPr>
                <w:rFonts w:ascii="Arial" w:cs="Arial" w:eastAsia="Arial" w:hAnsi="Arial"/>
                <w:sz w:val="18"/>
                <w:szCs w:val="18"/>
                <w:color w:val="000000"/>
              </w:rPr>
              <w:t>(early career professionals)</w:t>
            </w:r>
          </w:p>
        </w:tc>
        <w:tc>
          <w:tcPr>
            <w:tcW w:w="1160" w:type="dxa"/>
            <w:vAlign w:val="bottom"/>
          </w:tcPr>
          <w:p>
            <w:pPr>
              <w:ind w:left="1040"/>
              <w:spacing w:after="0"/>
              <w:rPr>
                <w:sz w:val="20"/>
                <w:szCs w:val="20"/>
                <w:color w:val="auto"/>
              </w:rPr>
            </w:pPr>
            <w:r>
              <w:rPr>
                <w:rFonts w:ascii="Arial" w:cs="Arial" w:eastAsia="Arial" w:hAnsi="Arial"/>
                <w:sz w:val="18"/>
                <w:szCs w:val="18"/>
                <w:color w:val="074A75"/>
              </w:rPr>
              <w:t>•</w:t>
            </w:r>
          </w:p>
        </w:tc>
        <w:tc>
          <w:tcPr>
            <w:tcW w:w="3520" w:type="dxa"/>
            <w:vAlign w:val="bottom"/>
          </w:tcPr>
          <w:p>
            <w:pPr>
              <w:ind w:left="60"/>
              <w:spacing w:after="0"/>
              <w:rPr>
                <w:sz w:val="20"/>
                <w:szCs w:val="20"/>
                <w:color w:val="auto"/>
              </w:rPr>
            </w:pPr>
            <w:r>
              <w:rPr>
                <w:rFonts w:ascii="Arial" w:cs="Arial" w:eastAsia="Arial" w:hAnsi="Arial"/>
                <w:sz w:val="18"/>
                <w:szCs w:val="18"/>
                <w:b w:val="1"/>
                <w:bCs w:val="1"/>
                <w:color w:val="auto"/>
              </w:rPr>
              <w:t>Working Families Network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582930</wp:posOffset>
            </wp:positionV>
            <wp:extent cx="274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59  </w:t>
      </w:r>
      <w:r>
        <w:rPr>
          <w:sz w:val="1"/>
          <w:szCs w:val="1"/>
          <w:color w:val="auto"/>
        </w:rPr>
        <w:drawing>
          <wp:inline distT="0" distB="0" distL="0" distR="0">
            <wp:extent cx="2203450" cy="154305"/>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2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BRGs, we have developed other programs as well as created senior level forums to promote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80135" cy="19373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80135" cy="193738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149" w:lineRule="exact"/>
        <w:rPr>
          <w:sz w:val="20"/>
          <w:szCs w:val="20"/>
          <w:color w:val="auto"/>
        </w:rPr>
      </w:pPr>
    </w:p>
    <w:p>
      <w:pPr>
        <w:jc w:val="right"/>
        <w:ind w:left="560"/>
        <w:spacing w:after="0" w:line="291" w:lineRule="auto"/>
        <w:rPr>
          <w:sz w:val="20"/>
          <w:szCs w:val="20"/>
          <w:color w:val="auto"/>
        </w:rPr>
      </w:pPr>
      <w:r>
        <w:rPr>
          <w:rFonts w:ascii="Arial" w:cs="Arial" w:eastAsia="Arial" w:hAnsi="Arial"/>
          <w:sz w:val="17"/>
          <w:szCs w:val="17"/>
          <w:b w:val="1"/>
          <w:bCs w:val="1"/>
          <w:color w:val="FFFFFF"/>
        </w:rPr>
        <w:t>WOMEN ON THE MOVE (“WOTM”)</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96" w:hanging="196"/>
        <w:spacing w:after="0"/>
        <w:tabs>
          <w:tab w:leader="none" w:pos="196"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WOTM is a global, Firmwide effort designed to support women in their personal and professional lives</w:t>
      </w:r>
    </w:p>
    <w:p>
      <w:pPr>
        <w:spacing w:after="0" w:line="18" w:lineRule="exact"/>
        <w:rPr>
          <w:rFonts w:ascii="Arial" w:cs="Arial" w:eastAsia="Arial" w:hAnsi="Arial"/>
          <w:sz w:val="16"/>
          <w:szCs w:val="16"/>
          <w:color w:val="074A75"/>
        </w:rPr>
      </w:pPr>
    </w:p>
    <w:p>
      <w:pPr>
        <w:ind w:left="196" w:right="540" w:hanging="196"/>
        <w:spacing w:after="0" w:line="255"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We continue to focus on our three strategic pillars: expand women-run businesses, improve women’s financial health, and empower women’s career growth</w:t>
      </w:r>
    </w:p>
    <w:p>
      <w:pPr>
        <w:ind w:left="196" w:right="100" w:hanging="196"/>
        <w:spacing w:after="0" w:line="260"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To support female small business owners, we launched digital content on cash flow management, which has reached more than 50,000 unique users</w:t>
      </w:r>
    </w:p>
    <w:p>
      <w:pPr>
        <w:spacing w:after="0" w:line="6" w:lineRule="exact"/>
        <w:rPr>
          <w:rFonts w:ascii="Arial" w:cs="Arial" w:eastAsia="Arial" w:hAnsi="Arial"/>
          <w:sz w:val="16"/>
          <w:szCs w:val="16"/>
          <w:color w:val="074A75"/>
        </w:rPr>
      </w:pPr>
    </w:p>
    <w:p>
      <w:pPr>
        <w:ind w:left="196" w:right="320" w:hanging="196"/>
        <w:spacing w:after="0" w:line="255"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To promote financial health, we exceeded our goal of signing up 1 million women for Autosave, a feature in the Chase mobile app</w:t>
      </w:r>
    </w:p>
    <w:p>
      <w:pPr>
        <w:ind w:left="196" w:hanging="196"/>
        <w:spacing w:after="0"/>
        <w:tabs>
          <w:tab w:leader="none" w:pos="196"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Our national sponsorship with Girls Inc. has educated over 40,000 girls in the U.S. through its financial literacy program</w:t>
      </w:r>
    </w:p>
    <w:p>
      <w:pPr>
        <w:spacing w:after="0" w:line="18" w:lineRule="exact"/>
        <w:rPr>
          <w:rFonts w:ascii="Arial" w:cs="Arial" w:eastAsia="Arial" w:hAnsi="Arial"/>
          <w:sz w:val="16"/>
          <w:szCs w:val="16"/>
          <w:color w:val="074A75"/>
        </w:rPr>
      </w:pPr>
    </w:p>
    <w:p>
      <w:pPr>
        <w:ind w:left="196" w:right="80" w:hanging="196"/>
        <w:spacing w:after="0" w:line="253"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We continue to focus on talent programs that attract, develop and retain more female senior executives across the Firm. Women represent approximately 50% of our global employee base, with approximately 30% of our senior leadership being female. Additionally, we just added a fourth female director to the Board</w:t>
      </w:r>
    </w:p>
    <w:p>
      <w:pPr>
        <w:spacing w:after="0" w:line="12" w:lineRule="exact"/>
        <w:rPr>
          <w:rFonts w:ascii="Arial" w:cs="Arial" w:eastAsia="Arial" w:hAnsi="Arial"/>
          <w:sz w:val="16"/>
          <w:szCs w:val="16"/>
          <w:color w:val="074A75"/>
        </w:rPr>
      </w:pPr>
    </w:p>
    <w:p>
      <w:pPr>
        <w:ind w:left="196" w:right="160" w:hanging="196"/>
        <w:spacing w:after="0" w:line="255"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To help our female employees grow their careers, we piloted a development program that featured digital content, live coaching calls, and virtual group discussions</w:t>
      </w:r>
    </w:p>
    <w:p>
      <w:pPr>
        <w:ind w:left="196" w:right="520" w:hanging="196"/>
        <w:spacing w:after="0" w:line="260" w:lineRule="auto"/>
        <w:tabs>
          <w:tab w:leader="none" w:pos="193" w:val="left"/>
        </w:tabs>
        <w:numPr>
          <w:ilvl w:val="0"/>
          <w:numId w:val="165"/>
        </w:numPr>
        <w:rPr>
          <w:rFonts w:ascii="Arial" w:cs="Arial" w:eastAsia="Arial" w:hAnsi="Arial"/>
          <w:sz w:val="16"/>
          <w:szCs w:val="16"/>
          <w:color w:val="074A75"/>
        </w:rPr>
      </w:pPr>
      <w:r>
        <w:rPr>
          <w:rFonts w:ascii="Arial" w:cs="Arial" w:eastAsia="Arial" w:hAnsi="Arial"/>
          <w:sz w:val="16"/>
          <w:szCs w:val="16"/>
          <w:color w:val="auto"/>
        </w:rPr>
        <w:t>We hosted our annual Women on the Move Leadership Day virtually in 2020, with over 23,000 live attendees and 285,000 publicly-viewed streams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80010</wp:posOffset>
            </wp:positionV>
            <wp:extent cx="71323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224"/>
            <w:col w:w="9456"/>
          </w:cols>
          <w:pgMar w:left="320" w:top="171" w:right="31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ADVANCING</w:t>
            </w:r>
          </w:p>
        </w:tc>
        <w:tc>
          <w:tcPr>
            <w:tcW w:w="95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ABP has been unified with Advancing Black Leaders to create a comprehensive and consistent global approach to helping Black</w:t>
            </w:r>
          </w:p>
        </w:tc>
      </w:tr>
      <w:tr>
        <w:trPr>
          <w:trHeight w:val="216"/>
        </w:trPr>
        <w:tc>
          <w:tcPr>
            <w:tcW w:w="170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BLACK</w:t>
            </w:r>
          </w:p>
        </w:tc>
        <w:tc>
          <w:tcPr>
            <w:tcW w:w="9540" w:type="dxa"/>
            <w:vAlign w:val="bottom"/>
          </w:tcPr>
          <w:p>
            <w:pPr>
              <w:ind w:left="300"/>
              <w:spacing w:after="0"/>
              <w:rPr>
                <w:sz w:val="20"/>
                <w:szCs w:val="20"/>
                <w:color w:val="auto"/>
              </w:rPr>
            </w:pPr>
            <w:r>
              <w:rPr>
                <w:rFonts w:ascii="Arial" w:cs="Arial" w:eastAsia="Arial" w:hAnsi="Arial"/>
                <w:sz w:val="16"/>
                <w:szCs w:val="16"/>
                <w:color w:val="auto"/>
              </w:rPr>
              <w:t>talent grow and thrive, while developing a more inclusive employee experience</w:t>
            </w:r>
          </w:p>
        </w:tc>
      </w:tr>
      <w:tr>
        <w:trPr>
          <w:trHeight w:val="216"/>
        </w:trPr>
        <w:tc>
          <w:tcPr>
            <w:tcW w:w="170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PATHWAYS</w:t>
            </w:r>
          </w:p>
        </w:tc>
        <w:tc>
          <w:tcPr>
            <w:tcW w:w="95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In 2020, ABP had positive impacts within the Black community across the four diversity, equity and inclusion pillars:</w:t>
            </w:r>
          </w:p>
        </w:tc>
      </w:tr>
      <w:tr>
        <w:trPr>
          <w:trHeight w:val="185"/>
        </w:trPr>
        <w:tc>
          <w:tcPr>
            <w:tcW w:w="1700" w:type="dxa"/>
            <w:vAlign w:val="bottom"/>
            <w:shd w:val="clear" w:color="auto" w:fill="3E693D"/>
          </w:tcPr>
          <w:p>
            <w:pPr>
              <w:jc w:val="right"/>
              <w:ind w:right="30"/>
              <w:spacing w:after="0" w:line="185" w:lineRule="exact"/>
              <w:rPr>
                <w:sz w:val="20"/>
                <w:szCs w:val="20"/>
                <w:color w:val="auto"/>
              </w:rPr>
            </w:pPr>
            <w:r>
              <w:rPr>
                <w:rFonts w:ascii="Arial" w:cs="Arial" w:eastAsia="Arial" w:hAnsi="Arial"/>
                <w:sz w:val="18"/>
                <w:szCs w:val="18"/>
                <w:b w:val="1"/>
                <w:bCs w:val="1"/>
                <w:color w:val="FFFFFF"/>
              </w:rPr>
              <w:t>(“ABP”)</w:t>
            </w:r>
          </w:p>
        </w:tc>
        <w:tc>
          <w:tcPr>
            <w:tcW w:w="9540" w:type="dxa"/>
            <w:vAlign w:val="bottom"/>
          </w:tcPr>
          <w:p>
            <w:pPr>
              <w:ind w:left="300"/>
              <w:spacing w:after="0"/>
              <w:rPr>
                <w:sz w:val="20"/>
                <w:szCs w:val="20"/>
                <w:color w:val="auto"/>
              </w:rPr>
            </w:pPr>
            <w:r>
              <w:rPr>
                <w:rFonts w:ascii="Arial" w:cs="Arial" w:eastAsia="Arial" w:hAnsi="Arial"/>
                <w:sz w:val="16"/>
                <w:szCs w:val="16"/>
                <w:color w:val="auto"/>
              </w:rPr>
              <w:t>◦  Financial Health &amp; Wealth Creation: received over 736,000 webinar views for our financial health education, Currency</w:t>
            </w:r>
          </w:p>
        </w:tc>
      </w:tr>
      <w:tr>
        <w:trPr>
          <w:trHeight w:val="177"/>
        </w:trPr>
        <w:tc>
          <w:tcPr>
            <w:tcW w:w="1700" w:type="dxa"/>
            <w:vAlign w:val="bottom"/>
            <w:shd w:val="clear" w:color="auto" w:fill="3E693D"/>
          </w:tcPr>
          <w:p>
            <w:pPr>
              <w:spacing w:after="0"/>
              <w:rPr>
                <w:sz w:val="15"/>
                <w:szCs w:val="15"/>
                <w:color w:val="auto"/>
              </w:rPr>
            </w:pPr>
          </w:p>
        </w:tc>
        <w:tc>
          <w:tcPr>
            <w:tcW w:w="9540" w:type="dxa"/>
            <w:vAlign w:val="bottom"/>
          </w:tcPr>
          <w:p>
            <w:pPr>
              <w:ind w:left="500"/>
              <w:spacing w:after="0" w:line="178" w:lineRule="exact"/>
              <w:rPr>
                <w:sz w:val="20"/>
                <w:szCs w:val="20"/>
                <w:color w:val="auto"/>
              </w:rPr>
            </w:pPr>
            <w:r>
              <w:rPr>
                <w:rFonts w:ascii="Arial" w:cs="Arial" w:eastAsia="Arial" w:hAnsi="Arial"/>
                <w:sz w:val="16"/>
                <w:szCs w:val="16"/>
                <w:color w:val="auto"/>
              </w:rPr>
              <w:t>Conversations series</w:t>
            </w:r>
          </w:p>
        </w:tc>
      </w:tr>
      <w:tr>
        <w:trPr>
          <w:trHeight w:val="162"/>
        </w:trPr>
        <w:tc>
          <w:tcPr>
            <w:tcW w:w="1700" w:type="dxa"/>
            <w:vAlign w:val="bottom"/>
            <w:shd w:val="clear" w:color="auto" w:fill="3E693D"/>
          </w:tcPr>
          <w:p>
            <w:pPr>
              <w:spacing w:after="0"/>
              <w:rPr>
                <w:sz w:val="14"/>
                <w:szCs w:val="14"/>
                <w:color w:val="auto"/>
              </w:rPr>
            </w:pPr>
          </w:p>
        </w:tc>
        <w:tc>
          <w:tcPr>
            <w:tcW w:w="9540" w:type="dxa"/>
            <w:vAlign w:val="bottom"/>
          </w:tcPr>
          <w:p>
            <w:pPr>
              <w:ind w:left="300"/>
              <w:spacing w:after="0" w:line="162" w:lineRule="exact"/>
              <w:rPr>
                <w:sz w:val="20"/>
                <w:szCs w:val="20"/>
                <w:color w:val="auto"/>
              </w:rPr>
            </w:pPr>
            <w:r>
              <w:rPr>
                <w:rFonts w:ascii="Arial" w:cs="Arial" w:eastAsia="Arial" w:hAnsi="Arial"/>
                <w:sz w:val="16"/>
                <w:szCs w:val="16"/>
                <w:color w:val="auto"/>
              </w:rPr>
              <w:t>◦  Business Growth &amp; Entrepreneurship: received over 800 business inquiries for access to capital as a result of targeted</w:t>
            </w:r>
          </w:p>
        </w:tc>
      </w:tr>
      <w:tr>
        <w:trPr>
          <w:trHeight w:val="189"/>
        </w:trPr>
        <w:tc>
          <w:tcPr>
            <w:tcW w:w="1700" w:type="dxa"/>
            <w:vAlign w:val="bottom"/>
            <w:shd w:val="clear" w:color="auto" w:fill="3E693D"/>
          </w:tcPr>
          <w:p>
            <w:pPr>
              <w:spacing w:after="0"/>
              <w:rPr>
                <w:sz w:val="16"/>
                <w:szCs w:val="16"/>
                <w:color w:val="auto"/>
              </w:rPr>
            </w:pPr>
          </w:p>
        </w:tc>
        <w:tc>
          <w:tcPr>
            <w:tcW w:w="9540" w:type="dxa"/>
            <w:vAlign w:val="bottom"/>
          </w:tcPr>
          <w:p>
            <w:pPr>
              <w:ind w:left="500"/>
              <w:spacing w:after="0"/>
              <w:rPr>
                <w:sz w:val="20"/>
                <w:szCs w:val="20"/>
                <w:color w:val="auto"/>
              </w:rPr>
            </w:pPr>
            <w:r>
              <w:rPr>
                <w:rFonts w:ascii="Arial" w:cs="Arial" w:eastAsia="Arial" w:hAnsi="Arial"/>
                <w:sz w:val="16"/>
                <w:szCs w:val="16"/>
                <w:color w:val="auto"/>
              </w:rPr>
              <w:t>programming with trusted community partner organizations</w:t>
            </w:r>
          </w:p>
        </w:tc>
      </w:tr>
      <w:tr>
        <w:trPr>
          <w:trHeight w:val="162"/>
        </w:trPr>
        <w:tc>
          <w:tcPr>
            <w:tcW w:w="1700" w:type="dxa"/>
            <w:vAlign w:val="bottom"/>
            <w:shd w:val="clear" w:color="auto" w:fill="3E693D"/>
          </w:tcPr>
          <w:p>
            <w:pPr>
              <w:spacing w:after="0"/>
              <w:rPr>
                <w:sz w:val="14"/>
                <w:szCs w:val="14"/>
                <w:color w:val="auto"/>
              </w:rPr>
            </w:pPr>
          </w:p>
        </w:tc>
        <w:tc>
          <w:tcPr>
            <w:tcW w:w="9540" w:type="dxa"/>
            <w:vAlign w:val="bottom"/>
          </w:tcPr>
          <w:p>
            <w:pPr>
              <w:ind w:left="300"/>
              <w:spacing w:after="0" w:line="162" w:lineRule="exact"/>
              <w:rPr>
                <w:sz w:val="20"/>
                <w:szCs w:val="20"/>
                <w:color w:val="auto"/>
              </w:rPr>
            </w:pPr>
            <w:r>
              <w:rPr>
                <w:rFonts w:ascii="Arial" w:cs="Arial" w:eastAsia="Arial" w:hAnsi="Arial"/>
                <w:sz w:val="16"/>
                <w:szCs w:val="16"/>
                <w:color w:val="auto"/>
              </w:rPr>
              <w:t>◦  Careers &amp; Skills: delivered financial health education to over 9,200 students at the United Negro College Fund, HBCUs</w:t>
            </w:r>
          </w:p>
        </w:tc>
      </w:tr>
      <w:tr>
        <w:trPr>
          <w:trHeight w:val="195"/>
        </w:trPr>
        <w:tc>
          <w:tcPr>
            <w:tcW w:w="1700" w:type="dxa"/>
            <w:vAlign w:val="bottom"/>
            <w:shd w:val="clear" w:color="auto" w:fill="3E693D"/>
          </w:tcPr>
          <w:p>
            <w:pPr>
              <w:spacing w:after="0"/>
              <w:rPr>
                <w:sz w:val="16"/>
                <w:szCs w:val="16"/>
                <w:color w:val="auto"/>
              </w:rPr>
            </w:pPr>
          </w:p>
        </w:tc>
        <w:tc>
          <w:tcPr>
            <w:tcW w:w="9540" w:type="dxa"/>
            <w:vAlign w:val="bottom"/>
          </w:tcPr>
          <w:p>
            <w:pPr>
              <w:ind w:left="500"/>
              <w:spacing w:after="0"/>
              <w:rPr>
                <w:sz w:val="20"/>
                <w:szCs w:val="20"/>
                <w:color w:val="auto"/>
              </w:rPr>
            </w:pPr>
            <w:r>
              <w:rPr>
                <w:rFonts w:ascii="Arial" w:cs="Arial" w:eastAsia="Arial" w:hAnsi="Arial"/>
                <w:sz w:val="16"/>
                <w:szCs w:val="16"/>
                <w:color w:val="auto"/>
              </w:rPr>
              <w:t>(Historically Black Colleges and Universities), and other partner colleges</w:t>
            </w:r>
          </w:p>
        </w:tc>
      </w:tr>
      <w:tr>
        <w:trPr>
          <w:trHeight w:val="203"/>
        </w:trPr>
        <w:tc>
          <w:tcPr>
            <w:tcW w:w="1700" w:type="dxa"/>
            <w:vAlign w:val="bottom"/>
            <w:shd w:val="clear" w:color="auto" w:fill="3E693D"/>
          </w:tcPr>
          <w:p>
            <w:pPr>
              <w:spacing w:after="0"/>
              <w:rPr>
                <w:sz w:val="17"/>
                <w:szCs w:val="17"/>
                <w:color w:val="auto"/>
              </w:rPr>
            </w:pPr>
          </w:p>
        </w:tc>
        <w:tc>
          <w:tcPr>
            <w:tcW w:w="9540" w:type="dxa"/>
            <w:vAlign w:val="bottom"/>
          </w:tcPr>
          <w:p>
            <w:pPr>
              <w:ind w:left="300"/>
              <w:spacing w:after="0"/>
              <w:rPr>
                <w:sz w:val="20"/>
                <w:szCs w:val="20"/>
                <w:color w:val="auto"/>
              </w:rPr>
            </w:pPr>
            <w:r>
              <w:rPr>
                <w:rFonts w:ascii="Arial" w:cs="Arial" w:eastAsia="Arial" w:hAnsi="Arial"/>
                <w:sz w:val="16"/>
                <w:szCs w:val="16"/>
                <w:color w:val="auto"/>
              </w:rPr>
              <w:t>◦  Community Development: funded 691 college students with emergency relief funds as part of the Student Hardship Fund</w:t>
            </w:r>
          </w:p>
        </w:tc>
      </w:tr>
      <w:tr>
        <w:trPr>
          <w:trHeight w:val="210"/>
        </w:trPr>
        <w:tc>
          <w:tcPr>
            <w:tcW w:w="1700" w:type="dxa"/>
            <w:vAlign w:val="bottom"/>
            <w:shd w:val="clear" w:color="auto" w:fill="3E693D"/>
          </w:tcPr>
          <w:p>
            <w:pPr>
              <w:spacing w:after="0"/>
              <w:rPr>
                <w:sz w:val="18"/>
                <w:szCs w:val="18"/>
                <w:color w:val="auto"/>
              </w:rPr>
            </w:pPr>
          </w:p>
        </w:tc>
        <w:tc>
          <w:tcPr>
            <w:tcW w:w="95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ABP Fellowship Program is dedicated to helping Black college underclassmen get on a path to internships and entry-level</w:t>
            </w:r>
          </w:p>
        </w:tc>
      </w:tr>
      <w:tr>
        <w:trPr>
          <w:trHeight w:val="189"/>
        </w:trPr>
        <w:tc>
          <w:tcPr>
            <w:tcW w:w="1700" w:type="dxa"/>
            <w:vAlign w:val="bottom"/>
            <w:shd w:val="clear" w:color="auto" w:fill="3E693D"/>
          </w:tcPr>
          <w:p>
            <w:pPr>
              <w:spacing w:after="0"/>
              <w:rPr>
                <w:sz w:val="16"/>
                <w:szCs w:val="16"/>
                <w:color w:val="auto"/>
              </w:rPr>
            </w:pPr>
          </w:p>
        </w:tc>
        <w:tc>
          <w:tcPr>
            <w:tcW w:w="9540" w:type="dxa"/>
            <w:vAlign w:val="bottom"/>
          </w:tcPr>
          <w:p>
            <w:pPr>
              <w:ind w:left="300"/>
              <w:spacing w:after="0"/>
              <w:rPr>
                <w:sz w:val="20"/>
                <w:szCs w:val="20"/>
                <w:color w:val="auto"/>
              </w:rPr>
            </w:pPr>
            <w:r>
              <w:rPr>
                <w:rFonts w:ascii="Arial" w:cs="Arial" w:eastAsia="Arial" w:hAnsi="Arial"/>
                <w:sz w:val="16"/>
                <w:szCs w:val="16"/>
                <w:color w:val="auto"/>
              </w:rPr>
              <w:t>roles with the Firm after graduation. In addition, ABP supported the creation of the Firm’s new Financial Advisor training program</w:t>
            </w:r>
          </w:p>
        </w:tc>
      </w:tr>
      <w:tr>
        <w:trPr>
          <w:trHeight w:val="195"/>
        </w:trPr>
        <w:tc>
          <w:tcPr>
            <w:tcW w:w="1700" w:type="dxa"/>
            <w:vAlign w:val="bottom"/>
            <w:shd w:val="clear" w:color="auto" w:fill="3E693D"/>
          </w:tcPr>
          <w:p>
            <w:pPr>
              <w:spacing w:after="0"/>
              <w:rPr>
                <w:sz w:val="16"/>
                <w:szCs w:val="16"/>
                <w:color w:val="auto"/>
              </w:rPr>
            </w:pPr>
          </w:p>
        </w:tc>
        <w:tc>
          <w:tcPr>
            <w:tcW w:w="9540" w:type="dxa"/>
            <w:vAlign w:val="bottom"/>
          </w:tcPr>
          <w:p>
            <w:pPr>
              <w:ind w:left="300"/>
              <w:spacing w:after="0"/>
              <w:rPr>
                <w:sz w:val="20"/>
                <w:szCs w:val="20"/>
                <w:color w:val="auto"/>
              </w:rPr>
            </w:pPr>
            <w:r>
              <w:rPr>
                <w:rFonts w:ascii="Arial" w:cs="Arial" w:eastAsia="Arial" w:hAnsi="Arial"/>
                <w:sz w:val="16"/>
                <w:szCs w:val="16"/>
                <w:color w:val="auto"/>
              </w:rPr>
              <w:t>for employees, 20% of whom are Black</w:t>
            </w:r>
          </w:p>
        </w:tc>
      </w:tr>
      <w:tr>
        <w:trPr>
          <w:trHeight w:val="251"/>
        </w:trPr>
        <w:tc>
          <w:tcPr>
            <w:tcW w:w="1700" w:type="dxa"/>
            <w:vAlign w:val="bottom"/>
            <w:shd w:val="clear" w:color="auto" w:fill="3E693D"/>
          </w:tcPr>
          <w:p>
            <w:pPr>
              <w:spacing w:after="0"/>
              <w:rPr>
                <w:sz w:val="21"/>
                <w:szCs w:val="21"/>
                <w:color w:val="auto"/>
              </w:rPr>
            </w:pPr>
          </w:p>
        </w:tc>
        <w:tc>
          <w:tcPr>
            <w:tcW w:w="95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The Black Executive Forum, a consortium of Managing Directors of Black heritage across all lines of businesses and functions,</w:t>
            </w:r>
          </w:p>
        </w:tc>
      </w:tr>
      <w:tr>
        <w:trPr>
          <w:trHeight w:val="189"/>
        </w:trPr>
        <w:tc>
          <w:tcPr>
            <w:tcW w:w="1700" w:type="dxa"/>
            <w:vAlign w:val="bottom"/>
            <w:shd w:val="clear" w:color="auto" w:fill="3E693D"/>
          </w:tcPr>
          <w:p>
            <w:pPr>
              <w:spacing w:after="0"/>
              <w:rPr>
                <w:sz w:val="16"/>
                <w:szCs w:val="16"/>
                <w:color w:val="auto"/>
              </w:rPr>
            </w:pPr>
          </w:p>
        </w:tc>
        <w:tc>
          <w:tcPr>
            <w:tcW w:w="9540" w:type="dxa"/>
            <w:vAlign w:val="bottom"/>
          </w:tcPr>
          <w:p>
            <w:pPr>
              <w:ind w:left="300"/>
              <w:spacing w:after="0"/>
              <w:rPr>
                <w:sz w:val="20"/>
                <w:szCs w:val="20"/>
                <w:color w:val="auto"/>
              </w:rPr>
            </w:pPr>
            <w:r>
              <w:rPr>
                <w:rFonts w:ascii="Arial" w:cs="Arial" w:eastAsia="Arial" w:hAnsi="Arial"/>
                <w:sz w:val="16"/>
                <w:szCs w:val="16"/>
                <w:color w:val="auto"/>
              </w:rPr>
              <w:t>supports the ABP diversity initiative and regularly engages with the BOLD BRG to serve as a senior collective voice for the Black</w:t>
            </w:r>
          </w:p>
        </w:tc>
      </w:tr>
      <w:tr>
        <w:trPr>
          <w:trHeight w:val="195"/>
        </w:trPr>
        <w:tc>
          <w:tcPr>
            <w:tcW w:w="1700" w:type="dxa"/>
            <w:vAlign w:val="bottom"/>
            <w:shd w:val="clear" w:color="auto" w:fill="3E693D"/>
          </w:tcPr>
          <w:p>
            <w:pPr>
              <w:spacing w:after="0"/>
              <w:rPr>
                <w:sz w:val="16"/>
                <w:szCs w:val="16"/>
                <w:color w:val="auto"/>
              </w:rPr>
            </w:pPr>
          </w:p>
        </w:tc>
        <w:tc>
          <w:tcPr>
            <w:tcW w:w="9540" w:type="dxa"/>
            <w:vAlign w:val="bottom"/>
          </w:tcPr>
          <w:p>
            <w:pPr>
              <w:ind w:left="300"/>
              <w:spacing w:after="0"/>
              <w:rPr>
                <w:sz w:val="20"/>
                <w:szCs w:val="20"/>
                <w:color w:val="auto"/>
              </w:rPr>
            </w:pPr>
            <w:r>
              <w:rPr>
                <w:rFonts w:ascii="Arial" w:cs="Arial" w:eastAsia="Arial" w:hAnsi="Arial"/>
                <w:sz w:val="16"/>
                <w:szCs w:val="16"/>
                <w:color w:val="auto"/>
              </w:rPr>
              <w:t>community</w:t>
            </w:r>
          </w:p>
        </w:tc>
      </w:tr>
      <w:tr>
        <w:trPr>
          <w:trHeight w:val="87"/>
        </w:trPr>
        <w:tc>
          <w:tcPr>
            <w:tcW w:w="1700" w:type="dxa"/>
            <w:vAlign w:val="bottom"/>
            <w:shd w:val="clear" w:color="auto" w:fill="3E693D"/>
          </w:tcPr>
          <w:p>
            <w:pPr>
              <w:spacing w:after="0"/>
              <w:rPr>
                <w:sz w:val="7"/>
                <w:szCs w:val="7"/>
                <w:color w:val="auto"/>
              </w:rPr>
            </w:pPr>
          </w:p>
        </w:tc>
        <w:tc>
          <w:tcPr>
            <w:tcW w:w="9540" w:type="dxa"/>
            <w:vAlign w:val="bottom"/>
          </w:tcPr>
          <w:p>
            <w:pPr>
              <w:spacing w:after="0"/>
              <w:rPr>
                <w:sz w:val="7"/>
                <w:szCs w:val="7"/>
                <w:color w:val="auto"/>
              </w:rPr>
            </w:pPr>
          </w:p>
        </w:tc>
      </w:tr>
      <w:tr>
        <w:trPr>
          <w:trHeight w:val="108"/>
        </w:trPr>
        <w:tc>
          <w:tcPr>
            <w:tcW w:w="1700" w:type="dxa"/>
            <w:vAlign w:val="bottom"/>
            <w:tcBorders>
              <w:bottom w:val="single" w:sz="8" w:color="494949"/>
            </w:tcBorders>
          </w:tcPr>
          <w:p>
            <w:pPr>
              <w:spacing w:after="0"/>
              <w:rPr>
                <w:sz w:val="9"/>
                <w:szCs w:val="9"/>
                <w:color w:val="auto"/>
              </w:rPr>
            </w:pPr>
          </w:p>
        </w:tc>
        <w:tc>
          <w:tcPr>
            <w:tcW w:w="9540" w:type="dxa"/>
            <w:vAlign w:val="bottom"/>
            <w:tcBorders>
              <w:bottom w:val="single" w:sz="8" w:color="49494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80135" cy="15855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80135" cy="158559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p>
      <w:pPr>
        <w:spacing w:after="0" w:line="112" w:lineRule="exact"/>
        <w:rPr>
          <w:sz w:val="20"/>
          <w:szCs w:val="20"/>
          <w:color w:val="auto"/>
        </w:rPr>
      </w:pPr>
    </w:p>
    <w:p>
      <w:pPr>
        <w:jc w:val="right"/>
        <w:ind w:left="580"/>
        <w:spacing w:after="0" w:line="282" w:lineRule="auto"/>
        <w:rPr>
          <w:sz w:val="20"/>
          <w:szCs w:val="20"/>
          <w:color w:val="auto"/>
        </w:rPr>
      </w:pPr>
      <w:r>
        <w:rPr>
          <w:rFonts w:ascii="Arial" w:cs="Arial" w:eastAsia="Arial" w:hAnsi="Arial"/>
          <w:sz w:val="17"/>
          <w:szCs w:val="17"/>
          <w:b w:val="1"/>
          <w:bCs w:val="1"/>
          <w:color w:val="FFFFFF"/>
        </w:rPr>
        <w:t>OFFICE OF DISABILITY INCLUSION (“ODI”)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96" w:right="40" w:hanging="196"/>
        <w:spacing w:after="0" w:line="251" w:lineRule="auto"/>
        <w:tabs>
          <w:tab w:leader="none" w:pos="193" w:val="left"/>
        </w:tabs>
        <w:numPr>
          <w:ilvl w:val="0"/>
          <w:numId w:val="166"/>
        </w:numPr>
        <w:rPr>
          <w:rFonts w:ascii="Arial" w:cs="Arial" w:eastAsia="Arial" w:hAnsi="Arial"/>
          <w:sz w:val="16"/>
          <w:szCs w:val="16"/>
          <w:color w:val="074A75"/>
        </w:rPr>
      </w:pPr>
      <w:r>
        <w:rPr>
          <w:rFonts w:ascii="Arial" w:cs="Arial" w:eastAsia="Arial" w:hAnsi="Arial"/>
          <w:sz w:val="16"/>
          <w:szCs w:val="16"/>
          <w:color w:val="auto"/>
        </w:rPr>
        <w:t>ODI establishes, leads and coordinates policies, standards and practices globally regarding employees with disabilities at the Firm, focusing on four key areas: Attitude, Accessibility, Accommodations and Assimilation. We assist in facilitating the hiring and assimilation of individuals with disabilities into the Firm's inclusive culture, with opportunities for leadership development and career growth</w:t>
      </w:r>
    </w:p>
    <w:p>
      <w:pPr>
        <w:spacing w:after="0" w:line="26" w:lineRule="exact"/>
        <w:rPr>
          <w:rFonts w:ascii="Arial" w:cs="Arial" w:eastAsia="Arial" w:hAnsi="Arial"/>
          <w:sz w:val="16"/>
          <w:szCs w:val="16"/>
          <w:color w:val="074A75"/>
        </w:rPr>
      </w:pPr>
    </w:p>
    <w:p>
      <w:pPr>
        <w:ind w:left="196" w:hanging="196"/>
        <w:spacing w:after="0"/>
        <w:tabs>
          <w:tab w:leader="none" w:pos="196" w:val="left"/>
        </w:tabs>
        <w:numPr>
          <w:ilvl w:val="0"/>
          <w:numId w:val="166"/>
        </w:numPr>
        <w:rPr>
          <w:rFonts w:ascii="Arial" w:cs="Arial" w:eastAsia="Arial" w:hAnsi="Arial"/>
          <w:sz w:val="16"/>
          <w:szCs w:val="16"/>
          <w:color w:val="074A75"/>
        </w:rPr>
      </w:pPr>
      <w:r>
        <w:rPr>
          <w:rFonts w:ascii="Arial" w:cs="Arial" w:eastAsia="Arial" w:hAnsi="Arial"/>
          <w:sz w:val="16"/>
          <w:szCs w:val="16"/>
          <w:color w:val="auto"/>
        </w:rPr>
        <w:t>Key to our inclusive strategy is outreach to and partnerships with disability organizations, representing a wide array of disabilities</w:t>
      </w:r>
    </w:p>
    <w:p>
      <w:pPr>
        <w:spacing w:after="0" w:line="32" w:lineRule="exact"/>
        <w:rPr>
          <w:rFonts w:ascii="Arial" w:cs="Arial" w:eastAsia="Arial" w:hAnsi="Arial"/>
          <w:sz w:val="16"/>
          <w:szCs w:val="16"/>
          <w:color w:val="074A75"/>
        </w:rPr>
      </w:pPr>
    </w:p>
    <w:p>
      <w:pPr>
        <w:ind w:left="196" w:right="140" w:hanging="196"/>
        <w:spacing w:after="0" w:line="260" w:lineRule="auto"/>
        <w:tabs>
          <w:tab w:leader="none" w:pos="193" w:val="left"/>
        </w:tabs>
        <w:numPr>
          <w:ilvl w:val="0"/>
          <w:numId w:val="166"/>
        </w:numPr>
        <w:rPr>
          <w:rFonts w:ascii="Arial" w:cs="Arial" w:eastAsia="Arial" w:hAnsi="Arial"/>
          <w:sz w:val="16"/>
          <w:szCs w:val="16"/>
          <w:color w:val="074A75"/>
        </w:rPr>
      </w:pPr>
      <w:r>
        <w:rPr>
          <w:rFonts w:ascii="Arial" w:cs="Arial" w:eastAsia="Arial" w:hAnsi="Arial"/>
          <w:sz w:val="16"/>
          <w:szCs w:val="16"/>
          <w:color w:val="auto"/>
        </w:rPr>
        <w:t>MyAccessibility Hub (MAH) centralized the accommodations management process for the Firm's employees in the U.S. and the Philippines in 2018, and in 2020 expanded into the U.K., Latin America, and Canada, and commenced a soft launch in India</w:t>
      </w:r>
    </w:p>
    <w:p>
      <w:pPr>
        <w:spacing w:after="0" w:line="19" w:lineRule="exact"/>
        <w:rPr>
          <w:rFonts w:ascii="Arial" w:cs="Arial" w:eastAsia="Arial" w:hAnsi="Arial"/>
          <w:sz w:val="16"/>
          <w:szCs w:val="16"/>
          <w:color w:val="074A75"/>
        </w:rPr>
      </w:pPr>
    </w:p>
    <w:p>
      <w:pPr>
        <w:ind w:left="196" w:right="120" w:hanging="196"/>
        <w:spacing w:after="0" w:line="250" w:lineRule="auto"/>
        <w:tabs>
          <w:tab w:leader="none" w:pos="193" w:val="left"/>
        </w:tabs>
        <w:numPr>
          <w:ilvl w:val="0"/>
          <w:numId w:val="166"/>
        </w:numPr>
        <w:rPr>
          <w:rFonts w:ascii="Arial" w:cs="Arial" w:eastAsia="Arial" w:hAnsi="Arial"/>
          <w:sz w:val="16"/>
          <w:szCs w:val="16"/>
          <w:color w:val="074A75"/>
        </w:rPr>
      </w:pPr>
      <w:r>
        <w:rPr>
          <w:rFonts w:ascii="Arial" w:cs="Arial" w:eastAsia="Arial" w:hAnsi="Arial"/>
          <w:sz w:val="16"/>
          <w:szCs w:val="16"/>
          <w:color w:val="auto"/>
        </w:rPr>
        <w:t>During the COVID-19 pandemic, we leveraged existing technology to deliver services to employees with disabilities working remotely. For example, we provided deaf and hard-of-hearing employees in the U.S. with live captioning for internal events, as well as CART (Communications Access Realtime Translation) services, a point-to-point delivery of the captions. We also shifted how we provide accommodations by streamlining the process for requesting medical-related health or technology accommodations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93345</wp:posOffset>
            </wp:positionV>
            <wp:extent cx="71323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224"/>
            <w:col w:w="9456"/>
          </w:cols>
          <w:pgMar w:left="320" w:top="171" w:right="319" w:bottom="1440" w:gutter="0" w:footer="0" w:header="0"/>
          <w:type w:val="continuous"/>
        </w:sect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gridSpan w:val="2"/>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1720" w:type="dxa"/>
            <w:vAlign w:val="bottom"/>
            <w:tcBorders>
              <w:left w:val="single" w:sz="8" w:color="E7E7E8"/>
              <w:bottom w:val="single" w:sz="8" w:color="E7E7E8"/>
            </w:tcBorders>
          </w:tcPr>
          <w:p>
            <w:pPr>
              <w:spacing w:after="0"/>
              <w:rPr>
                <w:sz w:val="5"/>
                <w:szCs w:val="5"/>
                <w:color w:val="auto"/>
              </w:rPr>
            </w:pPr>
          </w:p>
        </w:tc>
        <w:tc>
          <w:tcPr>
            <w:tcW w:w="132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r>
        <w:trPr>
          <w:trHeight w:val="524"/>
        </w:trPr>
        <w:tc>
          <w:tcPr>
            <w:tcW w:w="1720" w:type="dxa"/>
            <w:vAlign w:val="bottom"/>
          </w:tcPr>
          <w:p>
            <w:pPr>
              <w:jc w:val="right"/>
              <w:ind w:right="12"/>
              <w:spacing w:after="0"/>
              <w:rPr>
                <w:sz w:val="20"/>
                <w:szCs w:val="20"/>
                <w:color w:val="auto"/>
              </w:rPr>
            </w:pPr>
            <w:r>
              <w:rPr>
                <w:rFonts w:ascii="Arial" w:cs="Arial" w:eastAsia="Arial" w:hAnsi="Arial"/>
                <w:sz w:val="18"/>
                <w:szCs w:val="18"/>
                <w:b w:val="1"/>
                <w:bCs w:val="1"/>
                <w:color w:val="FFFFFF"/>
              </w:rPr>
              <w:t>OFFICE OF</w:t>
            </w:r>
          </w:p>
        </w:tc>
        <w:tc>
          <w:tcPr>
            <w:tcW w:w="9540" w:type="dxa"/>
            <w:vAlign w:val="bottom"/>
            <w:gridSpan w:val="5"/>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Office of Military &amp; Veterans Affairs drives Firmwide initiatives to position veterans, service members and their families for</w:t>
            </w:r>
          </w:p>
        </w:tc>
      </w:tr>
      <w:tr>
        <w:trPr>
          <w:trHeight w:val="216"/>
        </w:trPr>
        <w:tc>
          <w:tcPr>
            <w:tcW w:w="1720" w:type="dxa"/>
            <w:vAlign w:val="bottom"/>
          </w:tcPr>
          <w:p>
            <w:pPr>
              <w:jc w:val="right"/>
              <w:ind w:right="12"/>
              <w:spacing w:after="0"/>
              <w:rPr>
                <w:sz w:val="20"/>
                <w:szCs w:val="20"/>
                <w:color w:val="auto"/>
              </w:rPr>
            </w:pPr>
            <w:r>
              <w:rPr>
                <w:rFonts w:ascii="Arial" w:cs="Arial" w:eastAsia="Arial" w:hAnsi="Arial"/>
                <w:sz w:val="18"/>
                <w:szCs w:val="18"/>
                <w:b w:val="1"/>
                <w:bCs w:val="1"/>
                <w:color w:val="FFFFFF"/>
              </w:rPr>
              <w:t>MILITARY</w:t>
            </w:r>
          </w:p>
        </w:tc>
        <w:tc>
          <w:tcPr>
            <w:tcW w:w="9540" w:type="dxa"/>
            <w:vAlign w:val="bottom"/>
            <w:gridSpan w:val="5"/>
          </w:tcPr>
          <w:p>
            <w:pPr>
              <w:ind w:left="300"/>
              <w:spacing w:after="0"/>
              <w:rPr>
                <w:sz w:val="20"/>
                <w:szCs w:val="20"/>
                <w:color w:val="auto"/>
              </w:rPr>
            </w:pPr>
            <w:r>
              <w:rPr>
                <w:rFonts w:ascii="Arial" w:cs="Arial" w:eastAsia="Arial" w:hAnsi="Arial"/>
                <w:sz w:val="16"/>
                <w:szCs w:val="16"/>
                <w:color w:val="auto"/>
              </w:rPr>
              <w:t>long-term, post-military success. Since establishing this office in 2011, the Firm has hired more than 16,000 U.S. military</w:t>
            </w:r>
          </w:p>
        </w:tc>
      </w:tr>
      <w:tr>
        <w:trPr>
          <w:trHeight w:val="216"/>
        </w:trPr>
        <w:tc>
          <w:tcPr>
            <w:tcW w:w="1720" w:type="dxa"/>
            <w:vAlign w:val="bottom"/>
          </w:tcPr>
          <w:p>
            <w:pPr>
              <w:jc w:val="right"/>
              <w:ind w:right="12"/>
              <w:spacing w:after="0"/>
              <w:rPr>
                <w:sz w:val="20"/>
                <w:szCs w:val="20"/>
                <w:color w:val="auto"/>
              </w:rPr>
            </w:pPr>
            <w:r>
              <w:rPr>
                <w:rFonts w:ascii="Arial" w:cs="Arial" w:eastAsia="Arial" w:hAnsi="Arial"/>
                <w:sz w:val="18"/>
                <w:szCs w:val="18"/>
                <w:b w:val="1"/>
                <w:bCs w:val="1"/>
                <w:color w:val="FFFFFF"/>
              </w:rPr>
              <w:t>AND</w:t>
            </w:r>
          </w:p>
        </w:tc>
        <w:tc>
          <w:tcPr>
            <w:tcW w:w="5640" w:type="dxa"/>
            <w:vAlign w:val="bottom"/>
            <w:gridSpan w:val="3"/>
          </w:tcPr>
          <w:p>
            <w:pPr>
              <w:ind w:left="300"/>
              <w:spacing w:after="0"/>
              <w:rPr>
                <w:sz w:val="20"/>
                <w:szCs w:val="20"/>
                <w:color w:val="auto"/>
              </w:rPr>
            </w:pPr>
            <w:r>
              <w:rPr>
                <w:rFonts w:ascii="Arial" w:cs="Arial" w:eastAsia="Arial" w:hAnsi="Arial"/>
                <w:sz w:val="16"/>
                <w:szCs w:val="16"/>
                <w:color w:val="auto"/>
              </w:rPr>
              <w:t>veterans across all lines of business</w:t>
            </w:r>
          </w:p>
        </w:tc>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4"/>
        </w:trPr>
        <w:tc>
          <w:tcPr>
            <w:tcW w:w="1720" w:type="dxa"/>
            <w:vAlign w:val="bottom"/>
          </w:tcPr>
          <w:p>
            <w:pPr>
              <w:jc w:val="right"/>
              <w:ind w:right="12"/>
              <w:spacing w:after="0"/>
              <w:rPr>
                <w:sz w:val="20"/>
                <w:szCs w:val="20"/>
                <w:color w:val="auto"/>
              </w:rPr>
            </w:pPr>
            <w:r>
              <w:rPr>
                <w:rFonts w:ascii="Arial" w:cs="Arial" w:eastAsia="Arial" w:hAnsi="Arial"/>
                <w:sz w:val="18"/>
                <w:szCs w:val="18"/>
                <w:b w:val="1"/>
                <w:bCs w:val="1"/>
                <w:color w:val="FFFFFF"/>
              </w:rPr>
              <w:t>VETERANS</w:t>
            </w:r>
          </w:p>
        </w:tc>
        <w:tc>
          <w:tcPr>
            <w:tcW w:w="9540" w:type="dxa"/>
            <w:vAlign w:val="bottom"/>
            <w:gridSpan w:val="5"/>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Military &amp; Veterans Affairs ("MVA") team operates across multiple regions in the U.S., EMEA, India and Australia. In 2020</w:t>
            </w:r>
          </w:p>
        </w:tc>
      </w:tr>
      <w:tr>
        <w:trPr>
          <w:trHeight w:val="189"/>
        </w:trPr>
        <w:tc>
          <w:tcPr>
            <w:tcW w:w="17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FFFFFF"/>
              </w:rPr>
              <w:t>AFFAIRS</w:t>
            </w:r>
          </w:p>
        </w:tc>
        <w:tc>
          <w:tcPr>
            <w:tcW w:w="9540" w:type="dxa"/>
            <w:vAlign w:val="bottom"/>
            <w:gridSpan w:val="5"/>
          </w:tcPr>
          <w:p>
            <w:pPr>
              <w:ind w:left="300"/>
              <w:spacing w:after="0"/>
              <w:rPr>
                <w:sz w:val="20"/>
                <w:szCs w:val="20"/>
                <w:color w:val="auto"/>
              </w:rPr>
            </w:pPr>
            <w:r>
              <w:rPr>
                <w:rFonts w:ascii="Arial" w:cs="Arial" w:eastAsia="Arial" w:hAnsi="Arial"/>
                <w:sz w:val="16"/>
                <w:szCs w:val="16"/>
                <w:color w:val="auto"/>
              </w:rPr>
              <w:t>we launched our flagship "Military Pathways" program in London and Bournemouth while also increasing our incoming 2021</w:t>
            </w:r>
          </w:p>
        </w:tc>
      </w:tr>
      <w:tr>
        <w:trPr>
          <w:trHeight w:val="195"/>
        </w:trPr>
        <w:tc>
          <w:tcPr>
            <w:tcW w:w="1720" w:type="dxa"/>
            <w:vAlign w:val="bottom"/>
          </w:tcPr>
          <w:p>
            <w:pPr>
              <w:spacing w:after="0"/>
              <w:rPr>
                <w:sz w:val="16"/>
                <w:szCs w:val="16"/>
                <w:color w:val="auto"/>
              </w:rPr>
            </w:pPr>
          </w:p>
        </w:tc>
        <w:tc>
          <w:tcPr>
            <w:tcW w:w="9540" w:type="dxa"/>
            <w:vAlign w:val="bottom"/>
            <w:gridSpan w:val="5"/>
          </w:tcPr>
          <w:p>
            <w:pPr>
              <w:ind w:left="300"/>
              <w:spacing w:after="0"/>
              <w:rPr>
                <w:sz w:val="20"/>
                <w:szCs w:val="20"/>
                <w:color w:val="auto"/>
              </w:rPr>
            </w:pPr>
            <w:r>
              <w:rPr>
                <w:rFonts w:ascii="Arial" w:cs="Arial" w:eastAsia="Arial" w:hAnsi="Arial"/>
                <w:sz w:val="16"/>
                <w:szCs w:val="16"/>
                <w:color w:val="auto"/>
              </w:rPr>
              <w:t>female candidates by 71%, and Black, Asian and Minority Ethnic candidates by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1097280" cy="13716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97280" cy="1371600"/>
                    </a:xfrm>
                    <a:prstGeom prst="rect">
                      <a:avLst/>
                    </a:prstGeom>
                    <a:noFill/>
                  </pic:spPr>
                </pic:pic>
              </a:graphicData>
            </a:graphic>
          </wp:anchor>
        </w:drawing>
      </w:r>
    </w:p>
    <w:p>
      <w:pPr>
        <w:spacing w:after="0" w:line="1" w:lineRule="exact"/>
        <w:rPr>
          <w:sz w:val="20"/>
          <w:szCs w:val="20"/>
          <w:color w:val="auto"/>
        </w:rPr>
      </w:pPr>
    </w:p>
    <w:p>
      <w:pPr>
        <w:ind w:left="2020" w:hanging="189"/>
        <w:spacing w:after="0"/>
        <w:tabs>
          <w:tab w:leader="none" w:pos="2020" w:val="left"/>
        </w:tabs>
        <w:numPr>
          <w:ilvl w:val="0"/>
          <w:numId w:val="167"/>
        </w:numPr>
        <w:rPr>
          <w:rFonts w:ascii="Arial" w:cs="Arial" w:eastAsia="Arial" w:hAnsi="Arial"/>
          <w:sz w:val="16"/>
          <w:szCs w:val="16"/>
          <w:color w:val="074A75"/>
        </w:rPr>
      </w:pPr>
      <w:r>
        <w:rPr>
          <w:rFonts w:ascii="Arial" w:cs="Arial" w:eastAsia="Arial" w:hAnsi="Arial"/>
          <w:sz w:val="16"/>
          <w:szCs w:val="16"/>
          <w:color w:val="auto"/>
        </w:rPr>
        <w:t>Since 2019, at least 65% of veteran hires have been from diverse backgrounds</w:t>
      </w:r>
    </w:p>
    <w:p>
      <w:pPr>
        <w:spacing w:after="0" w:line="45" w:lineRule="exact"/>
        <w:rPr>
          <w:rFonts w:ascii="Arial" w:cs="Arial" w:eastAsia="Arial" w:hAnsi="Arial"/>
          <w:sz w:val="16"/>
          <w:szCs w:val="16"/>
          <w:color w:val="074A75"/>
        </w:rPr>
      </w:pPr>
    </w:p>
    <w:p>
      <w:pPr>
        <w:ind w:left="2020" w:right="260" w:hanging="189"/>
        <w:spacing w:after="0" w:line="260" w:lineRule="auto"/>
        <w:tabs>
          <w:tab w:leader="none" w:pos="2017" w:val="left"/>
        </w:tabs>
        <w:numPr>
          <w:ilvl w:val="0"/>
          <w:numId w:val="167"/>
        </w:numPr>
        <w:rPr>
          <w:rFonts w:ascii="Arial" w:cs="Arial" w:eastAsia="Arial" w:hAnsi="Arial"/>
          <w:sz w:val="16"/>
          <w:szCs w:val="16"/>
          <w:color w:val="074A75"/>
        </w:rPr>
      </w:pPr>
      <w:r>
        <w:rPr>
          <w:rFonts w:ascii="Arial" w:cs="Arial" w:eastAsia="Arial" w:hAnsi="Arial"/>
          <w:sz w:val="16"/>
          <w:szCs w:val="16"/>
          <w:color w:val="auto"/>
        </w:rPr>
        <w:t>The Firm leads the Veteran Jobs Mission, which comprises more than 200 top companies committed to hiring and developing military talent. With over 680,000 veterans already hired, the coalition is working toward hiring one million U.S. veterans</w:t>
      </w:r>
    </w:p>
    <w:p>
      <w:pPr>
        <w:spacing w:after="0" w:line="19" w:lineRule="exact"/>
        <w:rPr>
          <w:rFonts w:ascii="Arial" w:cs="Arial" w:eastAsia="Arial" w:hAnsi="Arial"/>
          <w:sz w:val="16"/>
          <w:szCs w:val="16"/>
          <w:color w:val="074A75"/>
        </w:rPr>
      </w:pPr>
    </w:p>
    <w:p>
      <w:pPr>
        <w:ind w:left="2020" w:hanging="189"/>
        <w:spacing w:after="0"/>
        <w:tabs>
          <w:tab w:leader="none" w:pos="2020" w:val="left"/>
        </w:tabs>
        <w:numPr>
          <w:ilvl w:val="0"/>
          <w:numId w:val="167"/>
        </w:numPr>
        <w:rPr>
          <w:rFonts w:ascii="Arial" w:cs="Arial" w:eastAsia="Arial" w:hAnsi="Arial"/>
          <w:sz w:val="16"/>
          <w:szCs w:val="16"/>
          <w:color w:val="074A75"/>
        </w:rPr>
      </w:pPr>
      <w:r>
        <w:rPr>
          <w:rFonts w:ascii="Arial" w:cs="Arial" w:eastAsia="Arial" w:hAnsi="Arial"/>
          <w:sz w:val="16"/>
          <w:szCs w:val="16"/>
          <w:color w:val="auto"/>
        </w:rPr>
        <w:t>The Firm has provided 1,080 homes to veterans through the MVA Home Awards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LGBT+</w:t>
            </w:r>
          </w:p>
        </w:tc>
        <w:tc>
          <w:tcPr>
            <w:tcW w:w="950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LGBT+ Executive Forum is a group of nearly 200 LGBT+ Managing Directors and Executive Directors across 13 countries,</w:t>
            </w:r>
          </w:p>
        </w:tc>
      </w:tr>
      <w:tr>
        <w:trPr>
          <w:trHeight w:val="216"/>
        </w:trPr>
        <w:tc>
          <w:tcPr>
            <w:tcW w:w="174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EXECUTIVE</w:t>
            </w:r>
          </w:p>
        </w:tc>
        <w:tc>
          <w:tcPr>
            <w:tcW w:w="9500" w:type="dxa"/>
            <w:vAlign w:val="bottom"/>
          </w:tcPr>
          <w:p>
            <w:pPr>
              <w:ind w:left="280"/>
              <w:spacing w:after="0"/>
              <w:rPr>
                <w:sz w:val="20"/>
                <w:szCs w:val="20"/>
                <w:color w:val="auto"/>
              </w:rPr>
            </w:pPr>
            <w:r>
              <w:rPr>
                <w:rFonts w:ascii="Arial" w:cs="Arial" w:eastAsia="Arial" w:hAnsi="Arial"/>
                <w:sz w:val="16"/>
                <w:szCs w:val="16"/>
                <w:color w:val="auto"/>
              </w:rPr>
              <w:t>whose mission is to drive increased engagement and visibility of our LGBT+ senior leaders and advance important topics of our</w:t>
            </w:r>
          </w:p>
        </w:tc>
      </w:tr>
      <w:tr>
        <w:trPr>
          <w:trHeight w:val="216"/>
        </w:trPr>
        <w:tc>
          <w:tcPr>
            <w:tcW w:w="174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FORUM &amp;</w:t>
            </w:r>
          </w:p>
        </w:tc>
        <w:tc>
          <w:tcPr>
            <w:tcW w:w="9500" w:type="dxa"/>
            <w:vAlign w:val="bottom"/>
          </w:tcPr>
          <w:p>
            <w:pPr>
              <w:ind w:left="280"/>
              <w:spacing w:after="0"/>
              <w:rPr>
                <w:sz w:val="20"/>
                <w:szCs w:val="20"/>
                <w:color w:val="auto"/>
              </w:rPr>
            </w:pPr>
            <w:r>
              <w:rPr>
                <w:rFonts w:ascii="Arial" w:cs="Arial" w:eastAsia="Arial" w:hAnsi="Arial"/>
                <w:sz w:val="16"/>
                <w:szCs w:val="16"/>
                <w:color w:val="auto"/>
              </w:rPr>
              <w:t>LGBT+ community; Forum members hosted over 44 Mentor Circles sessions for early career LGBT+ employees</w:t>
            </w:r>
          </w:p>
        </w:tc>
      </w:tr>
      <w:tr>
        <w:trPr>
          <w:trHeight w:val="239"/>
        </w:trPr>
        <w:tc>
          <w:tcPr>
            <w:tcW w:w="1740" w:type="dxa"/>
            <w:vAlign w:val="bottom"/>
            <w:shd w:val="clear" w:color="auto" w:fill="3E693D"/>
          </w:tcPr>
          <w:p>
            <w:pPr>
              <w:jc w:val="right"/>
              <w:ind w:right="30"/>
              <w:spacing w:after="0"/>
              <w:rPr>
                <w:sz w:val="20"/>
                <w:szCs w:val="20"/>
                <w:color w:val="auto"/>
              </w:rPr>
            </w:pPr>
            <w:r>
              <w:rPr>
                <w:rFonts w:ascii="Arial" w:cs="Arial" w:eastAsia="Arial" w:hAnsi="Arial"/>
                <w:sz w:val="18"/>
                <w:szCs w:val="18"/>
                <w:b w:val="1"/>
                <w:bCs w:val="1"/>
                <w:color w:val="FFFFFF"/>
              </w:rPr>
              <w:t>COMMUNITY</w:t>
            </w:r>
          </w:p>
        </w:tc>
        <w:tc>
          <w:tcPr>
            <w:tcW w:w="950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employees who have self-identified as LGBT+ increased by 21% over the last year</w:t>
            </w:r>
          </w:p>
        </w:tc>
      </w:tr>
      <w:tr>
        <w:trPr>
          <w:trHeight w:val="191"/>
        </w:trPr>
        <w:tc>
          <w:tcPr>
            <w:tcW w:w="1740" w:type="dxa"/>
            <w:vAlign w:val="bottom"/>
            <w:shd w:val="clear" w:color="auto" w:fill="3E693D"/>
          </w:tcPr>
          <w:p>
            <w:pPr>
              <w:spacing w:after="0"/>
              <w:rPr>
                <w:sz w:val="16"/>
                <w:szCs w:val="16"/>
                <w:color w:val="auto"/>
              </w:rPr>
            </w:pPr>
          </w:p>
        </w:tc>
        <w:tc>
          <w:tcPr>
            <w:tcW w:w="950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global PRIDE BRG has over 26,000 employees (11% of all employees globally) and grew by approximately 9% over the</w:t>
            </w:r>
          </w:p>
        </w:tc>
      </w:tr>
      <w:tr>
        <w:trPr>
          <w:trHeight w:val="195"/>
        </w:trPr>
        <w:tc>
          <w:tcPr>
            <w:tcW w:w="1740" w:type="dxa"/>
            <w:vAlign w:val="bottom"/>
            <w:shd w:val="clear" w:color="auto" w:fill="3E693D"/>
          </w:tcPr>
          <w:p>
            <w:pPr>
              <w:spacing w:after="0"/>
              <w:rPr>
                <w:sz w:val="16"/>
                <w:szCs w:val="16"/>
                <w:color w:val="auto"/>
              </w:rPr>
            </w:pPr>
          </w:p>
        </w:tc>
        <w:tc>
          <w:tcPr>
            <w:tcW w:w="9500" w:type="dxa"/>
            <w:vAlign w:val="bottom"/>
          </w:tcPr>
          <w:p>
            <w:pPr>
              <w:ind w:left="280"/>
              <w:spacing w:after="0"/>
              <w:rPr>
                <w:sz w:val="20"/>
                <w:szCs w:val="20"/>
                <w:color w:val="auto"/>
              </w:rPr>
            </w:pPr>
            <w:r>
              <w:rPr>
                <w:rFonts w:ascii="Arial" w:cs="Arial" w:eastAsia="Arial" w:hAnsi="Arial"/>
                <w:sz w:val="16"/>
                <w:szCs w:val="16"/>
                <w:color w:val="auto"/>
              </w:rPr>
              <w:t>last year</w:t>
            </w:r>
          </w:p>
        </w:tc>
      </w:tr>
      <w:tr>
        <w:trPr>
          <w:trHeight w:val="224"/>
        </w:trPr>
        <w:tc>
          <w:tcPr>
            <w:tcW w:w="1740" w:type="dxa"/>
            <w:vAlign w:val="bottom"/>
            <w:shd w:val="clear" w:color="auto" w:fill="3E693D"/>
          </w:tcPr>
          <w:p>
            <w:pPr>
              <w:spacing w:after="0"/>
              <w:rPr>
                <w:sz w:val="19"/>
                <w:szCs w:val="19"/>
                <w:color w:val="auto"/>
              </w:rPr>
            </w:pPr>
          </w:p>
        </w:tc>
        <w:tc>
          <w:tcPr>
            <w:tcW w:w="950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We are committed to being visible from a LGBT+ perspective in the communities in which we serve. We announced a $5 million</w:t>
            </w:r>
          </w:p>
        </w:tc>
      </w:tr>
      <w:tr>
        <w:trPr>
          <w:trHeight w:val="189"/>
        </w:trPr>
        <w:tc>
          <w:tcPr>
            <w:tcW w:w="1740" w:type="dxa"/>
            <w:vAlign w:val="bottom"/>
            <w:shd w:val="clear" w:color="auto" w:fill="3E693D"/>
          </w:tcPr>
          <w:p>
            <w:pPr>
              <w:spacing w:after="0"/>
              <w:rPr>
                <w:sz w:val="16"/>
                <w:szCs w:val="16"/>
                <w:color w:val="auto"/>
              </w:rPr>
            </w:pPr>
          </w:p>
        </w:tc>
        <w:tc>
          <w:tcPr>
            <w:tcW w:w="9500" w:type="dxa"/>
            <w:vAlign w:val="bottom"/>
          </w:tcPr>
          <w:p>
            <w:pPr>
              <w:ind w:left="280"/>
              <w:spacing w:after="0"/>
              <w:rPr>
                <w:sz w:val="20"/>
                <w:szCs w:val="20"/>
                <w:color w:val="auto"/>
              </w:rPr>
            </w:pPr>
            <w:r>
              <w:rPr>
                <w:rFonts w:ascii="Arial" w:cs="Arial" w:eastAsia="Arial" w:hAnsi="Arial"/>
                <w:sz w:val="16"/>
                <w:szCs w:val="16"/>
                <w:color w:val="auto"/>
              </w:rPr>
              <w:t>commitment to five U.S. based not-for-profit organizations that are advancing equity for the LGBT+ community. In addition, we</w:t>
            </w:r>
          </w:p>
        </w:tc>
      </w:tr>
      <w:tr>
        <w:trPr>
          <w:trHeight w:val="189"/>
        </w:trPr>
        <w:tc>
          <w:tcPr>
            <w:tcW w:w="1740" w:type="dxa"/>
            <w:vAlign w:val="bottom"/>
            <w:shd w:val="clear" w:color="auto" w:fill="3E693D"/>
          </w:tcPr>
          <w:p>
            <w:pPr>
              <w:spacing w:after="0"/>
              <w:rPr>
                <w:sz w:val="16"/>
                <w:szCs w:val="16"/>
                <w:color w:val="auto"/>
              </w:rPr>
            </w:pPr>
          </w:p>
        </w:tc>
        <w:tc>
          <w:tcPr>
            <w:tcW w:w="9500" w:type="dxa"/>
            <w:vAlign w:val="bottom"/>
          </w:tcPr>
          <w:p>
            <w:pPr>
              <w:ind w:left="280"/>
              <w:spacing w:after="0"/>
              <w:rPr>
                <w:sz w:val="20"/>
                <w:szCs w:val="20"/>
                <w:color w:val="auto"/>
              </w:rPr>
            </w:pPr>
            <w:r>
              <w:rPr>
                <w:rFonts w:ascii="Arial" w:cs="Arial" w:eastAsia="Arial" w:hAnsi="Arial"/>
                <w:sz w:val="16"/>
                <w:szCs w:val="16"/>
                <w:color w:val="auto"/>
              </w:rPr>
              <w:t>are engaged with LGBT+ not-for-profit organizations across the globe, evidenced by our financial support of 29 LGBT+ focused</w:t>
            </w:r>
          </w:p>
        </w:tc>
      </w:tr>
      <w:tr>
        <w:trPr>
          <w:trHeight w:val="221"/>
        </w:trPr>
        <w:tc>
          <w:tcPr>
            <w:tcW w:w="1740" w:type="dxa"/>
            <w:vAlign w:val="bottom"/>
            <w:tcBorders>
              <w:bottom w:val="single" w:sz="8" w:color="3E693D"/>
            </w:tcBorders>
            <w:shd w:val="clear" w:color="auto" w:fill="3E693D"/>
          </w:tcPr>
          <w:p>
            <w:pPr>
              <w:spacing w:after="0"/>
              <w:rPr>
                <w:sz w:val="19"/>
                <w:szCs w:val="19"/>
                <w:color w:val="auto"/>
              </w:rPr>
            </w:pPr>
          </w:p>
        </w:tc>
        <w:tc>
          <w:tcPr>
            <w:tcW w:w="9500" w:type="dxa"/>
            <w:vAlign w:val="bottom"/>
          </w:tcPr>
          <w:p>
            <w:pPr>
              <w:ind w:left="280"/>
              <w:spacing w:after="0"/>
              <w:rPr>
                <w:sz w:val="20"/>
                <w:szCs w:val="20"/>
                <w:color w:val="auto"/>
              </w:rPr>
            </w:pPr>
            <w:r>
              <w:rPr>
                <w:rFonts w:ascii="Arial" w:cs="Arial" w:eastAsia="Arial" w:hAnsi="Arial"/>
                <w:sz w:val="16"/>
                <w:szCs w:val="16"/>
                <w:color w:val="auto"/>
              </w:rPr>
              <w:t>non-profit organizations in 11 countries, with a number of these relationships dating back two decades</w:t>
            </w:r>
          </w:p>
        </w:tc>
      </w:tr>
      <w:tr>
        <w:trPr>
          <w:trHeight w:val="108"/>
        </w:trPr>
        <w:tc>
          <w:tcPr>
            <w:tcW w:w="1740" w:type="dxa"/>
            <w:vAlign w:val="bottom"/>
            <w:tcBorders>
              <w:bottom w:val="single" w:sz="8" w:color="494949"/>
            </w:tcBorders>
          </w:tcPr>
          <w:p>
            <w:pPr>
              <w:spacing w:after="0"/>
              <w:rPr>
                <w:sz w:val="9"/>
                <w:szCs w:val="9"/>
                <w:color w:val="auto"/>
              </w:rPr>
            </w:pPr>
          </w:p>
        </w:tc>
        <w:tc>
          <w:tcPr>
            <w:tcW w:w="9500" w:type="dxa"/>
            <w:vAlign w:val="bottom"/>
            <w:tcBorders>
              <w:bottom w:val="single" w:sz="8" w:color="49494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97280" cy="127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97280" cy="1276985"/>
                    </a:xfrm>
                    <a:prstGeom prst="rect">
                      <a:avLst/>
                    </a:prstGeom>
                    <a:noFill/>
                  </pic:spPr>
                </pic:pic>
              </a:graphicData>
            </a:graphic>
          </wp:anchor>
        </w:drawing>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ASIAN</w:t>
            </w:r>
          </w:p>
        </w:tc>
        <w:tc>
          <w:tcPr>
            <w:tcW w:w="9120" w:type="dxa"/>
            <w:vAlign w:val="bottom"/>
          </w:tcPr>
          <w:p>
            <w:pPr>
              <w:ind w:left="12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Our AEF is a consortium of Managing Directors of Asian heritage across all lines of business and functions to represent the</w:t>
            </w:r>
          </w:p>
        </w:tc>
      </w:t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EXECUTIVE</w:t>
            </w:r>
          </w:p>
        </w:tc>
        <w:tc>
          <w:tcPr>
            <w:tcW w:w="9120" w:type="dxa"/>
            <w:vAlign w:val="bottom"/>
          </w:tcPr>
          <w:p>
            <w:pPr>
              <w:ind w:left="300"/>
              <w:spacing w:after="0"/>
              <w:rPr>
                <w:sz w:val="20"/>
                <w:szCs w:val="20"/>
                <w:color w:val="auto"/>
              </w:rPr>
            </w:pPr>
            <w:r>
              <w:rPr>
                <w:rFonts w:ascii="Arial" w:cs="Arial" w:eastAsia="Arial" w:hAnsi="Arial"/>
                <w:sz w:val="16"/>
                <w:szCs w:val="16"/>
                <w:color w:val="auto"/>
              </w:rPr>
              <w:t>Firm’s strong commitment to the promotion and advancement of Asian Americans and Pacific Islanders; its strategies and</w:t>
            </w:r>
          </w:p>
        </w:tc>
      </w:tr>
      <w:tr>
        <w:trPr>
          <w:trHeight w:val="200"/>
        </w:trPr>
        <w:tc>
          <w:tcPr>
            <w:tcW w:w="122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FFFFFF"/>
              </w:rPr>
              <w:t>FORUM</w:t>
            </w:r>
          </w:p>
        </w:tc>
        <w:tc>
          <w:tcPr>
            <w:tcW w:w="9120" w:type="dxa"/>
            <w:vAlign w:val="bottom"/>
          </w:tcPr>
          <w:p>
            <w:pPr>
              <w:ind w:left="300"/>
              <w:spacing w:after="0"/>
              <w:rPr>
                <w:sz w:val="20"/>
                <w:szCs w:val="20"/>
                <w:color w:val="auto"/>
              </w:rPr>
            </w:pPr>
            <w:r>
              <w:rPr>
                <w:rFonts w:ascii="Arial" w:cs="Arial" w:eastAsia="Arial" w:hAnsi="Arial"/>
                <w:sz w:val="16"/>
                <w:szCs w:val="16"/>
                <w:color w:val="auto"/>
              </w:rPr>
              <w:t>priorities are designed to strengthen the voice of the community and create more awareness of talent and contributions</w:t>
            </w:r>
          </w:p>
        </w:tc>
      </w:tr>
      <w:tr>
        <w:trPr>
          <w:trHeight w:val="229"/>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(“AEF”) &amp;</w:t>
            </w:r>
          </w:p>
        </w:tc>
        <w:tc>
          <w:tcPr>
            <w:tcW w:w="9120" w:type="dxa"/>
            <w:vAlign w:val="bottom"/>
          </w:tcPr>
          <w:p>
            <w:pPr>
              <w:ind w:left="300"/>
              <w:spacing w:after="0"/>
              <w:rPr>
                <w:sz w:val="20"/>
                <w:szCs w:val="20"/>
                <w:color w:val="auto"/>
              </w:rPr>
            </w:pPr>
            <w:r>
              <w:rPr>
                <w:rFonts w:ascii="Arial" w:cs="Arial" w:eastAsia="Arial" w:hAnsi="Arial"/>
                <w:sz w:val="16"/>
                <w:szCs w:val="16"/>
                <w:color w:val="auto"/>
              </w:rPr>
              <w:t>firmwide, including:</w:t>
            </w:r>
          </w:p>
        </w:tc>
      </w:t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w w:val="99"/>
              </w:rPr>
              <w:t>COMMUNITY</w:t>
            </w:r>
          </w:p>
        </w:tc>
        <w:tc>
          <w:tcPr>
            <w:tcW w:w="9120" w:type="dxa"/>
            <w:vAlign w:val="bottom"/>
          </w:tcPr>
          <w:p>
            <w:pPr>
              <w:ind w:left="300"/>
              <w:spacing w:after="0"/>
              <w:rPr>
                <w:sz w:val="20"/>
                <w:szCs w:val="20"/>
                <w:color w:val="auto"/>
              </w:rPr>
            </w:pPr>
            <w:r>
              <w:rPr>
                <w:rFonts w:ascii="Arial" w:cs="Arial" w:eastAsia="Arial" w:hAnsi="Arial"/>
                <w:sz w:val="16"/>
                <w:szCs w:val="16"/>
                <w:color w:val="auto"/>
              </w:rPr>
              <w:t>◦  Supporting and partnering with the AsPIRE BRG and its leadership teams</w:t>
            </w:r>
          </w:p>
        </w:tc>
      </w:tr>
    </w:tbl>
    <w:p>
      <w:pPr>
        <w:ind w:left="2220" w:hanging="194"/>
        <w:spacing w:after="0"/>
        <w:tabs>
          <w:tab w:leader="none" w:pos="2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Enhancing the onboarding experience for new Asian Managing Directors</w:t>
      </w:r>
    </w:p>
    <w:p>
      <w:pPr>
        <w:spacing w:after="0" w:line="45" w:lineRule="exact"/>
        <w:rPr>
          <w:rFonts w:ascii="Arial" w:cs="Arial" w:eastAsia="Arial" w:hAnsi="Arial"/>
          <w:sz w:val="16"/>
          <w:szCs w:val="16"/>
          <w:color w:val="auto"/>
        </w:rPr>
      </w:pPr>
    </w:p>
    <w:p>
      <w:pPr>
        <w:ind w:left="2220" w:hanging="194"/>
        <w:spacing w:after="0"/>
        <w:tabs>
          <w:tab w:leader="none" w:pos="2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Mentoring Asian Executive Directors through establishing mentorships with Asian Managing Directors</w:t>
      </w:r>
    </w:p>
    <w:p>
      <w:pPr>
        <w:spacing w:after="0" w:line="45" w:lineRule="exact"/>
        <w:rPr>
          <w:rFonts w:ascii="Arial" w:cs="Arial" w:eastAsia="Arial" w:hAnsi="Arial"/>
          <w:sz w:val="16"/>
          <w:szCs w:val="16"/>
          <w:color w:val="auto"/>
        </w:rPr>
      </w:pPr>
    </w:p>
    <w:p>
      <w:pPr>
        <w:ind w:left="2220" w:hanging="194"/>
        <w:spacing w:after="0"/>
        <w:tabs>
          <w:tab w:leader="none" w:pos="2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Developing Asian Vice Presidents via the AEF VP Leadership Academy</w:t>
      </w:r>
    </w:p>
    <w:p>
      <w:pPr>
        <w:spacing w:after="0" w:line="32" w:lineRule="exact"/>
        <w:rPr>
          <w:rFonts w:ascii="Arial" w:cs="Arial" w:eastAsia="Arial" w:hAnsi="Arial"/>
          <w:sz w:val="16"/>
          <w:szCs w:val="16"/>
          <w:color w:val="auto"/>
        </w:rPr>
      </w:pPr>
    </w:p>
    <w:p>
      <w:pPr>
        <w:ind w:left="2220" w:hanging="194"/>
        <w:spacing w:after="0"/>
        <w:tabs>
          <w:tab w:leader="none" w:pos="22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Increasing engagement in community development through participation in the non-profit board placement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6027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602740"/>
                    </a:xfrm>
                    <a:prstGeom prst="rect">
                      <a:avLst/>
                    </a:prstGeom>
                    <a:noFill/>
                  </pic:spPr>
                </pic:pic>
              </a:graphicData>
            </a:graphic>
          </wp:anchor>
        </w:drawing>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HISPANIC</w:t>
            </w:r>
          </w:p>
        </w:tc>
        <w:tc>
          <w:tcPr>
            <w:tcW w:w="240" w:type="dxa"/>
            <w:vAlign w:val="bottom"/>
          </w:tcPr>
          <w:p>
            <w:pPr>
              <w:ind w:left="120"/>
              <w:spacing w:after="0"/>
              <w:rPr>
                <w:sz w:val="20"/>
                <w:szCs w:val="20"/>
                <w:color w:val="auto"/>
              </w:rPr>
            </w:pPr>
            <w:r>
              <w:rPr>
                <w:rFonts w:ascii="Arial" w:cs="Arial" w:eastAsia="Arial" w:hAnsi="Arial"/>
                <w:sz w:val="16"/>
                <w:szCs w:val="16"/>
                <w:color w:val="074A75"/>
              </w:rPr>
              <w:t>•</w:t>
            </w:r>
          </w:p>
        </w:tc>
        <w:tc>
          <w:tcPr>
            <w:tcW w:w="9000" w:type="dxa"/>
            <w:vAlign w:val="bottom"/>
          </w:tcPr>
          <w:p>
            <w:pPr>
              <w:ind w:left="60"/>
              <w:spacing w:after="0"/>
              <w:rPr>
                <w:sz w:val="20"/>
                <w:szCs w:val="20"/>
                <w:color w:val="auto"/>
              </w:rPr>
            </w:pPr>
            <w:r>
              <w:rPr>
                <w:rFonts w:ascii="Arial" w:cs="Arial" w:eastAsia="Arial" w:hAnsi="Arial"/>
                <w:sz w:val="16"/>
                <w:szCs w:val="16"/>
                <w:color w:val="auto"/>
              </w:rPr>
              <w:t>Our HEF is a group of Managing Directors of Hispanic and Latinx heritage across all lines of businesses and functions, and</w:t>
            </w:r>
          </w:p>
        </w:tc>
      </w:t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EXECUTIVE</w:t>
            </w:r>
          </w:p>
        </w:tc>
        <w:tc>
          <w:tcPr>
            <w:tcW w:w="240" w:type="dxa"/>
            <w:vAlign w:val="bottom"/>
          </w:tcPr>
          <w:p>
            <w:pPr>
              <w:spacing w:after="0"/>
              <w:rPr>
                <w:sz w:val="18"/>
                <w:szCs w:val="18"/>
                <w:color w:val="auto"/>
              </w:rPr>
            </w:pPr>
          </w:p>
        </w:tc>
        <w:tc>
          <w:tcPr>
            <w:tcW w:w="9000" w:type="dxa"/>
            <w:vAlign w:val="bottom"/>
          </w:tcPr>
          <w:p>
            <w:pPr>
              <w:ind w:left="60"/>
              <w:spacing w:after="0"/>
              <w:rPr>
                <w:sz w:val="20"/>
                <w:szCs w:val="20"/>
                <w:color w:val="auto"/>
              </w:rPr>
            </w:pPr>
            <w:r>
              <w:rPr>
                <w:rFonts w:ascii="Arial" w:cs="Arial" w:eastAsia="Arial" w:hAnsi="Arial"/>
                <w:sz w:val="16"/>
                <w:szCs w:val="16"/>
                <w:color w:val="auto"/>
              </w:rPr>
              <w:t>serves as a senior collective voice for the community, and regularly engages with the Adelante BRG and other Hispanic</w:t>
            </w:r>
          </w:p>
        </w:tc>
      </w:t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FORUM</w:t>
            </w:r>
          </w:p>
        </w:tc>
        <w:tc>
          <w:tcPr>
            <w:tcW w:w="240" w:type="dxa"/>
            <w:vAlign w:val="bottom"/>
          </w:tcPr>
          <w:p>
            <w:pPr>
              <w:spacing w:after="0"/>
              <w:rPr>
                <w:sz w:val="18"/>
                <w:szCs w:val="18"/>
                <w:color w:val="auto"/>
              </w:rPr>
            </w:pPr>
          </w:p>
        </w:tc>
        <w:tc>
          <w:tcPr>
            <w:tcW w:w="9000" w:type="dxa"/>
            <w:vAlign w:val="bottom"/>
          </w:tcPr>
          <w:p>
            <w:pPr>
              <w:ind w:left="60"/>
              <w:spacing w:after="0"/>
              <w:rPr>
                <w:sz w:val="20"/>
                <w:szCs w:val="20"/>
                <w:color w:val="auto"/>
              </w:rPr>
            </w:pPr>
            <w:r>
              <w:rPr>
                <w:rFonts w:ascii="Arial" w:cs="Arial" w:eastAsia="Arial" w:hAnsi="Arial"/>
                <w:sz w:val="16"/>
                <w:szCs w:val="16"/>
                <w:color w:val="auto"/>
              </w:rPr>
              <w:t>leadership forums across the Firm</w:t>
            </w:r>
          </w:p>
        </w:tc>
      </w:tr>
      <w:tr>
        <w:trPr>
          <w:trHeight w:val="214"/>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rPr>
              <w:t>(“HEF”) &amp;</w:t>
            </w:r>
          </w:p>
        </w:tc>
        <w:tc>
          <w:tcPr>
            <w:tcW w:w="240" w:type="dxa"/>
            <w:vAlign w:val="bottom"/>
          </w:tcPr>
          <w:p>
            <w:pPr>
              <w:ind w:left="120"/>
              <w:spacing w:after="0"/>
              <w:rPr>
                <w:sz w:val="20"/>
                <w:szCs w:val="20"/>
                <w:color w:val="auto"/>
              </w:rPr>
            </w:pPr>
            <w:r>
              <w:rPr>
                <w:rFonts w:ascii="Arial" w:cs="Arial" w:eastAsia="Arial" w:hAnsi="Arial"/>
                <w:sz w:val="16"/>
                <w:szCs w:val="16"/>
                <w:color w:val="074A75"/>
              </w:rPr>
              <w:t>•</w:t>
            </w:r>
          </w:p>
        </w:tc>
        <w:tc>
          <w:tcPr>
            <w:tcW w:w="9000" w:type="dxa"/>
            <w:vAlign w:val="bottom"/>
          </w:tcPr>
          <w:p>
            <w:pPr>
              <w:ind w:left="60"/>
              <w:spacing w:after="0"/>
              <w:rPr>
                <w:sz w:val="20"/>
                <w:szCs w:val="20"/>
                <w:color w:val="auto"/>
              </w:rPr>
            </w:pPr>
            <w:r>
              <w:rPr>
                <w:rFonts w:ascii="Arial" w:cs="Arial" w:eastAsia="Arial" w:hAnsi="Arial"/>
                <w:sz w:val="16"/>
                <w:szCs w:val="16"/>
                <w:color w:val="auto"/>
              </w:rPr>
              <w:t>Our HEF engagement has led to increased Managing Director membership and participation in the Adelante BRG, as well as</w:t>
            </w:r>
          </w:p>
        </w:tc>
      </w:tr>
      <w:tr>
        <w:trPr>
          <w:trHeight w:val="216"/>
        </w:trPr>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FFFFFF"/>
                <w:w w:val="99"/>
              </w:rPr>
              <w:t>COMMUNITY</w:t>
            </w:r>
          </w:p>
        </w:tc>
        <w:tc>
          <w:tcPr>
            <w:tcW w:w="240" w:type="dxa"/>
            <w:vAlign w:val="bottom"/>
          </w:tcPr>
          <w:p>
            <w:pPr>
              <w:spacing w:after="0"/>
              <w:rPr>
                <w:sz w:val="18"/>
                <w:szCs w:val="18"/>
                <w:color w:val="auto"/>
              </w:rPr>
            </w:pPr>
          </w:p>
        </w:tc>
        <w:tc>
          <w:tcPr>
            <w:tcW w:w="9000" w:type="dxa"/>
            <w:vAlign w:val="bottom"/>
          </w:tcPr>
          <w:p>
            <w:pPr>
              <w:ind w:left="60"/>
              <w:spacing w:after="0"/>
              <w:rPr>
                <w:sz w:val="20"/>
                <w:szCs w:val="20"/>
                <w:color w:val="auto"/>
              </w:rPr>
            </w:pPr>
            <w:r>
              <w:rPr>
                <w:rFonts w:ascii="Arial" w:cs="Arial" w:eastAsia="Arial" w:hAnsi="Arial"/>
                <w:sz w:val="16"/>
                <w:szCs w:val="16"/>
                <w:color w:val="auto"/>
              </w:rPr>
              <w:t>enhanced partnerships with external Hispanic and Latinx organizations</w:t>
            </w:r>
          </w:p>
        </w:tc>
      </w:tr>
    </w:tbl>
    <w:p>
      <w:pPr>
        <w:ind w:left="2020" w:right="440" w:hanging="193"/>
        <w:spacing w:after="0" w:line="260" w:lineRule="auto"/>
        <w:tabs>
          <w:tab w:leader="none" w:pos="200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Outreach to newly promoted or hired Hispanic and Latinx Managing Directors enhances their experience in their new roles, establishes an immediate sense of community and provides a solid network of professionally diverse peers</w:t>
      </w:r>
    </w:p>
    <w:p>
      <w:pPr>
        <w:spacing w:after="0" w:line="20" w:lineRule="exact"/>
        <w:rPr>
          <w:sz w:val="20"/>
          <w:szCs w:val="20"/>
          <w:color w:val="auto"/>
        </w:rPr>
      </w:pPr>
    </w:p>
    <w:p>
      <w:pPr>
        <w:jc w:val="right"/>
        <w:ind w:left="1840" w:right="140"/>
        <w:spacing w:after="0" w:line="260" w:lineRule="auto"/>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We have high participation of HEF representatives who volunteer in the Firm’s Hispanic recruiting programs such as Launching</w:t>
      </w:r>
      <w:r>
        <w:rPr>
          <w:rFonts w:ascii="Arial" w:cs="Arial" w:eastAsia="Arial" w:hAnsi="Arial"/>
          <w:sz w:val="16"/>
          <w:szCs w:val="16"/>
          <w:color w:val="074A75"/>
        </w:rPr>
        <w:t xml:space="preserve"> </w:t>
      </w:r>
      <w:r>
        <w:rPr>
          <w:rFonts w:ascii="Arial" w:cs="Arial" w:eastAsia="Arial" w:hAnsi="Arial"/>
          <w:sz w:val="16"/>
          <w:szCs w:val="16"/>
          <w:color w:val="000000"/>
        </w:rPr>
        <w:t>Leaders, Freshman Experience, and Sophomore Edge program; we actively mentor and engage with Hispanic summer interns</w:t>
      </w:r>
    </w:p>
    <w:p>
      <w:pPr>
        <w:spacing w:after="0" w:line="20" w:lineRule="exact"/>
        <w:rPr>
          <w:sz w:val="20"/>
          <w:szCs w:val="20"/>
          <w:color w:val="auto"/>
        </w:rPr>
      </w:pPr>
    </w:p>
    <w:p>
      <w:pPr>
        <w:ind w:left="2020" w:right="160" w:hanging="193"/>
        <w:spacing w:after="0" w:line="260" w:lineRule="auto"/>
        <w:tabs>
          <w:tab w:leader="none" w:pos="200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We provide strategic support to development initiatives focused on junior talent through mentoring, content guidance and event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628650</wp:posOffset>
            </wp:positionV>
            <wp:extent cx="274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61  </w:t>
      </w:r>
      <w:r>
        <w:rPr>
          <w:sz w:val="1"/>
          <w:szCs w:val="1"/>
          <w:color w:val="auto"/>
        </w:rPr>
        <w:drawing>
          <wp:inline distT="0" distB="0" distL="0" distR="0">
            <wp:extent cx="2203450" cy="15430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External recognition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are proud of the external recognition we received in 2020, some of which is listed below:</w:t>
      </w:r>
    </w:p>
    <w:p>
      <w:pPr>
        <w:spacing w:after="0" w:line="117" w:lineRule="exact"/>
        <w:rPr>
          <w:sz w:val="20"/>
          <w:szCs w:val="20"/>
          <w:color w:val="auto"/>
        </w:rPr>
      </w:pPr>
    </w:p>
    <w:p>
      <w:pPr>
        <w:ind w:left="200" w:right="420" w:hanging="192"/>
        <w:spacing w:after="0" w:line="261" w:lineRule="auto"/>
        <w:tabs>
          <w:tab w:leader="none" w:pos="204"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Best of the Best list: Top Employers, Top Supplier Diversity Programs, Top LGBTQ+ Friendly Companies and Top Financial &amp; Banking Companies (Hispanic Network Magazine)</w:t>
      </w:r>
    </w:p>
    <w:p>
      <w:pPr>
        <w:spacing w:after="0" w:line="52"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World's Most Admired Companies, Ranked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(Fortune)</w:t>
      </w:r>
    </w:p>
    <w:p>
      <w:pPr>
        <w:spacing w:after="0" w:line="29"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#BestOfTweets 2020, includes ABP's #ShowMeYourWalk Virtual Graduation (Twitter)</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ABP’s “Currency Conversations” campaign, 2020 Silver Anvil Award in Multicultural Public Relations (Public Relations Society of America)</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2020 Military Friendly Employer, 2020 Military Friendly Spouse Employer (VIQTORY)</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All Stars of Supplier Diversity (Minority Business News)</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2020 NBIC Best-of-the-Best Corporation for Inclusion (National Business Inclusion Consortium)</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Five Star Company for Hispanic Inclusion (Hispanic Association on Corporate Responsibility's Corporate Inclusion Index)</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Top 50 Best Companies for Latinas to Work for in the U.S. (LATINA Style)</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Best Place to Work for LGBT+ Equality, 100 percent score on Corporate Equality Index (Human Rights Campaign)</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Top 100 Companies (2020 LGBTQ100 ESG Index)</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Best Place to Work for Disability Inclusion (Disability Equality Index)</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2020 Best of the Best Top Disability-Friendly Companies (DiversAbility Magazine)</w:t>
      </w:r>
    </w:p>
    <w:p>
      <w:pPr>
        <w:spacing w:after="0" w:line="90"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100 Best Companies and Best Companies for Multicultural Women (Working Mother)</w:t>
      </w:r>
    </w:p>
    <w:p>
      <w:pPr>
        <w:spacing w:after="0" w:line="76" w:lineRule="exact"/>
        <w:rPr>
          <w:rFonts w:ascii="Arial" w:cs="Arial" w:eastAsia="Arial" w:hAnsi="Arial"/>
          <w:sz w:val="18"/>
          <w:szCs w:val="18"/>
          <w:color w:val="074A75"/>
        </w:rPr>
      </w:pPr>
    </w:p>
    <w:p>
      <w:pPr>
        <w:ind w:left="200" w:hanging="192"/>
        <w:spacing w:after="0"/>
        <w:tabs>
          <w:tab w:leader="none" w:pos="200" w:val="left"/>
        </w:tabs>
        <w:numPr>
          <w:ilvl w:val="0"/>
          <w:numId w:val="169"/>
        </w:numPr>
        <w:rPr>
          <w:rFonts w:ascii="Arial" w:cs="Arial" w:eastAsia="Arial" w:hAnsi="Arial"/>
          <w:sz w:val="18"/>
          <w:szCs w:val="18"/>
          <w:color w:val="074A75"/>
        </w:rPr>
      </w:pPr>
      <w:r>
        <w:rPr>
          <w:rFonts w:ascii="Arial" w:cs="Arial" w:eastAsia="Arial" w:hAnsi="Arial"/>
          <w:sz w:val="18"/>
          <w:szCs w:val="18"/>
          <w:color w:val="auto"/>
        </w:rPr>
        <w:t>Gender Equality Index 2020 (Bloomberg)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EMPLOYEE GROWTH</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dedicated to a culture that enables leaders and their teams to grow and succeed throughout their careers while encouraging them to uphold a standard of excellence. To do so, we make substantial investments in tools and training programs to help employees build their knowledge, skills and experience, and to guide their career advancement. In 2020, we continued to deliver development and training programs to our employees while transitioning to virtual formats and creating specific content to support our employees in managing and adapting to unprecedented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097280" cy="13798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97280" cy="13798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183" w:lineRule="exact"/>
        <w:rPr>
          <w:sz w:val="20"/>
          <w:szCs w:val="20"/>
          <w:color w:val="auto"/>
        </w:rPr>
      </w:pPr>
    </w:p>
    <w:p>
      <w:pPr>
        <w:ind w:left="240" w:firstLine="210"/>
        <w:spacing w:after="0" w:line="287" w:lineRule="auto"/>
        <w:rPr>
          <w:sz w:val="20"/>
          <w:szCs w:val="20"/>
          <w:color w:val="auto"/>
        </w:rPr>
      </w:pPr>
      <w:r>
        <w:rPr>
          <w:rFonts w:ascii="Arial" w:cs="Arial" w:eastAsia="Arial" w:hAnsi="Arial"/>
          <w:sz w:val="18"/>
          <w:szCs w:val="18"/>
          <w:b w:val="1"/>
          <w:bCs w:val="1"/>
          <w:color w:val="FFFFFF"/>
        </w:rPr>
        <w:t>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1097280" cy="14484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97280" cy="144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89" w:right="580" w:hanging="189"/>
        <w:spacing w:after="0" w:line="260" w:lineRule="auto"/>
        <w:tabs>
          <w:tab w:leader="none" w:pos="186"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Our global leadership development program, Leadership Edge, is focused on creating one leadership culture and helping managers become better leaders every day</w:t>
      </w:r>
    </w:p>
    <w:p>
      <w:pPr>
        <w:spacing w:after="0" w:line="6" w:lineRule="exact"/>
        <w:rPr>
          <w:rFonts w:ascii="Arial" w:cs="Arial" w:eastAsia="Arial" w:hAnsi="Arial"/>
          <w:sz w:val="16"/>
          <w:szCs w:val="16"/>
          <w:color w:val="074A75"/>
        </w:rPr>
      </w:pPr>
    </w:p>
    <w:p>
      <w:pPr>
        <w:ind w:left="189" w:right="200" w:hanging="189"/>
        <w:spacing w:after="0" w:line="253" w:lineRule="auto"/>
        <w:tabs>
          <w:tab w:leader="none" w:pos="186"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In 2020, we introduced the Manager Excellence framework which clearly defines effective and inclusive leadership. We expect our managers to drive results, enable their teams, lead inclusively and grow talent. The framework will guide how we recruit, promote, develop, assess and reward managers, and hold them accountable</w:t>
      </w:r>
    </w:p>
    <w:p>
      <w:pPr>
        <w:spacing w:after="0" w:line="25" w:lineRule="exact"/>
        <w:rPr>
          <w:rFonts w:ascii="Arial" w:cs="Arial" w:eastAsia="Arial" w:hAnsi="Arial"/>
          <w:sz w:val="16"/>
          <w:szCs w:val="16"/>
          <w:color w:val="074A75"/>
        </w:rPr>
      </w:pPr>
    </w:p>
    <w:p>
      <w:pPr>
        <w:ind w:left="189" w:right="300" w:hanging="189"/>
        <w:spacing w:after="0" w:line="253" w:lineRule="auto"/>
        <w:tabs>
          <w:tab w:leader="none" w:pos="186"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To support our managers through this period of unprecedented challenges, we pivoted from in-person to virtual coaching and classes. Contents were focused on leading inclusively, managing resilience, managing remotely and Leading in Turbulent Times. We achieved global attendance of approximately 19,000 across Leadership Edge programs in 2020</w:t>
      </w:r>
    </w:p>
    <w:p>
      <w:pPr>
        <w:spacing w:after="0" w:line="25" w:lineRule="exact"/>
        <w:rPr>
          <w:rFonts w:ascii="Arial" w:cs="Arial" w:eastAsia="Arial" w:hAnsi="Arial"/>
          <w:sz w:val="16"/>
          <w:szCs w:val="16"/>
          <w:color w:val="074A75"/>
        </w:rPr>
      </w:pPr>
    </w:p>
    <w:p>
      <w:pPr>
        <w:ind w:left="189" w:right="700" w:hanging="189"/>
        <w:spacing w:after="0" w:line="260" w:lineRule="auto"/>
        <w:tabs>
          <w:tab w:leader="none" w:pos="186" w:val="left"/>
        </w:tabs>
        <w:numPr>
          <w:ilvl w:val="0"/>
          <w:numId w:val="170"/>
        </w:numPr>
        <w:rPr>
          <w:rFonts w:ascii="Arial" w:cs="Arial" w:eastAsia="Arial" w:hAnsi="Arial"/>
          <w:sz w:val="16"/>
          <w:szCs w:val="16"/>
          <w:color w:val="074A75"/>
        </w:rPr>
      </w:pPr>
      <w:r>
        <w:rPr>
          <w:rFonts w:ascii="Arial" w:cs="Arial" w:eastAsia="Arial" w:hAnsi="Arial"/>
          <w:sz w:val="16"/>
          <w:szCs w:val="16"/>
          <w:color w:val="auto"/>
        </w:rPr>
        <w:t>Our Operating Committee and other senior leaders delivered a virtual workshop to our ~300 newly appointed Managing Directors. 59% of the speakers were female and 54% ethnically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53975</wp:posOffset>
            </wp:positionV>
            <wp:extent cx="7132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620" w:space="211"/>
            <w:col w:w="9429"/>
          </w:cols>
          <w:pgMar w:left="320" w:top="171" w:right="319" w:bottom="1440" w:gutter="0" w:footer="0" w:header="0"/>
          <w:type w:val="continuous"/>
        </w:sectPr>
      </w:pPr>
    </w:p>
    <w:p>
      <w:pPr>
        <w:ind w:left="680" w:hanging="59"/>
        <w:spacing w:after="0" w:line="318" w:lineRule="auto"/>
        <w:rPr>
          <w:sz w:val="20"/>
          <w:szCs w:val="20"/>
          <w:color w:val="auto"/>
        </w:rPr>
      </w:pPr>
      <w:r>
        <w:rPr>
          <w:rFonts w:ascii="Arial" w:cs="Arial" w:eastAsia="Arial" w:hAnsi="Arial"/>
          <w:sz w:val="17"/>
          <w:szCs w:val="17"/>
          <w:b w:val="1"/>
          <w:bCs w:val="1"/>
          <w:color w:val="FFFFFF"/>
        </w:rPr>
        <w:t>EMPLOYEE LEARNING</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9" w:right="120" w:hanging="189"/>
        <w:spacing w:after="0" w:line="260" w:lineRule="auto"/>
        <w:tabs>
          <w:tab w:leader="none" w:pos="186"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Our learning agenda is designed to enable our employees to succeed in their careers while navigating the digital transformation occurring in our economy</w:t>
      </w:r>
    </w:p>
    <w:p>
      <w:pPr>
        <w:spacing w:after="0" w:line="6" w:lineRule="exact"/>
        <w:rPr>
          <w:rFonts w:ascii="Arial" w:cs="Arial" w:eastAsia="Arial" w:hAnsi="Arial"/>
          <w:sz w:val="16"/>
          <w:szCs w:val="16"/>
          <w:color w:val="074A75"/>
        </w:rPr>
      </w:pPr>
    </w:p>
    <w:p>
      <w:pPr>
        <w:ind w:left="189" w:right="280" w:hanging="189"/>
        <w:spacing w:after="0" w:line="260" w:lineRule="auto"/>
        <w:tabs>
          <w:tab w:leader="none" w:pos="186"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 xml:space="preserve">In 2020, we delivered over 7 million hours of training to employees globally, down 29% from the prior year due to </w:t>
      </w:r>
      <w:r>
        <w:rPr>
          <w:rFonts w:ascii="Arial" w:cs="Arial" w:eastAsia="Arial" w:hAnsi="Arial"/>
          <w:sz w:val="16"/>
          <w:szCs w:val="16"/>
          <w:color w:val="242424"/>
        </w:rPr>
        <w:t>a temporary</w:t>
      </w:r>
      <w:r>
        <w:rPr>
          <w:rFonts w:ascii="Arial" w:cs="Arial" w:eastAsia="Arial" w:hAnsi="Arial"/>
          <w:sz w:val="16"/>
          <w:szCs w:val="16"/>
          <w:color w:val="auto"/>
        </w:rPr>
        <w:t xml:space="preserve"> </w:t>
      </w:r>
      <w:r>
        <w:rPr>
          <w:rFonts w:ascii="Arial" w:cs="Arial" w:eastAsia="Arial" w:hAnsi="Arial"/>
          <w:sz w:val="16"/>
          <w:szCs w:val="16"/>
          <w:color w:val="242424"/>
        </w:rPr>
        <w:t>COVID-related pause in non-essential learning</w:t>
      </w:r>
    </w:p>
    <w:p>
      <w:pPr>
        <w:spacing w:after="0" w:line="19" w:lineRule="exact"/>
        <w:rPr>
          <w:rFonts w:ascii="Arial" w:cs="Arial" w:eastAsia="Arial" w:hAnsi="Arial"/>
          <w:sz w:val="16"/>
          <w:szCs w:val="16"/>
          <w:color w:val="074A75"/>
        </w:rPr>
      </w:pPr>
    </w:p>
    <w:p>
      <w:pPr>
        <w:ind w:left="389" w:hanging="194"/>
        <w:spacing w:after="0"/>
        <w:tabs>
          <w:tab w:leader="none" w:pos="38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This enabled us to successfully redesign all in-person training programs into engaging virtual programs</w:t>
      </w:r>
    </w:p>
    <w:p>
      <w:pPr>
        <w:spacing w:after="0" w:line="45" w:lineRule="exact"/>
        <w:rPr>
          <w:rFonts w:ascii="Arial" w:cs="Arial" w:eastAsia="Arial" w:hAnsi="Arial"/>
          <w:sz w:val="16"/>
          <w:szCs w:val="16"/>
          <w:color w:val="auto"/>
        </w:rPr>
      </w:pPr>
    </w:p>
    <w:p>
      <w:pPr>
        <w:ind w:left="389" w:hanging="194"/>
        <w:spacing w:after="0"/>
        <w:tabs>
          <w:tab w:leader="none" w:pos="389"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increase in digital and virtual learning provides employees with flexibility to learn anywhere, anytime</w:t>
      </w:r>
    </w:p>
    <w:p>
      <w:pPr>
        <w:spacing w:after="0" w:line="32" w:lineRule="exact"/>
        <w:rPr>
          <w:rFonts w:ascii="Arial" w:cs="Arial" w:eastAsia="Arial" w:hAnsi="Arial"/>
          <w:sz w:val="16"/>
          <w:szCs w:val="16"/>
          <w:color w:val="auto"/>
        </w:rPr>
      </w:pPr>
    </w:p>
    <w:p>
      <w:pPr>
        <w:ind w:left="189" w:hanging="189"/>
        <w:spacing w:after="0"/>
        <w:tabs>
          <w:tab w:leader="none" w:pos="189" w:val="left"/>
        </w:tabs>
        <w:numPr>
          <w:ilvl w:val="0"/>
          <w:numId w:val="171"/>
        </w:numPr>
        <w:rPr>
          <w:rFonts w:ascii="Arial" w:cs="Arial" w:eastAsia="Arial" w:hAnsi="Arial"/>
          <w:sz w:val="16"/>
          <w:szCs w:val="16"/>
          <w:color w:val="074A75"/>
        </w:rPr>
      </w:pPr>
      <w:r>
        <w:rPr>
          <w:rFonts w:ascii="Arial" w:cs="Arial" w:eastAsia="Arial" w:hAnsi="Arial"/>
          <w:sz w:val="16"/>
          <w:szCs w:val="16"/>
          <w:color w:val="242424"/>
        </w:rPr>
        <w:t>We developed health and safety training to help our employees prepare for return to the office when deemed safe</w:t>
      </w:r>
    </w:p>
    <w:p>
      <w:pPr>
        <w:spacing w:after="0" w:line="45" w:lineRule="exact"/>
        <w:rPr>
          <w:rFonts w:ascii="Arial" w:cs="Arial" w:eastAsia="Arial" w:hAnsi="Arial"/>
          <w:sz w:val="16"/>
          <w:szCs w:val="16"/>
          <w:color w:val="074A75"/>
        </w:rPr>
      </w:pPr>
    </w:p>
    <w:p>
      <w:pPr>
        <w:ind w:left="189" w:hanging="189"/>
        <w:spacing w:after="0"/>
        <w:tabs>
          <w:tab w:leader="none" w:pos="189"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65% of employee learning was elective and not assigned training, a result of the culture of continuous learning we foster</w:t>
      </w:r>
    </w:p>
    <w:p>
      <w:pPr>
        <w:spacing w:after="0" w:line="45" w:lineRule="exact"/>
        <w:rPr>
          <w:rFonts w:ascii="Arial" w:cs="Arial" w:eastAsia="Arial" w:hAnsi="Arial"/>
          <w:sz w:val="16"/>
          <w:szCs w:val="16"/>
          <w:color w:val="074A75"/>
        </w:rPr>
      </w:pPr>
    </w:p>
    <w:p>
      <w:pPr>
        <w:ind w:left="189" w:right="600" w:hanging="189"/>
        <w:spacing w:after="0" w:line="260" w:lineRule="auto"/>
        <w:tabs>
          <w:tab w:leader="none" w:pos="186" w:val="left"/>
        </w:tabs>
        <w:numPr>
          <w:ilvl w:val="0"/>
          <w:numId w:val="171"/>
        </w:numPr>
        <w:rPr>
          <w:rFonts w:ascii="Arial" w:cs="Arial" w:eastAsia="Arial" w:hAnsi="Arial"/>
          <w:sz w:val="16"/>
          <w:szCs w:val="16"/>
          <w:color w:val="074A75"/>
        </w:rPr>
      </w:pPr>
      <w:r>
        <w:rPr>
          <w:rFonts w:ascii="Arial" w:cs="Arial" w:eastAsia="Arial" w:hAnsi="Arial"/>
          <w:sz w:val="16"/>
          <w:szCs w:val="16"/>
          <w:color w:val="auto"/>
        </w:rPr>
        <w:t>We launched the LifeLong Learning Education Benefit program which provides employees with access to 300 accredited programs, many fully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53975</wp:posOffset>
            </wp:positionV>
            <wp:extent cx="71323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211"/>
            <w:col w:w="9429"/>
          </w:cols>
          <w:pgMar w:left="320" w:top="171" w:right="319" w:bottom="1440" w:gutter="0" w:footer="0" w:header="0"/>
          <w:type w:val="continuous"/>
        </w:sect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EMPLOYEE BENEFITS &amp; WELLNESS</w:t>
      </w:r>
    </w:p>
    <w:p>
      <w:pPr>
        <w:spacing w:after="0" w:line="1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committed to providing compensation and benefits programs and policies that support the needs and lifestyles of our employees and their families. Our benefits and wellness strategy is based on three key components: Health (physical well-being), Balance (emotional well-being and social connectedness) and Finances (financial well-being).</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Employee health and safety has been pushed to the forefront as a top priority in light of the COVID-19 pandemic. The Firm was awarded the "WELL Health-Safety Rating" for all 6,200 locations globally based on our operational policies, maintenance protocols, stakeholder engagement and emergency plans to address a COVID-19 environment. Since March, we enabled over 180,000 employees to work from home. For employees whose job requires them to continue working onsite, we quickly established strong health &amp; safety protocols and have made a variety of diagnostic testing options available.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Specifically, in 2020, to help support employees and their families during the pandemic, we:</w:t>
      </w:r>
    </w:p>
    <w:p>
      <w:pPr>
        <w:spacing w:after="0" w:line="117" w:lineRule="exact"/>
        <w:rPr>
          <w:sz w:val="20"/>
          <w:szCs w:val="20"/>
          <w:color w:val="auto"/>
        </w:rPr>
      </w:pPr>
    </w:p>
    <w:p>
      <w:pPr>
        <w:ind w:left="200" w:right="280" w:hanging="192"/>
        <w:spacing w:after="0" w:line="261"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awarded over $100 million in special payments to employees whose job requires them to continue working onsite, with a focus on those with compensation less than $60,000;</w:t>
      </w:r>
    </w:p>
    <w:p>
      <w:pPr>
        <w:spacing w:after="0" w:line="62" w:lineRule="exact"/>
        <w:rPr>
          <w:rFonts w:ascii="Arial" w:cs="Arial" w:eastAsia="Arial" w:hAnsi="Arial"/>
          <w:sz w:val="18"/>
          <w:szCs w:val="18"/>
          <w:color w:val="074A75"/>
        </w:rPr>
      </w:pPr>
    </w:p>
    <w:p>
      <w:pPr>
        <w:ind w:left="200" w:right="380" w:hanging="192"/>
        <w:spacing w:after="0" w:line="256"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enhanced our paid time off policies, including incremental five days off to handle COVID-19 related challenges, 14-days paid time if an employee contracted or had been in close contact with someone who has contracted COVID-19, and provided employees who are at higher risk and cannot work from home with job protected leave;</w:t>
      </w:r>
    </w:p>
    <w:p>
      <w:pPr>
        <w:spacing w:after="0" w:line="53" w:lineRule="exact"/>
        <w:rPr>
          <w:rFonts w:ascii="Arial" w:cs="Arial" w:eastAsia="Arial" w:hAnsi="Arial"/>
          <w:sz w:val="18"/>
          <w:szCs w:val="18"/>
          <w:color w:val="074A75"/>
        </w:rPr>
      </w:pPr>
    </w:p>
    <w:p>
      <w:pPr>
        <w:ind w:left="200" w:right="380" w:hanging="192"/>
        <w:spacing w:after="0" w:line="261"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leveraged our clinical staff in driving COVID-19 related policies, including mask wearing policy, testing protocols, clinical triage, contact tracing efforts, and onsite safety protocols;</w:t>
      </w:r>
    </w:p>
    <w:p>
      <w:pPr>
        <w:spacing w:after="0" w:line="49" w:lineRule="exact"/>
        <w:rPr>
          <w:rFonts w:ascii="Arial" w:cs="Arial" w:eastAsia="Arial" w:hAnsi="Arial"/>
          <w:sz w:val="18"/>
          <w:szCs w:val="18"/>
          <w:color w:val="074A75"/>
        </w:rPr>
      </w:pPr>
    </w:p>
    <w:p>
      <w:pPr>
        <w:ind w:left="200" w:right="80" w:hanging="192"/>
        <w:spacing w:after="0" w:line="291" w:lineRule="auto"/>
        <w:tabs>
          <w:tab w:leader="none" w:pos="204" w:val="left"/>
        </w:tabs>
        <w:numPr>
          <w:ilvl w:val="0"/>
          <w:numId w:val="172"/>
        </w:numPr>
        <w:rPr>
          <w:rFonts w:ascii="Arial" w:cs="Arial" w:eastAsia="Arial" w:hAnsi="Arial"/>
          <w:sz w:val="17"/>
          <w:szCs w:val="17"/>
          <w:color w:val="074A75"/>
        </w:rPr>
      </w:pPr>
      <w:r>
        <w:rPr>
          <w:rFonts w:ascii="Arial" w:cs="Arial" w:eastAsia="Arial" w:hAnsi="Arial"/>
          <w:sz w:val="17"/>
          <w:szCs w:val="17"/>
          <w:color w:val="auto"/>
        </w:rPr>
        <w:t>provided additional support for our employees with childcare needs, such as additional days of back-up childcare and full service childcare at our 14 dedicated onsite U.S. childcare centers, assistance with virtual learning and discounts for tutoring and other childcare services;</w:t>
      </w:r>
    </w:p>
    <w:p>
      <w:pPr>
        <w:spacing w:after="0" w:line="38" w:lineRule="exact"/>
        <w:rPr>
          <w:rFonts w:ascii="Arial" w:cs="Arial" w:eastAsia="Arial" w:hAnsi="Arial"/>
          <w:sz w:val="17"/>
          <w:szCs w:val="17"/>
          <w:color w:val="074A75"/>
        </w:rPr>
      </w:pPr>
    </w:p>
    <w:p>
      <w:pPr>
        <w:ind w:left="200" w:right="160" w:hanging="192"/>
        <w:spacing w:after="0" w:line="261"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focused on our employees’ mental well-being by doubling the number of covered employee assistance sessions and providing group and individual support sessions offered by our onsite mental health professionals, which reached over 6,000 employees;</w:t>
      </w:r>
    </w:p>
    <w:p>
      <w:pPr>
        <w:spacing w:after="0" w:line="49" w:lineRule="exact"/>
        <w:rPr>
          <w:rFonts w:ascii="Arial" w:cs="Arial" w:eastAsia="Arial" w:hAnsi="Arial"/>
          <w:sz w:val="18"/>
          <w:szCs w:val="18"/>
          <w:color w:val="074A75"/>
        </w:rPr>
      </w:pPr>
    </w:p>
    <w:p>
      <w:pPr>
        <w:ind w:left="200" w:right="200" w:hanging="192"/>
        <w:spacing w:after="0" w:line="256"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provided additional resources and support for managers and employees on coping with challenges during a crisis, including virtual management consultations on supporting teams during a crisis and various tip sheets, podcasts, seminars and other resources on topics such as fear, anxiety, loss/illness, compassion fatigue, loneliness, isolation, suicide, teen addiction and partner violence;</w:t>
      </w:r>
    </w:p>
    <w:p>
      <w:pPr>
        <w:spacing w:after="0" w:line="53" w:lineRule="exact"/>
        <w:rPr>
          <w:rFonts w:ascii="Arial" w:cs="Arial" w:eastAsia="Arial" w:hAnsi="Arial"/>
          <w:sz w:val="18"/>
          <w:szCs w:val="18"/>
          <w:color w:val="074A75"/>
        </w:rPr>
      </w:pPr>
    </w:p>
    <w:p>
      <w:pPr>
        <w:ind w:left="200" w:right="180" w:hanging="192"/>
        <w:spacing w:after="0" w:line="261"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made COVID-19 diagnostic PCR (polymerase chain reaction) tests more accessible and available at no cost to U.S. employees and their eligible dependents by offering at-home self-administered tests, plus onsite and near-site testing options in select locations; and</w:t>
      </w:r>
    </w:p>
    <w:p>
      <w:pPr>
        <w:spacing w:after="0" w:line="62" w:lineRule="exact"/>
        <w:rPr>
          <w:rFonts w:ascii="Arial" w:cs="Arial" w:eastAsia="Arial" w:hAnsi="Arial"/>
          <w:sz w:val="18"/>
          <w:szCs w:val="18"/>
          <w:color w:val="074A75"/>
        </w:rPr>
      </w:pPr>
    </w:p>
    <w:p>
      <w:pPr>
        <w:ind w:left="200" w:right="260" w:hanging="192"/>
        <w:spacing w:after="0" w:line="261" w:lineRule="auto"/>
        <w:tabs>
          <w:tab w:leader="none" w:pos="204" w:val="left"/>
        </w:tabs>
        <w:numPr>
          <w:ilvl w:val="0"/>
          <w:numId w:val="172"/>
        </w:numPr>
        <w:rPr>
          <w:rFonts w:ascii="Arial" w:cs="Arial" w:eastAsia="Arial" w:hAnsi="Arial"/>
          <w:sz w:val="18"/>
          <w:szCs w:val="18"/>
          <w:color w:val="074A75"/>
        </w:rPr>
      </w:pPr>
      <w:r>
        <w:rPr>
          <w:rFonts w:ascii="Arial" w:cs="Arial" w:eastAsia="Arial" w:hAnsi="Arial"/>
          <w:sz w:val="18"/>
          <w:szCs w:val="18"/>
          <w:color w:val="auto"/>
        </w:rPr>
        <w:t>launched virtual well-being programming around the globe to help support employees who were not able to access onsite programs and events including a specific focus on helping parents navigate home schooling and other parenting challenges during the pandemic.</w:t>
      </w:r>
    </w:p>
    <w:p>
      <w:pPr>
        <w:spacing w:after="0" w:line="9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Additionally, we continue to offer a comprehensive benefits and wellness package to our employees and their families, including healthcare coverage, retirement benefits, life and disability insurance, onsite health and wellness centers, employee assistance programs, competitive vacation and leave policies, backup childcare arrangements, tuition reimbursement programs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480060</wp:posOffset>
            </wp:positionV>
            <wp:extent cx="274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63  </w:t>
      </w:r>
      <w:r>
        <w:rPr>
          <w:sz w:val="1"/>
          <w:szCs w:val="1"/>
          <w:color w:val="auto"/>
        </w:rPr>
        <w:drawing>
          <wp:inline distT="0" distB="0" distL="0" distR="0">
            <wp:extent cx="2203450" cy="154305"/>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20" w:type="dxa"/>
            <w:vAlign w:val="bottom"/>
          </w:tcPr>
          <w:p>
            <w:pPr>
              <w:spacing w:after="0"/>
              <w:rPr>
                <w:sz w:val="22"/>
                <w:szCs w:val="22"/>
                <w:color w:val="auto"/>
              </w:rPr>
            </w:pPr>
          </w:p>
        </w:tc>
        <w:tc>
          <w:tcPr>
            <w:tcW w:w="3900" w:type="dxa"/>
            <w:vAlign w:val="bottom"/>
            <w:tcBorders>
              <w:top w:val="single" w:sz="8" w:color="E7E7E8"/>
            </w:tcBorders>
            <w:shd w:val="clear" w:color="auto" w:fill="E7E7E8"/>
          </w:tcPr>
          <w:p>
            <w:pPr>
              <w:ind w:left="300"/>
              <w:spacing w:after="0"/>
              <w:rPr>
                <w:sz w:val="20"/>
                <w:szCs w:val="20"/>
                <w:color w:val="auto"/>
              </w:rPr>
            </w:pPr>
            <w:r>
              <w:rPr>
                <w:rFonts w:ascii="Arial" w:cs="Arial" w:eastAsia="Arial" w:hAnsi="Arial"/>
                <w:sz w:val="15"/>
                <w:szCs w:val="15"/>
                <w:color w:val="074A75"/>
              </w:rPr>
              <w:t>How we performed against our business strategy</w:t>
            </w:r>
          </w:p>
        </w:tc>
        <w:tc>
          <w:tcPr>
            <w:tcW w:w="440" w:type="dxa"/>
            <w:vAlign w:val="bottom"/>
            <w:tcBorders>
              <w:right w:val="single" w:sz="8" w:color="E7E7E8"/>
            </w:tcBorders>
          </w:tcPr>
          <w:p>
            <w:pPr>
              <w:spacing w:after="0"/>
              <w:rPr>
                <w:sz w:val="22"/>
                <w:szCs w:val="22"/>
                <w:color w:val="auto"/>
              </w:rPr>
            </w:pPr>
          </w:p>
        </w:tc>
        <w:tc>
          <w:tcPr>
            <w:tcW w:w="3460" w:type="dxa"/>
            <w:vAlign w:val="bottom"/>
            <w:tcBorders>
              <w:top w:val="single" w:sz="8" w:color="E7E7E8"/>
              <w:right w:val="single" w:sz="8" w:color="E7E7E8"/>
            </w:tcBorders>
          </w:tcPr>
          <w:p>
            <w:pPr>
              <w:ind w:left="300"/>
              <w:spacing w:after="0"/>
              <w:rPr>
                <w:sz w:val="20"/>
                <w:szCs w:val="20"/>
                <w:color w:val="auto"/>
              </w:rPr>
            </w:pPr>
            <w:r>
              <w:rPr>
                <w:rFonts w:ascii="Arial" w:cs="Arial" w:eastAsia="Arial" w:hAnsi="Arial"/>
                <w:sz w:val="15"/>
                <w:szCs w:val="15"/>
                <w:color w:val="58585A"/>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900" w:type="dxa"/>
            <w:vAlign w:val="bottom"/>
            <w:tcBorders>
              <w:bottom w:val="single" w:sz="8" w:color="E7E7E8"/>
            </w:tcBorders>
            <w:shd w:val="clear" w:color="auto" w:fill="E7E7E8"/>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460" w:type="dxa"/>
            <w:vAlign w:val="bottom"/>
            <w:tcBorders>
              <w:bottom w:val="single" w:sz="8" w:color="E7E7E8"/>
              <w:right w:val="single" w:sz="8" w:color="E7E7E8"/>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97280" cy="112268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97280" cy="1122680"/>
                    </a:xfrm>
                    <a:prstGeom prst="rect">
                      <a:avLst/>
                    </a:prstGeom>
                    <a:noFill/>
                  </pic:spPr>
                </pic:pic>
              </a:graphicData>
            </a:graphic>
          </wp:anchor>
        </w:drawing>
      </w:r>
    </w:p>
    <w:p>
      <w:pPr>
        <w:spacing w:after="0" w:line="349" w:lineRule="exact"/>
        <w:rPr>
          <w:sz w:val="20"/>
          <w:szCs w:val="20"/>
          <w:color w:val="auto"/>
        </w:rPr>
      </w:pPr>
    </w:p>
    <w:p>
      <w:pPr>
        <w:jc w:val="both"/>
        <w:ind w:left="1840" w:right="500" w:hanging="1126"/>
        <w:spacing w:after="0" w:line="253" w:lineRule="auto"/>
        <w:tabs>
          <w:tab w:leader="none" w:pos="1820" w:val="left"/>
        </w:tabs>
        <w:rPr>
          <w:sz w:val="20"/>
          <w:szCs w:val="20"/>
          <w:color w:val="auto"/>
        </w:rPr>
      </w:pPr>
      <w:r>
        <w:rPr>
          <w:rFonts w:ascii="Arial" w:cs="Arial" w:eastAsia="Arial" w:hAnsi="Arial"/>
          <w:sz w:val="18"/>
          <w:szCs w:val="18"/>
          <w:b w:val="1"/>
          <w:bCs w:val="1"/>
          <w:color w:val="FFFFFF"/>
        </w:rPr>
        <w:t>HEALTH</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Our U.S. medical plan covers over 286,000 individuals, including approximately 134,000 employees, 102,000 children and</w:t>
      </w:r>
      <w:r>
        <w:rPr>
          <w:rFonts w:ascii="Arial" w:cs="Arial" w:eastAsia="Arial" w:hAnsi="Arial"/>
          <w:sz w:val="16"/>
          <w:szCs w:val="16"/>
          <w:color w:val="074A75"/>
        </w:rPr>
        <w:t xml:space="preserve"> </w:t>
      </w:r>
      <w:r>
        <w:rPr>
          <w:rFonts w:ascii="Arial" w:cs="Arial" w:eastAsia="Arial" w:hAnsi="Arial"/>
          <w:sz w:val="16"/>
          <w:szCs w:val="16"/>
          <w:color w:val="000000"/>
        </w:rPr>
        <w:t>49,000 spouses/domestic partners, including those individuals who participate in the Simplified Medical Plan launched on January 1, 2020</w:t>
      </w:r>
    </w:p>
    <w:p>
      <w:pPr>
        <w:spacing w:after="0" w:line="91" w:lineRule="exact"/>
        <w:rPr>
          <w:sz w:val="20"/>
          <w:szCs w:val="20"/>
          <w:color w:val="auto"/>
        </w:rPr>
      </w:pPr>
    </w:p>
    <w:p>
      <w:pPr>
        <w:ind w:left="2020" w:right="180" w:hanging="189"/>
        <w:spacing w:after="0" w:line="253" w:lineRule="auto"/>
        <w:tabs>
          <w:tab w:leader="none" w:pos="2017"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We have an integrated wellness program. Approximately 87% of enrolled employees and 80% of enrolled spouses/domestic partners completed a Wellness Assessment; outside of the U.S., 6,000 employees underwent biometric assessments or health screenings</w:t>
      </w:r>
    </w:p>
    <w:p>
      <w:pPr>
        <w:spacing w:after="0" w:line="12" w:lineRule="exact"/>
        <w:rPr>
          <w:rFonts w:ascii="Arial" w:cs="Arial" w:eastAsia="Arial" w:hAnsi="Arial"/>
          <w:sz w:val="16"/>
          <w:szCs w:val="16"/>
          <w:color w:val="074A75"/>
        </w:rPr>
      </w:pPr>
    </w:p>
    <w:p>
      <w:pPr>
        <w:ind w:left="2020" w:right="180" w:hanging="189"/>
        <w:spacing w:after="0" w:line="260" w:lineRule="auto"/>
        <w:tabs>
          <w:tab w:leader="none" w:pos="2017" w:val="left"/>
        </w:tabs>
        <w:numPr>
          <w:ilvl w:val="0"/>
          <w:numId w:val="173"/>
        </w:numPr>
        <w:rPr>
          <w:rFonts w:ascii="Arial" w:cs="Arial" w:eastAsia="Arial" w:hAnsi="Arial"/>
          <w:sz w:val="16"/>
          <w:szCs w:val="16"/>
          <w:color w:val="074A75"/>
        </w:rPr>
      </w:pPr>
      <w:r>
        <w:rPr>
          <w:rFonts w:ascii="Arial" w:cs="Arial" w:eastAsia="Arial" w:hAnsi="Arial"/>
          <w:sz w:val="16"/>
          <w:szCs w:val="16"/>
          <w:color w:val="auto"/>
        </w:rPr>
        <w:t>Our onsite Health &amp; Wellness Centers help employees navigate urgent care needs and specialty services by accessing trusted clinicians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916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191" w:lineRule="exact"/>
        <w:rPr>
          <w:sz w:val="20"/>
          <w:szCs w:val="20"/>
          <w:color w:val="auto"/>
        </w:rPr>
      </w:pPr>
    </w:p>
    <w:p>
      <w:pPr>
        <w:ind w:left="1840" w:right="120" w:hanging="1290"/>
        <w:spacing w:after="0" w:line="260" w:lineRule="auto"/>
        <w:tabs>
          <w:tab w:leader="none" w:pos="1820" w:val="left"/>
        </w:tabs>
        <w:rPr>
          <w:sz w:val="20"/>
          <w:szCs w:val="20"/>
          <w:color w:val="auto"/>
        </w:rPr>
      </w:pPr>
      <w:r>
        <w:rPr>
          <w:rFonts w:ascii="Arial" w:cs="Arial" w:eastAsia="Arial" w:hAnsi="Arial"/>
          <w:sz w:val="18"/>
          <w:szCs w:val="18"/>
          <w:b w:val="1"/>
          <w:bCs w:val="1"/>
          <w:color w:val="FFFFFF"/>
        </w:rPr>
        <w:t>BALANCE</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We increased the amount of paid leave provided to non-primary parental caregivers following the birth or adoption placement of</w:t>
      </w:r>
      <w:r>
        <w:rPr>
          <w:rFonts w:ascii="Arial" w:cs="Arial" w:eastAsia="Arial" w:hAnsi="Arial"/>
          <w:sz w:val="16"/>
          <w:szCs w:val="16"/>
          <w:color w:val="074A75"/>
        </w:rPr>
        <w:t xml:space="preserve"> </w:t>
      </w:r>
      <w:r>
        <w:rPr>
          <w:rFonts w:ascii="Arial" w:cs="Arial" w:eastAsia="Arial" w:hAnsi="Arial"/>
          <w:sz w:val="16"/>
          <w:szCs w:val="16"/>
          <w:color w:val="000000"/>
        </w:rPr>
        <w:t>a child, to a minimum of six weeks, up from two weeks (primary parental caregivers receive 16 weeks)</w:t>
      </w:r>
    </w:p>
    <w:p>
      <w:pPr>
        <w:spacing w:after="0" w:line="85" w:lineRule="exact"/>
        <w:rPr>
          <w:sz w:val="20"/>
          <w:szCs w:val="20"/>
          <w:color w:val="auto"/>
        </w:rPr>
      </w:pPr>
    </w:p>
    <w:p>
      <w:pPr>
        <w:ind w:left="2020" w:right="140" w:hanging="189"/>
        <w:spacing w:after="0" w:line="260" w:lineRule="auto"/>
        <w:tabs>
          <w:tab w:leader="none" w:pos="2017" w:val="left"/>
        </w:tabs>
        <w:numPr>
          <w:ilvl w:val="0"/>
          <w:numId w:val="174"/>
        </w:numPr>
        <w:rPr>
          <w:rFonts w:ascii="Arial" w:cs="Arial" w:eastAsia="Arial" w:hAnsi="Arial"/>
          <w:sz w:val="16"/>
          <w:szCs w:val="16"/>
          <w:color w:val="074A75"/>
        </w:rPr>
      </w:pPr>
      <w:r>
        <w:rPr>
          <w:rFonts w:ascii="Arial" w:cs="Arial" w:eastAsia="Arial" w:hAnsi="Arial"/>
          <w:sz w:val="16"/>
          <w:szCs w:val="16"/>
          <w:color w:val="auto"/>
        </w:rPr>
        <w:t>We continued to focus on mental health by expanding the “This is Me - A Dialogue on Mental Health” campaign, which features employees sharing their experiences on how they are dealing with and overcoming mental health issues</w:t>
      </w:r>
    </w:p>
    <w:p>
      <w:pPr>
        <w:spacing w:after="0" w:line="6" w:lineRule="exact"/>
        <w:rPr>
          <w:rFonts w:ascii="Arial" w:cs="Arial" w:eastAsia="Arial" w:hAnsi="Arial"/>
          <w:sz w:val="16"/>
          <w:szCs w:val="16"/>
          <w:color w:val="074A75"/>
        </w:rPr>
      </w:pPr>
    </w:p>
    <w:p>
      <w:pPr>
        <w:ind w:left="2020" w:right="220" w:hanging="189"/>
        <w:spacing w:after="0" w:line="260" w:lineRule="auto"/>
        <w:tabs>
          <w:tab w:leader="none" w:pos="2017" w:val="left"/>
        </w:tabs>
        <w:numPr>
          <w:ilvl w:val="0"/>
          <w:numId w:val="174"/>
        </w:numPr>
        <w:rPr>
          <w:rFonts w:ascii="Arial" w:cs="Arial" w:eastAsia="Arial" w:hAnsi="Arial"/>
          <w:sz w:val="16"/>
          <w:szCs w:val="16"/>
          <w:color w:val="074A75"/>
        </w:rPr>
      </w:pPr>
      <w:r>
        <w:rPr>
          <w:rFonts w:ascii="Arial" w:cs="Arial" w:eastAsia="Arial" w:hAnsi="Arial"/>
          <w:sz w:val="16"/>
          <w:szCs w:val="16"/>
          <w:color w:val="auto"/>
        </w:rPr>
        <w:t>We offered education, support and awareness on important topics including suicide, substance abuse/addiction, and domestic violence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4147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414780"/>
                    </a:xfrm>
                    <a:prstGeom prst="rect">
                      <a:avLst/>
                    </a:prstGeom>
                    <a:noFill/>
                  </pic:spPr>
                </pic:pic>
              </a:graphicData>
            </a:graphic>
          </wp:anchor>
        </w:drawing>
      </w:r>
    </w:p>
    <w:p>
      <w:pPr>
        <w:spacing w:after="0" w:line="191" w:lineRule="exact"/>
        <w:rPr>
          <w:sz w:val="20"/>
          <w:szCs w:val="20"/>
          <w:color w:val="auto"/>
        </w:rPr>
      </w:pPr>
    </w:p>
    <w:p>
      <w:pPr>
        <w:ind w:left="1840" w:right="700" w:hanging="1330"/>
        <w:spacing w:after="0" w:line="260" w:lineRule="auto"/>
        <w:tabs>
          <w:tab w:leader="none" w:pos="1820" w:val="left"/>
        </w:tabs>
        <w:rPr>
          <w:sz w:val="20"/>
          <w:szCs w:val="20"/>
          <w:color w:val="auto"/>
        </w:rPr>
      </w:pPr>
      <w:r>
        <w:rPr>
          <w:rFonts w:ascii="Arial" w:cs="Arial" w:eastAsia="Arial" w:hAnsi="Arial"/>
          <w:sz w:val="18"/>
          <w:szCs w:val="18"/>
          <w:b w:val="1"/>
          <w:bCs w:val="1"/>
          <w:color w:val="FFFFFF"/>
        </w:rPr>
        <w:t>FINANCES</w:t>
      </w:r>
      <w:r>
        <w:rPr>
          <w:sz w:val="20"/>
          <w:szCs w:val="20"/>
          <w:color w:val="auto"/>
        </w:rPr>
        <w:tab/>
      </w:r>
      <w:r>
        <w:rPr>
          <w:rFonts w:ascii="Arial" w:cs="Arial" w:eastAsia="Arial" w:hAnsi="Arial"/>
          <w:sz w:val="16"/>
          <w:szCs w:val="16"/>
          <w:color w:val="074A75"/>
        </w:rPr>
        <w:t xml:space="preserve">• </w:t>
      </w:r>
      <w:r>
        <w:rPr>
          <w:rFonts w:ascii="Arial" w:cs="Arial" w:eastAsia="Arial" w:hAnsi="Arial"/>
          <w:sz w:val="16"/>
          <w:szCs w:val="16"/>
          <w:color w:val="000000"/>
        </w:rPr>
        <w:t>Effective January 2021, we raised our minimum wage for U.S.-based overtime-eligible employees to $16 - $20 per hour</w:t>
      </w:r>
      <w:r>
        <w:rPr>
          <w:rFonts w:ascii="Arial" w:cs="Arial" w:eastAsia="Arial" w:hAnsi="Arial"/>
          <w:sz w:val="16"/>
          <w:szCs w:val="16"/>
          <w:color w:val="074A75"/>
        </w:rPr>
        <w:t xml:space="preserve"> </w:t>
      </w:r>
      <w:r>
        <w:rPr>
          <w:rFonts w:ascii="Arial" w:cs="Arial" w:eastAsia="Arial" w:hAnsi="Arial"/>
          <w:sz w:val="16"/>
          <w:szCs w:val="16"/>
          <w:color w:val="000000"/>
        </w:rPr>
        <w:t>depending on the local cost of living</w:t>
      </w:r>
    </w:p>
    <w:p>
      <w:pPr>
        <w:spacing w:after="0" w:line="85" w:lineRule="exact"/>
        <w:rPr>
          <w:sz w:val="20"/>
          <w:szCs w:val="20"/>
          <w:color w:val="auto"/>
        </w:rPr>
      </w:pPr>
    </w:p>
    <w:p>
      <w:pPr>
        <w:ind w:left="2020" w:right="60" w:hanging="189"/>
        <w:spacing w:after="0" w:line="253" w:lineRule="auto"/>
        <w:tabs>
          <w:tab w:leader="none" w:pos="2017"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We provide comprehensive retirement benefits in the U.S., including a competitive 5% dollar-for-dollar 401(k) match for employees making up to $250,000 in cash compensation annually, plus additional non-matching retirement contributions of 3% - 5% of pay up to $100,000 annually</w:t>
      </w:r>
    </w:p>
    <w:p>
      <w:pPr>
        <w:spacing w:after="0" w:line="12" w:lineRule="exact"/>
        <w:rPr>
          <w:rFonts w:ascii="Arial" w:cs="Arial" w:eastAsia="Arial" w:hAnsi="Arial"/>
          <w:sz w:val="16"/>
          <w:szCs w:val="16"/>
          <w:color w:val="074A75"/>
        </w:rPr>
      </w:pPr>
    </w:p>
    <w:p>
      <w:pPr>
        <w:ind w:left="2020" w:right="480" w:hanging="189"/>
        <w:spacing w:after="0" w:line="260" w:lineRule="auto"/>
        <w:tabs>
          <w:tab w:leader="none" w:pos="2017"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We made a $750 special award to employees earning less than $60,000 through 401(k) contributions in the U.S. and cash awards outside of the U.S.</w:t>
      </w:r>
    </w:p>
    <w:p>
      <w:pPr>
        <w:spacing w:after="0" w:line="19" w:lineRule="exact"/>
        <w:rPr>
          <w:rFonts w:ascii="Arial" w:cs="Arial" w:eastAsia="Arial" w:hAnsi="Arial"/>
          <w:sz w:val="16"/>
          <w:szCs w:val="16"/>
          <w:color w:val="074A75"/>
        </w:rPr>
      </w:pPr>
    </w:p>
    <w:p>
      <w:pPr>
        <w:ind w:left="2020" w:right="300" w:hanging="189"/>
        <w:spacing w:after="0" w:line="253" w:lineRule="auto"/>
        <w:tabs>
          <w:tab w:leader="none" w:pos="2017" w:val="left"/>
        </w:tabs>
        <w:numPr>
          <w:ilvl w:val="0"/>
          <w:numId w:val="175"/>
        </w:numPr>
        <w:rPr>
          <w:rFonts w:ascii="Arial" w:cs="Arial" w:eastAsia="Arial" w:hAnsi="Arial"/>
          <w:sz w:val="16"/>
          <w:szCs w:val="16"/>
          <w:color w:val="074A75"/>
        </w:rPr>
      </w:pPr>
      <w:r>
        <w:rPr>
          <w:rFonts w:ascii="Arial" w:cs="Arial" w:eastAsia="Arial" w:hAnsi="Arial"/>
          <w:sz w:val="16"/>
          <w:szCs w:val="16"/>
          <w:color w:val="auto"/>
        </w:rPr>
        <w:t>We launched a new program for U.S. benefits-eligible employees called "My Finances and Me", offering several ways to help employees with their finances including online financial wellness assessments and free unlimited access to one-on-one telephonic financial coaching with certified financial planners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481"/>
        </w:trPr>
        <w:tc>
          <w:tcPr>
            <w:tcW w:w="1440" w:type="dxa"/>
            <w:vAlign w:val="bottom"/>
            <w:vMerge w:val="restart"/>
            <w:shd w:val="clear" w:color="auto" w:fill="E7E7E8"/>
          </w:tcPr>
          <w:p>
            <w:pPr>
              <w:jc w:val="right"/>
              <w:spacing w:after="0"/>
              <w:rPr>
                <w:sz w:val="20"/>
                <w:szCs w:val="20"/>
                <w:color w:val="auto"/>
              </w:rPr>
            </w:pPr>
            <w:r>
              <w:rPr>
                <w:rFonts w:ascii="Arial" w:cs="Arial" w:eastAsia="Arial" w:hAnsi="Arial"/>
                <w:sz w:val="104"/>
                <w:szCs w:val="104"/>
                <w:color w:val="074A75"/>
              </w:rPr>
              <w:t>3</w:t>
            </w:r>
          </w:p>
        </w:tc>
        <w:tc>
          <w:tcPr>
            <w:tcW w:w="9460" w:type="dxa"/>
            <w:vAlign w:val="bottom"/>
          </w:tcPr>
          <w:p>
            <w:pPr>
              <w:ind w:left="180"/>
              <w:spacing w:after="0"/>
              <w:rPr>
                <w:sz w:val="20"/>
                <w:szCs w:val="20"/>
                <w:color w:val="auto"/>
              </w:rPr>
            </w:pPr>
            <w:r>
              <w:rPr>
                <w:rFonts w:ascii="Arial" w:cs="Arial" w:eastAsia="Arial" w:hAnsi="Arial"/>
                <w:sz w:val="40"/>
                <w:szCs w:val="40"/>
                <w:color w:val="074A75"/>
              </w:rPr>
              <w:t>How performance determined pay in 2020</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w w:val="99"/>
              </w:rPr>
              <w:t>CEO pay is strongly aligned to the Firm’s short-, medium- and long-term performance, with approximately 83% of the</w:t>
            </w:r>
          </w:p>
        </w:tc>
        <w:tc>
          <w:tcPr>
            <w:tcW w:w="0" w:type="dxa"/>
            <w:vAlign w:val="bottom"/>
          </w:tcPr>
          <w:p>
            <w:pPr>
              <w:spacing w:after="0"/>
              <w:rPr>
                <w:sz w:val="1"/>
                <w:szCs w:val="1"/>
                <w:color w:val="auto"/>
              </w:rPr>
            </w:pPr>
          </w:p>
        </w:tc>
      </w:tr>
      <w:tr>
        <w:trPr>
          <w:trHeight w:val="216"/>
        </w:trPr>
        <w:tc>
          <w:tcPr>
            <w:tcW w:w="1440" w:type="dxa"/>
            <w:vAlign w:val="bottom"/>
            <w:vMerge w:val="continue"/>
            <w:shd w:val="clear" w:color="auto" w:fill="E7E7E8"/>
          </w:tcPr>
          <w:p>
            <w:pPr>
              <w:spacing w:after="0"/>
              <w:rPr>
                <w:sz w:val="18"/>
                <w:szCs w:val="18"/>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rPr>
              <w:t>CEO’s variable pay deferred into equity, of which 100% is in at-risk PSUs. Other NEO pay is also strongly aligned to</w:t>
            </w:r>
          </w:p>
        </w:tc>
        <w:tc>
          <w:tcPr>
            <w:tcW w:w="0" w:type="dxa"/>
            <w:vAlign w:val="bottom"/>
          </w:tcPr>
          <w:p>
            <w:pPr>
              <w:spacing w:after="0"/>
              <w:rPr>
                <w:sz w:val="1"/>
                <w:szCs w:val="1"/>
                <w:color w:val="auto"/>
              </w:rPr>
            </w:pPr>
          </w:p>
        </w:tc>
      </w:tr>
      <w:tr>
        <w:trPr>
          <w:trHeight w:val="383"/>
        </w:trPr>
        <w:tc>
          <w:tcPr>
            <w:tcW w:w="1440" w:type="dxa"/>
            <w:vAlign w:val="bottom"/>
            <w:vMerge w:val="continue"/>
            <w:shd w:val="clear" w:color="auto" w:fill="E7E7E8"/>
          </w:tcPr>
          <w:p>
            <w:pPr>
              <w:spacing w:after="0"/>
              <w:rPr>
                <w:sz w:val="24"/>
                <w:szCs w:val="24"/>
                <w:color w:val="auto"/>
              </w:rPr>
            </w:pPr>
          </w:p>
        </w:tc>
        <w:tc>
          <w:tcPr>
            <w:tcW w:w="9460" w:type="dxa"/>
            <w:vAlign w:val="bottom"/>
          </w:tcPr>
          <w:p>
            <w:pPr>
              <w:ind w:left="180"/>
              <w:spacing w:after="0"/>
              <w:rPr>
                <w:sz w:val="20"/>
                <w:szCs w:val="20"/>
                <w:color w:val="auto"/>
              </w:rPr>
            </w:pPr>
            <w:r>
              <w:rPr>
                <w:rFonts w:ascii="Arial" w:cs="Arial" w:eastAsia="Arial" w:hAnsi="Arial"/>
                <w:sz w:val="18"/>
                <w:szCs w:val="18"/>
                <w:i w:val="1"/>
                <w:iCs w:val="1"/>
                <w:color w:val="074A75"/>
                <w:w w:val="99"/>
              </w:rPr>
              <w:t>Firm and LOB performance, with a majority of their variable pay deferred into equity, of which 50% is in at-risk PSUs.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table below sets forth salary and incentive compensation awarded to our NEOs for 2020 performance. The pages that follow summarize the performance of individual NEOs that drove the CMDC’s 2020 pay decisions.</w:t>
      </w: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color w:val="074A75"/>
        </w:rPr>
        <w:t>NEO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bottom w:val="single" w:sz="8" w:color="494949"/>
            </w:tcBorders>
          </w:tcPr>
          <w:p>
            <w:pPr>
              <w:spacing w:after="0"/>
              <w:rPr>
                <w:sz w:val="18"/>
                <w:szCs w:val="18"/>
                <w:color w:val="auto"/>
              </w:rPr>
            </w:pPr>
          </w:p>
        </w:tc>
        <w:tc>
          <w:tcPr>
            <w:tcW w:w="1120" w:type="dxa"/>
            <w:vAlign w:val="bottom"/>
            <w:tcBorders>
              <w:bottom w:val="single" w:sz="8" w:color="494949"/>
            </w:tcBorders>
          </w:tcPr>
          <w:p>
            <w:pPr>
              <w:spacing w:after="0"/>
              <w:rPr>
                <w:sz w:val="18"/>
                <w:szCs w:val="18"/>
                <w:color w:val="auto"/>
              </w:rPr>
            </w:pPr>
          </w:p>
        </w:tc>
        <w:tc>
          <w:tcPr>
            <w:tcW w:w="3600" w:type="dxa"/>
            <w:vAlign w:val="bottom"/>
            <w:tcBorders>
              <w:bottom w:val="single" w:sz="8" w:color="494949"/>
            </w:tcBorders>
            <w:gridSpan w:val="5"/>
          </w:tcPr>
          <w:p>
            <w:pPr>
              <w:ind w:left="100"/>
              <w:spacing w:after="0"/>
              <w:rPr>
                <w:sz w:val="20"/>
                <w:szCs w:val="20"/>
                <w:color w:val="auto"/>
              </w:rPr>
            </w:pPr>
            <w:r>
              <w:rPr>
                <w:rFonts w:ascii="Arial" w:cs="Arial" w:eastAsia="Arial" w:hAnsi="Arial"/>
                <w:sz w:val="16"/>
                <w:szCs w:val="16"/>
                <w:color w:val="auto"/>
              </w:rPr>
              <w:t>Annual Compensation (For Performance Year)</w:t>
            </w:r>
          </w:p>
        </w:tc>
        <w:tc>
          <w:tcPr>
            <w:tcW w:w="1300" w:type="dxa"/>
            <w:vAlign w:val="bottom"/>
            <w:tcBorders>
              <w:bottom w:val="single" w:sz="8" w:color="494949"/>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tcBorders>
              <w:bottom w:val="single" w:sz="8" w:color="494949"/>
            </w:tcBorders>
            <w:gridSpan w:val="3"/>
          </w:tcPr>
          <w:p>
            <w:pPr>
              <w:jc w:val="right"/>
              <w:spacing w:after="0"/>
              <w:rPr>
                <w:sz w:val="20"/>
                <w:szCs w:val="20"/>
                <w:color w:val="auto"/>
              </w:rPr>
            </w:pPr>
            <w:r>
              <w:rPr>
                <w:rFonts w:ascii="Arial" w:cs="Arial" w:eastAsia="Arial" w:hAnsi="Arial"/>
                <w:sz w:val="16"/>
                <w:szCs w:val="16"/>
                <w:color w:val="auto"/>
              </w:rPr>
              <w:t>Incentive Compensation</w:t>
            </w:r>
          </w:p>
        </w:tc>
        <w:tc>
          <w:tcPr>
            <w:tcW w:w="840" w:type="dxa"/>
            <w:vAlign w:val="bottom"/>
            <w:tcBorders>
              <w:bottom w:val="single" w:sz="8" w:color="494949"/>
            </w:tcBorders>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620" w:type="dxa"/>
            <w:vAlign w:val="bottom"/>
            <w:tcBorders>
              <w:bottom w:val="single" w:sz="8" w:color="494949"/>
            </w:tcBorders>
          </w:tcPr>
          <w:p>
            <w:pPr>
              <w:ind w:left="20"/>
              <w:spacing w:after="0"/>
              <w:rPr>
                <w:sz w:val="20"/>
                <w:szCs w:val="20"/>
                <w:color w:val="auto"/>
              </w:rPr>
            </w:pPr>
            <w:r>
              <w:rPr>
                <w:rFonts w:ascii="Arial" w:cs="Arial" w:eastAsia="Arial" w:hAnsi="Arial"/>
                <w:sz w:val="16"/>
                <w:szCs w:val="16"/>
                <w:color w:val="074A75"/>
              </w:rPr>
              <w:t>Name and principal position</w:t>
            </w:r>
          </w:p>
        </w:tc>
        <w:tc>
          <w:tcPr>
            <w:tcW w:w="1340" w:type="dxa"/>
            <w:vAlign w:val="bottom"/>
            <w:tcBorders>
              <w:bottom w:val="single" w:sz="8" w:color="494949"/>
            </w:tcBorders>
          </w:tcPr>
          <w:p>
            <w:pPr>
              <w:jc w:val="right"/>
              <w:ind w:right="227"/>
              <w:spacing w:after="0"/>
              <w:rPr>
                <w:sz w:val="20"/>
                <w:szCs w:val="20"/>
                <w:color w:val="auto"/>
              </w:rPr>
            </w:pPr>
            <w:r>
              <w:rPr>
                <w:rFonts w:ascii="Arial" w:cs="Arial" w:eastAsia="Arial" w:hAnsi="Arial"/>
                <w:sz w:val="16"/>
                <w:szCs w:val="16"/>
                <w:color w:val="074A75"/>
              </w:rPr>
              <w:t>Year</w:t>
            </w:r>
          </w:p>
        </w:tc>
        <w:tc>
          <w:tcPr>
            <w:tcW w:w="260" w:type="dxa"/>
            <w:vAlign w:val="bottom"/>
            <w:tcBorders>
              <w:bottom w:val="single" w:sz="8" w:color="494949"/>
            </w:tcBorders>
          </w:tcPr>
          <w:p>
            <w:pPr>
              <w:spacing w:after="0"/>
              <w:rPr>
                <w:sz w:val="24"/>
                <w:szCs w:val="24"/>
                <w:color w:val="auto"/>
              </w:rPr>
            </w:pPr>
          </w:p>
        </w:tc>
        <w:tc>
          <w:tcPr>
            <w:tcW w:w="1120" w:type="dxa"/>
            <w:vAlign w:val="bottom"/>
            <w:tcBorders>
              <w:bottom w:val="single" w:sz="8" w:color="494949"/>
            </w:tcBorders>
          </w:tcPr>
          <w:p>
            <w:pPr>
              <w:jc w:val="right"/>
              <w:ind w:right="527"/>
              <w:spacing w:after="0"/>
              <w:rPr>
                <w:sz w:val="20"/>
                <w:szCs w:val="20"/>
                <w:color w:val="auto"/>
              </w:rPr>
            </w:pPr>
            <w:r>
              <w:rPr>
                <w:rFonts w:ascii="Arial" w:cs="Arial" w:eastAsia="Arial" w:hAnsi="Arial"/>
                <w:sz w:val="16"/>
                <w:szCs w:val="16"/>
                <w:color w:val="074A75"/>
              </w:rPr>
              <w:t>Salary</w:t>
            </w:r>
          </w:p>
        </w:tc>
        <w:tc>
          <w:tcPr>
            <w:tcW w:w="1160" w:type="dxa"/>
            <w:vAlign w:val="bottom"/>
            <w:tcBorders>
              <w:bottom w:val="single" w:sz="8" w:color="494949"/>
            </w:tcBorders>
          </w:tcPr>
          <w:p>
            <w:pPr>
              <w:jc w:val="right"/>
              <w:ind w:right="346"/>
              <w:spacing w:after="0"/>
              <w:rPr>
                <w:sz w:val="20"/>
                <w:szCs w:val="20"/>
                <w:color w:val="auto"/>
              </w:rPr>
            </w:pPr>
            <w:r>
              <w:rPr>
                <w:rFonts w:ascii="Arial" w:cs="Arial" w:eastAsia="Arial" w:hAnsi="Arial"/>
                <w:sz w:val="16"/>
                <w:szCs w:val="16"/>
                <w:color w:val="074A75"/>
              </w:rPr>
              <w:t>Cash</w:t>
            </w:r>
          </w:p>
        </w:tc>
        <w:tc>
          <w:tcPr>
            <w:tcW w:w="220" w:type="dxa"/>
            <w:vAlign w:val="bottom"/>
            <w:tcBorders>
              <w:bottom w:val="single" w:sz="8" w:color="494949"/>
            </w:tcBorders>
          </w:tcPr>
          <w:p>
            <w:pPr>
              <w:spacing w:after="0"/>
              <w:rPr>
                <w:sz w:val="24"/>
                <w:szCs w:val="24"/>
                <w:color w:val="auto"/>
              </w:rPr>
            </w:pPr>
          </w:p>
        </w:tc>
        <w:tc>
          <w:tcPr>
            <w:tcW w:w="1200" w:type="dxa"/>
            <w:vAlign w:val="bottom"/>
            <w:tcBorders>
              <w:bottom w:val="single" w:sz="8" w:color="494949"/>
            </w:tcBorders>
          </w:tcPr>
          <w:p>
            <w:pPr>
              <w:jc w:val="right"/>
              <w:ind w:right="627"/>
              <w:spacing w:after="0"/>
              <w:rPr>
                <w:sz w:val="20"/>
                <w:szCs w:val="20"/>
                <w:color w:val="auto"/>
              </w:rPr>
            </w:pPr>
            <w:r>
              <w:rPr>
                <w:rFonts w:ascii="Arial" w:cs="Arial" w:eastAsia="Arial" w:hAnsi="Arial"/>
                <w:sz w:val="16"/>
                <w:szCs w:val="16"/>
                <w:color w:val="074A75"/>
              </w:rPr>
              <w:t>RSUs</w:t>
            </w:r>
          </w:p>
        </w:tc>
        <w:tc>
          <w:tcPr>
            <w:tcW w:w="1020" w:type="dxa"/>
            <w:vAlign w:val="bottom"/>
            <w:tcBorders>
              <w:bottom w:val="single" w:sz="8" w:color="494949"/>
            </w:tcBorders>
            <w:gridSpan w:val="2"/>
          </w:tcPr>
          <w:p>
            <w:pPr>
              <w:spacing w:after="0"/>
              <w:rPr>
                <w:sz w:val="20"/>
                <w:szCs w:val="20"/>
                <w:color w:val="auto"/>
              </w:rPr>
            </w:pPr>
            <w:r>
              <w:rPr>
                <w:rFonts w:ascii="Arial" w:cs="Arial" w:eastAsia="Arial" w:hAnsi="Arial"/>
                <w:sz w:val="16"/>
                <w:szCs w:val="16"/>
                <w:color w:val="074A75"/>
              </w:rPr>
              <w:t>PSUs</w:t>
            </w:r>
            <w:r>
              <w:rPr>
                <w:rFonts w:ascii="Arial" w:cs="Arial" w:eastAsia="Arial" w:hAnsi="Arial"/>
                <w:sz w:val="21"/>
                <w:szCs w:val="21"/>
                <w:color w:val="074A75"/>
                <w:vertAlign w:val="superscript"/>
              </w:rPr>
              <w:t>1</w:t>
            </w:r>
          </w:p>
        </w:tc>
        <w:tc>
          <w:tcPr>
            <w:tcW w:w="1300" w:type="dxa"/>
            <w:vAlign w:val="bottom"/>
            <w:tcBorders>
              <w:bottom w:val="single" w:sz="8" w:color="494949"/>
            </w:tcBorders>
          </w:tcPr>
          <w:p>
            <w:pPr>
              <w:jc w:val="right"/>
              <w:ind w:right="367"/>
              <w:spacing w:after="0"/>
              <w:rPr>
                <w:sz w:val="20"/>
                <w:szCs w:val="20"/>
                <w:color w:val="auto"/>
              </w:rPr>
            </w:pPr>
            <w:r>
              <w:rPr>
                <w:rFonts w:ascii="Arial" w:cs="Arial" w:eastAsia="Arial" w:hAnsi="Arial"/>
                <w:sz w:val="16"/>
                <w:szCs w:val="16"/>
                <w:color w:val="074A75"/>
              </w:rPr>
              <w:t>Total</w:t>
            </w: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1340" w:type="dxa"/>
            <w:vAlign w:val="bottom"/>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1,500,000</w:t>
            </w:r>
          </w:p>
        </w:tc>
        <w:tc>
          <w:tcPr>
            <w:tcW w:w="1160" w:type="dxa"/>
            <w:vAlign w:val="bottom"/>
          </w:tcPr>
          <w:p>
            <w:pPr>
              <w:jc w:val="right"/>
              <w:ind w:right="6"/>
              <w:spacing w:after="0"/>
              <w:rPr>
                <w:sz w:val="20"/>
                <w:szCs w:val="20"/>
                <w:color w:val="auto"/>
              </w:rPr>
            </w:pPr>
            <w:r>
              <w:rPr>
                <w:rFonts w:ascii="Arial" w:cs="Arial" w:eastAsia="Arial" w:hAnsi="Arial"/>
                <w:sz w:val="14"/>
                <w:szCs w:val="14"/>
                <w:b w:val="1"/>
                <w:bCs w:val="1"/>
                <w:color w:val="auto"/>
              </w:rPr>
              <w:t>$   5,000,000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87"/>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25,000,000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   31,500,000</w:t>
            </w:r>
          </w:p>
        </w:tc>
        <w:tc>
          <w:tcPr>
            <w:tcW w:w="0" w:type="dxa"/>
            <w:vAlign w:val="bottom"/>
          </w:tcPr>
          <w:p>
            <w:pPr>
              <w:spacing w:after="0"/>
              <w:rPr>
                <w:sz w:val="1"/>
                <w:szCs w:val="1"/>
                <w:color w:val="auto"/>
              </w:rPr>
            </w:pPr>
          </w:p>
        </w:tc>
      </w:tr>
      <w:tr>
        <w:trPr>
          <w:trHeight w:val="172"/>
        </w:trPr>
        <w:tc>
          <w:tcPr>
            <w:tcW w:w="36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1340" w:type="dxa"/>
            <w:vAlign w:val="bottom"/>
            <w:vMerge w:val="restart"/>
          </w:tcPr>
          <w:p>
            <w:pPr>
              <w:jc w:val="right"/>
              <w:ind w:right="227"/>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1120" w:type="dxa"/>
            <w:vAlign w:val="bottom"/>
            <w:vMerge w:val="restart"/>
          </w:tcPr>
          <w:p>
            <w:pPr>
              <w:jc w:val="right"/>
              <w:ind w:right="207"/>
              <w:spacing w:after="0"/>
              <w:rPr>
                <w:sz w:val="20"/>
                <w:szCs w:val="20"/>
                <w:color w:val="auto"/>
              </w:rPr>
            </w:pPr>
            <w:r>
              <w:rPr>
                <w:rFonts w:ascii="Arial" w:cs="Arial" w:eastAsia="Arial" w:hAnsi="Arial"/>
                <w:sz w:val="14"/>
                <w:szCs w:val="14"/>
                <w:color w:val="auto"/>
              </w:rPr>
              <w:t>1,500,000</w:t>
            </w:r>
          </w:p>
        </w:tc>
        <w:tc>
          <w:tcPr>
            <w:tcW w:w="1160" w:type="dxa"/>
            <w:vAlign w:val="bottom"/>
            <w:vMerge w:val="restart"/>
          </w:tcPr>
          <w:p>
            <w:pPr>
              <w:jc w:val="right"/>
              <w:ind w:right="6"/>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4"/>
                <w:szCs w:val="14"/>
                <w:color w:val="auto"/>
              </w:rPr>
            </w:pPr>
          </w:p>
        </w:tc>
        <w:tc>
          <w:tcPr>
            <w:tcW w:w="1200" w:type="dxa"/>
            <w:vAlign w:val="bottom"/>
            <w:vMerge w:val="restart"/>
          </w:tcPr>
          <w:p>
            <w:pPr>
              <w:jc w:val="right"/>
              <w:ind w:right="307"/>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25,000,000</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31,500,000</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340" w:type="dxa"/>
            <w:vAlign w:val="bottom"/>
          </w:tcPr>
          <w:p>
            <w:pPr>
              <w:jc w:val="right"/>
              <w:ind w:right="227"/>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22"/>
                <w:szCs w:val="22"/>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6"/>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22"/>
                <w:szCs w:val="22"/>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24,500,000</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31,000,000</w:t>
            </w:r>
          </w:p>
        </w:tc>
        <w:tc>
          <w:tcPr>
            <w:tcW w:w="0" w:type="dxa"/>
            <w:vAlign w:val="bottom"/>
          </w:tcPr>
          <w:p>
            <w:pPr>
              <w:spacing w:after="0"/>
              <w:rPr>
                <w:sz w:val="1"/>
                <w:szCs w:val="1"/>
                <w:color w:val="auto"/>
              </w:rPr>
            </w:pPr>
          </w:p>
        </w:tc>
      </w:tr>
      <w:tr>
        <w:trPr>
          <w:trHeight w:val="53"/>
        </w:trPr>
        <w:tc>
          <w:tcPr>
            <w:tcW w:w="3620" w:type="dxa"/>
            <w:vAlign w:val="bottom"/>
            <w:tcBorders>
              <w:bottom w:val="single" w:sz="8" w:color="494949"/>
            </w:tcBorders>
          </w:tcPr>
          <w:p>
            <w:pPr>
              <w:spacing w:after="0"/>
              <w:rPr>
                <w:sz w:val="4"/>
                <w:szCs w:val="4"/>
                <w:color w:val="auto"/>
              </w:rPr>
            </w:pPr>
          </w:p>
        </w:tc>
        <w:tc>
          <w:tcPr>
            <w:tcW w:w="134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12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40" w:type="dxa"/>
            <w:vAlign w:val="bottom"/>
            <w:tcBorders>
              <w:bottom w:val="single" w:sz="8" w:color="494949"/>
            </w:tcBorders>
          </w:tcPr>
          <w:p>
            <w:pPr>
              <w:spacing w:after="0"/>
              <w:rPr>
                <w:sz w:val="4"/>
                <w:szCs w:val="4"/>
                <w:color w:val="auto"/>
              </w:rPr>
            </w:pPr>
          </w:p>
        </w:tc>
        <w:tc>
          <w:tcPr>
            <w:tcW w:w="180" w:type="dxa"/>
            <w:vAlign w:val="bottom"/>
            <w:tcBorders>
              <w:bottom w:val="single" w:sz="8" w:color="494949"/>
            </w:tcBorders>
          </w:tcPr>
          <w:p>
            <w:pPr>
              <w:spacing w:after="0"/>
              <w:rPr>
                <w:sz w:val="4"/>
                <w:szCs w:val="4"/>
                <w:color w:val="auto"/>
              </w:rPr>
            </w:pPr>
          </w:p>
        </w:tc>
        <w:tc>
          <w:tcPr>
            <w:tcW w:w="130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9"/>
                <w:szCs w:val="9"/>
                <w:b w:val="1"/>
                <w:bCs w:val="1"/>
                <w:color w:val="auto"/>
              </w:rPr>
              <w:t>2</w:t>
            </w:r>
          </w:p>
        </w:tc>
        <w:tc>
          <w:tcPr>
            <w:tcW w:w="1340" w:type="dxa"/>
            <w:vAlign w:val="bottom"/>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8,240,290</w:t>
            </w:r>
          </w:p>
        </w:tc>
        <w:tc>
          <w:tcPr>
            <w:tcW w:w="1160" w:type="dxa"/>
            <w:vAlign w:val="bottom"/>
          </w:tcPr>
          <w:p>
            <w:pPr>
              <w:jc w:val="right"/>
              <w:ind w:right="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b w:val="1"/>
                <w:bCs w:val="1"/>
                <w:color w:val="auto"/>
              </w:rPr>
              <w:t>8,129,855</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8,129,855</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24,500,000</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1340" w:type="dxa"/>
            <w:vAlign w:val="bottom"/>
            <w:vMerge w:val="restart"/>
          </w:tcPr>
          <w:p>
            <w:pPr>
              <w:jc w:val="right"/>
              <w:ind w:right="227"/>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1120" w:type="dxa"/>
            <w:vAlign w:val="bottom"/>
            <w:vMerge w:val="restart"/>
          </w:tcPr>
          <w:p>
            <w:pPr>
              <w:jc w:val="right"/>
              <w:ind w:right="207"/>
              <w:spacing w:after="0"/>
              <w:rPr>
                <w:sz w:val="20"/>
                <w:szCs w:val="20"/>
                <w:color w:val="auto"/>
              </w:rPr>
            </w:pPr>
            <w:r>
              <w:rPr>
                <w:rFonts w:ascii="Arial" w:cs="Arial" w:eastAsia="Arial" w:hAnsi="Arial"/>
                <w:sz w:val="14"/>
                <w:szCs w:val="14"/>
                <w:color w:val="auto"/>
              </w:rPr>
              <w:t>8,239,222</w:t>
            </w:r>
          </w:p>
        </w:tc>
        <w:tc>
          <w:tcPr>
            <w:tcW w:w="1160" w:type="dxa"/>
            <w:vAlign w:val="bottom"/>
            <w:vMerge w:val="restart"/>
          </w:tcPr>
          <w:p>
            <w:pPr>
              <w:jc w:val="right"/>
              <w:ind w:right="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0" w:type="dxa"/>
            <w:vAlign w:val="bottom"/>
            <w:vMerge w:val="restart"/>
          </w:tcPr>
          <w:p>
            <w:pPr>
              <w:jc w:val="right"/>
              <w:ind w:right="307"/>
              <w:spacing w:after="0"/>
              <w:rPr>
                <w:sz w:val="20"/>
                <w:szCs w:val="20"/>
                <w:color w:val="auto"/>
              </w:rPr>
            </w:pPr>
            <w:r>
              <w:rPr>
                <w:rFonts w:ascii="Arial" w:cs="Arial" w:eastAsia="Arial" w:hAnsi="Arial"/>
                <w:sz w:val="14"/>
                <w:szCs w:val="14"/>
                <w:color w:val="auto"/>
              </w:rPr>
              <w:t>7,130,389</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7,130,389</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91"/>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1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6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Corporate &amp; Investment Bank</w:t>
            </w:r>
          </w:p>
        </w:tc>
        <w:tc>
          <w:tcPr>
            <w:tcW w:w="1340" w:type="dxa"/>
            <w:vAlign w:val="bottom"/>
          </w:tcPr>
          <w:p>
            <w:pPr>
              <w:jc w:val="right"/>
              <w:ind w:right="227"/>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color w:val="auto"/>
              </w:rPr>
              <w:t>8,276,026</w:t>
            </w:r>
          </w:p>
        </w:tc>
        <w:tc>
          <w:tcPr>
            <w:tcW w:w="116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color w:val="auto"/>
              </w:rPr>
              <w:t>6,861,987</w:t>
            </w:r>
          </w:p>
        </w:tc>
        <w:tc>
          <w:tcPr>
            <w:tcW w:w="840" w:type="dxa"/>
            <w:vAlign w:val="bottom"/>
          </w:tcPr>
          <w:p>
            <w:pPr>
              <w:jc w:val="right"/>
              <w:spacing w:after="0"/>
              <w:rPr>
                <w:sz w:val="20"/>
                <w:szCs w:val="20"/>
                <w:color w:val="auto"/>
              </w:rPr>
            </w:pPr>
            <w:r>
              <w:rPr>
                <w:rFonts w:ascii="Arial" w:cs="Arial" w:eastAsia="Arial" w:hAnsi="Arial"/>
                <w:sz w:val="14"/>
                <w:szCs w:val="14"/>
                <w:color w:val="auto"/>
              </w:rPr>
              <w:t>6,861,987</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53"/>
        </w:trPr>
        <w:tc>
          <w:tcPr>
            <w:tcW w:w="3620" w:type="dxa"/>
            <w:vAlign w:val="bottom"/>
            <w:tcBorders>
              <w:bottom w:val="single" w:sz="8" w:color="494949"/>
            </w:tcBorders>
          </w:tcPr>
          <w:p>
            <w:pPr>
              <w:spacing w:after="0"/>
              <w:rPr>
                <w:sz w:val="4"/>
                <w:szCs w:val="4"/>
                <w:color w:val="auto"/>
              </w:rPr>
            </w:pPr>
          </w:p>
        </w:tc>
        <w:tc>
          <w:tcPr>
            <w:tcW w:w="134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12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40" w:type="dxa"/>
            <w:vAlign w:val="bottom"/>
            <w:tcBorders>
              <w:bottom w:val="single" w:sz="8" w:color="494949"/>
            </w:tcBorders>
          </w:tcPr>
          <w:p>
            <w:pPr>
              <w:spacing w:after="0"/>
              <w:rPr>
                <w:sz w:val="4"/>
                <w:szCs w:val="4"/>
                <w:color w:val="auto"/>
              </w:rPr>
            </w:pPr>
          </w:p>
        </w:tc>
        <w:tc>
          <w:tcPr>
            <w:tcW w:w="180" w:type="dxa"/>
            <w:vAlign w:val="bottom"/>
            <w:tcBorders>
              <w:bottom w:val="single" w:sz="8" w:color="494949"/>
            </w:tcBorders>
          </w:tcPr>
          <w:p>
            <w:pPr>
              <w:spacing w:after="0"/>
              <w:rPr>
                <w:sz w:val="4"/>
                <w:szCs w:val="4"/>
                <w:color w:val="auto"/>
              </w:rPr>
            </w:pPr>
          </w:p>
        </w:tc>
        <w:tc>
          <w:tcPr>
            <w:tcW w:w="130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1340" w:type="dxa"/>
            <w:vAlign w:val="bottom"/>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6"/>
              <w:spacing w:after="0"/>
              <w:rPr>
                <w:sz w:val="20"/>
                <w:szCs w:val="20"/>
                <w:color w:val="auto"/>
              </w:rPr>
            </w:pPr>
            <w:r>
              <w:rPr>
                <w:rFonts w:ascii="Arial" w:cs="Arial" w:eastAsia="Arial" w:hAnsi="Arial"/>
                <w:sz w:val="14"/>
                <w:szCs w:val="14"/>
                <w:b w:val="1"/>
                <w:bCs w:val="1"/>
                <w:color w:val="auto"/>
              </w:rPr>
              <w:t>8,700,000</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b w:val="1"/>
                <w:bCs w:val="1"/>
                <w:color w:val="auto"/>
              </w:rPr>
              <w:t>6,525,000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6,525,000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22,500,000</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4"/>
                <w:szCs w:val="14"/>
                <w:color w:val="auto"/>
              </w:rPr>
              <w:t>Co-President and Co-Chief Operating Officer;</w:t>
            </w:r>
          </w:p>
        </w:tc>
        <w:tc>
          <w:tcPr>
            <w:tcW w:w="1340" w:type="dxa"/>
            <w:vAlign w:val="bottom"/>
            <w:vMerge w:val="restart"/>
          </w:tcPr>
          <w:p>
            <w:pPr>
              <w:jc w:val="right"/>
              <w:ind w:right="227"/>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1120" w:type="dxa"/>
            <w:vAlign w:val="bottom"/>
            <w:vMerge w:val="restart"/>
          </w:tcPr>
          <w:p>
            <w:pPr>
              <w:jc w:val="right"/>
              <w:ind w:right="20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6"/>
              <w:spacing w:after="0"/>
              <w:rPr>
                <w:sz w:val="20"/>
                <w:szCs w:val="20"/>
                <w:color w:val="auto"/>
              </w:rPr>
            </w:pPr>
            <w:r>
              <w:rPr>
                <w:rFonts w:ascii="Arial" w:cs="Arial" w:eastAsia="Arial" w:hAnsi="Arial"/>
                <w:sz w:val="14"/>
                <w:szCs w:val="14"/>
                <w:color w:val="auto"/>
              </w:rPr>
              <w:t>8,700,000</w:t>
            </w:r>
          </w:p>
        </w:tc>
        <w:tc>
          <w:tcPr>
            <w:tcW w:w="220" w:type="dxa"/>
            <w:vAlign w:val="bottom"/>
          </w:tcPr>
          <w:p>
            <w:pPr>
              <w:spacing w:after="0"/>
              <w:rPr>
                <w:sz w:val="14"/>
                <w:szCs w:val="14"/>
                <w:color w:val="auto"/>
              </w:rPr>
            </w:pPr>
          </w:p>
        </w:tc>
        <w:tc>
          <w:tcPr>
            <w:tcW w:w="1200" w:type="dxa"/>
            <w:vAlign w:val="bottom"/>
            <w:vMerge w:val="restart"/>
          </w:tcPr>
          <w:p>
            <w:pPr>
              <w:jc w:val="right"/>
              <w:ind w:right="307"/>
              <w:spacing w:after="0"/>
              <w:rPr>
                <w:sz w:val="20"/>
                <w:szCs w:val="20"/>
                <w:color w:val="auto"/>
              </w:rPr>
            </w:pPr>
            <w:r>
              <w:rPr>
                <w:rFonts w:ascii="Arial" w:cs="Arial" w:eastAsia="Arial" w:hAnsi="Arial"/>
                <w:sz w:val="14"/>
                <w:szCs w:val="14"/>
                <w:color w:val="auto"/>
              </w:rPr>
              <w:t>6,525,000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6,525,000</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91"/>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w:t>
            </w:r>
          </w:p>
        </w:tc>
        <w:tc>
          <w:tcPr>
            <w:tcW w:w="1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62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Arial" w:cs="Arial" w:eastAsia="Arial" w:hAnsi="Arial"/>
                <w:sz w:val="14"/>
                <w:szCs w:val="14"/>
                <w:color w:val="auto"/>
              </w:rPr>
              <w:t>Consumer &amp; Community Banking</w:t>
            </w:r>
          </w:p>
        </w:tc>
        <w:tc>
          <w:tcPr>
            <w:tcW w:w="1340" w:type="dxa"/>
            <w:vAlign w:val="bottom"/>
          </w:tcPr>
          <w:p>
            <w:pPr>
              <w:jc w:val="right"/>
              <w:ind w:right="227"/>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6"/>
              <w:spacing w:after="0"/>
              <w:rPr>
                <w:sz w:val="20"/>
                <w:szCs w:val="20"/>
                <w:color w:val="auto"/>
              </w:rPr>
            </w:pPr>
            <w:r>
              <w:rPr>
                <w:rFonts w:ascii="Arial" w:cs="Arial" w:eastAsia="Arial" w:hAnsi="Arial"/>
                <w:sz w:val="14"/>
                <w:szCs w:val="14"/>
                <w:color w:val="auto"/>
              </w:rPr>
              <w:t>8,500,000</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color w:val="auto"/>
              </w:rPr>
              <w:t>6,375,000</w:t>
            </w:r>
          </w:p>
        </w:tc>
        <w:tc>
          <w:tcPr>
            <w:tcW w:w="840" w:type="dxa"/>
            <w:vAlign w:val="bottom"/>
          </w:tcPr>
          <w:p>
            <w:pPr>
              <w:jc w:val="right"/>
              <w:spacing w:after="0"/>
              <w:rPr>
                <w:sz w:val="20"/>
                <w:szCs w:val="20"/>
                <w:color w:val="auto"/>
              </w:rPr>
            </w:pPr>
            <w:r>
              <w:rPr>
                <w:rFonts w:ascii="Arial" w:cs="Arial" w:eastAsia="Arial" w:hAnsi="Arial"/>
                <w:sz w:val="14"/>
                <w:szCs w:val="14"/>
                <w:color w:val="auto"/>
              </w:rPr>
              <w:t>6,375,000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53"/>
        </w:trPr>
        <w:tc>
          <w:tcPr>
            <w:tcW w:w="3620" w:type="dxa"/>
            <w:vAlign w:val="bottom"/>
            <w:tcBorders>
              <w:bottom w:val="single" w:sz="8" w:color="494949"/>
            </w:tcBorders>
          </w:tcPr>
          <w:p>
            <w:pPr>
              <w:spacing w:after="0"/>
              <w:rPr>
                <w:sz w:val="4"/>
                <w:szCs w:val="4"/>
                <w:color w:val="auto"/>
              </w:rPr>
            </w:pPr>
          </w:p>
        </w:tc>
        <w:tc>
          <w:tcPr>
            <w:tcW w:w="134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12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40" w:type="dxa"/>
            <w:vAlign w:val="bottom"/>
            <w:tcBorders>
              <w:bottom w:val="single" w:sz="8" w:color="494949"/>
            </w:tcBorders>
          </w:tcPr>
          <w:p>
            <w:pPr>
              <w:spacing w:after="0"/>
              <w:rPr>
                <w:sz w:val="4"/>
                <w:szCs w:val="4"/>
                <w:color w:val="auto"/>
              </w:rPr>
            </w:pPr>
          </w:p>
        </w:tc>
        <w:tc>
          <w:tcPr>
            <w:tcW w:w="180" w:type="dxa"/>
            <w:vAlign w:val="bottom"/>
            <w:tcBorders>
              <w:bottom w:val="single" w:sz="8" w:color="494949"/>
            </w:tcBorders>
          </w:tcPr>
          <w:p>
            <w:pPr>
              <w:spacing w:after="0"/>
              <w:rPr>
                <w:sz w:val="4"/>
                <w:szCs w:val="4"/>
                <w:color w:val="auto"/>
              </w:rPr>
            </w:pPr>
          </w:p>
        </w:tc>
        <w:tc>
          <w:tcPr>
            <w:tcW w:w="130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1340" w:type="dxa"/>
            <w:vAlign w:val="bottom"/>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6"/>
              <w:spacing w:after="0"/>
              <w:rPr>
                <w:sz w:val="20"/>
                <w:szCs w:val="20"/>
                <w:color w:val="auto"/>
              </w:rPr>
            </w:pPr>
            <w:r>
              <w:rPr>
                <w:rFonts w:ascii="Arial" w:cs="Arial" w:eastAsia="Arial" w:hAnsi="Arial"/>
                <w:sz w:val="14"/>
                <w:szCs w:val="14"/>
                <w:b w:val="1"/>
                <w:bCs w:val="1"/>
                <w:color w:val="auto"/>
              </w:rPr>
              <w:t>8,100,000</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b w:val="1"/>
                <w:bCs w:val="1"/>
                <w:color w:val="auto"/>
              </w:rPr>
              <w:t>6,075,000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6,075,000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21,000,000</w:t>
            </w:r>
          </w:p>
        </w:tc>
        <w:tc>
          <w:tcPr>
            <w:tcW w:w="0" w:type="dxa"/>
            <w:vAlign w:val="bottom"/>
          </w:tcPr>
          <w:p>
            <w:pPr>
              <w:spacing w:after="0"/>
              <w:rPr>
                <w:sz w:val="1"/>
                <w:szCs w:val="1"/>
                <w:color w:val="auto"/>
              </w:rPr>
            </w:pPr>
          </w:p>
        </w:tc>
      </w:tr>
      <w:tr>
        <w:trPr>
          <w:trHeight w:val="162"/>
        </w:trPr>
        <w:tc>
          <w:tcPr>
            <w:tcW w:w="362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1340" w:type="dxa"/>
            <w:vAlign w:val="bottom"/>
            <w:vMerge w:val="restart"/>
          </w:tcPr>
          <w:p>
            <w:pPr>
              <w:jc w:val="right"/>
              <w:ind w:right="227"/>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1120" w:type="dxa"/>
            <w:vAlign w:val="bottom"/>
            <w:vMerge w:val="restart"/>
          </w:tcPr>
          <w:p>
            <w:pPr>
              <w:jc w:val="right"/>
              <w:ind w:right="207"/>
              <w:spacing w:after="0"/>
              <w:rPr>
                <w:sz w:val="20"/>
                <w:szCs w:val="20"/>
                <w:color w:val="auto"/>
              </w:rPr>
            </w:pPr>
            <w:r>
              <w:rPr>
                <w:rFonts w:ascii="Arial" w:cs="Arial" w:eastAsia="Arial" w:hAnsi="Arial"/>
                <w:sz w:val="14"/>
                <w:szCs w:val="14"/>
                <w:color w:val="auto"/>
              </w:rPr>
              <w:t>750,000</w:t>
            </w:r>
          </w:p>
        </w:tc>
        <w:tc>
          <w:tcPr>
            <w:tcW w:w="1160" w:type="dxa"/>
            <w:vAlign w:val="bottom"/>
            <w:vMerge w:val="restart"/>
          </w:tcPr>
          <w:p>
            <w:pPr>
              <w:jc w:val="right"/>
              <w:ind w:right="6"/>
              <w:spacing w:after="0"/>
              <w:rPr>
                <w:sz w:val="20"/>
                <w:szCs w:val="20"/>
                <w:color w:val="auto"/>
              </w:rPr>
            </w:pPr>
            <w:r>
              <w:rPr>
                <w:rFonts w:ascii="Arial" w:cs="Arial" w:eastAsia="Arial" w:hAnsi="Arial"/>
                <w:sz w:val="14"/>
                <w:szCs w:val="14"/>
                <w:color w:val="auto"/>
              </w:rPr>
              <w:t>8,100,000</w:t>
            </w:r>
          </w:p>
        </w:tc>
        <w:tc>
          <w:tcPr>
            <w:tcW w:w="220" w:type="dxa"/>
            <w:vAlign w:val="bottom"/>
          </w:tcPr>
          <w:p>
            <w:pPr>
              <w:spacing w:after="0"/>
              <w:rPr>
                <w:sz w:val="14"/>
                <w:szCs w:val="14"/>
                <w:color w:val="auto"/>
              </w:rPr>
            </w:pPr>
          </w:p>
        </w:tc>
        <w:tc>
          <w:tcPr>
            <w:tcW w:w="1200" w:type="dxa"/>
            <w:vAlign w:val="bottom"/>
            <w:vMerge w:val="restart"/>
          </w:tcPr>
          <w:p>
            <w:pPr>
              <w:jc w:val="right"/>
              <w:ind w:right="307"/>
              <w:spacing w:after="0"/>
              <w:rPr>
                <w:sz w:val="20"/>
                <w:szCs w:val="20"/>
                <w:color w:val="auto"/>
              </w:rPr>
            </w:pPr>
            <w:r>
              <w:rPr>
                <w:rFonts w:ascii="Arial" w:cs="Arial" w:eastAsia="Arial" w:hAnsi="Arial"/>
                <w:sz w:val="14"/>
                <w:szCs w:val="14"/>
                <w:color w:val="auto"/>
              </w:rPr>
              <w:t>6,075,000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6,075,000</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91"/>
        </w:trPr>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Asset &amp; Wealth Management</w:t>
            </w:r>
          </w:p>
        </w:tc>
        <w:tc>
          <w:tcPr>
            <w:tcW w:w="1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2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1340" w:type="dxa"/>
            <w:vAlign w:val="bottom"/>
          </w:tcPr>
          <w:p>
            <w:pPr>
              <w:jc w:val="right"/>
              <w:ind w:right="227"/>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5"/>
                <w:szCs w:val="15"/>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6"/>
              <w:spacing w:after="0"/>
              <w:rPr>
                <w:sz w:val="20"/>
                <w:szCs w:val="20"/>
                <w:color w:val="auto"/>
              </w:rPr>
            </w:pPr>
            <w:r>
              <w:rPr>
                <w:rFonts w:ascii="Arial" w:cs="Arial" w:eastAsia="Arial" w:hAnsi="Arial"/>
                <w:sz w:val="14"/>
                <w:szCs w:val="14"/>
                <w:color w:val="auto"/>
              </w:rPr>
              <w:t>7,900,000</w:t>
            </w:r>
          </w:p>
        </w:tc>
        <w:tc>
          <w:tcPr>
            <w:tcW w:w="220" w:type="dxa"/>
            <w:vAlign w:val="bottom"/>
          </w:tcPr>
          <w:p>
            <w:pPr>
              <w:spacing w:after="0"/>
              <w:rPr>
                <w:sz w:val="15"/>
                <w:szCs w:val="15"/>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color w:val="auto"/>
              </w:rPr>
              <w:t>5,925,000</w:t>
            </w:r>
          </w:p>
        </w:tc>
        <w:tc>
          <w:tcPr>
            <w:tcW w:w="840" w:type="dxa"/>
            <w:vAlign w:val="bottom"/>
          </w:tcPr>
          <w:p>
            <w:pPr>
              <w:jc w:val="right"/>
              <w:spacing w:after="0"/>
              <w:rPr>
                <w:sz w:val="20"/>
                <w:szCs w:val="20"/>
                <w:color w:val="auto"/>
              </w:rPr>
            </w:pPr>
            <w:r>
              <w:rPr>
                <w:rFonts w:ascii="Arial" w:cs="Arial" w:eastAsia="Arial" w:hAnsi="Arial"/>
                <w:sz w:val="14"/>
                <w:szCs w:val="14"/>
                <w:color w:val="auto"/>
              </w:rPr>
              <w:t>5,925,000</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53"/>
        </w:trPr>
        <w:tc>
          <w:tcPr>
            <w:tcW w:w="3620" w:type="dxa"/>
            <w:vAlign w:val="bottom"/>
            <w:tcBorders>
              <w:bottom w:val="single" w:sz="8" w:color="494949"/>
            </w:tcBorders>
          </w:tcPr>
          <w:p>
            <w:pPr>
              <w:spacing w:after="0"/>
              <w:rPr>
                <w:sz w:val="4"/>
                <w:szCs w:val="4"/>
                <w:color w:val="auto"/>
              </w:rPr>
            </w:pPr>
          </w:p>
        </w:tc>
        <w:tc>
          <w:tcPr>
            <w:tcW w:w="1340" w:type="dxa"/>
            <w:vAlign w:val="bottom"/>
            <w:tcBorders>
              <w:bottom w:val="single" w:sz="8" w:color="494949"/>
            </w:tcBorders>
          </w:tcPr>
          <w:p>
            <w:pPr>
              <w:spacing w:after="0"/>
              <w:rPr>
                <w:sz w:val="4"/>
                <w:szCs w:val="4"/>
                <w:color w:val="auto"/>
              </w:rPr>
            </w:pPr>
          </w:p>
        </w:tc>
        <w:tc>
          <w:tcPr>
            <w:tcW w:w="260" w:type="dxa"/>
            <w:vAlign w:val="bottom"/>
            <w:tcBorders>
              <w:bottom w:val="single" w:sz="8" w:color="494949"/>
            </w:tcBorders>
          </w:tcPr>
          <w:p>
            <w:pPr>
              <w:spacing w:after="0"/>
              <w:rPr>
                <w:sz w:val="4"/>
                <w:szCs w:val="4"/>
                <w:color w:val="auto"/>
              </w:rPr>
            </w:pPr>
          </w:p>
        </w:tc>
        <w:tc>
          <w:tcPr>
            <w:tcW w:w="1120" w:type="dxa"/>
            <w:vAlign w:val="bottom"/>
            <w:tcBorders>
              <w:bottom w:val="single" w:sz="8" w:color="494949"/>
            </w:tcBorders>
          </w:tcPr>
          <w:p>
            <w:pPr>
              <w:spacing w:after="0"/>
              <w:rPr>
                <w:sz w:val="4"/>
                <w:szCs w:val="4"/>
                <w:color w:val="auto"/>
              </w:rPr>
            </w:pPr>
          </w:p>
        </w:tc>
        <w:tc>
          <w:tcPr>
            <w:tcW w:w="1160" w:type="dxa"/>
            <w:vAlign w:val="bottom"/>
            <w:tcBorders>
              <w:bottom w:val="single" w:sz="8" w:color="494949"/>
            </w:tcBorders>
          </w:tcPr>
          <w:p>
            <w:pPr>
              <w:spacing w:after="0"/>
              <w:rPr>
                <w:sz w:val="4"/>
                <w:szCs w:val="4"/>
                <w:color w:val="auto"/>
              </w:rPr>
            </w:pPr>
          </w:p>
        </w:tc>
        <w:tc>
          <w:tcPr>
            <w:tcW w:w="220" w:type="dxa"/>
            <w:vAlign w:val="bottom"/>
            <w:tcBorders>
              <w:bottom w:val="single" w:sz="8" w:color="494949"/>
            </w:tcBorders>
          </w:tcPr>
          <w:p>
            <w:pPr>
              <w:spacing w:after="0"/>
              <w:rPr>
                <w:sz w:val="4"/>
                <w:szCs w:val="4"/>
                <w:color w:val="auto"/>
              </w:rPr>
            </w:pPr>
          </w:p>
        </w:tc>
        <w:tc>
          <w:tcPr>
            <w:tcW w:w="1200" w:type="dxa"/>
            <w:vAlign w:val="bottom"/>
            <w:tcBorders>
              <w:bottom w:val="single" w:sz="8" w:color="494949"/>
            </w:tcBorders>
          </w:tcPr>
          <w:p>
            <w:pPr>
              <w:spacing w:after="0"/>
              <w:rPr>
                <w:sz w:val="4"/>
                <w:szCs w:val="4"/>
                <w:color w:val="auto"/>
              </w:rPr>
            </w:pPr>
          </w:p>
        </w:tc>
        <w:tc>
          <w:tcPr>
            <w:tcW w:w="840" w:type="dxa"/>
            <w:vAlign w:val="bottom"/>
            <w:tcBorders>
              <w:bottom w:val="single" w:sz="8" w:color="494949"/>
            </w:tcBorders>
          </w:tcPr>
          <w:p>
            <w:pPr>
              <w:spacing w:after="0"/>
              <w:rPr>
                <w:sz w:val="4"/>
                <w:szCs w:val="4"/>
                <w:color w:val="auto"/>
              </w:rPr>
            </w:pPr>
          </w:p>
        </w:tc>
        <w:tc>
          <w:tcPr>
            <w:tcW w:w="180" w:type="dxa"/>
            <w:vAlign w:val="bottom"/>
            <w:tcBorders>
              <w:bottom w:val="single" w:sz="8" w:color="494949"/>
            </w:tcBorders>
          </w:tcPr>
          <w:p>
            <w:pPr>
              <w:spacing w:after="0"/>
              <w:rPr>
                <w:sz w:val="4"/>
                <w:szCs w:val="4"/>
                <w:color w:val="auto"/>
              </w:rPr>
            </w:pPr>
          </w:p>
        </w:tc>
        <w:tc>
          <w:tcPr>
            <w:tcW w:w="1300" w:type="dxa"/>
            <w:vAlign w:val="bottom"/>
            <w:tcBorders>
              <w:bottom w:val="single" w:sz="8" w:color="494949"/>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r>
              <w:rPr>
                <w:rFonts w:ascii="Arial" w:cs="Arial" w:eastAsia="Arial" w:hAnsi="Arial"/>
                <w:sz w:val="9"/>
                <w:szCs w:val="9"/>
                <w:b w:val="1"/>
                <w:bCs w:val="1"/>
                <w:color w:val="auto"/>
              </w:rPr>
              <w:t>3</w:t>
            </w:r>
          </w:p>
        </w:tc>
        <w:tc>
          <w:tcPr>
            <w:tcW w:w="1340" w:type="dxa"/>
            <w:vAlign w:val="bottom"/>
          </w:tcPr>
          <w:p>
            <w:pPr>
              <w:jc w:val="right"/>
              <w:ind w:right="22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750,000</w:t>
            </w:r>
          </w:p>
        </w:tc>
        <w:tc>
          <w:tcPr>
            <w:tcW w:w="1160" w:type="dxa"/>
            <w:vAlign w:val="bottom"/>
          </w:tcPr>
          <w:p>
            <w:pPr>
              <w:jc w:val="right"/>
              <w:ind w:right="6"/>
              <w:spacing w:after="0"/>
              <w:rPr>
                <w:sz w:val="20"/>
                <w:szCs w:val="20"/>
                <w:color w:val="auto"/>
              </w:rPr>
            </w:pPr>
            <w:r>
              <w:rPr>
                <w:rFonts w:ascii="Arial" w:cs="Arial" w:eastAsia="Arial" w:hAnsi="Arial"/>
                <w:sz w:val="14"/>
                <w:szCs w:val="14"/>
                <w:b w:val="1"/>
                <w:bCs w:val="1"/>
                <w:color w:val="auto"/>
              </w:rPr>
              <w:t>4,500,000</w:t>
            </w:r>
          </w:p>
        </w:tc>
        <w:tc>
          <w:tcPr>
            <w:tcW w:w="220" w:type="dxa"/>
            <w:vAlign w:val="bottom"/>
          </w:tcPr>
          <w:p>
            <w:pPr>
              <w:spacing w:after="0"/>
              <w:rPr>
                <w:sz w:val="16"/>
                <w:szCs w:val="16"/>
                <w:color w:val="auto"/>
              </w:rPr>
            </w:pPr>
          </w:p>
        </w:tc>
        <w:tc>
          <w:tcPr>
            <w:tcW w:w="1200" w:type="dxa"/>
            <w:vAlign w:val="bottom"/>
          </w:tcPr>
          <w:p>
            <w:pPr>
              <w:jc w:val="right"/>
              <w:ind w:right="307"/>
              <w:spacing w:after="0"/>
              <w:rPr>
                <w:sz w:val="20"/>
                <w:szCs w:val="20"/>
                <w:color w:val="auto"/>
              </w:rPr>
            </w:pPr>
            <w:r>
              <w:rPr>
                <w:rFonts w:ascii="Arial" w:cs="Arial" w:eastAsia="Arial" w:hAnsi="Arial"/>
                <w:sz w:val="14"/>
                <w:szCs w:val="14"/>
                <w:b w:val="1"/>
                <w:bCs w:val="1"/>
                <w:color w:val="auto"/>
              </w:rPr>
              <w:t>3,375,000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3,375,000</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12,000,000</w:t>
            </w:r>
          </w:p>
        </w:tc>
        <w:tc>
          <w:tcPr>
            <w:tcW w:w="0" w:type="dxa"/>
            <w:vAlign w:val="bottom"/>
          </w:tcPr>
          <w:p>
            <w:pPr>
              <w:spacing w:after="0"/>
              <w:rPr>
                <w:sz w:val="1"/>
                <w:szCs w:val="1"/>
                <w:color w:val="auto"/>
              </w:rPr>
            </w:pPr>
          </w:p>
        </w:tc>
      </w:tr>
      <w:tr>
        <w:trPr>
          <w:trHeight w:val="172"/>
        </w:trPr>
        <w:tc>
          <w:tcPr>
            <w:tcW w:w="362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1340" w:type="dxa"/>
            <w:vAlign w:val="bottom"/>
            <w:vMerge w:val="restart"/>
          </w:tcPr>
          <w:p>
            <w:pPr>
              <w:jc w:val="right"/>
              <w:ind w:right="227"/>
              <w:spacing w:after="0"/>
              <w:rPr>
                <w:sz w:val="20"/>
                <w:szCs w:val="20"/>
                <w:color w:val="auto"/>
              </w:rPr>
            </w:pPr>
            <w:r>
              <w:rPr>
                <w:rFonts w:ascii="Arial" w:cs="Arial" w:eastAsia="Arial" w:hAnsi="Arial"/>
                <w:sz w:val="14"/>
                <w:szCs w:val="14"/>
                <w:color w:val="auto"/>
              </w:rPr>
              <w:t>2019</w:t>
            </w:r>
          </w:p>
        </w:tc>
        <w:tc>
          <w:tcPr>
            <w:tcW w:w="260" w:type="dxa"/>
            <w:vAlign w:val="bottom"/>
          </w:tcPr>
          <w:p>
            <w:pPr>
              <w:spacing w:after="0"/>
              <w:rPr>
                <w:sz w:val="14"/>
                <w:szCs w:val="14"/>
                <w:color w:val="auto"/>
              </w:rPr>
            </w:pPr>
          </w:p>
        </w:tc>
        <w:tc>
          <w:tcPr>
            <w:tcW w:w="1120" w:type="dxa"/>
            <w:vAlign w:val="bottom"/>
            <w:vMerge w:val="restart"/>
          </w:tcPr>
          <w:p>
            <w:pPr>
              <w:jc w:val="right"/>
              <w:ind w:right="207"/>
              <w:spacing w:after="0"/>
              <w:rPr>
                <w:sz w:val="20"/>
                <w:szCs w:val="20"/>
                <w:color w:val="auto"/>
              </w:rPr>
            </w:pPr>
            <w:r>
              <w:rPr>
                <w:rFonts w:ascii="Arial" w:cs="Arial" w:eastAsia="Arial" w:hAnsi="Arial"/>
                <w:sz w:val="14"/>
                <w:szCs w:val="14"/>
                <w:color w:val="auto"/>
              </w:rPr>
              <w:t>666,667</w:t>
            </w:r>
          </w:p>
        </w:tc>
        <w:tc>
          <w:tcPr>
            <w:tcW w:w="1160" w:type="dxa"/>
            <w:vAlign w:val="bottom"/>
            <w:vMerge w:val="restart"/>
          </w:tcPr>
          <w:p>
            <w:pPr>
              <w:jc w:val="right"/>
              <w:ind w:right="6"/>
              <w:spacing w:after="0"/>
              <w:rPr>
                <w:sz w:val="20"/>
                <w:szCs w:val="20"/>
                <w:color w:val="auto"/>
              </w:rPr>
            </w:pPr>
            <w:r>
              <w:rPr>
                <w:rFonts w:ascii="Arial" w:cs="Arial" w:eastAsia="Arial" w:hAnsi="Arial"/>
                <w:sz w:val="14"/>
                <w:szCs w:val="14"/>
                <w:color w:val="auto"/>
              </w:rPr>
              <w:t>3,733,333</w:t>
            </w:r>
          </w:p>
        </w:tc>
        <w:tc>
          <w:tcPr>
            <w:tcW w:w="220" w:type="dxa"/>
            <w:vAlign w:val="bottom"/>
          </w:tcPr>
          <w:p>
            <w:pPr>
              <w:spacing w:after="0"/>
              <w:rPr>
                <w:sz w:val="14"/>
                <w:szCs w:val="14"/>
                <w:color w:val="auto"/>
              </w:rPr>
            </w:pPr>
          </w:p>
        </w:tc>
        <w:tc>
          <w:tcPr>
            <w:tcW w:w="1200" w:type="dxa"/>
            <w:vAlign w:val="bottom"/>
            <w:vMerge w:val="restart"/>
          </w:tcPr>
          <w:p>
            <w:pPr>
              <w:jc w:val="right"/>
              <w:ind w:right="307"/>
              <w:spacing w:after="0"/>
              <w:rPr>
                <w:sz w:val="20"/>
                <w:szCs w:val="20"/>
                <w:color w:val="auto"/>
              </w:rPr>
            </w:pPr>
            <w:r>
              <w:rPr>
                <w:rFonts w:ascii="Arial" w:cs="Arial" w:eastAsia="Arial" w:hAnsi="Arial"/>
                <w:sz w:val="14"/>
                <w:szCs w:val="14"/>
                <w:color w:val="auto"/>
              </w:rPr>
              <w:t>2,800,000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2,800,000</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r>
        <w:trPr>
          <w:trHeight w:val="87"/>
        </w:trPr>
        <w:tc>
          <w:tcPr>
            <w:tcW w:w="3620" w:type="dxa"/>
            <w:vAlign w:val="bottom"/>
            <w:tcBorders>
              <w:bottom w:val="single" w:sz="8" w:color="494949"/>
            </w:tcBorders>
          </w:tcPr>
          <w:p>
            <w:pPr>
              <w:spacing w:after="0"/>
              <w:rPr>
                <w:sz w:val="7"/>
                <w:szCs w:val="7"/>
                <w:color w:val="auto"/>
              </w:rPr>
            </w:pPr>
          </w:p>
        </w:tc>
        <w:tc>
          <w:tcPr>
            <w:tcW w:w="1340" w:type="dxa"/>
            <w:vAlign w:val="bottom"/>
            <w:tcBorders>
              <w:bottom w:val="single" w:sz="8" w:color="494949"/>
            </w:tcBorders>
            <w:vMerge w:val="continue"/>
          </w:tcPr>
          <w:p>
            <w:pPr>
              <w:spacing w:after="0"/>
              <w:rPr>
                <w:sz w:val="7"/>
                <w:szCs w:val="7"/>
                <w:color w:val="auto"/>
              </w:rPr>
            </w:pPr>
          </w:p>
        </w:tc>
        <w:tc>
          <w:tcPr>
            <w:tcW w:w="260" w:type="dxa"/>
            <w:vAlign w:val="bottom"/>
            <w:tcBorders>
              <w:bottom w:val="single" w:sz="8" w:color="494949"/>
            </w:tcBorders>
          </w:tcPr>
          <w:p>
            <w:pPr>
              <w:spacing w:after="0"/>
              <w:rPr>
                <w:sz w:val="7"/>
                <w:szCs w:val="7"/>
                <w:color w:val="auto"/>
              </w:rPr>
            </w:pPr>
          </w:p>
        </w:tc>
        <w:tc>
          <w:tcPr>
            <w:tcW w:w="1120" w:type="dxa"/>
            <w:vAlign w:val="bottom"/>
            <w:tcBorders>
              <w:bottom w:val="single" w:sz="8" w:color="494949"/>
            </w:tcBorders>
            <w:vMerge w:val="continue"/>
          </w:tcPr>
          <w:p>
            <w:pPr>
              <w:spacing w:after="0"/>
              <w:rPr>
                <w:sz w:val="7"/>
                <w:szCs w:val="7"/>
                <w:color w:val="auto"/>
              </w:rPr>
            </w:pPr>
          </w:p>
        </w:tc>
        <w:tc>
          <w:tcPr>
            <w:tcW w:w="1160" w:type="dxa"/>
            <w:vAlign w:val="bottom"/>
            <w:tcBorders>
              <w:bottom w:val="single" w:sz="8" w:color="494949"/>
            </w:tcBorders>
            <w:vMerge w:val="continue"/>
          </w:tcPr>
          <w:p>
            <w:pPr>
              <w:spacing w:after="0"/>
              <w:rPr>
                <w:sz w:val="7"/>
                <w:szCs w:val="7"/>
                <w:color w:val="auto"/>
              </w:rPr>
            </w:pPr>
          </w:p>
        </w:tc>
        <w:tc>
          <w:tcPr>
            <w:tcW w:w="220" w:type="dxa"/>
            <w:vAlign w:val="bottom"/>
            <w:tcBorders>
              <w:bottom w:val="single" w:sz="8" w:color="494949"/>
            </w:tcBorders>
          </w:tcPr>
          <w:p>
            <w:pPr>
              <w:spacing w:after="0"/>
              <w:rPr>
                <w:sz w:val="7"/>
                <w:szCs w:val="7"/>
                <w:color w:val="auto"/>
              </w:rPr>
            </w:pPr>
          </w:p>
        </w:tc>
        <w:tc>
          <w:tcPr>
            <w:tcW w:w="1200" w:type="dxa"/>
            <w:vAlign w:val="bottom"/>
            <w:tcBorders>
              <w:bottom w:val="single" w:sz="8" w:color="494949"/>
            </w:tcBorders>
            <w:vMerge w:val="continue"/>
          </w:tcPr>
          <w:p>
            <w:pPr>
              <w:spacing w:after="0"/>
              <w:rPr>
                <w:sz w:val="7"/>
                <w:szCs w:val="7"/>
                <w:color w:val="auto"/>
              </w:rPr>
            </w:pPr>
          </w:p>
        </w:tc>
        <w:tc>
          <w:tcPr>
            <w:tcW w:w="840" w:type="dxa"/>
            <w:vAlign w:val="bottom"/>
            <w:tcBorders>
              <w:bottom w:val="single" w:sz="8" w:color="494949"/>
            </w:tcBorders>
            <w:vMerge w:val="continue"/>
          </w:tcPr>
          <w:p>
            <w:pPr>
              <w:spacing w:after="0"/>
              <w:rPr>
                <w:sz w:val="7"/>
                <w:szCs w:val="7"/>
                <w:color w:val="auto"/>
              </w:rPr>
            </w:pPr>
          </w:p>
        </w:tc>
        <w:tc>
          <w:tcPr>
            <w:tcW w:w="180" w:type="dxa"/>
            <w:vAlign w:val="bottom"/>
            <w:tcBorders>
              <w:bottom w:val="single" w:sz="8" w:color="494949"/>
            </w:tcBorders>
          </w:tcPr>
          <w:p>
            <w:pPr>
              <w:spacing w:after="0"/>
              <w:rPr>
                <w:sz w:val="7"/>
                <w:szCs w:val="7"/>
                <w:color w:val="auto"/>
              </w:rPr>
            </w:pPr>
          </w:p>
        </w:tc>
        <w:tc>
          <w:tcPr>
            <w:tcW w:w="1300" w:type="dxa"/>
            <w:vAlign w:val="bottom"/>
            <w:tcBorders>
              <w:bottom w:val="single" w:sz="8" w:color="494949"/>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right="360" w:hanging="192"/>
        <w:spacing w:after="0" w:line="213" w:lineRule="auto"/>
        <w:tabs>
          <w:tab w:leader="none" w:pos="200" w:val="left"/>
        </w:tabs>
        <w:numPr>
          <w:ilvl w:val="0"/>
          <w:numId w:val="176"/>
        </w:numPr>
        <w:rPr>
          <w:rFonts w:ascii="Arial" w:cs="Arial" w:eastAsia="Arial" w:hAnsi="Arial"/>
          <w:sz w:val="16"/>
          <w:szCs w:val="16"/>
          <w:color w:val="auto"/>
          <w:vertAlign w:val="superscript"/>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 Firm’s performance.</w:t>
      </w:r>
    </w:p>
    <w:p>
      <w:pPr>
        <w:ind w:left="200" w:hanging="192"/>
        <w:spacing w:after="0" w:line="208" w:lineRule="auto"/>
        <w:tabs>
          <w:tab w:leader="none" w:pos="200" w:val="left"/>
        </w:tabs>
        <w:numPr>
          <w:ilvl w:val="0"/>
          <w:numId w:val="177"/>
        </w:numPr>
        <w:rPr>
          <w:rFonts w:ascii="Arial" w:cs="Arial" w:eastAsia="Arial" w:hAnsi="Arial"/>
          <w:sz w:val="15"/>
          <w:szCs w:val="15"/>
          <w:color w:val="auto"/>
          <w:vertAlign w:val="superscript"/>
        </w:rPr>
      </w:pPr>
      <w:r>
        <w:rPr>
          <w:rFonts w:ascii="Arial" w:cs="Arial" w:eastAsia="Arial" w:hAnsi="Arial"/>
          <w:sz w:val="12"/>
          <w:szCs w:val="12"/>
          <w:color w:val="auto"/>
        </w:rPr>
        <w:t>Mr. Pinto’s fixed allowance of $7,635,000, which is paid in British pound sterling, and his salary of £475,000 are both unchanged from 2019 to 2020. For the purposes of determining the number of</w:t>
      </w:r>
    </w:p>
    <w:p>
      <w:pPr>
        <w:ind w:left="200"/>
        <w:spacing w:after="0" w:line="237" w:lineRule="auto"/>
        <w:rPr>
          <w:sz w:val="20"/>
          <w:szCs w:val="20"/>
          <w:color w:val="auto"/>
        </w:rPr>
      </w:pPr>
      <w:r>
        <w:rPr>
          <w:rFonts w:ascii="Arial" w:cs="Arial" w:eastAsia="Arial" w:hAnsi="Arial"/>
          <w:sz w:val="13"/>
          <w:szCs w:val="13"/>
          <w:color w:val="auto"/>
        </w:rPr>
        <w:t>RSUs and PSUs granted to Mr. Pinto in 2021 for 2020 performance, the Firm established a grant date fair value per unit that takes into account that these awards do not carry the right to dividends or dividend equivalents prior to vesting, in accordance with local regulations.</w:t>
      </w:r>
    </w:p>
    <w:p>
      <w:pPr>
        <w:ind w:left="200" w:hanging="192"/>
        <w:spacing w:after="0" w:line="200"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Ms. Piepszak was not a NEO in 2018.</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074A75"/>
        </w:rPr>
        <w:t>INTERPRETING 2020 NEO COMPENSATION</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table above is presented to show how the CMDC and Board viewed compensation awarded for 2020 performance. It differs from how compensation is reported in the “Summary Compensation Table” (“SCT”) on page 73, which is required by the SEC, and is not intended as a substitute for the SCT. There are two principal differences between the SCT and the table above:</w:t>
      </w:r>
    </w:p>
    <w:p>
      <w:pPr>
        <w:spacing w:after="0" w:line="94" w:lineRule="exact"/>
        <w:rPr>
          <w:sz w:val="20"/>
          <w:szCs w:val="20"/>
          <w:color w:val="auto"/>
        </w:rPr>
      </w:pPr>
    </w:p>
    <w:p>
      <w:pPr>
        <w:ind w:left="260" w:right="160" w:hanging="252"/>
        <w:spacing w:after="0" w:line="253"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2021 for 2020 performance is shown as 2020 compensation. In the table above, the equity awards (RSUs and PSUs) granted in 2021 for 2020 performance are shown as 2020 compensation. In contrast, the SCT reports the value of equity awards in the year in which they are granted. As a result, awards granted in 2020 for 2019 performance are shown in the SCT as 2020 compensation.</w:t>
      </w:r>
    </w:p>
    <w:p>
      <w:pPr>
        <w:spacing w:after="0" w:line="97" w:lineRule="exact"/>
        <w:rPr>
          <w:rFonts w:ascii="Arial" w:cs="Arial" w:eastAsia="Arial" w:hAnsi="Arial"/>
          <w:sz w:val="18"/>
          <w:szCs w:val="18"/>
          <w:color w:val="auto"/>
        </w:rPr>
      </w:pPr>
    </w:p>
    <w:p>
      <w:pPr>
        <w:ind w:left="260" w:right="240" w:hanging="252"/>
        <w:spacing w:after="0" w:line="261"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417830</wp:posOffset>
            </wp:positionV>
            <wp:extent cx="274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65  </w:t>
      </w:r>
      <w:r>
        <w:rPr>
          <w:sz w:val="1"/>
          <w:szCs w:val="1"/>
          <w:color w:val="auto"/>
        </w:rPr>
        <w:drawing>
          <wp:inline distT="0" distB="0" distL="0" distR="0">
            <wp:extent cx="2203450" cy="154305"/>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074A75"/>
        </w:rPr>
        <w:t>2020 CEO compensation is aligned with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3798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spacing w:after="0" w:line="308"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James Dimon</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CHAIRMAN &amp; CHIEF EXECUTIVE OFFICER</w:t>
      </w:r>
    </w:p>
    <w:p>
      <w:pPr>
        <w:spacing w:after="0" w:line="120" w:lineRule="exact"/>
        <w:rPr>
          <w:sz w:val="20"/>
          <w:szCs w:val="20"/>
          <w:color w:val="auto"/>
        </w:rPr>
      </w:pPr>
    </w:p>
    <w:p>
      <w:pPr>
        <w:ind w:left="160" w:right="4220"/>
        <w:spacing w:after="0" w:line="249" w:lineRule="auto"/>
        <w:rPr>
          <w:sz w:val="20"/>
          <w:szCs w:val="20"/>
          <w:color w:val="auto"/>
        </w:rPr>
      </w:pPr>
      <w:r>
        <w:rPr>
          <w:rFonts w:ascii="Arial" w:cs="Arial" w:eastAsia="Arial" w:hAnsi="Arial"/>
          <w:sz w:val="16"/>
          <w:szCs w:val="16"/>
          <w:color w:val="auto"/>
        </w:rPr>
        <w:t>In determining Mr. Dimon’s compensation, independent members of the Board took into account Mr. Dimon’s achievements across four broad performance dimensions: Business Results; Risk, Controls &amp; Conduct; Client/Customer/Stakeholder; and Teamwork &amp; Leadership. The Board considered that under Mr. Dimon’s stewardship, the Firm continued to build upon its strong momentum from prior years amid the unprecedented health and economic consequences of COVID-19.</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074A75"/>
        </w:rPr>
        <w:t>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09728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50" w:lineRule="exact"/>
        <w:rPr>
          <w:sz w:val="20"/>
          <w:szCs w:val="20"/>
          <w:color w:val="auto"/>
        </w:rPr>
      </w:pPr>
    </w:p>
    <w:p>
      <w:pPr>
        <w:jc w:val="right"/>
        <w:ind w:left="580"/>
        <w:spacing w:after="0" w:line="31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195" w:hanging="195"/>
        <w:spacing w:after="0"/>
        <w:tabs>
          <w:tab w:leader="none" w:pos="195" w:val="left"/>
        </w:tabs>
        <w:numPr>
          <w:ilvl w:val="0"/>
          <w:numId w:val="180"/>
        </w:numPr>
        <w:rPr>
          <w:rFonts w:ascii="Arial" w:cs="Arial" w:eastAsia="Arial" w:hAnsi="Arial"/>
          <w:sz w:val="16"/>
          <w:szCs w:val="16"/>
          <w:color w:val="074A75"/>
        </w:rPr>
      </w:pPr>
      <w:r>
        <w:rPr>
          <w:rFonts w:ascii="Arial" w:cs="Arial" w:eastAsia="Arial" w:hAnsi="Arial"/>
          <w:sz w:val="16"/>
          <w:szCs w:val="16"/>
          <w:color w:val="auto"/>
        </w:rPr>
        <w:t>Net income of $29.1B, EPS of $8.88, and ROTCE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14% on average tangible common equity of $191B</w:t>
      </w:r>
    </w:p>
    <w:p>
      <w:pPr>
        <w:ind w:left="195" w:hanging="195"/>
        <w:spacing w:after="0" w:line="214" w:lineRule="auto"/>
        <w:tabs>
          <w:tab w:leader="none" w:pos="195" w:val="left"/>
        </w:tabs>
        <w:numPr>
          <w:ilvl w:val="0"/>
          <w:numId w:val="180"/>
        </w:numPr>
        <w:rPr>
          <w:rFonts w:ascii="Arial" w:cs="Arial" w:eastAsia="Arial" w:hAnsi="Arial"/>
          <w:sz w:val="16"/>
          <w:szCs w:val="16"/>
          <w:color w:val="074A75"/>
        </w:rPr>
      </w:pPr>
      <w:r>
        <w:rPr>
          <w:rFonts w:ascii="Arial" w:cs="Arial" w:eastAsia="Arial" w:hAnsi="Arial"/>
          <w:sz w:val="16"/>
          <w:szCs w:val="16"/>
          <w:color w:val="auto"/>
        </w:rPr>
        <w:t>Added $12.2B of credit reserves to absorb potential future losses and returned $16.3B of capital</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to shareholders</w:t>
      </w:r>
    </w:p>
    <w:p>
      <w:pPr>
        <w:ind w:left="195" w:right="140" w:hanging="195"/>
        <w:spacing w:after="0" w:line="232" w:lineRule="auto"/>
        <w:tabs>
          <w:tab w:leader="none" w:pos="192" w:val="left"/>
        </w:tabs>
        <w:numPr>
          <w:ilvl w:val="0"/>
          <w:numId w:val="180"/>
        </w:numPr>
        <w:rPr>
          <w:rFonts w:ascii="Arial" w:cs="Arial" w:eastAsia="Arial" w:hAnsi="Arial"/>
          <w:sz w:val="16"/>
          <w:szCs w:val="16"/>
          <w:color w:val="074A75"/>
        </w:rPr>
      </w:pPr>
      <w:r>
        <w:rPr>
          <w:rFonts w:ascii="Arial" w:cs="Arial" w:eastAsia="Arial" w:hAnsi="Arial"/>
          <w:sz w:val="16"/>
          <w:szCs w:val="16"/>
          <w:color w:val="auto"/>
        </w:rPr>
        <w:t>Maintained a quarterly dividend of $0.90 per share and suspended net share repurchases from March 15, 2020 through the end of the year to retain capital and reinforce our fortress balance sheet</w:t>
      </w:r>
    </w:p>
    <w:p>
      <w:pPr>
        <w:spacing w:after="0" w:line="22" w:lineRule="exact"/>
        <w:rPr>
          <w:rFonts w:ascii="Arial" w:cs="Arial" w:eastAsia="Arial" w:hAnsi="Arial"/>
          <w:sz w:val="16"/>
          <w:szCs w:val="16"/>
          <w:color w:val="074A75"/>
        </w:rPr>
      </w:pPr>
    </w:p>
    <w:p>
      <w:pPr>
        <w:ind w:left="195" w:right="360" w:hanging="195"/>
        <w:spacing w:after="0" w:line="232" w:lineRule="auto"/>
        <w:tabs>
          <w:tab w:leader="none" w:pos="192" w:val="left"/>
        </w:tabs>
        <w:numPr>
          <w:ilvl w:val="0"/>
          <w:numId w:val="180"/>
        </w:numPr>
        <w:rPr>
          <w:rFonts w:ascii="Arial" w:cs="Arial" w:eastAsia="Arial" w:hAnsi="Arial"/>
          <w:sz w:val="16"/>
          <w:szCs w:val="16"/>
          <w:color w:val="074A75"/>
        </w:rPr>
      </w:pPr>
      <w:r>
        <w:rPr>
          <w:rFonts w:ascii="Arial" w:cs="Arial" w:eastAsia="Arial" w:hAnsi="Arial"/>
          <w:sz w:val="16"/>
          <w:szCs w:val="16"/>
          <w:color w:val="auto"/>
        </w:rPr>
        <w:t>Continued to make large investments in technology, including artificial intelligence, cloud, digital and payments, as well as other investments in innovation, talent, security and risk controls</w:t>
      </w:r>
    </w:p>
    <w:p>
      <w:pPr>
        <w:spacing w:after="0" w:line="22" w:lineRule="exact"/>
        <w:rPr>
          <w:rFonts w:ascii="Arial" w:cs="Arial" w:eastAsia="Arial" w:hAnsi="Arial"/>
          <w:sz w:val="16"/>
          <w:szCs w:val="16"/>
          <w:color w:val="074A75"/>
        </w:rPr>
      </w:pPr>
    </w:p>
    <w:p>
      <w:pPr>
        <w:ind w:left="195" w:right="580" w:hanging="195"/>
        <w:spacing w:after="0" w:line="232" w:lineRule="auto"/>
        <w:tabs>
          <w:tab w:leader="none" w:pos="192" w:val="left"/>
        </w:tabs>
        <w:numPr>
          <w:ilvl w:val="0"/>
          <w:numId w:val="180"/>
        </w:numPr>
        <w:rPr>
          <w:rFonts w:ascii="Arial" w:cs="Arial" w:eastAsia="Arial" w:hAnsi="Arial"/>
          <w:sz w:val="16"/>
          <w:szCs w:val="16"/>
          <w:color w:val="074A75"/>
        </w:rPr>
      </w:pPr>
      <w:r>
        <w:rPr>
          <w:rFonts w:ascii="Arial" w:cs="Arial" w:eastAsia="Arial" w:hAnsi="Arial"/>
          <w:sz w:val="16"/>
          <w:szCs w:val="16"/>
          <w:color w:val="auto"/>
        </w:rPr>
        <w:t>Gained market share in many businesses, demonstrated strong expense discipline, and continued to achieve high customer satisfaction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38735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1380" w:space="225"/>
            <w:col w:w="9655"/>
          </w:cols>
          <w:pgMar w:left="32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1500" w:type="dxa"/>
            <w:vAlign w:val="bottom"/>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Risk,</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Continued to invest in our future, strengthen our risk and control environment, reinforce the importance of our culture and values,</w:t>
            </w:r>
          </w:p>
        </w:tc>
      </w:tr>
      <w:tr>
        <w:trPr>
          <w:trHeight w:val="189"/>
        </w:trPr>
        <w:tc>
          <w:tcPr>
            <w:tcW w:w="1500" w:type="dxa"/>
            <w:vAlign w:val="bottom"/>
            <w:shd w:val="clear" w:color="auto" w:fill="6484A5"/>
          </w:tcPr>
          <w:p>
            <w:pPr>
              <w:jc w:val="right"/>
              <w:ind w:right="30"/>
              <w:spacing w:after="0" w:line="189" w:lineRule="exact"/>
              <w:rPr>
                <w:sz w:val="20"/>
                <w:szCs w:val="20"/>
                <w:color w:val="auto"/>
              </w:rPr>
            </w:pPr>
            <w:r>
              <w:rPr>
                <w:rFonts w:ascii="Arial" w:cs="Arial" w:eastAsia="Arial" w:hAnsi="Arial"/>
                <w:sz w:val="18"/>
                <w:szCs w:val="18"/>
                <w:b w:val="1"/>
                <w:bCs w:val="1"/>
                <w:color w:val="FFFFFF"/>
              </w:rPr>
              <w:t>Controls &amp;</w:t>
            </w:r>
          </w:p>
        </w:tc>
        <w:tc>
          <w:tcPr>
            <w:tcW w:w="9740" w:type="dxa"/>
            <w:vAlign w:val="bottom"/>
          </w:tcPr>
          <w:p>
            <w:pPr>
              <w:ind w:left="300"/>
              <w:spacing w:after="0"/>
              <w:rPr>
                <w:sz w:val="20"/>
                <w:szCs w:val="20"/>
                <w:color w:val="auto"/>
              </w:rPr>
            </w:pPr>
            <w:r>
              <w:rPr>
                <w:rFonts w:ascii="Arial" w:cs="Arial" w:eastAsia="Arial" w:hAnsi="Arial"/>
                <w:sz w:val="16"/>
                <w:szCs w:val="16"/>
                <w:color w:val="auto"/>
              </w:rPr>
              <w:t>deliver on our long-standing commitment to serve our communities and conduct business in a responsible way to drive inclusive</w:t>
            </w:r>
          </w:p>
        </w:tc>
      </w:tr>
      <w:tr>
        <w:trPr>
          <w:trHeight w:val="275"/>
        </w:trPr>
        <w:tc>
          <w:tcPr>
            <w:tcW w:w="1500" w:type="dxa"/>
            <w:vAlign w:val="bottom"/>
            <w:tcBorders>
              <w:bottom w:val="single" w:sz="8" w:color="6484A5"/>
            </w:tcBorders>
            <w:shd w:val="clear" w:color="auto" w:fill="6484A5"/>
          </w:tcPr>
          <w:p>
            <w:pPr>
              <w:jc w:val="right"/>
              <w:ind w:right="30"/>
              <w:spacing w:after="0"/>
              <w:rPr>
                <w:sz w:val="20"/>
                <w:szCs w:val="20"/>
                <w:color w:val="auto"/>
              </w:rPr>
            </w:pPr>
            <w:r>
              <w:rPr>
                <w:rFonts w:ascii="Arial" w:cs="Arial" w:eastAsia="Arial" w:hAnsi="Arial"/>
                <w:sz w:val="18"/>
                <w:szCs w:val="18"/>
                <w:b w:val="1"/>
                <w:bCs w:val="1"/>
                <w:color w:val="FFFFFF"/>
              </w:rPr>
              <w:t>Conduct</w:t>
            </w:r>
          </w:p>
        </w:tc>
        <w:tc>
          <w:tcPr>
            <w:tcW w:w="9740" w:type="dxa"/>
            <w:vAlign w:val="bottom"/>
          </w:tcPr>
          <w:p>
            <w:pPr>
              <w:ind w:left="300"/>
              <w:spacing w:after="0"/>
              <w:rPr>
                <w:sz w:val="20"/>
                <w:szCs w:val="20"/>
                <w:color w:val="auto"/>
              </w:rPr>
            </w:pPr>
            <w:r>
              <w:rPr>
                <w:rFonts w:ascii="Arial" w:cs="Arial" w:eastAsia="Arial" w:hAnsi="Arial"/>
                <w:sz w:val="16"/>
                <w:szCs w:val="16"/>
                <w:color w:val="auto"/>
              </w:rPr>
              <w:t>growth</w:t>
            </w:r>
          </w:p>
        </w:tc>
      </w:tr>
      <w:tr>
        <w:trPr>
          <w:trHeight w:val="54"/>
        </w:trPr>
        <w:tc>
          <w:tcPr>
            <w:tcW w:w="1500" w:type="dxa"/>
            <w:vAlign w:val="bottom"/>
            <w:tcBorders>
              <w:bottom w:val="single" w:sz="8" w:color="494949"/>
            </w:tcBorders>
          </w:tcPr>
          <w:p>
            <w:pPr>
              <w:spacing w:after="0"/>
              <w:rPr>
                <w:sz w:val="4"/>
                <w:szCs w:val="4"/>
                <w:color w:val="auto"/>
              </w:rPr>
            </w:pPr>
          </w:p>
        </w:tc>
        <w:tc>
          <w:tcPr>
            <w:tcW w:w="9740" w:type="dxa"/>
            <w:vAlign w:val="bottom"/>
            <w:tcBorders>
              <w:bottom w:val="single" w:sz="8" w:color="494949"/>
            </w:tcBorders>
          </w:tcPr>
          <w:p>
            <w:pPr>
              <w:spacing w:after="0"/>
              <w:rPr>
                <w:sz w:val="4"/>
                <w:szCs w:val="4"/>
                <w:color w:val="auto"/>
              </w:rPr>
            </w:pPr>
          </w:p>
        </w:tc>
      </w:tr>
      <w:tr>
        <w:trPr>
          <w:trHeight w:val="34"/>
        </w:trPr>
        <w:tc>
          <w:tcPr>
            <w:tcW w:w="15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74"/>
        </w:trPr>
        <w:tc>
          <w:tcPr>
            <w:tcW w:w="1500" w:type="dxa"/>
            <w:vAlign w:val="bottom"/>
            <w:shd w:val="clear" w:color="auto" w:fill="939598"/>
          </w:tcPr>
          <w:p>
            <w:pPr>
              <w:jc w:val="right"/>
              <w:ind w:right="30"/>
              <w:spacing w:after="0"/>
              <w:rPr>
                <w:sz w:val="20"/>
                <w:szCs w:val="20"/>
                <w:color w:val="auto"/>
              </w:rPr>
            </w:pPr>
            <w:r>
              <w:rPr>
                <w:rFonts w:ascii="Arial" w:cs="Arial" w:eastAsia="Arial" w:hAnsi="Arial"/>
                <w:sz w:val="18"/>
                <w:szCs w:val="18"/>
                <w:b w:val="1"/>
                <w:bCs w:val="1"/>
                <w:color w:val="FFFFFF"/>
              </w:rPr>
              <w:t>Client /</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Guided the Firm’s focus on accelerating investments to help our clients, customers, employees and communities</w:t>
            </w:r>
          </w:p>
        </w:tc>
      </w:tr>
      <w:tr>
        <w:trPr>
          <w:trHeight w:val="216"/>
        </w:trPr>
        <w:tc>
          <w:tcPr>
            <w:tcW w:w="1500" w:type="dxa"/>
            <w:vAlign w:val="bottom"/>
            <w:shd w:val="clear" w:color="auto" w:fill="939598"/>
          </w:tcPr>
          <w:p>
            <w:pPr>
              <w:jc w:val="right"/>
              <w:ind w:right="30"/>
              <w:spacing w:after="0"/>
              <w:rPr>
                <w:sz w:val="20"/>
                <w:szCs w:val="20"/>
                <w:color w:val="auto"/>
              </w:rPr>
            </w:pPr>
            <w:r>
              <w:rPr>
                <w:rFonts w:ascii="Arial" w:cs="Arial" w:eastAsia="Arial" w:hAnsi="Arial"/>
                <w:sz w:val="18"/>
                <w:szCs w:val="18"/>
                <w:b w:val="1"/>
                <w:bCs w:val="1"/>
                <w:color w:val="FFFFFF"/>
              </w:rPr>
              <w:t>Customer /</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Continued to provide uninterrupted service to our clients and customers, while supporting and providing a safe work environment</w:t>
            </w:r>
          </w:p>
        </w:tc>
      </w:tr>
      <w:tr>
        <w:trPr>
          <w:trHeight w:val="227"/>
        </w:trPr>
        <w:tc>
          <w:tcPr>
            <w:tcW w:w="1500" w:type="dxa"/>
            <w:vAlign w:val="bottom"/>
            <w:shd w:val="clear" w:color="auto" w:fill="939598"/>
          </w:tcPr>
          <w:p>
            <w:pPr>
              <w:jc w:val="right"/>
              <w:ind w:right="30"/>
              <w:spacing w:after="0"/>
              <w:rPr>
                <w:sz w:val="20"/>
                <w:szCs w:val="20"/>
                <w:color w:val="auto"/>
              </w:rPr>
            </w:pPr>
            <w:r>
              <w:rPr>
                <w:rFonts w:ascii="Arial" w:cs="Arial" w:eastAsia="Arial" w:hAnsi="Arial"/>
                <w:sz w:val="18"/>
                <w:szCs w:val="18"/>
                <w:b w:val="1"/>
                <w:bCs w:val="1"/>
                <w:color w:val="FFFFFF"/>
              </w:rPr>
              <w:t>Stakeholder</w:t>
            </w:r>
          </w:p>
        </w:tc>
        <w:tc>
          <w:tcPr>
            <w:tcW w:w="9740" w:type="dxa"/>
            <w:vAlign w:val="bottom"/>
          </w:tcPr>
          <w:p>
            <w:pPr>
              <w:ind w:left="300"/>
              <w:spacing w:after="0"/>
              <w:rPr>
                <w:sz w:val="20"/>
                <w:szCs w:val="20"/>
                <w:color w:val="auto"/>
              </w:rPr>
            </w:pPr>
            <w:r>
              <w:rPr>
                <w:rFonts w:ascii="Arial" w:cs="Arial" w:eastAsia="Arial" w:hAnsi="Arial"/>
                <w:sz w:val="16"/>
                <w:szCs w:val="16"/>
                <w:color w:val="auto"/>
              </w:rPr>
              <w:t>for our employees and helping those communities hit hard by the COVID-19 pandemic</w:t>
            </w:r>
          </w:p>
        </w:tc>
      </w:tr>
      <w:tr>
        <w:trPr>
          <w:trHeight w:val="162"/>
        </w:trPr>
        <w:tc>
          <w:tcPr>
            <w:tcW w:w="1500" w:type="dxa"/>
            <w:vAlign w:val="bottom"/>
            <w:shd w:val="clear" w:color="auto" w:fill="939598"/>
          </w:tcPr>
          <w:p>
            <w:pPr>
              <w:spacing w:after="0"/>
              <w:rPr>
                <w:sz w:val="14"/>
                <w:szCs w:val="14"/>
                <w:color w:val="auto"/>
              </w:rPr>
            </w:pPr>
          </w:p>
        </w:tc>
        <w:tc>
          <w:tcPr>
            <w:tcW w:w="9740" w:type="dxa"/>
            <w:vAlign w:val="bottom"/>
          </w:tcPr>
          <w:p>
            <w:pPr>
              <w:ind w:left="100"/>
              <w:spacing w:after="0" w:line="162"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Committed $250M to support communities globally through economic and public health challenges, assisted clients and</w:t>
            </w:r>
          </w:p>
        </w:tc>
      </w:tr>
      <w:tr>
        <w:trPr>
          <w:trHeight w:val="162"/>
        </w:trPr>
        <w:tc>
          <w:tcPr>
            <w:tcW w:w="1500" w:type="dxa"/>
            <w:vAlign w:val="bottom"/>
            <w:shd w:val="clear" w:color="auto" w:fill="939598"/>
          </w:tcPr>
          <w:p>
            <w:pPr>
              <w:spacing w:after="0"/>
              <w:rPr>
                <w:sz w:val="14"/>
                <w:szCs w:val="14"/>
                <w:color w:val="auto"/>
              </w:rPr>
            </w:pPr>
          </w:p>
        </w:tc>
        <w:tc>
          <w:tcPr>
            <w:tcW w:w="9740" w:type="dxa"/>
            <w:vAlign w:val="bottom"/>
          </w:tcPr>
          <w:p>
            <w:pPr>
              <w:ind w:left="300"/>
              <w:spacing w:after="0" w:line="162" w:lineRule="exact"/>
              <w:rPr>
                <w:sz w:val="20"/>
                <w:szCs w:val="20"/>
                <w:color w:val="auto"/>
              </w:rPr>
            </w:pPr>
            <w:r>
              <w:rPr>
                <w:rFonts w:ascii="Arial" w:cs="Arial" w:eastAsia="Arial" w:hAnsi="Arial"/>
                <w:sz w:val="16"/>
                <w:szCs w:val="16"/>
                <w:color w:val="auto"/>
              </w:rPr>
              <w:t>businesses by extending credit or capital, supported customers through payment deferrals or assistance, and waived or refunded</w:t>
            </w:r>
          </w:p>
        </w:tc>
      </w:tr>
      <w:tr>
        <w:trPr>
          <w:trHeight w:val="195"/>
        </w:trPr>
        <w:tc>
          <w:tcPr>
            <w:tcW w:w="1500" w:type="dxa"/>
            <w:vAlign w:val="bottom"/>
            <w:shd w:val="clear" w:color="auto" w:fill="939598"/>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fees</w:t>
            </w:r>
          </w:p>
        </w:tc>
      </w:tr>
      <w:tr>
        <w:trPr>
          <w:trHeight w:val="183"/>
        </w:trPr>
        <w:tc>
          <w:tcPr>
            <w:tcW w:w="1500" w:type="dxa"/>
            <w:vAlign w:val="bottom"/>
            <w:shd w:val="clear" w:color="auto" w:fill="939598"/>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As part of our Path Forward initiative, committed $30B to advance racial equity, harnessing our expertise in business, public policy</w:t>
            </w:r>
          </w:p>
        </w:tc>
      </w:tr>
      <w:tr>
        <w:trPr>
          <w:trHeight w:val="162"/>
        </w:trPr>
        <w:tc>
          <w:tcPr>
            <w:tcW w:w="1500" w:type="dxa"/>
            <w:vAlign w:val="bottom"/>
            <w:shd w:val="clear" w:color="auto" w:fill="939598"/>
          </w:tcPr>
          <w:p>
            <w:pPr>
              <w:spacing w:after="0"/>
              <w:rPr>
                <w:sz w:val="14"/>
                <w:szCs w:val="14"/>
                <w:color w:val="auto"/>
              </w:rPr>
            </w:pPr>
          </w:p>
        </w:tc>
        <w:tc>
          <w:tcPr>
            <w:tcW w:w="9740" w:type="dxa"/>
            <w:vAlign w:val="bottom"/>
          </w:tcPr>
          <w:p>
            <w:pPr>
              <w:ind w:left="300"/>
              <w:spacing w:after="0" w:line="162" w:lineRule="exact"/>
              <w:rPr>
                <w:sz w:val="20"/>
                <w:szCs w:val="20"/>
                <w:color w:val="auto"/>
              </w:rPr>
            </w:pPr>
            <w:r>
              <w:rPr>
                <w:rFonts w:ascii="Arial" w:cs="Arial" w:eastAsia="Arial" w:hAnsi="Arial"/>
                <w:sz w:val="16"/>
                <w:szCs w:val="16"/>
                <w:color w:val="auto"/>
              </w:rPr>
              <w:t>and philanthropy across four core areas to help tackle racial inequities and provide economic opportunity for Black and Latinx</w:t>
            </w:r>
          </w:p>
        </w:tc>
      </w:tr>
      <w:tr>
        <w:trPr>
          <w:trHeight w:val="195"/>
        </w:trPr>
        <w:tc>
          <w:tcPr>
            <w:tcW w:w="1500" w:type="dxa"/>
            <w:vAlign w:val="bottom"/>
            <w:shd w:val="clear" w:color="auto" w:fill="939598"/>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communities</w:t>
            </w:r>
          </w:p>
        </w:tc>
      </w:tr>
      <w:tr>
        <w:trPr>
          <w:trHeight w:val="183"/>
        </w:trPr>
        <w:tc>
          <w:tcPr>
            <w:tcW w:w="1500" w:type="dxa"/>
            <w:vAlign w:val="bottom"/>
            <w:shd w:val="clear" w:color="auto" w:fill="939598"/>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Announced a commitment to align our financing activities in three sectors – oil and gas, electric power and automotive</w:t>
            </w:r>
          </w:p>
        </w:tc>
      </w:tr>
      <w:tr>
        <w:trPr>
          <w:trHeight w:val="195"/>
        </w:trPr>
        <w:tc>
          <w:tcPr>
            <w:tcW w:w="1500" w:type="dxa"/>
            <w:vAlign w:val="bottom"/>
            <w:shd w:val="clear" w:color="auto" w:fill="939598"/>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manufacturing – with the goals of the Paris Agreement</w:t>
            </w:r>
          </w:p>
        </w:tc>
      </w:tr>
      <w:tr>
        <w:trPr>
          <w:trHeight w:val="183"/>
        </w:trPr>
        <w:tc>
          <w:tcPr>
            <w:tcW w:w="1500" w:type="dxa"/>
            <w:vAlign w:val="bottom"/>
            <w:shd w:val="clear" w:color="auto" w:fill="939598"/>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Launched the Center for Carbon Transition (CCT) to engage clients in CIB and CB on their long-term business strategies and</w:t>
            </w:r>
          </w:p>
        </w:tc>
      </w:tr>
      <w:tr>
        <w:trPr>
          <w:trHeight w:val="195"/>
        </w:trPr>
        <w:tc>
          <w:tcPr>
            <w:tcW w:w="1500" w:type="dxa"/>
            <w:vAlign w:val="bottom"/>
            <w:shd w:val="clear" w:color="auto" w:fill="939598"/>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related carbon disclosures, and provide centralized access to sustainability-focused financing, research and advisory solutions</w:t>
            </w:r>
          </w:p>
        </w:tc>
      </w:tr>
      <w:tr>
        <w:trPr>
          <w:trHeight w:val="183"/>
        </w:trPr>
        <w:tc>
          <w:tcPr>
            <w:tcW w:w="1500" w:type="dxa"/>
            <w:vAlign w:val="bottom"/>
            <w:shd w:val="clear" w:color="auto" w:fill="939598"/>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Improved our digital capabilities, made acquisitions that will enhance our product offerings and deepen our engagement with clients</w:t>
            </w:r>
          </w:p>
        </w:tc>
      </w:tr>
      <w:tr>
        <w:trPr>
          <w:trHeight w:val="162"/>
        </w:trPr>
        <w:tc>
          <w:tcPr>
            <w:tcW w:w="1500" w:type="dxa"/>
            <w:vAlign w:val="bottom"/>
            <w:shd w:val="clear" w:color="auto" w:fill="939598"/>
          </w:tcPr>
          <w:p>
            <w:pPr>
              <w:spacing w:after="0"/>
              <w:rPr>
                <w:sz w:val="14"/>
                <w:szCs w:val="14"/>
                <w:color w:val="auto"/>
              </w:rPr>
            </w:pPr>
          </w:p>
        </w:tc>
        <w:tc>
          <w:tcPr>
            <w:tcW w:w="9740" w:type="dxa"/>
            <w:vAlign w:val="bottom"/>
          </w:tcPr>
          <w:p>
            <w:pPr>
              <w:ind w:left="300"/>
              <w:spacing w:after="0" w:line="162" w:lineRule="exact"/>
              <w:rPr>
                <w:sz w:val="20"/>
                <w:szCs w:val="20"/>
                <w:color w:val="auto"/>
              </w:rPr>
            </w:pPr>
            <w:r>
              <w:rPr>
                <w:rFonts w:ascii="Arial" w:cs="Arial" w:eastAsia="Arial" w:hAnsi="Arial"/>
                <w:sz w:val="16"/>
                <w:szCs w:val="16"/>
                <w:color w:val="auto"/>
              </w:rPr>
              <w:t>and customers, opened branches in new markets and received approval to open branches in 10 additional states which would</w:t>
            </w:r>
          </w:p>
        </w:tc>
      </w:tr>
      <w:tr>
        <w:trPr>
          <w:trHeight w:val="201"/>
        </w:trPr>
        <w:tc>
          <w:tcPr>
            <w:tcW w:w="1500" w:type="dxa"/>
            <w:vAlign w:val="bottom"/>
            <w:shd w:val="clear" w:color="auto" w:fill="939598"/>
          </w:tcPr>
          <w:p>
            <w:pPr>
              <w:spacing w:after="0"/>
              <w:rPr>
                <w:sz w:val="17"/>
                <w:szCs w:val="17"/>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allow us to be the first bank to operate branches in all of the lower 48 U.S. states</w:t>
            </w:r>
          </w:p>
        </w:tc>
      </w:tr>
      <w:tr>
        <w:trPr>
          <w:trHeight w:val="54"/>
        </w:trPr>
        <w:tc>
          <w:tcPr>
            <w:tcW w:w="1500" w:type="dxa"/>
            <w:vAlign w:val="bottom"/>
            <w:tcBorders>
              <w:bottom w:val="single" w:sz="8" w:color="494949"/>
            </w:tcBorders>
          </w:tcPr>
          <w:p>
            <w:pPr>
              <w:spacing w:after="0"/>
              <w:rPr>
                <w:sz w:val="4"/>
                <w:szCs w:val="4"/>
                <w:color w:val="auto"/>
              </w:rPr>
            </w:pPr>
          </w:p>
        </w:tc>
        <w:tc>
          <w:tcPr>
            <w:tcW w:w="9740" w:type="dxa"/>
            <w:vAlign w:val="bottom"/>
            <w:tcBorders>
              <w:bottom w:val="single" w:sz="8" w:color="494949"/>
            </w:tcBorders>
          </w:tcPr>
          <w:p>
            <w:pPr>
              <w:spacing w:after="0"/>
              <w:rPr>
                <w:sz w:val="4"/>
                <w:szCs w:val="4"/>
                <w:color w:val="auto"/>
              </w:rPr>
            </w:pPr>
          </w:p>
        </w:tc>
      </w:tr>
      <w:tr>
        <w:trPr>
          <w:trHeight w:val="34"/>
        </w:trPr>
        <w:tc>
          <w:tcPr>
            <w:tcW w:w="15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74"/>
        </w:trPr>
        <w:tc>
          <w:tcPr>
            <w:tcW w:w="1500" w:type="dxa"/>
            <w:vAlign w:val="bottom"/>
            <w:shd w:val="clear" w:color="auto" w:fill="6D6E71"/>
          </w:tcPr>
          <w:p>
            <w:pPr>
              <w:jc w:val="right"/>
              <w:ind w:right="30"/>
              <w:spacing w:after="0"/>
              <w:rPr>
                <w:sz w:val="20"/>
                <w:szCs w:val="20"/>
                <w:color w:val="auto"/>
              </w:rPr>
            </w:pPr>
            <w:r>
              <w:rPr>
                <w:rFonts w:ascii="Arial" w:cs="Arial" w:eastAsia="Arial" w:hAnsi="Arial"/>
                <w:sz w:val="18"/>
                <w:szCs w:val="18"/>
                <w:b w:val="1"/>
                <w:bCs w:val="1"/>
                <w:color w:val="FFFFFF"/>
              </w:rPr>
              <w:t>Teamwork &amp;</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Protected and supported our employees throughout the COVID-19 pandemic, including: alternative work arrangements; enhanced</w:t>
            </w:r>
          </w:p>
        </w:tc>
      </w:tr>
      <w:tr>
        <w:trPr>
          <w:trHeight w:val="185"/>
        </w:trPr>
        <w:tc>
          <w:tcPr>
            <w:tcW w:w="1500" w:type="dxa"/>
            <w:vAlign w:val="bottom"/>
            <w:shd w:val="clear" w:color="auto" w:fill="6D6E71"/>
          </w:tcPr>
          <w:p>
            <w:pPr>
              <w:jc w:val="right"/>
              <w:ind w:right="30"/>
              <w:spacing w:after="0" w:line="185" w:lineRule="exact"/>
              <w:rPr>
                <w:sz w:val="20"/>
                <w:szCs w:val="20"/>
                <w:color w:val="auto"/>
              </w:rPr>
            </w:pPr>
            <w:r>
              <w:rPr>
                <w:rFonts w:ascii="Arial" w:cs="Arial" w:eastAsia="Arial" w:hAnsi="Arial"/>
                <w:sz w:val="18"/>
                <w:szCs w:val="18"/>
                <w:b w:val="1"/>
                <w:bCs w:val="1"/>
                <w:color w:val="FFFFFF"/>
              </w:rPr>
              <w:t>Leadership</w:t>
            </w:r>
          </w:p>
        </w:tc>
        <w:tc>
          <w:tcPr>
            <w:tcW w:w="9740" w:type="dxa"/>
            <w:vAlign w:val="bottom"/>
          </w:tcPr>
          <w:p>
            <w:pPr>
              <w:ind w:left="300"/>
              <w:spacing w:after="0"/>
              <w:rPr>
                <w:sz w:val="20"/>
                <w:szCs w:val="20"/>
                <w:color w:val="auto"/>
              </w:rPr>
            </w:pPr>
            <w:r>
              <w:rPr>
                <w:rFonts w:ascii="Arial" w:cs="Arial" w:eastAsia="Arial" w:hAnsi="Arial"/>
                <w:sz w:val="16"/>
                <w:szCs w:val="16"/>
                <w:color w:val="auto"/>
              </w:rPr>
              <w:t>office hygiene measures; over $100M in special payments to employees whose job require them to continue to work onsite;</w:t>
            </w:r>
          </w:p>
        </w:tc>
      </w:tr>
      <w:tr>
        <w:trPr>
          <w:trHeight w:val="150"/>
        </w:trPr>
        <w:tc>
          <w:tcPr>
            <w:tcW w:w="1500" w:type="dxa"/>
            <w:vAlign w:val="bottom"/>
            <w:shd w:val="clear" w:color="auto" w:fill="6D6E71"/>
          </w:tcPr>
          <w:p>
            <w:pPr>
              <w:spacing w:after="0"/>
              <w:rPr>
                <w:sz w:val="13"/>
                <w:szCs w:val="13"/>
                <w:color w:val="auto"/>
              </w:rPr>
            </w:pPr>
          </w:p>
        </w:tc>
        <w:tc>
          <w:tcPr>
            <w:tcW w:w="9740" w:type="dxa"/>
            <w:vAlign w:val="bottom"/>
          </w:tcPr>
          <w:p>
            <w:pPr>
              <w:ind w:left="300"/>
              <w:spacing w:after="0" w:line="151" w:lineRule="exact"/>
              <w:rPr>
                <w:sz w:val="20"/>
                <w:szCs w:val="20"/>
                <w:color w:val="auto"/>
              </w:rPr>
            </w:pPr>
            <w:r>
              <w:rPr>
                <w:rFonts w:ascii="Arial" w:cs="Arial" w:eastAsia="Arial" w:hAnsi="Arial"/>
                <w:sz w:val="16"/>
                <w:szCs w:val="16"/>
                <w:color w:val="auto"/>
              </w:rPr>
              <w:t>additional paid days off to manage personal needs; additional support for childcare needs; and expanded healthcare and well-being</w:t>
            </w:r>
          </w:p>
        </w:tc>
      </w:tr>
      <w:tr>
        <w:trPr>
          <w:trHeight w:val="195"/>
        </w:trPr>
        <w:tc>
          <w:tcPr>
            <w:tcW w:w="1500" w:type="dxa"/>
            <w:vAlign w:val="bottom"/>
            <w:shd w:val="clear" w:color="auto" w:fill="6D6E71"/>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resources</w:t>
            </w:r>
          </w:p>
        </w:tc>
      </w:tr>
      <w:tr>
        <w:trPr>
          <w:trHeight w:val="183"/>
        </w:trPr>
        <w:tc>
          <w:tcPr>
            <w:tcW w:w="1500" w:type="dxa"/>
            <w:vAlign w:val="bottom"/>
            <w:shd w:val="clear" w:color="auto" w:fill="6D6E71"/>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Strengthened a highly effective succession and management development program, with a robust pipeline of leaders across the</w:t>
            </w:r>
          </w:p>
        </w:tc>
      </w:tr>
      <w:tr>
        <w:trPr>
          <w:trHeight w:val="195"/>
        </w:trPr>
        <w:tc>
          <w:tcPr>
            <w:tcW w:w="1500" w:type="dxa"/>
            <w:vAlign w:val="bottom"/>
            <w:shd w:val="clear" w:color="auto" w:fill="6D6E71"/>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organization and a diversity, equity and inclusion strategy that attracts, motivates and retains top talent</w:t>
            </w:r>
          </w:p>
        </w:tc>
      </w:tr>
      <w:tr>
        <w:trPr>
          <w:trHeight w:val="183"/>
        </w:trPr>
        <w:tc>
          <w:tcPr>
            <w:tcW w:w="1500" w:type="dxa"/>
            <w:vAlign w:val="bottom"/>
            <w:shd w:val="clear" w:color="auto" w:fill="6D6E71"/>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Expanded the Operating Committee to include the heads of many of our largest businesses as well as the Firm's General Auditor</w:t>
            </w:r>
          </w:p>
        </w:tc>
      </w:tr>
      <w:tr>
        <w:trPr>
          <w:trHeight w:val="162"/>
        </w:trPr>
        <w:tc>
          <w:tcPr>
            <w:tcW w:w="1500" w:type="dxa"/>
            <w:vAlign w:val="bottom"/>
            <w:shd w:val="clear" w:color="auto" w:fill="6D6E71"/>
          </w:tcPr>
          <w:p>
            <w:pPr>
              <w:spacing w:after="0"/>
              <w:rPr>
                <w:sz w:val="14"/>
                <w:szCs w:val="14"/>
                <w:color w:val="auto"/>
              </w:rPr>
            </w:pPr>
          </w:p>
        </w:tc>
        <w:tc>
          <w:tcPr>
            <w:tcW w:w="9740" w:type="dxa"/>
            <w:vAlign w:val="bottom"/>
          </w:tcPr>
          <w:p>
            <w:pPr>
              <w:ind w:left="300"/>
              <w:spacing w:after="0" w:line="162" w:lineRule="exact"/>
              <w:rPr>
                <w:sz w:val="20"/>
                <w:szCs w:val="20"/>
                <w:color w:val="auto"/>
              </w:rPr>
            </w:pPr>
            <w:r>
              <w:rPr>
                <w:rFonts w:ascii="Arial" w:cs="Arial" w:eastAsia="Arial" w:hAnsi="Arial"/>
                <w:sz w:val="16"/>
                <w:szCs w:val="16"/>
                <w:color w:val="auto"/>
              </w:rPr>
              <w:t>as an ex-officio member. As of December 31, 2020, women represented 42% of our Operating Committee, which also includes</w:t>
            </w:r>
          </w:p>
        </w:tc>
      </w:tr>
      <w:tr>
        <w:trPr>
          <w:trHeight w:val="195"/>
        </w:trPr>
        <w:tc>
          <w:tcPr>
            <w:tcW w:w="1500" w:type="dxa"/>
            <w:vAlign w:val="bottom"/>
            <w:shd w:val="clear" w:color="auto" w:fill="6D6E71"/>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representation of LGBT+ and ethnic minorities. Women executives manage many of the Firm’s core businesses and functions</w:t>
            </w:r>
          </w:p>
        </w:tc>
      </w:tr>
      <w:tr>
        <w:trPr>
          <w:trHeight w:val="183"/>
        </w:trPr>
        <w:tc>
          <w:tcPr>
            <w:tcW w:w="1500" w:type="dxa"/>
            <w:vAlign w:val="bottom"/>
            <w:shd w:val="clear" w:color="auto" w:fill="6D6E71"/>
          </w:tcPr>
          <w:p>
            <w:pPr>
              <w:spacing w:after="0"/>
              <w:rPr>
                <w:sz w:val="15"/>
                <w:szCs w:val="15"/>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Established an executive accountability framework that strengthens the way we incorporate diversity, equity and inclusion priorities</w:t>
            </w:r>
          </w:p>
        </w:tc>
      </w:tr>
      <w:tr>
        <w:trPr>
          <w:trHeight w:val="201"/>
        </w:trPr>
        <w:tc>
          <w:tcPr>
            <w:tcW w:w="1500" w:type="dxa"/>
            <w:vAlign w:val="bottom"/>
            <w:shd w:val="clear" w:color="auto" w:fill="6D6E71"/>
          </w:tcPr>
          <w:p>
            <w:pPr>
              <w:spacing w:after="0"/>
              <w:rPr>
                <w:sz w:val="17"/>
                <w:szCs w:val="17"/>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and progress into year-end performance evaluations and compensation decisions for OC members and their direct reports</w:t>
            </w:r>
          </w:p>
        </w:tc>
      </w:tr>
      <w:tr>
        <w:trPr>
          <w:trHeight w:val="54"/>
        </w:trPr>
        <w:tc>
          <w:tcPr>
            <w:tcW w:w="1500" w:type="dxa"/>
            <w:vAlign w:val="bottom"/>
            <w:tcBorders>
              <w:bottom w:val="single" w:sz="8" w:color="494949"/>
            </w:tcBorders>
          </w:tcPr>
          <w:p>
            <w:pPr>
              <w:spacing w:after="0"/>
              <w:rPr>
                <w:sz w:val="4"/>
                <w:szCs w:val="4"/>
                <w:color w:val="auto"/>
              </w:rPr>
            </w:pPr>
          </w:p>
        </w:tc>
        <w:tc>
          <w:tcPr>
            <w:tcW w:w="9740" w:type="dxa"/>
            <w:vAlign w:val="bottom"/>
            <w:tcBorders>
              <w:bottom w:val="single" w:sz="8" w:color="494949"/>
            </w:tcBorders>
          </w:tcPr>
          <w:p>
            <w:pPr>
              <w:spacing w:after="0"/>
              <w:rPr>
                <w:sz w:val="4"/>
                <w:szCs w:val="4"/>
                <w:color w:val="auto"/>
              </w:rPr>
            </w:pPr>
          </w:p>
        </w:tc>
      </w:tr>
    </w:tbl>
    <w:p>
      <w:pPr>
        <w:spacing w:after="0" w:line="73" w:lineRule="exact"/>
        <w:rPr>
          <w:sz w:val="20"/>
          <w:szCs w:val="20"/>
          <w:color w:val="auto"/>
        </w:rPr>
      </w:pPr>
    </w:p>
    <w:p>
      <w:pPr>
        <w:ind w:left="80" w:hanging="72"/>
        <w:spacing w:after="0"/>
        <w:tabs>
          <w:tab w:leader="none" w:pos="80" w:val="left"/>
        </w:tabs>
        <w:numPr>
          <w:ilvl w:val="0"/>
          <w:numId w:val="181"/>
        </w:numPr>
        <w:rPr>
          <w:rFonts w:ascii="Arial" w:cs="Arial" w:eastAsia="Arial" w:hAnsi="Arial"/>
          <w:sz w:val="15"/>
          <w:szCs w:val="15"/>
          <w:color w:val="auto"/>
          <w:vertAlign w:val="superscript"/>
        </w:rPr>
      </w:pPr>
      <w:r>
        <w:rPr>
          <w:rFonts w:ascii="Arial" w:cs="Arial" w:eastAsia="Arial" w:hAnsi="Arial"/>
          <w:sz w:val="12"/>
          <w:szCs w:val="12"/>
          <w:color w:val="auto"/>
        </w:rPr>
        <w:t>ROTCE is a non-GAAP financial measure. On a comparable U.S. GAAP basis, 2020 ROE was 12%. Refer to Note 1 on page 113 for a further discussion on this measure.</w:t>
      </w:r>
    </w:p>
    <w:p>
      <w:pPr>
        <w:spacing w:after="0"/>
        <w:rPr>
          <w:rFonts w:ascii="Arial" w:cs="Arial" w:eastAsia="Arial" w:hAnsi="Arial"/>
          <w:sz w:val="15"/>
          <w:szCs w:val="15"/>
          <w:color w:val="auto"/>
          <w:vertAlign w:val="superscript"/>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Refer to Note 2 on page 39.</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60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60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196850</wp:posOffset>
            </wp:positionV>
            <wp:extent cx="3231515" cy="16973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231515" cy="16973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assessing Mr. Dimon’s performance, the CMDC and the independent</w:t>
      </w:r>
    </w:p>
    <w:p>
      <w:pPr>
        <w:spacing w:after="0" w:line="5" w:lineRule="exact"/>
        <w:rPr>
          <w:sz w:val="20"/>
          <w:szCs w:val="20"/>
          <w:color w:val="auto"/>
        </w:rPr>
      </w:pPr>
    </w:p>
    <w:p>
      <w:pPr>
        <w:ind w:left="20" w:right="500"/>
        <w:spacing w:after="0" w:line="181" w:lineRule="auto"/>
        <w:rPr>
          <w:sz w:val="20"/>
          <w:szCs w:val="20"/>
          <w:color w:val="auto"/>
        </w:rPr>
      </w:pPr>
      <w:r>
        <w:rPr>
          <w:rFonts w:ascii="Arial" w:cs="Arial" w:eastAsia="Arial" w:hAnsi="Arial"/>
          <w:sz w:val="15"/>
          <w:szCs w:val="15"/>
          <w:color w:val="auto"/>
        </w:rPr>
        <w:t xml:space="preserve">members of our Board also considered the CEO pay of our primary financial </w:t>
      </w:r>
      <w:r>
        <w:rPr>
          <w:rFonts w:ascii="Arial" w:cs="Arial" w:eastAsia="Arial" w:hAnsi="Arial"/>
          <w:sz w:val="29"/>
          <w:szCs w:val="29"/>
          <w:b w:val="1"/>
          <w:bCs w:val="1"/>
          <w:color w:val="074A75"/>
          <w:vertAlign w:val="subscript"/>
          <w:shd w:val="clear" w:color="auto" w:fill="EEEFEF"/>
        </w:rPr>
        <w:t>Prior 3-Year Average % of Profits Paid to CEOs (2017-2019)</w:t>
      </w:r>
      <w:r>
        <w:rPr>
          <w:rFonts w:ascii="Arial" w:cs="Arial" w:eastAsia="Arial" w:hAnsi="Arial"/>
          <w:sz w:val="10"/>
          <w:szCs w:val="10"/>
          <w:b w:val="1"/>
          <w:bCs w:val="1"/>
          <w:color w:val="074A75"/>
          <w:shd w:val="clear" w:color="auto" w:fill="EEEFEF"/>
        </w:rPr>
        <w:t>1</w:t>
      </w:r>
      <w:r>
        <w:rPr>
          <w:rFonts w:ascii="Arial" w:cs="Arial" w:eastAsia="Arial" w:hAnsi="Arial"/>
          <w:sz w:val="15"/>
          <w:szCs w:val="15"/>
          <w:color w:val="auto"/>
        </w:rPr>
        <w:t xml:space="preserve"> services peers and other companies as a reference.</w:t>
      </w:r>
    </w:p>
    <w:p>
      <w:pPr>
        <w:spacing w:after="0" w:line="104" w:lineRule="exact"/>
        <w:rPr>
          <w:sz w:val="20"/>
          <w:szCs w:val="20"/>
          <w:color w:val="auto"/>
        </w:rPr>
      </w:pPr>
    </w:p>
    <w:p>
      <w:pPr>
        <w:ind w:left="20" w:right="5560"/>
        <w:spacing w:after="0" w:line="253" w:lineRule="auto"/>
        <w:rPr>
          <w:sz w:val="20"/>
          <w:szCs w:val="20"/>
          <w:color w:val="auto"/>
        </w:rPr>
      </w:pPr>
      <w:r>
        <w:rPr>
          <w:rFonts w:ascii="Arial" w:cs="Arial" w:eastAsia="Arial" w:hAnsi="Arial"/>
          <w:sz w:val="16"/>
          <w:szCs w:val="16"/>
          <w:color w:val="auto"/>
        </w:rPr>
        <w:t>After considering these factors, the Board concluded that awarding Mr. Dimon $31.5 million (unchanged from 2019) was appropriate, particularly in light of the Firm’s strong absolute and relative performance over multiple years.</w:t>
      </w:r>
    </w:p>
    <w:p>
      <w:pPr>
        <w:spacing w:after="0" w:line="93" w:lineRule="exact"/>
        <w:rPr>
          <w:sz w:val="20"/>
          <w:szCs w:val="20"/>
          <w:color w:val="auto"/>
        </w:rPr>
      </w:pPr>
    </w:p>
    <w:p>
      <w:pPr>
        <w:ind w:left="20" w:right="5500"/>
        <w:spacing w:after="0" w:line="253" w:lineRule="auto"/>
        <w:rPr>
          <w:sz w:val="20"/>
          <w:szCs w:val="20"/>
          <w:color w:val="auto"/>
        </w:rPr>
      </w:pPr>
      <w:r>
        <w:rPr>
          <w:rFonts w:ascii="Arial" w:cs="Arial" w:eastAsia="Arial" w:hAnsi="Arial"/>
          <w:sz w:val="16"/>
          <w:szCs w:val="16"/>
          <w:color w:val="auto"/>
        </w:rPr>
        <w:t>The chart alongside compares Mr. Dimon’s compensation to that of the CEOs of our financial services peers based on three-year average total compensation expressed as a percentage of net income.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00" w:right="100" w:hanging="192"/>
        <w:spacing w:after="0" w:line="237" w:lineRule="auto"/>
        <w:tabs>
          <w:tab w:leader="none" w:pos="196" w:val="left"/>
        </w:tabs>
        <w:numPr>
          <w:ilvl w:val="0"/>
          <w:numId w:val="182"/>
        </w:numPr>
        <w:rPr>
          <w:rFonts w:ascii="Arial" w:cs="Arial" w:eastAsia="Arial" w:hAnsi="Arial"/>
          <w:sz w:val="14"/>
          <w:szCs w:val="14"/>
          <w:color w:val="auto"/>
          <w:vertAlign w:val="superscript"/>
        </w:rPr>
      </w:pPr>
      <w:r>
        <w:rPr>
          <w:rFonts w:ascii="Arial" w:cs="Arial" w:eastAsia="Arial" w:hAnsi="Arial"/>
          <w:sz w:val="11"/>
          <w:szCs w:val="11"/>
          <w:color w:val="auto"/>
        </w:rPr>
        <w:t>Total compensation is comprised of base salary, cash bonus paid and long-term incentive compensation (target value) in connection with the performance year, which may be different from amounts reported in the SCT. The most recently used peer compensation data is from 2019 since not all our financial services peers will have filed proxy statements containing 2020 compensation data before the preparation of this proxy statement. The percentage of profits paid is equal to three-year average CEO compensation divided by three-year average net income. Source: 2018-2020 proxy statements; 2017-2019 Form 10-K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201930</wp:posOffset>
            </wp:positionV>
            <wp:extent cx="2743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67  </w:t>
      </w:r>
      <w:r>
        <w:rPr>
          <w:sz w:val="1"/>
          <w:szCs w:val="1"/>
          <w:color w:val="auto"/>
        </w:rPr>
        <w:drawing>
          <wp:inline distT="0" distB="0" distL="0" distR="0">
            <wp:extent cx="2203450" cy="154305"/>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-213995</wp:posOffset>
            </wp:positionV>
            <wp:extent cx="77470" cy="1460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-213995</wp:posOffset>
            </wp:positionV>
            <wp:extent cx="77470" cy="146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color w:val="074A75"/>
        </w:rPr>
        <w:t>2020 NEO pay-for-performance summaries</w:t>
      </w:r>
    </w:p>
    <w:p>
      <w:pPr>
        <w:spacing w:after="0" w:line="6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Below are summaries of our NEOs’ achievements against the Firm’s four broad performance dimensions, including: Business Results; Risk, Controls &amp; Conduct; Client/Customer/Stakeholder; and 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0883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29"/>
          <w:szCs w:val="29"/>
          <w:color w:val="074A75"/>
          <w:shd w:val="clear" w:color="auto" w:fill="EEEFEF"/>
        </w:rPr>
        <w:t>Daniel Pinto</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074A75"/>
          <w:shd w:val="clear" w:color="auto" w:fill="EEEFEF"/>
        </w:rPr>
        <w:t>CO-PRESIDENT &amp; CO-COO; CEO: CORPORATE &amp; INVESTMENT BANK</w:t>
      </w:r>
    </w:p>
    <w:p>
      <w:pPr>
        <w:spacing w:after="0" w:line="120" w:lineRule="exact"/>
        <w:rPr>
          <w:sz w:val="20"/>
          <w:szCs w:val="20"/>
          <w:color w:val="auto"/>
        </w:rPr>
      </w:pPr>
    </w:p>
    <w:p>
      <w:pPr>
        <w:ind w:left="160" w:right="4040"/>
        <w:spacing w:after="0" w:line="251" w:lineRule="auto"/>
        <w:rPr>
          <w:sz w:val="20"/>
          <w:szCs w:val="20"/>
          <w:color w:val="auto"/>
        </w:rPr>
      </w:pPr>
      <w:r>
        <w:rPr>
          <w:rFonts w:ascii="Arial" w:cs="Arial" w:eastAsia="Arial" w:hAnsi="Arial"/>
          <w:sz w:val="16"/>
          <w:szCs w:val="16"/>
          <w:color w:val="auto"/>
          <w:shd w:val="clear" w:color="auto" w:fill="EEEFEF"/>
        </w:rPr>
        <w:t>Mr. Pinto was appointed Co-President and Co-Chief Operating Officer of the Firm in January 2018, in addition to serving as CEO of the CIB since March 2014. In 2017, Mr. Pinto and Mr. Smith assumed responsibility for Global Technology. Mr. Pinto previously served as Co-CEO of the CIB since 2012.</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074A75"/>
        </w:rPr>
        <w:t>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7482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FFFFFF"/>
                <w:w w:val="97"/>
              </w:rPr>
              <w:t>Business</w:t>
            </w:r>
          </w:p>
        </w:tc>
        <w:tc>
          <w:tcPr>
            <w:tcW w:w="220" w:type="dxa"/>
            <w:vAlign w:val="bottom"/>
          </w:tcPr>
          <w:p>
            <w:pPr>
              <w:ind w:left="100"/>
              <w:spacing w:after="0"/>
              <w:rPr>
                <w:sz w:val="20"/>
                <w:szCs w:val="20"/>
                <w:color w:val="auto"/>
              </w:rPr>
            </w:pPr>
            <w:r>
              <w:rPr>
                <w:rFonts w:ascii="Arial" w:cs="Arial" w:eastAsia="Arial" w:hAnsi="Arial"/>
                <w:sz w:val="16"/>
                <w:szCs w:val="16"/>
                <w:color w:val="074A75"/>
              </w:rPr>
              <w:t>•</w:t>
            </w:r>
          </w:p>
        </w:tc>
        <w:tc>
          <w:tcPr>
            <w:tcW w:w="9340" w:type="dxa"/>
            <w:vAlign w:val="bottom"/>
          </w:tcPr>
          <w:p>
            <w:pPr>
              <w:ind w:left="80"/>
              <w:spacing w:after="0"/>
              <w:rPr>
                <w:sz w:val="20"/>
                <w:szCs w:val="20"/>
                <w:color w:val="auto"/>
              </w:rPr>
            </w:pPr>
            <w:r>
              <w:rPr>
                <w:rFonts w:ascii="Arial" w:cs="Arial" w:eastAsia="Arial" w:hAnsi="Arial"/>
                <w:sz w:val="16"/>
                <w:szCs w:val="16"/>
                <w:color w:val="auto"/>
              </w:rPr>
              <w:t>CIB achieved record net income of $17.1B on record revenue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$49.3B, with a market leading ROE of 20%</w:t>
            </w:r>
          </w:p>
        </w:tc>
      </w:tr>
      <w:tr>
        <w:trPr>
          <w:trHeight w:val="227"/>
        </w:trPr>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FFFFFF"/>
              </w:rPr>
              <w:t>Results</w:t>
            </w:r>
          </w:p>
        </w:tc>
        <w:tc>
          <w:tcPr>
            <w:tcW w:w="220" w:type="dxa"/>
            <w:vAlign w:val="bottom"/>
          </w:tcPr>
          <w:p>
            <w:pPr>
              <w:ind w:left="100"/>
              <w:spacing w:after="0"/>
              <w:rPr>
                <w:sz w:val="20"/>
                <w:szCs w:val="20"/>
                <w:color w:val="auto"/>
              </w:rPr>
            </w:pPr>
            <w:r>
              <w:rPr>
                <w:rFonts w:ascii="Arial" w:cs="Arial" w:eastAsia="Arial" w:hAnsi="Arial"/>
                <w:sz w:val="16"/>
                <w:szCs w:val="16"/>
                <w:color w:val="074A75"/>
              </w:rPr>
              <w:t>•</w:t>
            </w:r>
          </w:p>
        </w:tc>
        <w:tc>
          <w:tcPr>
            <w:tcW w:w="9340" w:type="dxa"/>
            <w:vAlign w:val="bottom"/>
          </w:tcPr>
          <w:p>
            <w:pPr>
              <w:ind w:left="80"/>
              <w:spacing w:after="0"/>
              <w:rPr>
                <w:sz w:val="20"/>
                <w:szCs w:val="20"/>
                <w:color w:val="auto"/>
              </w:rPr>
            </w:pPr>
            <w:r>
              <w:rPr>
                <w:rFonts w:ascii="Arial" w:cs="Arial" w:eastAsia="Arial" w:hAnsi="Arial"/>
                <w:sz w:val="16"/>
                <w:szCs w:val="16"/>
                <w:color w:val="auto"/>
              </w:rPr>
              <w:t>Record IB fees of $9.5B, up 25%; record revenues in Equity Capital Markets of $2.8B and Debt Capital Markets of $4.4B, up 66%</w:t>
            </w:r>
          </w:p>
        </w:tc>
      </w:tr>
      <w:tr>
        <w:trPr>
          <w:trHeight w:val="195"/>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and 23% respectively</w:t>
            </w:r>
          </w:p>
        </w:tc>
      </w:tr>
      <w:tr>
        <w:trPr>
          <w:trHeight w:val="197"/>
        </w:trPr>
        <w:tc>
          <w:tcPr>
            <w:tcW w:w="920" w:type="dxa"/>
            <w:vAlign w:val="bottom"/>
          </w:tcPr>
          <w:p>
            <w:pPr>
              <w:spacing w:after="0"/>
              <w:rPr>
                <w:sz w:val="17"/>
                <w:szCs w:val="17"/>
                <w:color w:val="auto"/>
              </w:rPr>
            </w:pPr>
          </w:p>
        </w:tc>
        <w:tc>
          <w:tcPr>
            <w:tcW w:w="9560" w:type="dxa"/>
            <w:vAlign w:val="bottom"/>
            <w:gridSpan w:val="2"/>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Record Markets revenue of $29.5B, up 41%; record revenues in Fixed Income of $20.9B and Equity $8.6B, up 45% and 33%</w:t>
            </w:r>
          </w:p>
        </w:tc>
      </w:tr>
      <w:tr>
        <w:trPr>
          <w:trHeight w:val="195"/>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40" w:type="dxa"/>
            <w:vAlign w:val="bottom"/>
          </w:tcPr>
          <w:p>
            <w:pPr>
              <w:ind w:left="80"/>
              <w:spacing w:after="0"/>
              <w:rPr>
                <w:sz w:val="20"/>
                <w:szCs w:val="20"/>
                <w:color w:val="auto"/>
              </w:rPr>
            </w:pPr>
            <w:r>
              <w:rPr>
                <w:rFonts w:ascii="Arial" w:cs="Arial" w:eastAsia="Arial" w:hAnsi="Arial"/>
                <w:sz w:val="16"/>
                <w:szCs w:val="16"/>
                <w:color w:val="auto"/>
              </w:rPr>
              <w:t>respectively</w:t>
            </w:r>
          </w:p>
        </w:tc>
      </w:tr>
      <w:tr>
        <w:trPr>
          <w:trHeight w:val="216"/>
        </w:trPr>
        <w:tc>
          <w:tcPr>
            <w:tcW w:w="920" w:type="dxa"/>
            <w:vAlign w:val="bottom"/>
          </w:tcPr>
          <w:p>
            <w:pPr>
              <w:spacing w:after="0"/>
              <w:rPr>
                <w:sz w:val="18"/>
                <w:szCs w:val="18"/>
                <w:color w:val="auto"/>
              </w:rPr>
            </w:pPr>
          </w:p>
        </w:tc>
        <w:tc>
          <w:tcPr>
            <w:tcW w:w="9560" w:type="dxa"/>
            <w:vAlign w:val="bottom"/>
            <w:gridSpan w:val="2"/>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Added $2.4B of credit reserves</w:t>
            </w:r>
          </w:p>
        </w:tc>
      </w:tr>
      <w:tr>
        <w:trPr>
          <w:trHeight w:val="203"/>
        </w:trPr>
        <w:tc>
          <w:tcPr>
            <w:tcW w:w="920" w:type="dxa"/>
            <w:vAlign w:val="bottom"/>
          </w:tcPr>
          <w:p>
            <w:pPr>
              <w:spacing w:after="0"/>
              <w:rPr>
                <w:sz w:val="17"/>
                <w:szCs w:val="17"/>
                <w:color w:val="auto"/>
              </w:rPr>
            </w:pPr>
          </w:p>
        </w:tc>
        <w:tc>
          <w:tcPr>
            <w:tcW w:w="9560" w:type="dxa"/>
            <w:vAlign w:val="bottom"/>
            <w:gridSpan w:val="2"/>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Expanded share of industry wallets in IB fees and Markets</w:t>
            </w:r>
          </w:p>
        </w:tc>
      </w:tr>
      <w:tr>
        <w:trPr>
          <w:trHeight w:val="208"/>
        </w:trPr>
        <w:tc>
          <w:tcPr>
            <w:tcW w:w="9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074A75"/>
              </w:rPr>
              <w:t>•</w:t>
            </w:r>
          </w:p>
        </w:tc>
        <w:tc>
          <w:tcPr>
            <w:tcW w:w="9340" w:type="dxa"/>
            <w:vAlign w:val="bottom"/>
          </w:tcPr>
          <w:p>
            <w:pPr>
              <w:ind w:left="80"/>
              <w:spacing w:after="0" w:line="208" w:lineRule="exact"/>
              <w:rPr>
                <w:sz w:val="20"/>
                <w:szCs w:val="20"/>
                <w:color w:val="auto"/>
              </w:rPr>
            </w:pPr>
            <w:r>
              <w:rPr>
                <w:rFonts w:ascii="Arial" w:cs="Arial" w:eastAsia="Arial" w:hAnsi="Arial"/>
                <w:sz w:val="16"/>
                <w:szCs w:val="16"/>
                <w:color w:val="auto"/>
              </w:rPr>
              <w:t>Ranked #1 in global IB fees for the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consecutive year with wallet share of 9.2%</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(highest since 2009)</w:t>
            </w:r>
          </w:p>
        </w:tc>
      </w:tr>
      <w:tr>
        <w:trPr>
          <w:trHeight w:val="219"/>
        </w:trPr>
        <w:tc>
          <w:tcPr>
            <w:tcW w:w="920" w:type="dxa"/>
            <w:vAlign w:val="bottom"/>
          </w:tcPr>
          <w:p>
            <w:pPr>
              <w:spacing w:after="0"/>
              <w:rPr>
                <w:sz w:val="19"/>
                <w:szCs w:val="19"/>
                <w:color w:val="auto"/>
              </w:rPr>
            </w:pPr>
          </w:p>
        </w:tc>
        <w:tc>
          <w:tcPr>
            <w:tcW w:w="9560" w:type="dxa"/>
            <w:vAlign w:val="bottom"/>
            <w:gridSpan w:val="2"/>
          </w:tcPr>
          <w:p>
            <w:pPr>
              <w:ind w:left="100"/>
              <w:spacing w:after="0" w:line="219" w:lineRule="exact"/>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Ranked #1 in Total Markets with 12.9%</w:t>
            </w:r>
            <w:r>
              <w:rPr>
                <w:rFonts w:ascii="Arial" w:cs="Arial" w:eastAsia="Arial" w:hAnsi="Arial"/>
                <w:sz w:val="21"/>
                <w:szCs w:val="21"/>
                <w:color w:val="000000"/>
                <w:vertAlign w:val="superscript"/>
              </w:rPr>
              <w:t>4</w:t>
            </w:r>
            <w:r>
              <w:rPr>
                <w:rFonts w:ascii="Arial" w:cs="Arial" w:eastAsia="Arial" w:hAnsi="Arial"/>
                <w:sz w:val="16"/>
                <w:szCs w:val="16"/>
                <w:color w:val="074A75"/>
              </w:rPr>
              <w:t xml:space="preserve"> </w:t>
            </w:r>
            <w:r>
              <w:rPr>
                <w:rFonts w:ascii="Arial" w:cs="Arial" w:eastAsia="Arial" w:hAnsi="Arial"/>
                <w:sz w:val="16"/>
                <w:szCs w:val="16"/>
                <w:color w:val="000000"/>
              </w:rPr>
              <w:t>wallet share (#1 in Fixed Income; Co-#1 in Equities)</w:t>
            </w:r>
          </w:p>
        </w:tc>
      </w:tr>
      <w:tr>
        <w:trPr>
          <w:trHeight w:val="195"/>
        </w:trPr>
        <w:tc>
          <w:tcPr>
            <w:tcW w:w="920" w:type="dxa"/>
            <w:vAlign w:val="bottom"/>
          </w:tcPr>
          <w:p>
            <w:pPr>
              <w:spacing w:after="0"/>
              <w:rPr>
                <w:sz w:val="16"/>
                <w:szCs w:val="16"/>
                <w:color w:val="auto"/>
              </w:rPr>
            </w:pPr>
          </w:p>
        </w:tc>
        <w:tc>
          <w:tcPr>
            <w:tcW w:w="9560" w:type="dxa"/>
            <w:vAlign w:val="bottom"/>
            <w:gridSpan w:val="2"/>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Closed gap in Global Equities to be co-ranked #1</w:t>
            </w:r>
          </w:p>
        </w:tc>
      </w:tr>
    </w:tbl>
    <w:p>
      <w:pPr>
        <w:spacing w:after="0" w:line="8" w:lineRule="exact"/>
        <w:rPr>
          <w:sz w:val="20"/>
          <w:szCs w:val="20"/>
          <w:color w:val="auto"/>
        </w:rPr>
      </w:pPr>
    </w:p>
    <w:p>
      <w:pPr>
        <w:jc w:val="both"/>
        <w:ind w:left="1800" w:right="120" w:hanging="193"/>
        <w:spacing w:after="0" w:line="253" w:lineRule="auto"/>
        <w:tabs>
          <w:tab w:leader="none" w:pos="1780" w:val="left"/>
        </w:tabs>
        <w:rPr>
          <w:sz w:val="20"/>
          <w:szCs w:val="20"/>
          <w:color w:val="auto"/>
        </w:rPr>
      </w:pPr>
      <w:r>
        <w:rPr>
          <w:rFonts w:ascii="Arial" w:cs="Arial" w:eastAsia="Arial" w:hAnsi="Arial"/>
          <w:sz w:val="16"/>
          <w:szCs w:val="16"/>
          <w:color w:val="074A75"/>
        </w:rPr>
        <w:t>•</w:t>
      </w:r>
      <w:r>
        <w:rPr>
          <w:rFonts w:ascii="Arial" w:cs="Arial" w:eastAsia="Arial" w:hAnsi="Arial"/>
          <w:sz w:val="16"/>
          <w:szCs w:val="16"/>
          <w:color w:val="auto"/>
        </w:rPr>
        <w:tab/>
        <w:t>As Co-President &amp; Co-COO, continued to jointly lead the oversight of Firmwide support functions to drive execution and delivery of functional transformations,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661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8661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951230" cy="9861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95123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95" w:hanging="195"/>
        <w:spacing w:after="0"/>
        <w:tabs>
          <w:tab w:leader="none" w:pos="195" w:val="left"/>
        </w:tabs>
        <w:numPr>
          <w:ilvl w:val="0"/>
          <w:numId w:val="183"/>
        </w:numPr>
        <w:rPr>
          <w:rFonts w:ascii="Arial" w:cs="Arial" w:eastAsia="Arial" w:hAnsi="Arial"/>
          <w:sz w:val="16"/>
          <w:szCs w:val="16"/>
          <w:color w:val="074A75"/>
        </w:rPr>
      </w:pPr>
      <w:r>
        <w:rPr>
          <w:rFonts w:ascii="Arial" w:cs="Arial" w:eastAsia="Arial" w:hAnsi="Arial"/>
          <w:sz w:val="16"/>
          <w:szCs w:val="16"/>
          <w:color w:val="auto"/>
        </w:rPr>
        <w:t>Oversaw the Brexit strategy, which continues to be executed post the U.K. departure from the European Union</w:t>
      </w:r>
    </w:p>
    <w:p>
      <w:pPr>
        <w:spacing w:after="0" w:line="18" w:lineRule="exact"/>
        <w:rPr>
          <w:rFonts w:ascii="Arial" w:cs="Arial" w:eastAsia="Arial" w:hAnsi="Arial"/>
          <w:sz w:val="16"/>
          <w:szCs w:val="16"/>
          <w:color w:val="074A75"/>
        </w:rPr>
      </w:pPr>
    </w:p>
    <w:p>
      <w:pPr>
        <w:ind w:left="195" w:right="120" w:hanging="195"/>
        <w:spacing w:after="0" w:line="255" w:lineRule="auto"/>
        <w:tabs>
          <w:tab w:leader="none" w:pos="192" w:val="left"/>
        </w:tabs>
        <w:numPr>
          <w:ilvl w:val="0"/>
          <w:numId w:val="183"/>
        </w:numPr>
        <w:rPr>
          <w:rFonts w:ascii="Arial" w:cs="Arial" w:eastAsia="Arial" w:hAnsi="Arial"/>
          <w:sz w:val="16"/>
          <w:szCs w:val="16"/>
          <w:color w:val="074A75"/>
        </w:rPr>
      </w:pPr>
      <w:r>
        <w:rPr>
          <w:rFonts w:ascii="Arial" w:cs="Arial" w:eastAsia="Arial" w:hAnsi="Arial"/>
          <w:sz w:val="16"/>
          <w:szCs w:val="16"/>
          <w:color w:val="auto"/>
        </w:rPr>
        <w:t>Continued to maintain strong risk discipline across all business activities with a focus on addressing issues and enhancing controls in key areas</w:t>
      </w:r>
    </w:p>
    <w:p>
      <w:pPr>
        <w:ind w:left="195" w:right="40" w:hanging="195"/>
        <w:spacing w:after="0" w:line="253" w:lineRule="auto"/>
        <w:tabs>
          <w:tab w:leader="none" w:pos="192" w:val="left"/>
        </w:tabs>
        <w:numPr>
          <w:ilvl w:val="0"/>
          <w:numId w:val="183"/>
        </w:numPr>
        <w:rPr>
          <w:rFonts w:ascii="Arial" w:cs="Arial" w:eastAsia="Arial" w:hAnsi="Arial"/>
          <w:sz w:val="16"/>
          <w:szCs w:val="16"/>
          <w:color w:val="074A75"/>
        </w:rPr>
      </w:pPr>
      <w:r>
        <w:rPr>
          <w:rFonts w:ascii="Arial" w:cs="Arial" w:eastAsia="Arial" w:hAnsi="Arial"/>
          <w:sz w:val="16"/>
          <w:szCs w:val="16"/>
          <w:color w:val="auto"/>
        </w:rPr>
        <w:t>Continued to make significant progress in addressing regulatory and enforcement matters affecting the business, including addressing obligations under a deferred prosecution agreement with the Department of Justice related to historical trading practices by former employees in the precious metals and U.S. treasuries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49530</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1380" w:space="225"/>
            <w:col w:w="9655"/>
          </w:cols>
          <w:pgMar w:left="320" w:top="171" w:right="319" w:bottom="1440" w:gutter="0" w:footer="0" w:header="0"/>
          <w:type w:val="continuous"/>
        </w:sectPr>
      </w:pPr>
    </w:p>
    <w:p>
      <w:pPr>
        <w:jc w:val="right"/>
        <w:ind w:left="360"/>
        <w:spacing w:after="0" w:line="291"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195" w:hanging="195"/>
        <w:spacing w:after="0"/>
        <w:tabs>
          <w:tab w:leader="none" w:pos="195"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Expanded client feedback and relationship review programs globally</w:t>
      </w:r>
    </w:p>
    <w:p>
      <w:pPr>
        <w:spacing w:after="0" w:line="18" w:lineRule="exact"/>
        <w:rPr>
          <w:rFonts w:ascii="Arial" w:cs="Arial" w:eastAsia="Arial" w:hAnsi="Arial"/>
          <w:sz w:val="16"/>
          <w:szCs w:val="16"/>
          <w:color w:val="074A75"/>
        </w:rPr>
      </w:pPr>
    </w:p>
    <w:p>
      <w:pPr>
        <w:ind w:left="195" w:right="620" w:hanging="195"/>
        <w:spacing w:after="0" w:line="255" w:lineRule="auto"/>
        <w:tabs>
          <w:tab w:leader="none" w:pos="192"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Continued executing on a multi-year technology transformation program supporting improved business delivery and internal efficiencies</w:t>
      </w:r>
    </w:p>
    <w:p>
      <w:pPr>
        <w:ind w:left="195" w:hanging="195"/>
        <w:spacing w:after="0"/>
        <w:tabs>
          <w:tab w:leader="none" w:pos="195"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Continued to build out advanced payment products</w:t>
      </w:r>
    </w:p>
    <w:p>
      <w:pPr>
        <w:spacing w:after="0" w:line="32" w:lineRule="exact"/>
        <w:rPr>
          <w:rFonts w:ascii="Arial" w:cs="Arial" w:eastAsia="Arial" w:hAnsi="Arial"/>
          <w:sz w:val="16"/>
          <w:szCs w:val="16"/>
          <w:color w:val="074A75"/>
        </w:rPr>
      </w:pPr>
    </w:p>
    <w:p>
      <w:pPr>
        <w:ind w:left="195" w:hanging="195"/>
        <w:spacing w:after="0"/>
        <w:tabs>
          <w:tab w:leader="none" w:pos="195"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Launched the Development Finance Institution aimed at financing development activities in Emerging Markets</w:t>
      </w:r>
    </w:p>
    <w:p>
      <w:pPr>
        <w:spacing w:after="0" w:line="18" w:lineRule="exact"/>
        <w:rPr>
          <w:rFonts w:ascii="Arial" w:cs="Arial" w:eastAsia="Arial" w:hAnsi="Arial"/>
          <w:sz w:val="16"/>
          <w:szCs w:val="16"/>
          <w:color w:val="074A75"/>
        </w:rPr>
      </w:pPr>
    </w:p>
    <w:p>
      <w:pPr>
        <w:ind w:left="195" w:hanging="195"/>
        <w:spacing w:after="0"/>
        <w:tabs>
          <w:tab w:leader="none" w:pos="195"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Continued to progress business in China Securities, including research, underwriting, trading and brokerage businesses</w:t>
      </w:r>
    </w:p>
    <w:p>
      <w:pPr>
        <w:spacing w:after="0" w:line="18" w:lineRule="exact"/>
        <w:rPr>
          <w:rFonts w:ascii="Arial" w:cs="Arial" w:eastAsia="Arial" w:hAnsi="Arial"/>
          <w:sz w:val="16"/>
          <w:szCs w:val="16"/>
          <w:color w:val="074A75"/>
        </w:rPr>
      </w:pPr>
    </w:p>
    <w:p>
      <w:pPr>
        <w:ind w:left="195" w:hanging="195"/>
        <w:spacing w:after="0"/>
        <w:tabs>
          <w:tab w:leader="none" w:pos="195" w:val="left"/>
        </w:tabs>
        <w:numPr>
          <w:ilvl w:val="0"/>
          <w:numId w:val="184"/>
        </w:numPr>
        <w:rPr>
          <w:rFonts w:ascii="Arial" w:cs="Arial" w:eastAsia="Arial" w:hAnsi="Arial"/>
          <w:sz w:val="16"/>
          <w:szCs w:val="16"/>
          <w:color w:val="074A75"/>
        </w:rPr>
      </w:pPr>
      <w:r>
        <w:rPr>
          <w:rFonts w:ascii="Arial" w:cs="Arial" w:eastAsia="Arial" w:hAnsi="Arial"/>
          <w:sz w:val="16"/>
          <w:szCs w:val="16"/>
          <w:color w:val="auto"/>
        </w:rPr>
        <w:t>Supported clients through the COVID-19 pandemic by managing higher trading, payment and deposit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62230</wp:posOffset>
            </wp:positionV>
            <wp:extent cx="71323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1380" w:space="225"/>
            <w:col w:w="9655"/>
          </w:cols>
          <w:pgMar w:left="32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1500" w:type="dxa"/>
            <w:vAlign w:val="bottom"/>
            <w:shd w:val="clear" w:color="auto" w:fill="6D6E71"/>
          </w:tcPr>
          <w:p>
            <w:pPr>
              <w:jc w:val="right"/>
              <w:ind w:right="30"/>
              <w:spacing w:after="0"/>
              <w:rPr>
                <w:sz w:val="20"/>
                <w:szCs w:val="20"/>
                <w:color w:val="auto"/>
              </w:rPr>
            </w:pPr>
            <w:r>
              <w:rPr>
                <w:rFonts w:ascii="Arial" w:cs="Arial" w:eastAsia="Arial" w:hAnsi="Arial"/>
                <w:sz w:val="18"/>
                <w:szCs w:val="18"/>
                <w:b w:val="1"/>
                <w:bCs w:val="1"/>
                <w:color w:val="FFFFFF"/>
              </w:rPr>
              <w:t>Teamwork &amp;</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At the request of the Board, led the Firm with Mr. Smith during Mr. Dimon's recuperation from emergency surgery</w:t>
            </w:r>
          </w:p>
        </w:tc>
      </w:tr>
      <w:tr>
        <w:trPr>
          <w:trHeight w:val="227"/>
        </w:trPr>
        <w:tc>
          <w:tcPr>
            <w:tcW w:w="1500" w:type="dxa"/>
            <w:vAlign w:val="bottom"/>
            <w:shd w:val="clear" w:color="auto" w:fill="6D6E71"/>
          </w:tcPr>
          <w:p>
            <w:pPr>
              <w:jc w:val="right"/>
              <w:ind w:right="30"/>
              <w:spacing w:after="0"/>
              <w:rPr>
                <w:sz w:val="20"/>
                <w:szCs w:val="20"/>
                <w:color w:val="auto"/>
              </w:rPr>
            </w:pPr>
            <w:r>
              <w:rPr>
                <w:rFonts w:ascii="Arial" w:cs="Arial" w:eastAsia="Arial" w:hAnsi="Arial"/>
                <w:sz w:val="18"/>
                <w:szCs w:val="18"/>
                <w:b w:val="1"/>
                <w:bCs w:val="1"/>
                <w:color w:val="FFFFFF"/>
              </w:rPr>
              <w:t>Leadership</w:t>
            </w: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Continued to develop talent at the most senior level; several members of the CIB Management Team were asked to join the Firm's</w:t>
            </w:r>
          </w:p>
        </w:tc>
      </w:tr>
      <w:tr>
        <w:trPr>
          <w:trHeight w:val="195"/>
        </w:trPr>
        <w:tc>
          <w:tcPr>
            <w:tcW w:w="1500" w:type="dxa"/>
            <w:vAlign w:val="bottom"/>
            <w:shd w:val="clear" w:color="auto" w:fill="6D6E71"/>
          </w:tcPr>
          <w:p>
            <w:pPr>
              <w:spacing w:after="0"/>
              <w:rPr>
                <w:sz w:val="16"/>
                <w:szCs w:val="16"/>
                <w:color w:val="auto"/>
              </w:rPr>
            </w:pPr>
          </w:p>
        </w:tc>
        <w:tc>
          <w:tcPr>
            <w:tcW w:w="9740" w:type="dxa"/>
            <w:vAlign w:val="bottom"/>
          </w:tcPr>
          <w:p>
            <w:pPr>
              <w:ind w:left="300"/>
              <w:spacing w:after="0"/>
              <w:rPr>
                <w:sz w:val="20"/>
                <w:szCs w:val="20"/>
                <w:color w:val="auto"/>
              </w:rPr>
            </w:pPr>
            <w:r>
              <w:rPr>
                <w:rFonts w:ascii="Arial" w:cs="Arial" w:eastAsia="Arial" w:hAnsi="Arial"/>
                <w:sz w:val="16"/>
                <w:szCs w:val="16"/>
                <w:color w:val="auto"/>
              </w:rPr>
              <w:t>Operating Committee</w:t>
            </w:r>
          </w:p>
        </w:tc>
      </w:tr>
      <w:tr>
        <w:trPr>
          <w:trHeight w:val="203"/>
        </w:trPr>
        <w:tc>
          <w:tcPr>
            <w:tcW w:w="1500" w:type="dxa"/>
            <w:vAlign w:val="bottom"/>
            <w:shd w:val="clear" w:color="auto" w:fill="6D6E71"/>
          </w:tcPr>
          <w:p>
            <w:pPr>
              <w:spacing w:after="0"/>
              <w:rPr>
                <w:sz w:val="17"/>
                <w:szCs w:val="17"/>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Continued to advance hiring through the ReEntry Program, and continued focus on diverse representation and talent development</w:t>
            </w:r>
          </w:p>
        </w:tc>
      </w:tr>
      <w:tr>
        <w:trPr>
          <w:trHeight w:val="216"/>
        </w:trPr>
        <w:tc>
          <w:tcPr>
            <w:tcW w:w="1500" w:type="dxa"/>
            <w:vAlign w:val="bottom"/>
            <w:shd w:val="clear" w:color="auto" w:fill="6D6E71"/>
          </w:tcPr>
          <w:p>
            <w:pPr>
              <w:spacing w:after="0"/>
              <w:rPr>
                <w:sz w:val="18"/>
                <w:szCs w:val="18"/>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Continued as the OC sponsor of the Adelante BRG and was a speaker at their summer and Hispanic Heritage month virtual events</w:t>
            </w:r>
          </w:p>
        </w:tc>
      </w:tr>
      <w:tr>
        <w:trPr>
          <w:trHeight w:val="203"/>
        </w:trPr>
        <w:tc>
          <w:tcPr>
            <w:tcW w:w="1500" w:type="dxa"/>
            <w:vAlign w:val="bottom"/>
            <w:shd w:val="clear" w:color="auto" w:fill="6D6E71"/>
          </w:tcPr>
          <w:p>
            <w:pPr>
              <w:spacing w:after="0"/>
              <w:rPr>
                <w:sz w:val="17"/>
                <w:szCs w:val="17"/>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Jointly launched and chaired the Business Head Forums which included leaders across the Firm's major businesses</w:t>
            </w:r>
          </w:p>
        </w:tc>
      </w:tr>
      <w:tr>
        <w:trPr>
          <w:trHeight w:val="216"/>
        </w:trPr>
        <w:tc>
          <w:tcPr>
            <w:tcW w:w="1500" w:type="dxa"/>
            <w:vAlign w:val="bottom"/>
            <w:tcBorders>
              <w:bottom w:val="single" w:sz="8" w:color="6D6E71"/>
            </w:tcBorders>
            <w:shd w:val="clear" w:color="auto" w:fill="6D6E71"/>
          </w:tcPr>
          <w:p>
            <w:pPr>
              <w:spacing w:after="0"/>
              <w:rPr>
                <w:sz w:val="18"/>
                <w:szCs w:val="18"/>
                <w:color w:val="auto"/>
              </w:rPr>
            </w:pPr>
          </w:p>
        </w:tc>
        <w:tc>
          <w:tcPr>
            <w:tcW w:w="9740" w:type="dxa"/>
            <w:vAlign w:val="bottom"/>
          </w:tcPr>
          <w:p>
            <w:pPr>
              <w:ind w:left="100"/>
              <w:spacing w:after="0"/>
              <w:rPr>
                <w:sz w:val="20"/>
                <w:szCs w:val="20"/>
                <w:color w:val="auto"/>
              </w:rPr>
            </w:pPr>
            <w:r>
              <w:rPr>
                <w:rFonts w:ascii="Arial" w:cs="Arial" w:eastAsia="Arial" w:hAnsi="Arial"/>
                <w:sz w:val="16"/>
                <w:szCs w:val="16"/>
                <w:color w:val="074A75"/>
              </w:rPr>
              <w:t xml:space="preserve">•  </w:t>
            </w:r>
            <w:r>
              <w:rPr>
                <w:rFonts w:ascii="Arial" w:cs="Arial" w:eastAsia="Arial" w:hAnsi="Arial"/>
                <w:sz w:val="16"/>
                <w:szCs w:val="16"/>
                <w:color w:val="000000"/>
              </w:rPr>
              <w:t>Mobilized the workforce to work remotely where feasible to ensure employee safety through the COVID-19 pandemic</w:t>
            </w:r>
          </w:p>
        </w:tc>
      </w:tr>
      <w:tr>
        <w:trPr>
          <w:trHeight w:val="54"/>
        </w:trPr>
        <w:tc>
          <w:tcPr>
            <w:tcW w:w="1500" w:type="dxa"/>
            <w:vAlign w:val="bottom"/>
            <w:tcBorders>
              <w:bottom w:val="single" w:sz="8" w:color="494949"/>
            </w:tcBorders>
          </w:tcPr>
          <w:p>
            <w:pPr>
              <w:spacing w:after="0"/>
              <w:rPr>
                <w:sz w:val="4"/>
                <w:szCs w:val="4"/>
                <w:color w:val="auto"/>
              </w:rPr>
            </w:pPr>
          </w:p>
        </w:tc>
        <w:tc>
          <w:tcPr>
            <w:tcW w:w="9740" w:type="dxa"/>
            <w:vAlign w:val="bottom"/>
            <w:tcBorders>
              <w:bottom w:val="single" w:sz="8" w:color="494949"/>
            </w:tcBorders>
          </w:tcPr>
          <w:p>
            <w:pPr>
              <w:spacing w:after="0"/>
              <w:rPr>
                <w:sz w:val="4"/>
                <w:szCs w:val="4"/>
                <w:color w:val="auto"/>
              </w:rPr>
            </w:pPr>
          </w:p>
        </w:tc>
      </w:tr>
    </w:tbl>
    <w:p>
      <w:pPr>
        <w:spacing w:after="0" w:line="69" w:lineRule="exact"/>
        <w:rPr>
          <w:sz w:val="20"/>
          <w:szCs w:val="20"/>
          <w:color w:val="auto"/>
        </w:rPr>
      </w:pPr>
    </w:p>
    <w:p>
      <w:pPr>
        <w:ind w:left="200" w:hanging="192"/>
        <w:spacing w:after="0"/>
        <w:tabs>
          <w:tab w:leader="none" w:pos="200" w:val="left"/>
        </w:tabs>
        <w:numPr>
          <w:ilvl w:val="0"/>
          <w:numId w:val="185"/>
        </w:numPr>
        <w:rPr>
          <w:rFonts w:ascii="Arial" w:cs="Arial" w:eastAsia="Arial" w:hAnsi="Arial"/>
          <w:sz w:val="15"/>
          <w:szCs w:val="15"/>
          <w:color w:val="auto"/>
          <w:vertAlign w:val="superscript"/>
        </w:rPr>
      </w:pPr>
      <w:r>
        <w:rPr>
          <w:rFonts w:ascii="Arial" w:cs="Arial" w:eastAsia="Arial" w:hAnsi="Arial"/>
          <w:sz w:val="12"/>
          <w:szCs w:val="12"/>
          <w:color w:val="auto"/>
        </w:rPr>
        <w:t>Refer to Note 2 on page 65.</w:t>
      </w:r>
    </w:p>
    <w:p>
      <w:pPr>
        <w:ind w:left="200" w:hanging="192"/>
        <w:spacing w:after="0" w:line="187" w:lineRule="auto"/>
        <w:tabs>
          <w:tab w:leader="none" w:pos="200" w:val="left"/>
        </w:tabs>
        <w:numPr>
          <w:ilvl w:val="0"/>
          <w:numId w:val="186"/>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114 for a definition of managed basis.</w:t>
      </w:r>
    </w:p>
    <w:p>
      <w:pPr>
        <w:ind w:left="200" w:hanging="192"/>
        <w:spacing w:after="0" w:line="188" w:lineRule="auto"/>
        <w:tabs>
          <w:tab w:leader="none" w:pos="200" w:val="left"/>
        </w:tabs>
        <w:numPr>
          <w:ilvl w:val="0"/>
          <w:numId w:val="187"/>
        </w:numPr>
        <w:rPr>
          <w:rFonts w:ascii="Arial" w:cs="Arial" w:eastAsia="Arial" w:hAnsi="Arial"/>
          <w:sz w:val="15"/>
          <w:szCs w:val="15"/>
          <w:color w:val="auto"/>
          <w:vertAlign w:val="superscript"/>
        </w:rPr>
      </w:pPr>
      <w:r>
        <w:rPr>
          <w:rFonts w:ascii="Arial" w:cs="Arial" w:eastAsia="Arial" w:hAnsi="Arial"/>
          <w:sz w:val="12"/>
          <w:szCs w:val="12"/>
          <w:color w:val="auto"/>
        </w:rPr>
        <w:t>Dealogic as of January 4, 2021.</w:t>
      </w:r>
    </w:p>
    <w:p>
      <w:pPr>
        <w:ind w:left="200" w:hanging="192"/>
        <w:spacing w:after="0" w:line="199" w:lineRule="auto"/>
        <w:tabs>
          <w:tab w:leader="none" w:pos="200" w:val="left"/>
        </w:tabs>
        <w:numPr>
          <w:ilvl w:val="0"/>
          <w:numId w:val="188"/>
        </w:numPr>
        <w:rPr>
          <w:rFonts w:ascii="Arial" w:cs="Arial" w:eastAsia="Arial" w:hAnsi="Arial"/>
          <w:sz w:val="15"/>
          <w:szCs w:val="15"/>
          <w:color w:val="auto"/>
          <w:vertAlign w:val="superscript"/>
        </w:rPr>
      </w:pPr>
      <w:r>
        <w:rPr>
          <w:rFonts w:ascii="Arial" w:cs="Arial" w:eastAsia="Arial" w:hAnsi="Arial"/>
          <w:sz w:val="12"/>
          <w:szCs w:val="12"/>
          <w:color w:val="auto"/>
        </w:rPr>
        <w:t>Coalition, 2020 market share analysis is based on preliminary results, reflects JPMorgan Chase’s share of the global industry revenue pool and is based on JPMorgan Chase’s business structure.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68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-213360</wp:posOffset>
            </wp:positionV>
            <wp:extent cx="77470" cy="1460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-213360</wp:posOffset>
            </wp:positionV>
            <wp:extent cx="77470" cy="1460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0890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32320" cy="1089025"/>
                    </a:xfrm>
                    <a:prstGeom prst="rect">
                      <a:avLst/>
                    </a:prstGeom>
                    <a:noFill/>
                  </pic:spPr>
                </pic:pic>
              </a:graphicData>
            </a:graphic>
          </wp:anchor>
        </w:drawing>
      </w:r>
    </w:p>
    <w:p>
      <w:pPr>
        <w:spacing w:after="0" w:line="367" w:lineRule="exact"/>
        <w:rPr>
          <w:sz w:val="20"/>
          <w:szCs w:val="20"/>
          <w:color w:val="auto"/>
        </w:rPr>
      </w:pPr>
    </w:p>
    <w:p>
      <w:pPr>
        <w:ind w:left="160"/>
        <w:spacing w:after="0"/>
        <w:rPr>
          <w:sz w:val="20"/>
          <w:szCs w:val="20"/>
          <w:color w:val="auto"/>
        </w:rPr>
      </w:pPr>
      <w:r>
        <w:rPr>
          <w:rFonts w:ascii="Arial" w:cs="Arial" w:eastAsia="Arial" w:hAnsi="Arial"/>
          <w:sz w:val="29"/>
          <w:szCs w:val="29"/>
          <w:color w:val="074A75"/>
          <w:shd w:val="clear" w:color="auto" w:fill="EEEFEF"/>
        </w:rPr>
        <w:t>Gordon Smith</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074A75"/>
          <w:shd w:val="clear" w:color="auto" w:fill="EEEFEF"/>
        </w:rPr>
        <w:t>CO-PRESIDENT &amp; CO-COO; CEO: CONSUMER &amp; COMMUNITY BANKING</w:t>
      </w:r>
    </w:p>
    <w:p>
      <w:pPr>
        <w:spacing w:after="0" w:line="120" w:lineRule="exact"/>
        <w:rPr>
          <w:sz w:val="20"/>
          <w:szCs w:val="20"/>
          <w:color w:val="auto"/>
        </w:rPr>
      </w:pPr>
    </w:p>
    <w:p>
      <w:pPr>
        <w:jc w:val="both"/>
        <w:ind w:left="160" w:right="4300"/>
        <w:spacing w:after="0" w:line="251" w:lineRule="auto"/>
        <w:rPr>
          <w:sz w:val="20"/>
          <w:szCs w:val="20"/>
          <w:color w:val="auto"/>
        </w:rPr>
      </w:pPr>
      <w:r>
        <w:rPr>
          <w:rFonts w:ascii="Arial" w:cs="Arial" w:eastAsia="Arial" w:hAnsi="Arial"/>
          <w:sz w:val="16"/>
          <w:szCs w:val="16"/>
          <w:color w:val="auto"/>
          <w:shd w:val="clear" w:color="auto" w:fill="EEEFEF"/>
        </w:rPr>
        <w:t>Mr. Smith was appointed Co-President and Co-Chief Operating Officer of the Firm in January 2018, in addition to serving as CEO of CCB since December 2012. In 2017, Mr. Smith and Mr. Pinto assumed responsibility for Global Technology. Mr. Smith previously served as CEO of the Card, Merchant Services and Auto Finance businesses.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074A75"/>
        </w:rPr>
        <w:t>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8688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50" w:lineRule="exact"/>
        <w:rPr>
          <w:sz w:val="20"/>
          <w:szCs w:val="20"/>
          <w:color w:val="auto"/>
        </w:rPr>
      </w:pPr>
    </w:p>
    <w:p>
      <w:pPr>
        <w:jc w:val="right"/>
        <w:ind w:left="580"/>
        <w:spacing w:after="0" w:line="31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1537335</wp:posOffset>
            </wp:positionV>
            <wp:extent cx="951230" cy="101981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95123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left="198" w:hanging="198"/>
        <w:spacing w:after="0"/>
        <w:tabs>
          <w:tab w:leader="none" w:pos="198"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CCB achieved net income of $8.2B on revenue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of $51.3B, with ROE of 15%</w:t>
      </w:r>
    </w:p>
    <w:p>
      <w:pPr>
        <w:ind w:left="198" w:hanging="198"/>
        <w:spacing w:after="0"/>
        <w:tabs>
          <w:tab w:leader="none" w:pos="198"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Average deposits of $851.4B (up 22%); average loans of $448.3B (down 6%)</w:t>
      </w:r>
    </w:p>
    <w:p>
      <w:pPr>
        <w:spacing w:after="0" w:line="45" w:lineRule="exact"/>
        <w:rPr>
          <w:rFonts w:ascii="Arial" w:cs="Arial" w:eastAsia="Arial" w:hAnsi="Arial"/>
          <w:sz w:val="16"/>
          <w:szCs w:val="16"/>
          <w:color w:val="074A75"/>
        </w:rPr>
      </w:pPr>
    </w:p>
    <w:p>
      <w:pPr>
        <w:ind w:left="198" w:hanging="198"/>
        <w:spacing w:after="0"/>
        <w:tabs>
          <w:tab w:leader="none" w:pos="198"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Added $7.8B of credit reserves</w:t>
      </w:r>
    </w:p>
    <w:p>
      <w:pPr>
        <w:spacing w:after="0" w:line="41" w:lineRule="exact"/>
        <w:rPr>
          <w:rFonts w:ascii="Arial" w:cs="Arial" w:eastAsia="Arial" w:hAnsi="Arial"/>
          <w:sz w:val="16"/>
          <w:szCs w:val="16"/>
          <w:color w:val="074A75"/>
        </w:rPr>
      </w:pPr>
    </w:p>
    <w:p>
      <w:pPr>
        <w:ind w:left="198" w:right="240" w:hanging="198"/>
        <w:spacing w:after="0" w:line="221" w:lineRule="auto"/>
        <w:tabs>
          <w:tab w:leader="none" w:pos="194"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Largest active digital and mobile customer base among U.S. banks</w:t>
      </w:r>
      <w:r>
        <w:rPr>
          <w:rFonts w:ascii="Arial" w:cs="Arial" w:eastAsia="Arial" w:hAnsi="Arial"/>
          <w:sz w:val="20"/>
          <w:szCs w:val="20"/>
          <w:color w:val="auto"/>
          <w:vertAlign w:val="superscript"/>
        </w:rPr>
        <w:t>2</w:t>
      </w:r>
      <w:r>
        <w:rPr>
          <w:rFonts w:ascii="Arial" w:cs="Arial" w:eastAsia="Arial" w:hAnsi="Arial"/>
          <w:sz w:val="16"/>
          <w:szCs w:val="16"/>
          <w:color w:val="auto"/>
        </w:rPr>
        <w:t>; active digital and mobile customers</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increased by 5% and 10% from 2019, respectively</w:t>
      </w:r>
    </w:p>
    <w:p>
      <w:pPr>
        <w:spacing w:after="0" w:line="27" w:lineRule="exact"/>
        <w:rPr>
          <w:rFonts w:ascii="Arial" w:cs="Arial" w:eastAsia="Arial" w:hAnsi="Arial"/>
          <w:sz w:val="16"/>
          <w:szCs w:val="16"/>
          <w:color w:val="074A75"/>
        </w:rPr>
      </w:pPr>
    </w:p>
    <w:p>
      <w:pPr>
        <w:ind w:left="198" w:right="180" w:hanging="198"/>
        <w:spacing w:after="0" w:line="253" w:lineRule="auto"/>
        <w:tabs>
          <w:tab w:leader="none" w:pos="194"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Digital mortgage applications represented over 60% of all consumer applications in the fourth quarter of 2020, and the rate of end-to-end digital engagement in Chase MyHome has more than tripled since the first quarter of 2020</w:t>
      </w:r>
    </w:p>
    <w:p>
      <w:pPr>
        <w:spacing w:after="0" w:line="30" w:lineRule="exact"/>
        <w:rPr>
          <w:rFonts w:ascii="Arial" w:cs="Arial" w:eastAsia="Arial" w:hAnsi="Arial"/>
          <w:sz w:val="16"/>
          <w:szCs w:val="16"/>
          <w:color w:val="074A75"/>
        </w:rPr>
      </w:pPr>
    </w:p>
    <w:p>
      <w:pPr>
        <w:ind w:left="198" w:hanging="198"/>
        <w:spacing w:after="0"/>
        <w:tabs>
          <w:tab w:leader="none" w:pos="198"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Home Lending originations of $113.8B, the highest since 2013; record Auto loan and lease originations of $38.4B</w:t>
      </w:r>
    </w:p>
    <w:p>
      <w:pPr>
        <w:spacing w:after="0" w:line="28" w:lineRule="exact"/>
        <w:rPr>
          <w:rFonts w:ascii="Arial" w:cs="Arial" w:eastAsia="Arial" w:hAnsi="Arial"/>
          <w:sz w:val="16"/>
          <w:szCs w:val="16"/>
          <w:color w:val="074A75"/>
        </w:rPr>
      </w:pPr>
    </w:p>
    <w:p>
      <w:pPr>
        <w:ind w:left="198" w:right="340" w:hanging="198"/>
        <w:spacing w:after="0" w:line="229" w:lineRule="auto"/>
        <w:tabs>
          <w:tab w:leader="none" w:pos="194"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#1 in national retail deposit market share at 9.8%</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w:t>
      </w:r>
      <w:r>
        <w:rPr>
          <w:rFonts w:ascii="Arial" w:cs="Arial" w:eastAsia="Arial" w:hAnsi="Arial"/>
          <w:sz w:val="16"/>
          <w:szCs w:val="16"/>
          <w:color w:val="242424"/>
        </w:rPr>
        <w:t>#1 primary bank within Chase footprint</w:t>
      </w:r>
      <w:r>
        <w:rPr>
          <w:rFonts w:ascii="Arial" w:cs="Arial" w:eastAsia="Arial" w:hAnsi="Arial"/>
          <w:sz w:val="20"/>
          <w:szCs w:val="20"/>
          <w:color w:val="242424"/>
          <w:vertAlign w:val="superscript"/>
        </w:rPr>
        <w:t>5</w:t>
      </w:r>
      <w:r>
        <w:rPr>
          <w:rFonts w:ascii="Arial" w:cs="Arial" w:eastAsia="Arial" w:hAnsi="Arial"/>
          <w:sz w:val="16"/>
          <w:szCs w:val="16"/>
          <w:color w:val="242424"/>
        </w:rPr>
        <w:t>; tied for #2 in the J.D. Power 2020 U.S.</w:t>
      </w:r>
      <w:r>
        <w:rPr>
          <w:rFonts w:ascii="Arial" w:cs="Arial" w:eastAsia="Arial" w:hAnsi="Arial"/>
          <w:sz w:val="16"/>
          <w:szCs w:val="16"/>
          <w:color w:val="auto"/>
        </w:rPr>
        <w:t xml:space="preserve"> </w:t>
      </w:r>
      <w:r>
        <w:rPr>
          <w:rFonts w:ascii="Arial" w:cs="Arial" w:eastAsia="Arial" w:hAnsi="Arial"/>
          <w:sz w:val="16"/>
          <w:szCs w:val="16"/>
          <w:color w:val="242424"/>
        </w:rPr>
        <w:t>Primary Mortgage Origination Satisfaction Study</w:t>
      </w:r>
    </w:p>
    <w:p>
      <w:pPr>
        <w:spacing w:after="0" w:line="27" w:lineRule="exact"/>
        <w:rPr>
          <w:rFonts w:ascii="Arial" w:cs="Arial" w:eastAsia="Arial" w:hAnsi="Arial"/>
          <w:sz w:val="16"/>
          <w:szCs w:val="16"/>
          <w:color w:val="074A75"/>
        </w:rPr>
      </w:pPr>
    </w:p>
    <w:p>
      <w:pPr>
        <w:ind w:left="198" w:right="340" w:hanging="198"/>
        <w:spacing w:after="0" w:line="250" w:lineRule="auto"/>
        <w:tabs>
          <w:tab w:leader="none" w:pos="194" w:val="left"/>
        </w:tabs>
        <w:numPr>
          <w:ilvl w:val="0"/>
          <w:numId w:val="189"/>
        </w:numPr>
        <w:rPr>
          <w:rFonts w:ascii="Arial" w:cs="Arial" w:eastAsia="Arial" w:hAnsi="Arial"/>
          <w:sz w:val="16"/>
          <w:szCs w:val="16"/>
          <w:color w:val="074A75"/>
        </w:rPr>
      </w:pPr>
      <w:r>
        <w:rPr>
          <w:rFonts w:ascii="Arial" w:cs="Arial" w:eastAsia="Arial" w:hAnsi="Arial"/>
          <w:sz w:val="16"/>
          <w:szCs w:val="16"/>
          <w:color w:val="auto"/>
        </w:rPr>
        <w:t>As Co-President &amp; Co-COO, continued to jointly lead the oversight of Firmwide support functions to drive execution and delivery of functional transformation, work with business leaders across the Firm on execution of strategic priorities, and provide oversight of critical Firmwide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68580</wp:posOffset>
            </wp:positionV>
            <wp:extent cx="71323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951230" cy="16459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95123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98" w:right="320" w:hanging="198"/>
        <w:spacing w:after="0" w:line="253" w:lineRule="auto"/>
        <w:tabs>
          <w:tab w:leader="none" w:pos="194" w:val="left"/>
        </w:tabs>
        <w:numPr>
          <w:ilvl w:val="0"/>
          <w:numId w:val="190"/>
        </w:numPr>
        <w:rPr>
          <w:rFonts w:ascii="Arial" w:cs="Arial" w:eastAsia="Arial" w:hAnsi="Arial"/>
          <w:sz w:val="16"/>
          <w:szCs w:val="16"/>
          <w:color w:val="074A75"/>
        </w:rPr>
      </w:pPr>
      <w:r>
        <w:rPr>
          <w:rFonts w:ascii="Arial" w:cs="Arial" w:eastAsia="Arial" w:hAnsi="Arial"/>
          <w:sz w:val="16"/>
          <w:szCs w:val="16"/>
          <w:color w:val="auto"/>
        </w:rPr>
        <w:t>Continued proactive cybersecurity and controls monitoring through business innovation, new technologies (e.g., machine learning), and addressing elevated and emerging risks</w:t>
      </w:r>
    </w:p>
    <w:p>
      <w:pPr>
        <w:spacing w:after="0" w:line="17" w:lineRule="exact"/>
        <w:rPr>
          <w:rFonts w:ascii="Arial" w:cs="Arial" w:eastAsia="Arial" w:hAnsi="Arial"/>
          <w:sz w:val="16"/>
          <w:szCs w:val="16"/>
          <w:color w:val="074A75"/>
        </w:rPr>
      </w:pPr>
    </w:p>
    <w:p>
      <w:pPr>
        <w:ind w:left="198" w:right="460" w:hanging="198"/>
        <w:spacing w:after="0" w:line="253" w:lineRule="auto"/>
        <w:tabs>
          <w:tab w:leader="none" w:pos="194" w:val="left"/>
        </w:tabs>
        <w:numPr>
          <w:ilvl w:val="0"/>
          <w:numId w:val="190"/>
        </w:numPr>
        <w:rPr>
          <w:rFonts w:ascii="Arial" w:cs="Arial" w:eastAsia="Arial" w:hAnsi="Arial"/>
          <w:sz w:val="16"/>
          <w:szCs w:val="16"/>
          <w:color w:val="074A75"/>
        </w:rPr>
      </w:pPr>
      <w:r>
        <w:rPr>
          <w:rFonts w:ascii="Arial" w:cs="Arial" w:eastAsia="Arial" w:hAnsi="Arial"/>
          <w:sz w:val="16"/>
          <w:szCs w:val="16"/>
          <w:color w:val="auto"/>
        </w:rPr>
        <w:t>Continued to make significant progress in addressing regulatory matters affecting the business, as well as addressing issues and enhancing controls</w:t>
      </w:r>
    </w:p>
    <w:p>
      <w:pPr>
        <w:spacing w:after="0" w:line="30" w:lineRule="exact"/>
        <w:rPr>
          <w:rFonts w:ascii="Arial" w:cs="Arial" w:eastAsia="Arial" w:hAnsi="Arial"/>
          <w:sz w:val="16"/>
          <w:szCs w:val="16"/>
          <w:color w:val="074A75"/>
        </w:rPr>
      </w:pPr>
    </w:p>
    <w:p>
      <w:pPr>
        <w:ind w:left="198" w:right="160" w:hanging="198"/>
        <w:spacing w:after="0" w:line="253" w:lineRule="auto"/>
        <w:tabs>
          <w:tab w:leader="none" w:pos="194" w:val="left"/>
        </w:tabs>
        <w:numPr>
          <w:ilvl w:val="0"/>
          <w:numId w:val="190"/>
        </w:numPr>
        <w:rPr>
          <w:rFonts w:ascii="Arial" w:cs="Arial" w:eastAsia="Arial" w:hAnsi="Arial"/>
          <w:sz w:val="16"/>
          <w:szCs w:val="16"/>
          <w:color w:val="074A75"/>
        </w:rPr>
      </w:pPr>
      <w:r>
        <w:rPr>
          <w:rFonts w:ascii="Arial" w:cs="Arial" w:eastAsia="Arial" w:hAnsi="Arial"/>
          <w:sz w:val="16"/>
          <w:szCs w:val="16"/>
          <w:color w:val="auto"/>
        </w:rPr>
        <w:t>Developed automated solutions to enhance efficiency and effectiveness to identify issues, and support enhanced operational risk and control review monitoring</w:t>
      </w:r>
    </w:p>
    <w:p>
      <w:pPr>
        <w:spacing w:after="0" w:line="30" w:lineRule="exact"/>
        <w:rPr>
          <w:rFonts w:ascii="Arial" w:cs="Arial" w:eastAsia="Arial" w:hAnsi="Arial"/>
          <w:sz w:val="16"/>
          <w:szCs w:val="16"/>
          <w:color w:val="074A75"/>
        </w:rPr>
      </w:pPr>
    </w:p>
    <w:p>
      <w:pPr>
        <w:ind w:left="198" w:hanging="198"/>
        <w:spacing w:after="0"/>
        <w:tabs>
          <w:tab w:leader="none" w:pos="198" w:val="left"/>
        </w:tabs>
        <w:numPr>
          <w:ilvl w:val="0"/>
          <w:numId w:val="190"/>
        </w:numPr>
        <w:rPr>
          <w:rFonts w:ascii="Arial" w:cs="Arial" w:eastAsia="Arial" w:hAnsi="Arial"/>
          <w:sz w:val="16"/>
          <w:szCs w:val="16"/>
          <w:color w:val="074A75"/>
        </w:rPr>
      </w:pPr>
      <w:r>
        <w:rPr>
          <w:rFonts w:ascii="Arial" w:cs="Arial" w:eastAsia="Arial" w:hAnsi="Arial"/>
          <w:sz w:val="16"/>
          <w:szCs w:val="16"/>
          <w:color w:val="auto"/>
        </w:rPr>
        <w:t>Established framework to capture inventory, report and govern business changes resulting from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68580</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20" w:lineRule="exact"/>
        <w:rPr>
          <w:sz w:val="20"/>
          <w:szCs w:val="20"/>
          <w:color w:val="auto"/>
        </w:rPr>
      </w:pPr>
    </w:p>
    <w:p>
      <w:pPr>
        <w:jc w:val="right"/>
        <w:ind w:left="360"/>
        <w:spacing w:after="0" w:line="291"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1226185</wp:posOffset>
            </wp:positionV>
            <wp:extent cx="951230" cy="925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951230" cy="92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98" w:right="620" w:hanging="198"/>
        <w:spacing w:after="0" w:line="253" w:lineRule="auto"/>
        <w:tabs>
          <w:tab w:leader="none" w:pos="194" w:val="left"/>
        </w:tabs>
        <w:numPr>
          <w:ilvl w:val="0"/>
          <w:numId w:val="191"/>
        </w:numPr>
        <w:rPr>
          <w:rFonts w:ascii="Arial" w:cs="Arial" w:eastAsia="Arial" w:hAnsi="Arial"/>
          <w:sz w:val="16"/>
          <w:szCs w:val="16"/>
          <w:color w:val="074A75"/>
        </w:rPr>
      </w:pPr>
      <w:r>
        <w:rPr>
          <w:rFonts w:ascii="Arial" w:cs="Arial" w:eastAsia="Arial" w:hAnsi="Arial"/>
          <w:sz w:val="16"/>
          <w:szCs w:val="16"/>
          <w:color w:val="auto"/>
        </w:rPr>
        <w:t>Opened 158 branches, including 87 branches in new markets in 2020 for a total of approximately 170 branches opened in new markets since expansion began</w:t>
      </w:r>
    </w:p>
    <w:p>
      <w:pPr>
        <w:spacing w:after="0" w:line="17" w:lineRule="exact"/>
        <w:rPr>
          <w:rFonts w:ascii="Arial" w:cs="Arial" w:eastAsia="Arial" w:hAnsi="Arial"/>
          <w:sz w:val="16"/>
          <w:szCs w:val="16"/>
          <w:color w:val="074A75"/>
        </w:rPr>
      </w:pPr>
    </w:p>
    <w:p>
      <w:pPr>
        <w:ind w:left="198" w:right="80" w:hanging="198"/>
        <w:spacing w:after="0" w:line="248" w:lineRule="auto"/>
        <w:tabs>
          <w:tab w:leader="none" w:pos="194" w:val="left"/>
        </w:tabs>
        <w:numPr>
          <w:ilvl w:val="0"/>
          <w:numId w:val="191"/>
        </w:numPr>
        <w:rPr>
          <w:rFonts w:ascii="Arial" w:cs="Arial" w:eastAsia="Arial" w:hAnsi="Arial"/>
          <w:sz w:val="16"/>
          <w:szCs w:val="16"/>
          <w:color w:val="074A75"/>
        </w:rPr>
      </w:pPr>
      <w:r>
        <w:rPr>
          <w:rFonts w:ascii="Arial" w:cs="Arial" w:eastAsia="Arial" w:hAnsi="Arial"/>
          <w:sz w:val="16"/>
          <w:szCs w:val="16"/>
          <w:color w:val="auto"/>
        </w:rPr>
        <w:t>Throughout the COVID-19 pandemic, gradually re-opened branches in April, with nearly 90% of branches returning to full services by the end of the year; helped small businesses secure funding through the SBA's PPP; offered small businesses deferred payments and waived late fees on loans, lines of credit and business credit cards; supported customers by providing payment delay assistance on credit cards, auto loans and leases, and mortgages</w:t>
      </w:r>
    </w:p>
    <w:p>
      <w:pPr>
        <w:spacing w:after="0" w:line="36" w:lineRule="exact"/>
        <w:rPr>
          <w:rFonts w:ascii="Arial" w:cs="Arial" w:eastAsia="Arial" w:hAnsi="Arial"/>
          <w:sz w:val="16"/>
          <w:szCs w:val="16"/>
          <w:color w:val="074A75"/>
        </w:rPr>
      </w:pPr>
    </w:p>
    <w:p>
      <w:pPr>
        <w:ind w:left="198" w:right="40" w:hanging="198"/>
        <w:spacing w:after="0" w:line="248" w:lineRule="auto"/>
        <w:tabs>
          <w:tab w:leader="none" w:pos="194" w:val="left"/>
        </w:tabs>
        <w:numPr>
          <w:ilvl w:val="0"/>
          <w:numId w:val="191"/>
        </w:numPr>
        <w:rPr>
          <w:rFonts w:ascii="Arial" w:cs="Arial" w:eastAsia="Arial" w:hAnsi="Arial"/>
          <w:sz w:val="16"/>
          <w:szCs w:val="16"/>
          <w:color w:val="074A75"/>
        </w:rPr>
      </w:pPr>
      <w:r>
        <w:rPr>
          <w:rFonts w:ascii="Arial" w:cs="Arial" w:eastAsia="Arial" w:hAnsi="Arial"/>
          <w:sz w:val="16"/>
          <w:szCs w:val="16"/>
          <w:color w:val="auto"/>
        </w:rPr>
        <w:t>Focused on the Firm's Path Forward commitment of $30B to advance racial equity over five years, including promoting and expanding affordable housing and homeownership, growing Black and Latinx owned businesses, promoting and expanding to improve financial health and access to banking through new branch openings in select communities, and opened two Community &amp; Innovative Branches in Baltimore and Minneapolis</w:t>
      </w:r>
    </w:p>
    <w:p>
      <w:pPr>
        <w:spacing w:after="0" w:line="36" w:lineRule="exact"/>
        <w:rPr>
          <w:rFonts w:ascii="Arial" w:cs="Arial" w:eastAsia="Arial" w:hAnsi="Arial"/>
          <w:sz w:val="16"/>
          <w:szCs w:val="16"/>
          <w:color w:val="074A75"/>
        </w:rPr>
      </w:pPr>
    </w:p>
    <w:p>
      <w:pPr>
        <w:ind w:left="198" w:hanging="198"/>
        <w:spacing w:after="0"/>
        <w:tabs>
          <w:tab w:leader="none" w:pos="198" w:val="left"/>
        </w:tabs>
        <w:numPr>
          <w:ilvl w:val="0"/>
          <w:numId w:val="191"/>
        </w:numPr>
        <w:rPr>
          <w:rFonts w:ascii="Arial" w:cs="Arial" w:eastAsia="Arial" w:hAnsi="Arial"/>
          <w:sz w:val="16"/>
          <w:szCs w:val="16"/>
          <w:color w:val="074A75"/>
        </w:rPr>
      </w:pPr>
      <w:r>
        <w:rPr>
          <w:rFonts w:ascii="Arial" w:cs="Arial" w:eastAsia="Arial" w:hAnsi="Arial"/>
          <w:sz w:val="16"/>
          <w:szCs w:val="16"/>
          <w:color w:val="auto"/>
        </w:rPr>
        <w:t>Launched Chase First Banking focused on helping parents teach their children good money habits sooner</w:t>
      </w:r>
    </w:p>
    <w:p>
      <w:pPr>
        <w:spacing w:after="0" w:line="32" w:lineRule="exact"/>
        <w:rPr>
          <w:rFonts w:ascii="Arial" w:cs="Arial" w:eastAsia="Arial" w:hAnsi="Arial"/>
          <w:sz w:val="16"/>
          <w:szCs w:val="16"/>
          <w:color w:val="074A75"/>
        </w:rPr>
      </w:pPr>
    </w:p>
    <w:p>
      <w:pPr>
        <w:ind w:left="198" w:hanging="198"/>
        <w:spacing w:after="0"/>
        <w:tabs>
          <w:tab w:leader="none" w:pos="198" w:val="left"/>
        </w:tabs>
        <w:numPr>
          <w:ilvl w:val="0"/>
          <w:numId w:val="191"/>
        </w:numPr>
        <w:rPr>
          <w:rFonts w:ascii="Arial" w:cs="Arial" w:eastAsia="Arial" w:hAnsi="Arial"/>
          <w:sz w:val="16"/>
          <w:szCs w:val="16"/>
          <w:color w:val="074A75"/>
        </w:rPr>
      </w:pPr>
      <w:r>
        <w:rPr>
          <w:rFonts w:ascii="Arial" w:cs="Arial" w:eastAsia="Arial" w:hAnsi="Arial"/>
          <w:sz w:val="16"/>
          <w:szCs w:val="16"/>
          <w:color w:val="auto"/>
        </w:rPr>
        <w:t>Continued to introduce new and refreshed card products and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76835</wp:posOffset>
            </wp:positionV>
            <wp:extent cx="71323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33" w:lineRule="exact"/>
        <w:rPr>
          <w:sz w:val="20"/>
          <w:szCs w:val="20"/>
          <w:color w:val="auto"/>
        </w:rPr>
      </w:pPr>
    </w:p>
    <w:p>
      <w:pPr>
        <w:jc w:val="right"/>
        <w:ind w:left="320"/>
        <w:spacing w:after="0" w:line="31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98" w:hanging="198"/>
        <w:spacing w:after="0"/>
        <w:tabs>
          <w:tab w:leader="none" w:pos="198" w:val="left"/>
        </w:tabs>
        <w:numPr>
          <w:ilvl w:val="0"/>
          <w:numId w:val="192"/>
        </w:numPr>
        <w:rPr>
          <w:rFonts w:ascii="Arial" w:cs="Arial" w:eastAsia="Arial" w:hAnsi="Arial"/>
          <w:sz w:val="16"/>
          <w:szCs w:val="16"/>
          <w:color w:val="074A75"/>
        </w:rPr>
      </w:pPr>
      <w:r>
        <w:rPr>
          <w:rFonts w:ascii="Arial" w:cs="Arial" w:eastAsia="Arial" w:hAnsi="Arial"/>
          <w:sz w:val="16"/>
          <w:szCs w:val="16"/>
          <w:color w:val="auto"/>
        </w:rPr>
        <w:t>At the request of the Board, led the Firm with Mr. Pinto during Mr. Dimon's recuperation from emergency surgery</w:t>
      </w:r>
    </w:p>
    <w:p>
      <w:pPr>
        <w:spacing w:after="0" w:line="32" w:lineRule="exact"/>
        <w:rPr>
          <w:rFonts w:ascii="Arial" w:cs="Arial" w:eastAsia="Arial" w:hAnsi="Arial"/>
          <w:sz w:val="16"/>
          <w:szCs w:val="16"/>
          <w:color w:val="074A75"/>
        </w:rPr>
      </w:pPr>
    </w:p>
    <w:p>
      <w:pPr>
        <w:ind w:left="198" w:right="280" w:hanging="198"/>
        <w:spacing w:after="0" w:line="253" w:lineRule="auto"/>
        <w:tabs>
          <w:tab w:leader="none" w:pos="194" w:val="left"/>
        </w:tabs>
        <w:numPr>
          <w:ilvl w:val="0"/>
          <w:numId w:val="192"/>
        </w:numPr>
        <w:rPr>
          <w:rFonts w:ascii="Arial" w:cs="Arial" w:eastAsia="Arial" w:hAnsi="Arial"/>
          <w:sz w:val="16"/>
          <w:szCs w:val="16"/>
          <w:color w:val="074A75"/>
        </w:rPr>
      </w:pPr>
      <w:r>
        <w:rPr>
          <w:rFonts w:ascii="Arial" w:cs="Arial" w:eastAsia="Arial" w:hAnsi="Arial"/>
          <w:sz w:val="16"/>
          <w:szCs w:val="16"/>
          <w:color w:val="auto"/>
        </w:rPr>
        <w:t>Continued to make progress against CCB’s diversity and inclusion strategy to improve diverse representation and drive an inclusive culture and experience</w:t>
      </w:r>
    </w:p>
    <w:p>
      <w:pPr>
        <w:spacing w:after="0" w:line="30" w:lineRule="exact"/>
        <w:rPr>
          <w:rFonts w:ascii="Arial" w:cs="Arial" w:eastAsia="Arial" w:hAnsi="Arial"/>
          <w:sz w:val="16"/>
          <w:szCs w:val="16"/>
          <w:color w:val="074A75"/>
        </w:rPr>
      </w:pPr>
    </w:p>
    <w:p>
      <w:pPr>
        <w:ind w:left="198" w:hanging="198"/>
        <w:spacing w:after="0"/>
        <w:tabs>
          <w:tab w:leader="none" w:pos="198" w:val="left"/>
        </w:tabs>
        <w:numPr>
          <w:ilvl w:val="0"/>
          <w:numId w:val="192"/>
        </w:numPr>
        <w:rPr>
          <w:rFonts w:ascii="Arial" w:cs="Arial" w:eastAsia="Arial" w:hAnsi="Arial"/>
          <w:sz w:val="16"/>
          <w:szCs w:val="16"/>
          <w:color w:val="074A75"/>
        </w:rPr>
      </w:pPr>
      <w:r>
        <w:rPr>
          <w:rFonts w:ascii="Arial" w:cs="Arial" w:eastAsia="Arial" w:hAnsi="Arial"/>
          <w:sz w:val="16"/>
          <w:szCs w:val="16"/>
          <w:color w:val="auto"/>
        </w:rPr>
        <w:t>OC co-sponsor of the Access Ability BRG and supported additional BRG-sponsored events throughout the year</w:t>
      </w:r>
    </w:p>
    <w:p>
      <w:pPr>
        <w:spacing w:after="0" w:line="45" w:lineRule="exact"/>
        <w:rPr>
          <w:rFonts w:ascii="Arial" w:cs="Arial" w:eastAsia="Arial" w:hAnsi="Arial"/>
          <w:sz w:val="16"/>
          <w:szCs w:val="16"/>
          <w:color w:val="074A75"/>
        </w:rPr>
      </w:pPr>
    </w:p>
    <w:p>
      <w:pPr>
        <w:ind w:left="198" w:hanging="198"/>
        <w:spacing w:after="0"/>
        <w:tabs>
          <w:tab w:leader="none" w:pos="198" w:val="left"/>
        </w:tabs>
        <w:numPr>
          <w:ilvl w:val="0"/>
          <w:numId w:val="192"/>
        </w:numPr>
        <w:rPr>
          <w:rFonts w:ascii="Arial" w:cs="Arial" w:eastAsia="Arial" w:hAnsi="Arial"/>
          <w:sz w:val="16"/>
          <w:szCs w:val="16"/>
          <w:color w:val="074A75"/>
        </w:rPr>
      </w:pPr>
      <w:r>
        <w:rPr>
          <w:rFonts w:ascii="Arial" w:cs="Arial" w:eastAsia="Arial" w:hAnsi="Arial"/>
          <w:sz w:val="16"/>
          <w:szCs w:val="16"/>
          <w:color w:val="auto"/>
        </w:rPr>
        <w:t>Continued focus on development of key talent, succession planning and training opportunities</w:t>
      </w:r>
    </w:p>
    <w:p>
      <w:pPr>
        <w:spacing w:after="0" w:line="32" w:lineRule="exact"/>
        <w:rPr>
          <w:rFonts w:ascii="Arial" w:cs="Arial" w:eastAsia="Arial" w:hAnsi="Arial"/>
          <w:sz w:val="16"/>
          <w:szCs w:val="16"/>
          <w:color w:val="074A75"/>
        </w:rPr>
      </w:pPr>
    </w:p>
    <w:p>
      <w:pPr>
        <w:ind w:left="198" w:hanging="198"/>
        <w:spacing w:after="0"/>
        <w:tabs>
          <w:tab w:leader="none" w:pos="198" w:val="left"/>
        </w:tabs>
        <w:numPr>
          <w:ilvl w:val="0"/>
          <w:numId w:val="192"/>
        </w:numPr>
        <w:rPr>
          <w:rFonts w:ascii="Arial" w:cs="Arial" w:eastAsia="Arial" w:hAnsi="Arial"/>
          <w:sz w:val="16"/>
          <w:szCs w:val="16"/>
          <w:color w:val="074A75"/>
        </w:rPr>
      </w:pPr>
      <w:r>
        <w:rPr>
          <w:rFonts w:ascii="Arial" w:cs="Arial" w:eastAsia="Arial" w:hAnsi="Arial"/>
          <w:sz w:val="16"/>
          <w:szCs w:val="16"/>
          <w:color w:val="auto"/>
        </w:rPr>
        <w:t>Jointly launched and chaired the Business Head Forums which included leaders across the Firm's major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76835</wp:posOffset>
            </wp:positionV>
            <wp:extent cx="71323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4" w:lineRule="exact"/>
        <w:rPr>
          <w:sz w:val="20"/>
          <w:szCs w:val="20"/>
          <w:color w:val="auto"/>
        </w:rPr>
      </w:pPr>
    </w:p>
    <w:p>
      <w:pPr>
        <w:ind w:left="200" w:hanging="192"/>
        <w:spacing w:after="0"/>
        <w:tabs>
          <w:tab w:leader="none" w:pos="200" w:val="left"/>
        </w:tabs>
        <w:numPr>
          <w:ilvl w:val="0"/>
          <w:numId w:val="193"/>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114 for a definition of managed basis.</w:t>
      </w:r>
    </w:p>
    <w:p>
      <w:pPr>
        <w:ind w:left="200" w:hanging="192"/>
        <w:spacing w:after="0" w:line="187" w:lineRule="auto"/>
        <w:tabs>
          <w:tab w:leader="none" w:pos="200" w:val="left"/>
        </w:tabs>
        <w:numPr>
          <w:ilvl w:val="0"/>
          <w:numId w:val="194"/>
        </w:numPr>
        <w:rPr>
          <w:rFonts w:ascii="Arial" w:cs="Arial" w:eastAsia="Arial" w:hAnsi="Arial"/>
          <w:sz w:val="15"/>
          <w:szCs w:val="15"/>
          <w:color w:val="auto"/>
          <w:vertAlign w:val="superscript"/>
        </w:rPr>
      </w:pPr>
      <w:r>
        <w:rPr>
          <w:rFonts w:ascii="Arial" w:cs="Arial" w:eastAsia="Arial" w:hAnsi="Arial"/>
          <w:sz w:val="12"/>
          <w:szCs w:val="12"/>
          <w:color w:val="auto"/>
        </w:rPr>
        <w:t>Based on 4Q20 peer disclosure for JPM’s CCB, Bank of America’s Consumer Banking, Wells Fargo’s Consumer Banking and Lending, and Citi’s North America GCB segments.</w:t>
      </w:r>
    </w:p>
    <w:p>
      <w:pPr>
        <w:ind w:left="200" w:hanging="192"/>
        <w:spacing w:after="0" w:line="202" w:lineRule="auto"/>
        <w:tabs>
          <w:tab w:leader="none" w:pos="200" w:val="left"/>
        </w:tabs>
        <w:numPr>
          <w:ilvl w:val="0"/>
          <w:numId w:val="195"/>
        </w:numPr>
        <w:rPr>
          <w:rFonts w:ascii="Arial" w:cs="Arial" w:eastAsia="Arial" w:hAnsi="Arial"/>
          <w:sz w:val="14"/>
          <w:szCs w:val="14"/>
          <w:color w:val="auto"/>
          <w:vertAlign w:val="superscript"/>
        </w:rPr>
      </w:pPr>
      <w:r>
        <w:rPr>
          <w:rFonts w:ascii="Arial" w:cs="Arial" w:eastAsia="Arial" w:hAnsi="Arial"/>
          <w:sz w:val="11"/>
          <w:szCs w:val="11"/>
          <w:color w:val="auto"/>
        </w:rPr>
        <w:t>Active digital customers are users of web and/or mobile platforms who have logged in within the past 90 days; active mobile customers are users of all mobile platforms who have logged in within the past 90 days.</w:t>
      </w:r>
    </w:p>
    <w:p>
      <w:pPr>
        <w:ind w:left="200" w:hanging="192"/>
        <w:spacing w:after="0" w:line="201" w:lineRule="auto"/>
        <w:tabs>
          <w:tab w:leader="none" w:pos="200" w:val="left"/>
        </w:tabs>
        <w:numPr>
          <w:ilvl w:val="0"/>
          <w:numId w:val="196"/>
        </w:numPr>
        <w:rPr>
          <w:rFonts w:ascii="Arial" w:cs="Arial" w:eastAsia="Arial" w:hAnsi="Arial"/>
          <w:sz w:val="14"/>
          <w:szCs w:val="14"/>
          <w:color w:val="auto"/>
          <w:vertAlign w:val="superscript"/>
        </w:rPr>
      </w:pPr>
      <w:r>
        <w:rPr>
          <w:rFonts w:ascii="Arial" w:cs="Arial" w:eastAsia="Arial" w:hAnsi="Arial"/>
          <w:sz w:val="11"/>
          <w:szCs w:val="11"/>
          <w:color w:val="auto"/>
        </w:rPr>
        <w:t>FDIC 2020 Summary of Deposits survey per S&amp;P Global Market Intelligence. Limits all branches to $500mm deposits. Includes all commercial banks, savings banks, and savings institutions as defined by the FDIC.</w:t>
      </w:r>
    </w:p>
    <w:p>
      <w:pPr>
        <w:spacing w:after="0" w:line="4" w:lineRule="exact"/>
        <w:rPr>
          <w:sz w:val="20"/>
          <w:szCs w:val="20"/>
          <w:color w:val="auto"/>
        </w:rPr>
      </w:pPr>
    </w:p>
    <w:p>
      <w:pPr>
        <w:ind w:left="200" w:right="60" w:hanging="192"/>
        <w:spacing w:after="0" w:line="212" w:lineRule="auto"/>
        <w:tabs>
          <w:tab w:leader="none" w:pos="196" w:val="left"/>
        </w:tabs>
        <w:numPr>
          <w:ilvl w:val="0"/>
          <w:numId w:val="197"/>
        </w:numPr>
        <w:rPr>
          <w:rFonts w:ascii="Arial" w:cs="Arial" w:eastAsia="Arial" w:hAnsi="Arial"/>
          <w:sz w:val="15"/>
          <w:szCs w:val="15"/>
          <w:color w:val="auto"/>
          <w:vertAlign w:val="superscript"/>
        </w:rPr>
      </w:pPr>
      <w:r>
        <w:rPr>
          <w:rFonts w:ascii="Arial" w:cs="Arial" w:eastAsia="Arial" w:hAnsi="Arial"/>
          <w:sz w:val="12"/>
          <w:szCs w:val="12"/>
          <w:color w:val="auto"/>
        </w:rPr>
        <w:t>Chase is tied with one other bank for first place, as per the Kantar 2020 Retail Banking Monitor (~3,000 surveys per quarter or ~12,000 per rolling four quarters). Data are based on Chase footprint, excluding recent expansion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193040</wp:posOffset>
            </wp:positionV>
            <wp:extent cx="274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69  </w:t>
      </w:r>
      <w:r>
        <w:rPr>
          <w:sz w:val="1"/>
          <w:szCs w:val="1"/>
          <w:color w:val="auto"/>
        </w:rPr>
        <w:drawing>
          <wp:inline distT="0" distB="0" distL="0" distR="0">
            <wp:extent cx="2203450" cy="154305"/>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54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54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14046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11404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29"/>
          <w:szCs w:val="29"/>
          <w:color w:val="074A75"/>
          <w:shd w:val="clear" w:color="auto" w:fill="EEEFEF"/>
        </w:rPr>
        <w:t>Mary Callahan Erdoes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074A75"/>
          <w:shd w:val="clear" w:color="auto" w:fill="EEEFEF"/>
        </w:rPr>
        <w:t>CEO: ASSET &amp; WEALTH MANAGEMENT</w:t>
      </w:r>
    </w:p>
    <w:p>
      <w:pPr>
        <w:spacing w:after="0" w:line="120" w:lineRule="exact"/>
        <w:rPr>
          <w:sz w:val="20"/>
          <w:szCs w:val="20"/>
          <w:color w:val="auto"/>
        </w:rPr>
      </w:pPr>
    </w:p>
    <w:p>
      <w:pPr>
        <w:ind w:left="160" w:right="4180"/>
        <w:spacing w:after="0" w:line="260" w:lineRule="auto"/>
        <w:rPr>
          <w:sz w:val="20"/>
          <w:szCs w:val="20"/>
          <w:color w:val="auto"/>
        </w:rPr>
      </w:pPr>
      <w:r>
        <w:rPr>
          <w:rFonts w:ascii="Arial" w:cs="Arial" w:eastAsia="Arial" w:hAnsi="Arial"/>
          <w:sz w:val="16"/>
          <w:szCs w:val="16"/>
          <w:color w:val="auto"/>
          <w:shd w:val="clear" w:color="auto" w:fill="EEEFEF"/>
        </w:rPr>
        <w:t>Ms. Erdoes was appointed Chief Executive Officer of Asset &amp; Wealth Management in September 2009. She previously served as CEO of Wealth Management from 2005 to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074A75"/>
        </w:rPr>
        <w:t>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2172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50" w:lineRule="exact"/>
        <w:rPr>
          <w:sz w:val="20"/>
          <w:szCs w:val="20"/>
          <w:color w:val="auto"/>
        </w:rPr>
      </w:pPr>
    </w:p>
    <w:p>
      <w:pPr>
        <w:jc w:val="right"/>
        <w:ind w:left="580"/>
        <w:spacing w:after="0" w:line="31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951230" cy="7289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51230" cy="728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98" w:hanging="198"/>
        <w:spacing w:after="0"/>
        <w:tabs>
          <w:tab w:leader="none" w:pos="198" w:val="left"/>
        </w:tabs>
        <w:numPr>
          <w:ilvl w:val="0"/>
          <w:numId w:val="198"/>
        </w:numPr>
        <w:rPr>
          <w:rFonts w:ascii="Arial" w:cs="Arial" w:eastAsia="Arial" w:hAnsi="Arial"/>
          <w:sz w:val="16"/>
          <w:szCs w:val="16"/>
          <w:color w:val="074A75"/>
        </w:rPr>
      </w:pPr>
      <w:r>
        <w:rPr>
          <w:rFonts w:ascii="Arial" w:cs="Arial" w:eastAsia="Arial" w:hAnsi="Arial"/>
          <w:sz w:val="16"/>
          <w:szCs w:val="16"/>
          <w:color w:val="auto"/>
        </w:rPr>
        <w:t>AWM</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achieved record net income of $3.0B on record revenue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$14.2B; ROE of 28%; and pre-tax margin of 28%</w:t>
      </w:r>
    </w:p>
    <w:p>
      <w:pPr>
        <w:spacing w:after="0" w:line="26" w:lineRule="exact"/>
        <w:rPr>
          <w:rFonts w:ascii="Arial" w:cs="Arial" w:eastAsia="Arial" w:hAnsi="Arial"/>
          <w:sz w:val="16"/>
          <w:szCs w:val="16"/>
          <w:color w:val="074A75"/>
        </w:rPr>
      </w:pPr>
    </w:p>
    <w:p>
      <w:pPr>
        <w:ind w:left="198" w:hanging="198"/>
        <w:spacing w:after="0"/>
        <w:tabs>
          <w:tab w:leader="none" w:pos="198" w:val="left"/>
        </w:tabs>
        <w:numPr>
          <w:ilvl w:val="0"/>
          <w:numId w:val="198"/>
        </w:numPr>
        <w:rPr>
          <w:rFonts w:ascii="Arial" w:cs="Arial" w:eastAsia="Arial" w:hAnsi="Arial"/>
          <w:sz w:val="16"/>
          <w:szCs w:val="16"/>
          <w:color w:val="074A75"/>
        </w:rPr>
      </w:pPr>
      <w:r>
        <w:rPr>
          <w:rFonts w:ascii="Arial" w:cs="Arial" w:eastAsia="Arial" w:hAnsi="Arial"/>
          <w:sz w:val="16"/>
          <w:szCs w:val="16"/>
          <w:color w:val="auto"/>
        </w:rPr>
        <w:t>AUM</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$2.7T and client assets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$3.7T, up 17% and 18% respectively</w:t>
      </w:r>
    </w:p>
    <w:p>
      <w:pPr>
        <w:spacing w:after="0" w:line="16" w:lineRule="exact"/>
        <w:rPr>
          <w:rFonts w:ascii="Arial" w:cs="Arial" w:eastAsia="Arial" w:hAnsi="Arial"/>
          <w:sz w:val="16"/>
          <w:szCs w:val="16"/>
          <w:color w:val="074A75"/>
        </w:rPr>
      </w:pPr>
    </w:p>
    <w:p>
      <w:pPr>
        <w:ind w:left="198" w:hanging="198"/>
        <w:spacing w:after="0"/>
        <w:tabs>
          <w:tab w:leader="none" w:pos="198" w:val="left"/>
        </w:tabs>
        <w:numPr>
          <w:ilvl w:val="0"/>
          <w:numId w:val="198"/>
        </w:numPr>
        <w:rPr>
          <w:rFonts w:ascii="Arial" w:cs="Arial" w:eastAsia="Arial" w:hAnsi="Arial"/>
          <w:sz w:val="16"/>
          <w:szCs w:val="16"/>
          <w:color w:val="074A75"/>
        </w:rPr>
      </w:pPr>
      <w:r>
        <w:rPr>
          <w:rFonts w:ascii="Arial" w:cs="Arial" w:eastAsia="Arial" w:hAnsi="Arial"/>
          <w:sz w:val="16"/>
          <w:szCs w:val="16"/>
          <w:color w:val="auto"/>
        </w:rPr>
        <w:t>Positive long-term AUM</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flows across all asset classes and channels</w:t>
      </w:r>
    </w:p>
    <w:p>
      <w:pPr>
        <w:spacing w:after="0" w:line="17" w:lineRule="exact"/>
        <w:rPr>
          <w:rFonts w:ascii="Arial" w:cs="Arial" w:eastAsia="Arial" w:hAnsi="Arial"/>
          <w:sz w:val="16"/>
          <w:szCs w:val="16"/>
          <w:color w:val="074A75"/>
        </w:rPr>
      </w:pPr>
    </w:p>
    <w:p>
      <w:pPr>
        <w:ind w:left="198" w:hanging="198"/>
        <w:spacing w:after="0"/>
        <w:tabs>
          <w:tab w:leader="none" w:pos="198" w:val="left"/>
        </w:tabs>
        <w:numPr>
          <w:ilvl w:val="0"/>
          <w:numId w:val="198"/>
        </w:numPr>
        <w:rPr>
          <w:rFonts w:ascii="Arial" w:cs="Arial" w:eastAsia="Arial" w:hAnsi="Arial"/>
          <w:sz w:val="16"/>
          <w:szCs w:val="16"/>
          <w:color w:val="074A75"/>
        </w:rPr>
      </w:pPr>
      <w:r>
        <w:rPr>
          <w:rFonts w:ascii="Arial" w:cs="Arial" w:eastAsia="Arial" w:hAnsi="Arial"/>
          <w:sz w:val="16"/>
          <w:szCs w:val="16"/>
          <w:color w:val="auto"/>
        </w:rPr>
        <w:t>Record average deposits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$162.0B (up 20%); record average loans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$166.3B (up 13%)</w:t>
      </w:r>
    </w:p>
    <w:p>
      <w:pPr>
        <w:spacing w:after="0" w:line="28" w:lineRule="exact"/>
        <w:rPr>
          <w:rFonts w:ascii="Arial" w:cs="Arial" w:eastAsia="Arial" w:hAnsi="Arial"/>
          <w:sz w:val="16"/>
          <w:szCs w:val="16"/>
          <w:color w:val="074A75"/>
        </w:rPr>
      </w:pPr>
    </w:p>
    <w:p>
      <w:pPr>
        <w:ind w:left="198" w:right="280" w:hanging="198"/>
        <w:spacing w:after="0" w:line="253" w:lineRule="auto"/>
        <w:tabs>
          <w:tab w:leader="none" w:pos="195" w:val="left"/>
        </w:tabs>
        <w:numPr>
          <w:ilvl w:val="0"/>
          <w:numId w:val="198"/>
        </w:numPr>
        <w:rPr>
          <w:rFonts w:ascii="Arial" w:cs="Arial" w:eastAsia="Arial" w:hAnsi="Arial"/>
          <w:sz w:val="16"/>
          <w:szCs w:val="16"/>
          <w:color w:val="074A75"/>
        </w:rPr>
      </w:pPr>
      <w:r>
        <w:rPr>
          <w:rFonts w:ascii="Arial" w:cs="Arial" w:eastAsia="Arial" w:hAnsi="Arial"/>
          <w:sz w:val="16"/>
          <w:szCs w:val="16"/>
          <w:color w:val="auto"/>
        </w:rPr>
        <w:t>Best Private Bank in the World (Global Finance); Best Private Bank for Mega High Net Worth Clients (Euromoney); Best Product Knowledge, Best Additional Research, Best Market Crisis Communications (Citywire); ETF Provider of the Year (Money Age); Asset Manager of the Year (Asian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83820</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951230" cy="94297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51230" cy="942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98" w:right="260" w:hanging="198"/>
        <w:spacing w:after="0" w:line="260" w:lineRule="auto"/>
        <w:tabs>
          <w:tab w:leader="none" w:pos="195" w:val="left"/>
        </w:tabs>
        <w:numPr>
          <w:ilvl w:val="0"/>
          <w:numId w:val="199"/>
        </w:numPr>
        <w:rPr>
          <w:rFonts w:ascii="Arial" w:cs="Arial" w:eastAsia="Arial" w:hAnsi="Arial"/>
          <w:sz w:val="16"/>
          <w:szCs w:val="16"/>
          <w:color w:val="074A75"/>
        </w:rPr>
      </w:pPr>
      <w:r>
        <w:rPr>
          <w:rFonts w:ascii="Arial" w:cs="Arial" w:eastAsia="Arial" w:hAnsi="Arial"/>
          <w:sz w:val="16"/>
          <w:szCs w:val="16"/>
          <w:color w:val="auto"/>
        </w:rPr>
        <w:t>Continued accountability for deepening the Firm’s fiduciary culture, including leading efforts to strengthen governance, oversight, and training with consistent expectations</w:t>
      </w:r>
    </w:p>
    <w:p>
      <w:pPr>
        <w:spacing w:after="0" w:line="60" w:lineRule="exact"/>
        <w:rPr>
          <w:rFonts w:ascii="Arial" w:cs="Arial" w:eastAsia="Arial" w:hAnsi="Arial"/>
          <w:sz w:val="16"/>
          <w:szCs w:val="16"/>
          <w:color w:val="074A75"/>
        </w:rPr>
      </w:pPr>
    </w:p>
    <w:p>
      <w:pPr>
        <w:ind w:left="198" w:hanging="198"/>
        <w:spacing w:after="0"/>
        <w:tabs>
          <w:tab w:leader="none" w:pos="198" w:val="left"/>
        </w:tabs>
        <w:numPr>
          <w:ilvl w:val="0"/>
          <w:numId w:val="199"/>
        </w:numPr>
        <w:rPr>
          <w:rFonts w:ascii="Arial" w:cs="Arial" w:eastAsia="Arial" w:hAnsi="Arial"/>
          <w:sz w:val="16"/>
          <w:szCs w:val="16"/>
          <w:color w:val="074A75"/>
        </w:rPr>
      </w:pPr>
      <w:r>
        <w:rPr>
          <w:rFonts w:ascii="Arial" w:cs="Arial" w:eastAsia="Arial" w:hAnsi="Arial"/>
          <w:sz w:val="16"/>
          <w:szCs w:val="16"/>
          <w:color w:val="auto"/>
        </w:rPr>
        <w:t>Advanced modeling for qualitative investment risk framework</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199"/>
        </w:numPr>
        <w:rPr>
          <w:rFonts w:ascii="Arial" w:cs="Arial" w:eastAsia="Arial" w:hAnsi="Arial"/>
          <w:sz w:val="16"/>
          <w:szCs w:val="16"/>
          <w:color w:val="074A75"/>
        </w:rPr>
      </w:pPr>
      <w:r>
        <w:rPr>
          <w:rFonts w:ascii="Arial" w:cs="Arial" w:eastAsia="Arial" w:hAnsi="Arial"/>
          <w:sz w:val="16"/>
          <w:szCs w:val="16"/>
          <w:color w:val="auto"/>
        </w:rPr>
        <w:t>Continued regular and constructive engagement with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96520</wp:posOffset>
            </wp:positionV>
            <wp:extent cx="71323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64" w:lineRule="exact"/>
        <w:rPr>
          <w:sz w:val="20"/>
          <w:szCs w:val="20"/>
          <w:color w:val="auto"/>
        </w:rPr>
      </w:pPr>
    </w:p>
    <w:p>
      <w:pPr>
        <w:jc w:val="right"/>
        <w:ind w:left="360"/>
        <w:spacing w:after="0" w:line="291"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951230" cy="10629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951230"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98" w:hanging="198"/>
        <w:spacing w:after="0"/>
        <w:tabs>
          <w:tab w:leader="none" w:pos="198" w:val="left"/>
        </w:tabs>
        <w:numPr>
          <w:ilvl w:val="0"/>
          <w:numId w:val="200"/>
        </w:numPr>
        <w:rPr>
          <w:rFonts w:ascii="Arial" w:cs="Arial" w:eastAsia="Arial" w:hAnsi="Arial"/>
          <w:sz w:val="16"/>
          <w:szCs w:val="16"/>
          <w:color w:val="074A75"/>
        </w:rPr>
      </w:pPr>
      <w:r>
        <w:rPr>
          <w:rFonts w:ascii="Arial" w:cs="Arial" w:eastAsia="Arial" w:hAnsi="Arial"/>
          <w:sz w:val="16"/>
          <w:szCs w:val="16"/>
          <w:color w:val="auto"/>
        </w:rPr>
        <w:t>80% of 10-year long-term mutual fund AUM</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performing in top two quartiles</w:t>
      </w:r>
    </w:p>
    <w:p>
      <w:pPr>
        <w:spacing w:after="0" w:line="31" w:lineRule="exact"/>
        <w:rPr>
          <w:rFonts w:ascii="Arial" w:cs="Arial" w:eastAsia="Arial" w:hAnsi="Arial"/>
          <w:sz w:val="16"/>
          <w:szCs w:val="16"/>
          <w:color w:val="074A75"/>
        </w:rPr>
      </w:pPr>
    </w:p>
    <w:p>
      <w:pPr>
        <w:ind w:left="198" w:hanging="198"/>
        <w:spacing w:after="0"/>
        <w:tabs>
          <w:tab w:leader="none" w:pos="198" w:val="left"/>
        </w:tabs>
        <w:numPr>
          <w:ilvl w:val="0"/>
          <w:numId w:val="200"/>
        </w:numPr>
        <w:rPr>
          <w:rFonts w:ascii="Arial" w:cs="Arial" w:eastAsia="Arial" w:hAnsi="Arial"/>
          <w:sz w:val="16"/>
          <w:szCs w:val="16"/>
          <w:color w:val="074A75"/>
        </w:rPr>
      </w:pPr>
      <w:r>
        <w:rPr>
          <w:rFonts w:ascii="Arial" w:cs="Arial" w:eastAsia="Arial" w:hAnsi="Arial"/>
          <w:sz w:val="16"/>
          <w:szCs w:val="16"/>
          <w:color w:val="auto"/>
        </w:rPr>
        <w:t>Launched EveryDay 401(k), a new retirement solution built for small U.S. businesses, in partnership with Chase Business Banking</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200"/>
        </w:numPr>
        <w:rPr>
          <w:rFonts w:ascii="Arial" w:cs="Arial" w:eastAsia="Arial" w:hAnsi="Arial"/>
          <w:sz w:val="16"/>
          <w:szCs w:val="16"/>
          <w:color w:val="074A75"/>
        </w:rPr>
      </w:pPr>
      <w:r>
        <w:rPr>
          <w:rFonts w:ascii="Arial" w:cs="Arial" w:eastAsia="Arial" w:hAnsi="Arial"/>
          <w:sz w:val="16"/>
          <w:szCs w:val="16"/>
          <w:color w:val="auto"/>
        </w:rPr>
        <w:t>Enhanced authentication and new detection tools for fraud, preventing millions of losses for clients</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200"/>
        </w:numPr>
        <w:rPr>
          <w:rFonts w:ascii="Arial" w:cs="Arial" w:eastAsia="Arial" w:hAnsi="Arial"/>
          <w:sz w:val="16"/>
          <w:szCs w:val="16"/>
          <w:color w:val="074A75"/>
        </w:rPr>
      </w:pPr>
      <w:r>
        <w:rPr>
          <w:rFonts w:ascii="Arial" w:cs="Arial" w:eastAsia="Arial" w:hAnsi="Arial"/>
          <w:sz w:val="16"/>
          <w:szCs w:val="16"/>
          <w:color w:val="auto"/>
        </w:rPr>
        <w:t>Delivered insights to clients by hosting over 1,600 virtual events with more than 670,000 external attendees</w:t>
      </w:r>
    </w:p>
    <w:p>
      <w:pPr>
        <w:spacing w:after="0" w:line="86" w:lineRule="exact"/>
        <w:rPr>
          <w:rFonts w:ascii="Arial" w:cs="Arial" w:eastAsia="Arial" w:hAnsi="Arial"/>
          <w:sz w:val="16"/>
          <w:szCs w:val="16"/>
          <w:color w:val="074A75"/>
        </w:rPr>
      </w:pPr>
    </w:p>
    <w:p>
      <w:pPr>
        <w:ind w:left="198" w:hanging="198"/>
        <w:spacing w:after="0"/>
        <w:tabs>
          <w:tab w:leader="none" w:pos="198" w:val="left"/>
        </w:tabs>
        <w:numPr>
          <w:ilvl w:val="0"/>
          <w:numId w:val="200"/>
        </w:numPr>
        <w:rPr>
          <w:rFonts w:ascii="Arial" w:cs="Arial" w:eastAsia="Arial" w:hAnsi="Arial"/>
          <w:sz w:val="16"/>
          <w:szCs w:val="16"/>
          <w:color w:val="074A75"/>
        </w:rPr>
      </w:pPr>
      <w:r>
        <w:rPr>
          <w:rFonts w:ascii="Arial" w:cs="Arial" w:eastAsia="Arial" w:hAnsi="Arial"/>
          <w:sz w:val="16"/>
          <w:szCs w:val="16"/>
          <w:color w:val="auto"/>
        </w:rPr>
        <w:t>Approved for first foreign asset management joint venture with 100% ownership of China International Fund Management (CIFM)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96520</wp:posOffset>
            </wp:positionV>
            <wp:extent cx="71323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64" w:lineRule="exact"/>
        <w:rPr>
          <w:sz w:val="20"/>
          <w:szCs w:val="20"/>
          <w:color w:val="auto"/>
        </w:rPr>
      </w:pPr>
    </w:p>
    <w:p>
      <w:pPr>
        <w:jc w:val="right"/>
        <w:ind w:left="320"/>
        <w:spacing w:after="0" w:line="31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98" w:hanging="198"/>
        <w:spacing w:after="0"/>
        <w:tabs>
          <w:tab w:leader="none" w:pos="198" w:val="left"/>
        </w:tabs>
        <w:numPr>
          <w:ilvl w:val="0"/>
          <w:numId w:val="201"/>
        </w:numPr>
        <w:rPr>
          <w:rFonts w:ascii="Arial" w:cs="Arial" w:eastAsia="Arial" w:hAnsi="Arial"/>
          <w:sz w:val="16"/>
          <w:szCs w:val="16"/>
          <w:color w:val="074A75"/>
        </w:rPr>
      </w:pPr>
      <w:r>
        <w:rPr>
          <w:rFonts w:ascii="Arial" w:cs="Arial" w:eastAsia="Arial" w:hAnsi="Arial"/>
          <w:sz w:val="16"/>
          <w:szCs w:val="16"/>
          <w:color w:val="auto"/>
        </w:rPr>
        <w:t>Retained 96% of top talent and focused on development of high-performing and diverse talent</w:t>
      </w:r>
    </w:p>
    <w:p>
      <w:pPr>
        <w:spacing w:after="0" w:line="86" w:lineRule="exact"/>
        <w:rPr>
          <w:rFonts w:ascii="Arial" w:cs="Arial" w:eastAsia="Arial" w:hAnsi="Arial"/>
          <w:sz w:val="16"/>
          <w:szCs w:val="16"/>
          <w:color w:val="074A75"/>
        </w:rPr>
      </w:pPr>
    </w:p>
    <w:p>
      <w:pPr>
        <w:ind w:left="198" w:hanging="198"/>
        <w:spacing w:after="0"/>
        <w:tabs>
          <w:tab w:leader="none" w:pos="198" w:val="left"/>
        </w:tabs>
        <w:numPr>
          <w:ilvl w:val="0"/>
          <w:numId w:val="201"/>
        </w:numPr>
        <w:rPr>
          <w:rFonts w:ascii="Arial" w:cs="Arial" w:eastAsia="Arial" w:hAnsi="Arial"/>
          <w:sz w:val="16"/>
          <w:szCs w:val="16"/>
          <w:color w:val="074A75"/>
        </w:rPr>
      </w:pPr>
      <w:r>
        <w:rPr>
          <w:rFonts w:ascii="Arial" w:cs="Arial" w:eastAsia="Arial" w:hAnsi="Arial"/>
          <w:sz w:val="16"/>
          <w:szCs w:val="16"/>
          <w:color w:val="auto"/>
        </w:rPr>
        <w:t>Continued to drive programs like ReEntry and the Firmwide diversity agenda; executive sponsor of the NextGen BRG</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201"/>
        </w:numPr>
        <w:rPr>
          <w:rFonts w:ascii="Arial" w:cs="Arial" w:eastAsia="Arial" w:hAnsi="Arial"/>
          <w:sz w:val="16"/>
          <w:szCs w:val="16"/>
          <w:color w:val="074A75"/>
        </w:rPr>
      </w:pPr>
      <w:r>
        <w:rPr>
          <w:rFonts w:ascii="Arial" w:cs="Arial" w:eastAsia="Arial" w:hAnsi="Arial"/>
          <w:sz w:val="16"/>
          <w:szCs w:val="16"/>
          <w:color w:val="auto"/>
        </w:rPr>
        <w:t>39% of Asset Management AUM managed by female portfolio managers, above the industry</w:t>
      </w:r>
    </w:p>
    <w:p>
      <w:pPr>
        <w:spacing w:after="0" w:line="72" w:lineRule="exact"/>
        <w:rPr>
          <w:rFonts w:ascii="Arial" w:cs="Arial" w:eastAsia="Arial" w:hAnsi="Arial"/>
          <w:sz w:val="16"/>
          <w:szCs w:val="16"/>
          <w:color w:val="074A75"/>
        </w:rPr>
      </w:pPr>
    </w:p>
    <w:p>
      <w:pPr>
        <w:ind w:left="198" w:right="40" w:hanging="198"/>
        <w:spacing w:after="0" w:line="260" w:lineRule="auto"/>
        <w:tabs>
          <w:tab w:leader="none" w:pos="195" w:val="left"/>
        </w:tabs>
        <w:numPr>
          <w:ilvl w:val="0"/>
          <w:numId w:val="201"/>
        </w:numPr>
        <w:rPr>
          <w:rFonts w:ascii="Arial" w:cs="Arial" w:eastAsia="Arial" w:hAnsi="Arial"/>
          <w:sz w:val="16"/>
          <w:szCs w:val="16"/>
          <w:color w:val="074A75"/>
        </w:rPr>
      </w:pPr>
      <w:r>
        <w:rPr>
          <w:rFonts w:ascii="Arial" w:cs="Arial" w:eastAsia="Arial" w:hAnsi="Arial"/>
          <w:sz w:val="16"/>
          <w:szCs w:val="16"/>
          <w:color w:val="auto"/>
        </w:rPr>
        <w:t>Quickly mobilized workforce to work remotely; at the peak and through most of the COVID-19 pandemic, 97% of employees worked remotely</w:t>
      </w:r>
    </w:p>
    <w:p>
      <w:pPr>
        <w:spacing w:after="0" w:line="60" w:lineRule="exact"/>
        <w:rPr>
          <w:rFonts w:ascii="Arial" w:cs="Arial" w:eastAsia="Arial" w:hAnsi="Arial"/>
          <w:sz w:val="16"/>
          <w:szCs w:val="16"/>
          <w:color w:val="074A75"/>
        </w:rPr>
      </w:pPr>
    </w:p>
    <w:p>
      <w:pPr>
        <w:ind w:left="198" w:hanging="198"/>
        <w:spacing w:after="0"/>
        <w:tabs>
          <w:tab w:leader="none" w:pos="198" w:val="left"/>
        </w:tabs>
        <w:numPr>
          <w:ilvl w:val="0"/>
          <w:numId w:val="201"/>
        </w:numPr>
        <w:rPr>
          <w:rFonts w:ascii="Arial" w:cs="Arial" w:eastAsia="Arial" w:hAnsi="Arial"/>
          <w:sz w:val="16"/>
          <w:szCs w:val="16"/>
          <w:color w:val="074A75"/>
        </w:rPr>
      </w:pPr>
      <w:r>
        <w:rPr>
          <w:rFonts w:ascii="Arial" w:cs="Arial" w:eastAsia="Arial" w:hAnsi="Arial"/>
          <w:sz w:val="16"/>
          <w:szCs w:val="16"/>
          <w:color w:val="auto"/>
        </w:rPr>
        <w:t>Drove training agenda forward, including a hands-on coding training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96520</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hanging="192"/>
        <w:spacing w:after="0"/>
        <w:tabs>
          <w:tab w:leader="none" w:pos="200" w:val="left"/>
        </w:tabs>
        <w:numPr>
          <w:ilvl w:val="0"/>
          <w:numId w:val="202"/>
        </w:numPr>
        <w:rPr>
          <w:rFonts w:ascii="Arial" w:cs="Arial" w:eastAsia="Arial" w:hAnsi="Arial"/>
          <w:sz w:val="15"/>
          <w:szCs w:val="15"/>
          <w:color w:val="auto"/>
          <w:vertAlign w:val="superscript"/>
        </w:rPr>
      </w:pPr>
      <w:r>
        <w:rPr>
          <w:rFonts w:ascii="Arial" w:cs="Arial" w:eastAsia="Arial" w:hAnsi="Arial"/>
          <w:sz w:val="12"/>
          <w:szCs w:val="12"/>
          <w:color w:val="auto"/>
        </w:rPr>
        <w:t>Refer to Additional notes, Note 4, on page 114.</w:t>
      </w:r>
    </w:p>
    <w:p>
      <w:pPr>
        <w:ind w:left="200" w:hanging="192"/>
        <w:spacing w:after="0" w:line="199" w:lineRule="auto"/>
        <w:tabs>
          <w:tab w:leader="none" w:pos="200" w:val="left"/>
        </w:tabs>
        <w:numPr>
          <w:ilvl w:val="0"/>
          <w:numId w:val="203"/>
        </w:numPr>
        <w:rPr>
          <w:rFonts w:ascii="Arial" w:cs="Arial" w:eastAsia="Arial" w:hAnsi="Arial"/>
          <w:sz w:val="15"/>
          <w:szCs w:val="15"/>
          <w:color w:val="auto"/>
          <w:vertAlign w:val="superscript"/>
        </w:rPr>
      </w:pPr>
      <w:r>
        <w:rPr>
          <w:rFonts w:ascii="Arial" w:cs="Arial" w:eastAsia="Arial" w:hAnsi="Arial"/>
          <w:sz w:val="12"/>
          <w:szCs w:val="12"/>
          <w:color w:val="auto"/>
        </w:rPr>
        <w:t>The Firm reviews the results of the lines of business on a managed basis. Refer to Additional notes, Note 1, on page 114 for a definition of managed basis.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71" w:right="31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220345</wp:posOffset>
            </wp:positionV>
            <wp:extent cx="77470" cy="1454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220345</wp:posOffset>
            </wp:positionV>
            <wp:extent cx="77470" cy="1454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040" w:type="dxa"/>
            <w:vAlign w:val="bottom"/>
            <w:tcBorders>
              <w:top w:val="single" w:sz="8" w:color="E7E7E8"/>
              <w:left w:val="single" w:sz="8" w:color="E7E7E8"/>
              <w:right w:val="single" w:sz="8" w:color="E7E7E8"/>
            </w:tcBorders>
          </w:tcPr>
          <w:p>
            <w:pPr>
              <w:ind w:left="360"/>
              <w:spacing w:after="0"/>
              <w:rPr>
                <w:sz w:val="20"/>
                <w:szCs w:val="20"/>
                <w:color w:val="auto"/>
              </w:rPr>
            </w:pPr>
            <w:r>
              <w:rPr>
                <w:rFonts w:ascii="Arial" w:cs="Arial" w:eastAsia="Arial" w:hAnsi="Arial"/>
                <w:sz w:val="15"/>
                <w:szCs w:val="15"/>
                <w:color w:val="58585A"/>
              </w:rPr>
              <w:t>How we think about pay decisions</w:t>
            </w:r>
          </w:p>
        </w:tc>
        <w:tc>
          <w:tcPr>
            <w:tcW w:w="440" w:type="dxa"/>
            <w:vAlign w:val="bottom"/>
            <w:tcBorders>
              <w:right w:val="single" w:sz="8" w:color="E7E7E8"/>
            </w:tcBorders>
          </w:tcPr>
          <w:p>
            <w:pPr>
              <w:spacing w:after="0"/>
              <w:rPr>
                <w:sz w:val="22"/>
                <w:szCs w:val="22"/>
                <w:color w:val="auto"/>
              </w:rPr>
            </w:pPr>
          </w:p>
        </w:tc>
        <w:tc>
          <w:tcPr>
            <w:tcW w:w="3880" w:type="dxa"/>
            <w:vAlign w:val="bottom"/>
            <w:tcBorders>
              <w:top w:val="single" w:sz="8" w:color="E7E7E8"/>
              <w:right w:val="single" w:sz="8" w:color="E7E7E8"/>
            </w:tcBorders>
          </w:tcPr>
          <w:p>
            <w:pPr>
              <w:ind w:left="280"/>
              <w:spacing w:after="0"/>
              <w:rPr>
                <w:sz w:val="20"/>
                <w:szCs w:val="20"/>
                <w:color w:val="auto"/>
              </w:rPr>
            </w:pPr>
            <w:r>
              <w:rPr>
                <w:rFonts w:ascii="Arial" w:cs="Arial" w:eastAsia="Arial" w:hAnsi="Arial"/>
                <w:sz w:val="15"/>
                <w:szCs w:val="15"/>
                <w:color w:val="58585A"/>
              </w:rPr>
              <w:t>How we performed against our business strategy</w:t>
            </w:r>
          </w:p>
        </w:tc>
        <w:tc>
          <w:tcPr>
            <w:tcW w:w="420" w:type="dxa"/>
            <w:vAlign w:val="bottom"/>
          </w:tcPr>
          <w:p>
            <w:pPr>
              <w:spacing w:after="0"/>
              <w:rPr>
                <w:sz w:val="22"/>
                <w:szCs w:val="22"/>
                <w:color w:val="auto"/>
              </w:rPr>
            </w:pPr>
          </w:p>
        </w:tc>
        <w:tc>
          <w:tcPr>
            <w:tcW w:w="3480" w:type="dxa"/>
            <w:vAlign w:val="bottom"/>
            <w:tcBorders>
              <w:top w:val="single" w:sz="8" w:color="E7E7E8"/>
            </w:tcBorders>
            <w:shd w:val="clear" w:color="auto" w:fill="E7E7E8"/>
          </w:tcPr>
          <w:p>
            <w:pPr>
              <w:ind w:left="320"/>
              <w:spacing w:after="0"/>
              <w:rPr>
                <w:sz w:val="20"/>
                <w:szCs w:val="20"/>
                <w:color w:val="auto"/>
              </w:rPr>
            </w:pPr>
            <w:r>
              <w:rPr>
                <w:rFonts w:ascii="Arial" w:cs="Arial" w:eastAsia="Arial" w:hAnsi="Arial"/>
                <w:sz w:val="15"/>
                <w:szCs w:val="15"/>
                <w:color w:val="074A75"/>
              </w:rPr>
              <w:t>How performance determined pay in 2020</w:t>
            </w:r>
          </w:p>
        </w:tc>
      </w:tr>
      <w:tr>
        <w:trPr>
          <w:trHeight w:val="62"/>
        </w:trPr>
        <w:tc>
          <w:tcPr>
            <w:tcW w:w="3040" w:type="dxa"/>
            <w:vAlign w:val="bottom"/>
            <w:tcBorders>
              <w:left w:val="single" w:sz="8" w:color="E7E7E8"/>
              <w:bottom w:val="single" w:sz="8" w:color="E7E7E8"/>
              <w:right w:val="single" w:sz="8" w:color="E7E7E8"/>
            </w:tcBorders>
          </w:tcPr>
          <w:p>
            <w:pPr>
              <w:spacing w:after="0"/>
              <w:rPr>
                <w:sz w:val="5"/>
                <w:szCs w:val="5"/>
                <w:color w:val="auto"/>
              </w:rPr>
            </w:pPr>
          </w:p>
        </w:tc>
        <w:tc>
          <w:tcPr>
            <w:tcW w:w="440" w:type="dxa"/>
            <w:vAlign w:val="bottom"/>
            <w:tcBorders>
              <w:right w:val="single" w:sz="8" w:color="E7E7E8"/>
            </w:tcBorders>
          </w:tcPr>
          <w:p>
            <w:pPr>
              <w:spacing w:after="0"/>
              <w:rPr>
                <w:sz w:val="5"/>
                <w:szCs w:val="5"/>
                <w:color w:val="auto"/>
              </w:rPr>
            </w:pPr>
          </w:p>
        </w:tc>
        <w:tc>
          <w:tcPr>
            <w:tcW w:w="3880" w:type="dxa"/>
            <w:vAlign w:val="bottom"/>
            <w:tcBorders>
              <w:bottom w:val="single" w:sz="8" w:color="E7E7E8"/>
              <w:right w:val="single" w:sz="8" w:color="E7E7E8"/>
            </w:tcBorders>
          </w:tcPr>
          <w:p>
            <w:pPr>
              <w:spacing w:after="0"/>
              <w:rPr>
                <w:sz w:val="5"/>
                <w:szCs w:val="5"/>
                <w:color w:val="auto"/>
              </w:rPr>
            </w:pPr>
          </w:p>
        </w:tc>
        <w:tc>
          <w:tcPr>
            <w:tcW w:w="420" w:type="dxa"/>
            <w:vAlign w:val="bottom"/>
          </w:tcPr>
          <w:p>
            <w:pPr>
              <w:spacing w:after="0"/>
              <w:rPr>
                <w:sz w:val="5"/>
                <w:szCs w:val="5"/>
                <w:color w:val="auto"/>
              </w:rPr>
            </w:pPr>
          </w:p>
        </w:tc>
        <w:tc>
          <w:tcPr>
            <w:tcW w:w="3480" w:type="dxa"/>
            <w:vAlign w:val="bottom"/>
            <w:tcBorders>
              <w:bottom w:val="single" w:sz="8" w:color="E7E7E8"/>
            </w:tcBorders>
            <w:shd w:val="clear" w:color="auto" w:fill="E7E7E8"/>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14046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1404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29"/>
          <w:szCs w:val="29"/>
          <w:color w:val="074A75"/>
        </w:rPr>
        <w:t>Jennifer Piepszak</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074A75"/>
        </w:rPr>
        <w:t>CHIEF FINANCIAL OFFICER</w:t>
      </w:r>
    </w:p>
    <w:p>
      <w:pPr>
        <w:spacing w:after="0" w:line="120" w:lineRule="exact"/>
        <w:rPr>
          <w:sz w:val="20"/>
          <w:szCs w:val="20"/>
          <w:color w:val="auto"/>
        </w:rPr>
      </w:pPr>
    </w:p>
    <w:p>
      <w:pPr>
        <w:ind w:left="160" w:right="4080"/>
        <w:spacing w:after="0" w:line="253" w:lineRule="auto"/>
        <w:rPr>
          <w:sz w:val="20"/>
          <w:szCs w:val="20"/>
          <w:color w:val="auto"/>
        </w:rPr>
      </w:pPr>
      <w:r>
        <w:rPr>
          <w:rFonts w:ascii="Arial" w:cs="Arial" w:eastAsia="Arial" w:hAnsi="Arial"/>
          <w:sz w:val="16"/>
          <w:szCs w:val="16"/>
          <w:color w:val="auto"/>
        </w:rPr>
        <w:t>Ms. Piepszak was appointed Chief Financial Officer on May 1, 2019. She previously served as the CEO for Card Services from 2017 to April 2019. Prior to that, Ms. Piepszak served as CEO of Business Banking and CFO for Mortgage Banking.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074A75"/>
        </w:rPr>
        <w:t>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2941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50" w:lineRule="exact"/>
        <w:rPr>
          <w:sz w:val="20"/>
          <w:szCs w:val="20"/>
          <w:color w:val="auto"/>
        </w:rPr>
      </w:pPr>
    </w:p>
    <w:p>
      <w:pPr>
        <w:jc w:val="right"/>
        <w:ind w:left="580"/>
        <w:spacing w:after="0" w:line="318" w:lineRule="auto"/>
        <w:rPr>
          <w:sz w:val="20"/>
          <w:szCs w:val="20"/>
          <w:color w:val="auto"/>
        </w:rPr>
      </w:pPr>
      <w:r>
        <w:rPr>
          <w:rFonts w:ascii="Arial" w:cs="Arial" w:eastAsia="Arial" w:hAnsi="Arial"/>
          <w:sz w:val="17"/>
          <w:szCs w:val="17"/>
          <w:b w:val="1"/>
          <w:bCs w:val="1"/>
          <w:color w:val="FFFFFF"/>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951230" cy="96837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951230" cy="968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98" w:right="760" w:hanging="198"/>
        <w:spacing w:after="0" w:line="260" w:lineRule="auto"/>
        <w:tabs>
          <w:tab w:leader="none" w:pos="195" w:val="left"/>
        </w:tabs>
        <w:numPr>
          <w:ilvl w:val="0"/>
          <w:numId w:val="204"/>
        </w:numPr>
        <w:rPr>
          <w:rFonts w:ascii="Arial" w:cs="Arial" w:eastAsia="Arial" w:hAnsi="Arial"/>
          <w:sz w:val="16"/>
          <w:szCs w:val="16"/>
          <w:color w:val="074A75"/>
        </w:rPr>
      </w:pPr>
      <w:r>
        <w:rPr>
          <w:rFonts w:ascii="Arial" w:cs="Arial" w:eastAsia="Arial" w:hAnsi="Arial"/>
          <w:sz w:val="16"/>
          <w:szCs w:val="16"/>
          <w:color w:val="auto"/>
        </w:rPr>
        <w:t>Provided oversight of the corporate crisis management and Firmwide resiliency teams, which quickly mobilized to execute resiliency plans at the onset of COVID-19</w:t>
      </w:r>
    </w:p>
    <w:p>
      <w:pPr>
        <w:spacing w:after="0" w:line="60" w:lineRule="exact"/>
        <w:rPr>
          <w:rFonts w:ascii="Arial" w:cs="Arial" w:eastAsia="Arial" w:hAnsi="Arial"/>
          <w:sz w:val="16"/>
          <w:szCs w:val="16"/>
          <w:color w:val="074A75"/>
        </w:rPr>
      </w:pPr>
    </w:p>
    <w:p>
      <w:pPr>
        <w:ind w:left="198" w:right="420" w:hanging="198"/>
        <w:spacing w:after="0" w:line="260" w:lineRule="auto"/>
        <w:tabs>
          <w:tab w:leader="none" w:pos="195" w:val="left"/>
        </w:tabs>
        <w:numPr>
          <w:ilvl w:val="0"/>
          <w:numId w:val="204"/>
        </w:numPr>
        <w:rPr>
          <w:rFonts w:ascii="Arial" w:cs="Arial" w:eastAsia="Arial" w:hAnsi="Arial"/>
          <w:sz w:val="16"/>
          <w:szCs w:val="16"/>
          <w:color w:val="074A75"/>
        </w:rPr>
      </w:pPr>
      <w:r>
        <w:rPr>
          <w:rFonts w:ascii="Arial" w:cs="Arial" w:eastAsia="Arial" w:hAnsi="Arial"/>
          <w:sz w:val="16"/>
          <w:szCs w:val="16"/>
          <w:color w:val="auto"/>
        </w:rPr>
        <w:t>Co-led the Firmwide return to the office strategy and planning efforts for employees globally, while prioritizing health and safety protocols</w:t>
      </w:r>
    </w:p>
    <w:p>
      <w:pPr>
        <w:spacing w:after="0" w:line="46" w:lineRule="exact"/>
        <w:rPr>
          <w:rFonts w:ascii="Arial" w:cs="Arial" w:eastAsia="Arial" w:hAnsi="Arial"/>
          <w:sz w:val="16"/>
          <w:szCs w:val="16"/>
          <w:color w:val="074A75"/>
        </w:rPr>
      </w:pPr>
    </w:p>
    <w:p>
      <w:pPr>
        <w:ind w:left="198" w:right="80" w:hanging="198"/>
        <w:spacing w:after="0" w:line="253" w:lineRule="auto"/>
        <w:tabs>
          <w:tab w:leader="none" w:pos="195" w:val="left"/>
        </w:tabs>
        <w:numPr>
          <w:ilvl w:val="0"/>
          <w:numId w:val="204"/>
        </w:numPr>
        <w:rPr>
          <w:rFonts w:ascii="Arial" w:cs="Arial" w:eastAsia="Arial" w:hAnsi="Arial"/>
          <w:sz w:val="16"/>
          <w:szCs w:val="16"/>
          <w:color w:val="074A75"/>
        </w:rPr>
      </w:pPr>
      <w:r>
        <w:rPr>
          <w:rFonts w:ascii="Arial" w:cs="Arial" w:eastAsia="Arial" w:hAnsi="Arial"/>
          <w:sz w:val="16"/>
          <w:szCs w:val="16"/>
          <w:color w:val="auto"/>
        </w:rPr>
        <w:t>Managed the Firm's balance sheet, capital and liquidity position through the crisis and across a range of stress scenarios, including implementing the Current Expected Credit Loss (CECL) accounting standard and transitioning to the Stress Capital Buffer (SCB) framework</w:t>
      </w:r>
    </w:p>
    <w:p>
      <w:pPr>
        <w:spacing w:after="0" w:line="52" w:lineRule="exact"/>
        <w:rPr>
          <w:rFonts w:ascii="Arial" w:cs="Arial" w:eastAsia="Arial" w:hAnsi="Arial"/>
          <w:sz w:val="16"/>
          <w:szCs w:val="16"/>
          <w:color w:val="074A75"/>
        </w:rPr>
      </w:pPr>
    </w:p>
    <w:p>
      <w:pPr>
        <w:ind w:left="198" w:hanging="198"/>
        <w:spacing w:after="0"/>
        <w:tabs>
          <w:tab w:leader="none" w:pos="198" w:val="left"/>
        </w:tabs>
        <w:numPr>
          <w:ilvl w:val="0"/>
          <w:numId w:val="204"/>
        </w:numPr>
        <w:rPr>
          <w:rFonts w:ascii="Arial" w:cs="Arial" w:eastAsia="Arial" w:hAnsi="Arial"/>
          <w:sz w:val="16"/>
          <w:szCs w:val="16"/>
          <w:color w:val="074A75"/>
        </w:rPr>
      </w:pPr>
      <w:r>
        <w:rPr>
          <w:rFonts w:ascii="Arial" w:cs="Arial" w:eastAsia="Arial" w:hAnsi="Arial"/>
          <w:sz w:val="16"/>
          <w:szCs w:val="16"/>
          <w:color w:val="auto"/>
        </w:rPr>
        <w:t>Successfully filed CCAR in April and completed the resubmission in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104775</wp:posOffset>
            </wp:positionV>
            <wp:extent cx="713232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951230" cy="10198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95123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98" w:right="200" w:hanging="198"/>
        <w:spacing w:after="0" w:line="260" w:lineRule="auto"/>
        <w:tabs>
          <w:tab w:leader="none" w:pos="195" w:val="left"/>
        </w:tabs>
        <w:numPr>
          <w:ilvl w:val="0"/>
          <w:numId w:val="205"/>
        </w:numPr>
        <w:rPr>
          <w:rFonts w:ascii="Arial" w:cs="Arial" w:eastAsia="Arial" w:hAnsi="Arial"/>
          <w:sz w:val="16"/>
          <w:szCs w:val="16"/>
          <w:color w:val="074A75"/>
        </w:rPr>
      </w:pPr>
      <w:r>
        <w:rPr>
          <w:rFonts w:ascii="Arial" w:cs="Arial" w:eastAsia="Arial" w:hAnsi="Arial"/>
          <w:sz w:val="16"/>
          <w:szCs w:val="16"/>
          <w:color w:val="auto"/>
        </w:rPr>
        <w:t>Engaged in constructive and active dialogue with key regulators, maintaining transparency on the Firm's COVID-19 response and capital management</w:t>
      </w:r>
    </w:p>
    <w:p>
      <w:pPr>
        <w:spacing w:after="0" w:line="60" w:lineRule="exact"/>
        <w:rPr>
          <w:rFonts w:ascii="Arial" w:cs="Arial" w:eastAsia="Arial" w:hAnsi="Arial"/>
          <w:sz w:val="16"/>
          <w:szCs w:val="16"/>
          <w:color w:val="074A75"/>
        </w:rPr>
      </w:pPr>
    </w:p>
    <w:p>
      <w:pPr>
        <w:ind w:left="198" w:right="580" w:hanging="198"/>
        <w:spacing w:after="0" w:line="260" w:lineRule="auto"/>
        <w:tabs>
          <w:tab w:leader="none" w:pos="195" w:val="left"/>
        </w:tabs>
        <w:numPr>
          <w:ilvl w:val="0"/>
          <w:numId w:val="205"/>
        </w:numPr>
        <w:rPr>
          <w:rFonts w:ascii="Arial" w:cs="Arial" w:eastAsia="Arial" w:hAnsi="Arial"/>
          <w:sz w:val="16"/>
          <w:szCs w:val="16"/>
          <w:color w:val="074A75"/>
        </w:rPr>
      </w:pPr>
      <w:r>
        <w:rPr>
          <w:rFonts w:ascii="Arial" w:cs="Arial" w:eastAsia="Arial" w:hAnsi="Arial"/>
          <w:sz w:val="16"/>
          <w:szCs w:val="16"/>
          <w:color w:val="auto"/>
        </w:rPr>
        <w:t>Maintained controls and refined reporting processes to accommodate new U.S. regulatory reporting requirements due to the pandemic</w:t>
      </w:r>
    </w:p>
    <w:p>
      <w:pPr>
        <w:spacing w:after="0" w:line="46" w:lineRule="exact"/>
        <w:rPr>
          <w:rFonts w:ascii="Arial" w:cs="Arial" w:eastAsia="Arial" w:hAnsi="Arial"/>
          <w:sz w:val="16"/>
          <w:szCs w:val="16"/>
          <w:color w:val="074A75"/>
        </w:rPr>
      </w:pPr>
    </w:p>
    <w:p>
      <w:pPr>
        <w:ind w:left="198" w:right="240" w:hanging="198"/>
        <w:spacing w:after="0" w:line="260" w:lineRule="auto"/>
        <w:tabs>
          <w:tab w:leader="none" w:pos="195" w:val="left"/>
        </w:tabs>
        <w:numPr>
          <w:ilvl w:val="0"/>
          <w:numId w:val="205"/>
        </w:numPr>
        <w:rPr>
          <w:rFonts w:ascii="Arial" w:cs="Arial" w:eastAsia="Arial" w:hAnsi="Arial"/>
          <w:sz w:val="16"/>
          <w:szCs w:val="16"/>
          <w:color w:val="074A75"/>
        </w:rPr>
      </w:pPr>
      <w:r>
        <w:rPr>
          <w:rFonts w:ascii="Arial" w:cs="Arial" w:eastAsia="Arial" w:hAnsi="Arial"/>
          <w:sz w:val="16"/>
          <w:szCs w:val="16"/>
          <w:color w:val="auto"/>
        </w:rPr>
        <w:t>Continued to maintain strong risk discipline across the organization with a focus on remediating open issues, enhancing controls, and reinforcing culture and conduct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80010</wp:posOffset>
            </wp:positionV>
            <wp:extent cx="71323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38"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Client /</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FFFFFF"/>
        </w:rPr>
        <w:t>Customer /</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FFFFFF"/>
        </w:rPr>
        <w:t>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951230" cy="10204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951230" cy="1020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98" w:right="440" w:hanging="198"/>
        <w:spacing w:after="0" w:line="260" w:lineRule="auto"/>
        <w:tabs>
          <w:tab w:leader="none" w:pos="195" w:val="left"/>
        </w:tabs>
        <w:numPr>
          <w:ilvl w:val="0"/>
          <w:numId w:val="206"/>
        </w:numPr>
        <w:rPr>
          <w:rFonts w:ascii="Arial" w:cs="Arial" w:eastAsia="Arial" w:hAnsi="Arial"/>
          <w:sz w:val="16"/>
          <w:szCs w:val="16"/>
          <w:color w:val="074A75"/>
        </w:rPr>
      </w:pPr>
      <w:r>
        <w:rPr>
          <w:rFonts w:ascii="Arial" w:cs="Arial" w:eastAsia="Arial" w:hAnsi="Arial"/>
          <w:sz w:val="16"/>
          <w:szCs w:val="16"/>
          <w:color w:val="auto"/>
        </w:rPr>
        <w:t>Participated in 100+ events globally, continuing strong engagement internally, and externally with investors, research analysts, regulators, and clients</w:t>
      </w:r>
    </w:p>
    <w:p>
      <w:pPr>
        <w:spacing w:after="0" w:line="60" w:lineRule="exact"/>
        <w:rPr>
          <w:rFonts w:ascii="Arial" w:cs="Arial" w:eastAsia="Arial" w:hAnsi="Arial"/>
          <w:sz w:val="16"/>
          <w:szCs w:val="16"/>
          <w:color w:val="074A75"/>
        </w:rPr>
      </w:pPr>
    </w:p>
    <w:p>
      <w:pPr>
        <w:ind w:left="198" w:hanging="198"/>
        <w:spacing w:after="0"/>
        <w:tabs>
          <w:tab w:leader="none" w:pos="198" w:val="left"/>
        </w:tabs>
        <w:numPr>
          <w:ilvl w:val="0"/>
          <w:numId w:val="206"/>
        </w:numPr>
        <w:rPr>
          <w:rFonts w:ascii="Arial" w:cs="Arial" w:eastAsia="Arial" w:hAnsi="Arial"/>
          <w:sz w:val="16"/>
          <w:szCs w:val="16"/>
          <w:color w:val="074A75"/>
        </w:rPr>
      </w:pPr>
      <w:r>
        <w:rPr>
          <w:rFonts w:ascii="Arial" w:cs="Arial" w:eastAsia="Arial" w:hAnsi="Arial"/>
          <w:sz w:val="16"/>
          <w:szCs w:val="16"/>
          <w:color w:val="auto"/>
        </w:rPr>
        <w:t>Engaged frequently with the Board throughout the year as the crisis evolved</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206"/>
        </w:numPr>
        <w:rPr>
          <w:rFonts w:ascii="Arial" w:cs="Arial" w:eastAsia="Arial" w:hAnsi="Arial"/>
          <w:sz w:val="16"/>
          <w:szCs w:val="16"/>
          <w:color w:val="074A75"/>
        </w:rPr>
      </w:pPr>
      <w:r>
        <w:rPr>
          <w:rFonts w:ascii="Arial" w:cs="Arial" w:eastAsia="Arial" w:hAnsi="Arial"/>
          <w:sz w:val="16"/>
          <w:szCs w:val="16"/>
          <w:color w:val="auto"/>
        </w:rPr>
        <w:t>Continued to drive the transformation and automation agenda for the finance organization resulting in greater efficiency</w:t>
      </w:r>
    </w:p>
    <w:p>
      <w:pPr>
        <w:spacing w:after="0" w:line="72" w:lineRule="exact"/>
        <w:rPr>
          <w:rFonts w:ascii="Arial" w:cs="Arial" w:eastAsia="Arial" w:hAnsi="Arial"/>
          <w:sz w:val="16"/>
          <w:szCs w:val="16"/>
          <w:color w:val="074A75"/>
        </w:rPr>
      </w:pPr>
    </w:p>
    <w:p>
      <w:pPr>
        <w:ind w:left="198" w:right="700" w:hanging="198"/>
        <w:spacing w:after="0" w:line="260" w:lineRule="auto"/>
        <w:tabs>
          <w:tab w:leader="none" w:pos="195" w:val="left"/>
        </w:tabs>
        <w:numPr>
          <w:ilvl w:val="0"/>
          <w:numId w:val="206"/>
        </w:numPr>
        <w:rPr>
          <w:rFonts w:ascii="Arial" w:cs="Arial" w:eastAsia="Arial" w:hAnsi="Arial"/>
          <w:sz w:val="16"/>
          <w:szCs w:val="16"/>
          <w:color w:val="074A75"/>
        </w:rPr>
      </w:pPr>
      <w:r>
        <w:rPr>
          <w:rFonts w:ascii="Arial" w:cs="Arial" w:eastAsia="Arial" w:hAnsi="Arial"/>
          <w:sz w:val="16"/>
          <w:szCs w:val="16"/>
          <w:color w:val="auto"/>
        </w:rPr>
        <w:t>Managed a leading Investor Relations function, receiving external recognitions and positive feedback on custom content in earnings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88265</wp:posOffset>
            </wp:positionV>
            <wp:extent cx="71323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122"/>
            <w:col w:w="9658"/>
          </w:cols>
          <w:pgMar w:left="320" w:top="171" w:right="319" w:bottom="1440" w:gutter="0" w:footer="0" w:header="0"/>
          <w:type w:val="continuous"/>
        </w:sectPr>
      </w:pPr>
    </w:p>
    <w:p>
      <w:pPr>
        <w:spacing w:after="0" w:line="52" w:lineRule="exact"/>
        <w:rPr>
          <w:sz w:val="20"/>
          <w:szCs w:val="20"/>
          <w:color w:val="auto"/>
        </w:rPr>
      </w:pPr>
    </w:p>
    <w:p>
      <w:pPr>
        <w:jc w:val="right"/>
        <w:ind w:left="320"/>
        <w:spacing w:after="0" w:line="318"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98" w:right="280" w:hanging="198"/>
        <w:spacing w:after="0" w:line="260" w:lineRule="auto"/>
        <w:tabs>
          <w:tab w:leader="none" w:pos="195" w:val="left"/>
        </w:tabs>
        <w:numPr>
          <w:ilvl w:val="0"/>
          <w:numId w:val="207"/>
        </w:numPr>
        <w:rPr>
          <w:rFonts w:ascii="Arial" w:cs="Arial" w:eastAsia="Arial" w:hAnsi="Arial"/>
          <w:sz w:val="16"/>
          <w:szCs w:val="16"/>
          <w:color w:val="074A75"/>
        </w:rPr>
      </w:pPr>
      <w:r>
        <w:rPr>
          <w:rFonts w:ascii="Arial" w:cs="Arial" w:eastAsia="Arial" w:hAnsi="Arial"/>
          <w:sz w:val="16"/>
          <w:szCs w:val="16"/>
          <w:color w:val="auto"/>
        </w:rPr>
        <w:t>Focused on continuing to improve diverse representation, succession planning and cultivating development opportunities for key senior leaders</w:t>
      </w:r>
    </w:p>
    <w:p>
      <w:pPr>
        <w:spacing w:after="0" w:line="60" w:lineRule="exact"/>
        <w:rPr>
          <w:rFonts w:ascii="Arial" w:cs="Arial" w:eastAsia="Arial" w:hAnsi="Arial"/>
          <w:sz w:val="16"/>
          <w:szCs w:val="16"/>
          <w:color w:val="074A75"/>
        </w:rPr>
      </w:pPr>
    </w:p>
    <w:p>
      <w:pPr>
        <w:ind w:left="198" w:right="320" w:hanging="198"/>
        <w:spacing w:after="0" w:line="260" w:lineRule="auto"/>
        <w:tabs>
          <w:tab w:leader="none" w:pos="195" w:val="left"/>
        </w:tabs>
        <w:numPr>
          <w:ilvl w:val="0"/>
          <w:numId w:val="207"/>
        </w:numPr>
        <w:rPr>
          <w:rFonts w:ascii="Arial" w:cs="Arial" w:eastAsia="Arial" w:hAnsi="Arial"/>
          <w:sz w:val="16"/>
          <w:szCs w:val="16"/>
          <w:color w:val="074A75"/>
        </w:rPr>
      </w:pPr>
      <w:r>
        <w:rPr>
          <w:rFonts w:ascii="Arial" w:cs="Arial" w:eastAsia="Arial" w:hAnsi="Arial"/>
          <w:sz w:val="16"/>
          <w:szCs w:val="16"/>
          <w:color w:val="auto"/>
        </w:rPr>
        <w:t>Regularly set the tone in words and actions to reinforce the importance of culture, including expanding and leading diversity and inclusion efforts across the organization</w:t>
      </w:r>
    </w:p>
    <w:p>
      <w:pPr>
        <w:spacing w:after="0" w:line="46" w:lineRule="exact"/>
        <w:rPr>
          <w:rFonts w:ascii="Arial" w:cs="Arial" w:eastAsia="Arial" w:hAnsi="Arial"/>
          <w:sz w:val="16"/>
          <w:szCs w:val="16"/>
          <w:color w:val="074A75"/>
        </w:rPr>
      </w:pPr>
    </w:p>
    <w:p>
      <w:pPr>
        <w:ind w:left="198" w:hanging="198"/>
        <w:spacing w:after="0"/>
        <w:tabs>
          <w:tab w:leader="none" w:pos="198" w:val="left"/>
        </w:tabs>
        <w:numPr>
          <w:ilvl w:val="0"/>
          <w:numId w:val="207"/>
        </w:numPr>
        <w:rPr>
          <w:rFonts w:ascii="Arial" w:cs="Arial" w:eastAsia="Arial" w:hAnsi="Arial"/>
          <w:sz w:val="16"/>
          <w:szCs w:val="16"/>
          <w:color w:val="074A75"/>
        </w:rPr>
      </w:pPr>
      <w:r>
        <w:rPr>
          <w:rFonts w:ascii="Arial" w:cs="Arial" w:eastAsia="Arial" w:hAnsi="Arial"/>
          <w:sz w:val="16"/>
          <w:szCs w:val="16"/>
          <w:color w:val="auto"/>
        </w:rPr>
        <w:t>Delivered strong results on key training and engagement initiatives encompassing skills of the future</w:t>
      </w:r>
    </w:p>
    <w:p>
      <w:pPr>
        <w:spacing w:after="0" w:line="72" w:lineRule="exact"/>
        <w:rPr>
          <w:rFonts w:ascii="Arial" w:cs="Arial" w:eastAsia="Arial" w:hAnsi="Arial"/>
          <w:sz w:val="16"/>
          <w:szCs w:val="16"/>
          <w:color w:val="074A75"/>
        </w:rPr>
      </w:pPr>
    </w:p>
    <w:p>
      <w:pPr>
        <w:ind w:left="198" w:hanging="198"/>
        <w:spacing w:after="0"/>
        <w:tabs>
          <w:tab w:leader="none" w:pos="198" w:val="left"/>
        </w:tabs>
        <w:numPr>
          <w:ilvl w:val="0"/>
          <w:numId w:val="207"/>
        </w:numPr>
        <w:rPr>
          <w:rFonts w:ascii="Arial" w:cs="Arial" w:eastAsia="Arial" w:hAnsi="Arial"/>
          <w:sz w:val="16"/>
          <w:szCs w:val="16"/>
          <w:color w:val="074A75"/>
        </w:rPr>
      </w:pPr>
      <w:r>
        <w:rPr>
          <w:rFonts w:ascii="Arial" w:cs="Arial" w:eastAsia="Arial" w:hAnsi="Arial"/>
          <w:sz w:val="16"/>
          <w:szCs w:val="16"/>
          <w:color w:val="auto"/>
        </w:rPr>
        <w:t>Champion of Firmwide diversity initiatives; an active member of the Women on the Move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104775</wp:posOffset>
            </wp:positionV>
            <wp:extent cx="71323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2416810</wp:posOffset>
            </wp:positionH>
            <wp:positionV relativeFrom="paragraph">
              <wp:posOffset>379095</wp:posOffset>
            </wp:positionV>
            <wp:extent cx="27432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80" w:space="222"/>
            <w:col w:w="9658"/>
          </w:cols>
          <w:pgMar w:left="320" w:top="171" w:right="319" w:bottom="1440" w:gutter="0" w:footer="0" w:header="0"/>
          <w:type w:val="continuous"/>
        </w:sect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71  </w:t>
      </w:r>
      <w:r>
        <w:rPr>
          <w:sz w:val="1"/>
          <w:szCs w:val="1"/>
          <w:color w:val="auto"/>
        </w:rPr>
        <w:drawing>
          <wp:inline distT="0" distB="0" distL="0" distR="0">
            <wp:extent cx="2203450" cy="154305"/>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COMPENSATION DISCUSSION AND ANALYSIS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74A75"/>
        </w:rPr>
        <w:t>Compensation &amp; Management</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color w:val="074A75"/>
        </w:rPr>
        <w:t>Development Committee report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&amp; Management Development Committee has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reviewed the Compensation Discussion and Analysis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discussed that analysis with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Based on such review and discussion with management,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&amp; Management Development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recommended to the Board of Directors that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be included in this proxy statement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Annual Report on Form 10-K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This report is provided as of March 16, 2021, by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who comprise the Compensation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Development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Stephen B. Burke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Linda B. Bammann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Todd A. Combs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Virginia M. Rometty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317240" cy="13970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317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Compensation Discussion and Analysis is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intended to describe our 2020 performance,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decisions for our Named Executive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Officers and the Firm’s philosophy and approach to</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The following tables on pages 73-80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present additional information required 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accordance with SEC rules, including the Summary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Table.</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74A75"/>
        </w:rPr>
        <w:t>Executive compensation tables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074A75"/>
        </w:rPr>
        <w:t>I. SUMMARY COMPENSATION TABLE (SCT)</w:t>
      </w:r>
    </w:p>
    <w:p>
      <w:pPr>
        <w:spacing w:after="0" w:line="11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2020 for 2019 performance. The “NEO Compensation” table on page 65 shows how the CMDC viewed compensation actions for 2020 performance.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074A75"/>
              </w:rPr>
              <w:t>Change in pension</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074A75"/>
              </w:rPr>
              <w:t>value and non-</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074A75"/>
              </w:rPr>
              <w:t>qualified</w:t>
            </w: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074A75"/>
              </w:rPr>
              <w:t>deferred</w:t>
            </w:r>
          </w:p>
        </w:tc>
        <w:tc>
          <w:tcPr>
            <w:tcW w:w="1320" w:type="dxa"/>
            <w:vAlign w:val="bottom"/>
          </w:tcPr>
          <w:p>
            <w:pPr>
              <w:jc w:val="center"/>
              <w:spacing w:after="0"/>
              <w:rPr>
                <w:sz w:val="20"/>
                <w:szCs w:val="20"/>
                <w:color w:val="auto"/>
              </w:rPr>
            </w:pPr>
            <w:r>
              <w:rPr>
                <w:rFonts w:ascii="Arial" w:cs="Arial" w:eastAsia="Arial" w:hAnsi="Arial"/>
                <w:sz w:val="16"/>
                <w:szCs w:val="16"/>
                <w:color w:val="074A75"/>
              </w:rPr>
              <w:t>All other</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0"/>
              <w:spacing w:after="0"/>
              <w:rPr>
                <w:sz w:val="20"/>
                <w:szCs w:val="20"/>
                <w:color w:val="auto"/>
              </w:rPr>
            </w:pPr>
            <w:r>
              <w:rPr>
                <w:rFonts w:ascii="Arial" w:cs="Arial" w:eastAsia="Arial" w:hAnsi="Arial"/>
                <w:sz w:val="16"/>
                <w:szCs w:val="16"/>
                <w:color w:val="074A75"/>
              </w:rPr>
              <w:t>Name and</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347"/>
              <w:spacing w:after="0"/>
              <w:rPr>
                <w:sz w:val="20"/>
                <w:szCs w:val="20"/>
                <w:color w:val="auto"/>
              </w:rPr>
            </w:pPr>
            <w:r>
              <w:rPr>
                <w:rFonts w:ascii="Arial" w:cs="Arial" w:eastAsia="Arial" w:hAnsi="Arial"/>
                <w:sz w:val="16"/>
                <w:szCs w:val="16"/>
                <w:color w:val="074A75"/>
              </w:rPr>
              <w:t>Bonus</w:t>
            </w:r>
          </w:p>
        </w:tc>
        <w:tc>
          <w:tcPr>
            <w:tcW w:w="1360" w:type="dxa"/>
            <w:vAlign w:val="bottom"/>
          </w:tcPr>
          <w:p>
            <w:pPr>
              <w:jc w:val="right"/>
              <w:ind w:right="387"/>
              <w:spacing w:after="0"/>
              <w:rPr>
                <w:sz w:val="20"/>
                <w:szCs w:val="20"/>
                <w:color w:val="auto"/>
              </w:rPr>
            </w:pPr>
            <w:r>
              <w:rPr>
                <w:rFonts w:ascii="Arial" w:cs="Arial" w:eastAsia="Arial" w:hAnsi="Arial"/>
                <w:sz w:val="16"/>
                <w:szCs w:val="16"/>
                <w:color w:val="074A75"/>
              </w:rPr>
              <w:t>Stock</w:t>
            </w:r>
          </w:p>
        </w:tc>
        <w:tc>
          <w:tcPr>
            <w:tcW w:w="1660" w:type="dxa"/>
            <w:vAlign w:val="bottom"/>
          </w:tcPr>
          <w:p>
            <w:pPr>
              <w:jc w:val="center"/>
              <w:spacing w:after="0"/>
              <w:rPr>
                <w:sz w:val="20"/>
                <w:szCs w:val="20"/>
                <w:color w:val="auto"/>
              </w:rPr>
            </w:pPr>
            <w:r>
              <w:rPr>
                <w:rFonts w:ascii="Arial" w:cs="Arial" w:eastAsia="Arial" w:hAnsi="Arial"/>
                <w:sz w:val="16"/>
                <w:szCs w:val="16"/>
                <w:color w:val="074A75"/>
              </w:rPr>
              <w:t>compensation</w:t>
            </w:r>
          </w:p>
        </w:tc>
        <w:tc>
          <w:tcPr>
            <w:tcW w:w="1320" w:type="dxa"/>
            <w:vAlign w:val="bottom"/>
          </w:tcPr>
          <w:p>
            <w:pPr>
              <w:jc w:val="center"/>
              <w:spacing w:after="0"/>
              <w:rPr>
                <w:sz w:val="20"/>
                <w:szCs w:val="20"/>
                <w:color w:val="auto"/>
              </w:rPr>
            </w:pPr>
            <w:r>
              <w:rPr>
                <w:rFonts w:ascii="Arial" w:cs="Arial" w:eastAsia="Arial" w:hAnsi="Arial"/>
                <w:sz w:val="16"/>
                <w:szCs w:val="16"/>
                <w:color w:val="074A75"/>
              </w:rPr>
              <w:t>compensation</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principal position</w:t>
            </w:r>
          </w:p>
        </w:tc>
        <w:tc>
          <w:tcPr>
            <w:tcW w:w="800" w:type="dxa"/>
            <w:vAlign w:val="bottom"/>
            <w:tcBorders>
              <w:bottom w:val="single" w:sz="8" w:color="454545"/>
            </w:tcBorders>
          </w:tcPr>
          <w:p>
            <w:pPr>
              <w:jc w:val="right"/>
              <w:ind w:right="167"/>
              <w:spacing w:after="0"/>
              <w:rPr>
                <w:sz w:val="20"/>
                <w:szCs w:val="20"/>
                <w:color w:val="auto"/>
              </w:rPr>
            </w:pPr>
            <w:r>
              <w:rPr>
                <w:rFonts w:ascii="Arial" w:cs="Arial" w:eastAsia="Arial" w:hAnsi="Arial"/>
                <w:sz w:val="16"/>
                <w:szCs w:val="16"/>
                <w:color w:val="074A75"/>
              </w:rPr>
              <w:t>Year</w:t>
            </w:r>
          </w:p>
        </w:tc>
        <w:tc>
          <w:tcPr>
            <w:tcW w:w="1140" w:type="dxa"/>
            <w:vAlign w:val="bottom"/>
            <w:tcBorders>
              <w:bottom w:val="single" w:sz="8" w:color="454545"/>
            </w:tcBorders>
          </w:tcPr>
          <w:p>
            <w:pPr>
              <w:jc w:val="right"/>
              <w:ind w:right="87"/>
              <w:spacing w:after="0" w:line="217" w:lineRule="exact"/>
              <w:rPr>
                <w:sz w:val="20"/>
                <w:szCs w:val="20"/>
                <w:color w:val="auto"/>
              </w:rPr>
            </w:pPr>
            <w:r>
              <w:rPr>
                <w:rFonts w:ascii="Arial" w:cs="Arial" w:eastAsia="Arial" w:hAnsi="Arial"/>
                <w:sz w:val="16"/>
                <w:szCs w:val="16"/>
                <w:color w:val="074A75"/>
              </w:rPr>
              <w:t>Salary ($)</w:t>
            </w:r>
            <w:r>
              <w:rPr>
                <w:rFonts w:ascii="Arial" w:cs="Arial" w:eastAsia="Arial" w:hAnsi="Arial"/>
                <w:sz w:val="21"/>
                <w:szCs w:val="21"/>
                <w:color w:val="074A75"/>
                <w:vertAlign w:val="superscript"/>
              </w:rPr>
              <w:t>1</w:t>
            </w:r>
          </w:p>
        </w:tc>
        <w:tc>
          <w:tcPr>
            <w:tcW w:w="280" w:type="dxa"/>
            <w:vAlign w:val="bottom"/>
            <w:tcBorders>
              <w:bottom w:val="single" w:sz="8" w:color="454545"/>
            </w:tcBorders>
          </w:tcPr>
          <w:p>
            <w:pPr>
              <w:spacing w:after="0"/>
              <w:rPr>
                <w:sz w:val="18"/>
                <w:szCs w:val="18"/>
                <w:color w:val="auto"/>
              </w:rPr>
            </w:pPr>
          </w:p>
        </w:tc>
        <w:tc>
          <w:tcPr>
            <w:tcW w:w="1240" w:type="dxa"/>
            <w:vAlign w:val="bottom"/>
            <w:tcBorders>
              <w:bottom w:val="single" w:sz="8" w:color="454545"/>
            </w:tcBorders>
          </w:tcPr>
          <w:p>
            <w:pPr>
              <w:jc w:val="right"/>
              <w:ind w:right="447"/>
              <w:spacing w:after="0" w:line="217" w:lineRule="exact"/>
              <w:rPr>
                <w:sz w:val="20"/>
                <w:szCs w:val="20"/>
                <w:color w:val="auto"/>
              </w:rPr>
            </w:pPr>
            <w:r>
              <w:rPr>
                <w:rFonts w:ascii="Arial" w:cs="Arial" w:eastAsia="Arial" w:hAnsi="Arial"/>
                <w:sz w:val="16"/>
                <w:szCs w:val="16"/>
                <w:color w:val="074A75"/>
              </w:rPr>
              <w:t>($)</w:t>
            </w:r>
            <w:r>
              <w:rPr>
                <w:rFonts w:ascii="Arial" w:cs="Arial" w:eastAsia="Arial" w:hAnsi="Arial"/>
                <w:sz w:val="21"/>
                <w:szCs w:val="21"/>
                <w:color w:val="074A75"/>
                <w:vertAlign w:val="superscript"/>
              </w:rPr>
              <w:t>2</w:t>
            </w:r>
          </w:p>
        </w:tc>
        <w:tc>
          <w:tcPr>
            <w:tcW w:w="1360" w:type="dxa"/>
            <w:vAlign w:val="bottom"/>
            <w:tcBorders>
              <w:bottom w:val="single" w:sz="8" w:color="454545"/>
            </w:tcBorders>
          </w:tcPr>
          <w:p>
            <w:pPr>
              <w:jc w:val="right"/>
              <w:ind w:right="187"/>
              <w:spacing w:after="0" w:line="217" w:lineRule="exact"/>
              <w:rPr>
                <w:sz w:val="20"/>
                <w:szCs w:val="20"/>
                <w:color w:val="auto"/>
              </w:rPr>
            </w:pPr>
            <w:r>
              <w:rPr>
                <w:rFonts w:ascii="Arial" w:cs="Arial" w:eastAsia="Arial" w:hAnsi="Arial"/>
                <w:sz w:val="16"/>
                <w:szCs w:val="16"/>
                <w:color w:val="074A75"/>
              </w:rPr>
              <w:t>awards ($)</w:t>
            </w:r>
            <w:r>
              <w:rPr>
                <w:rFonts w:ascii="Arial" w:cs="Arial" w:eastAsia="Arial" w:hAnsi="Arial"/>
                <w:sz w:val="21"/>
                <w:szCs w:val="21"/>
                <w:color w:val="074A75"/>
                <w:vertAlign w:val="superscript"/>
              </w:rPr>
              <w:t>3</w:t>
            </w:r>
          </w:p>
        </w:tc>
        <w:tc>
          <w:tcPr>
            <w:tcW w:w="1660" w:type="dxa"/>
            <w:vAlign w:val="bottom"/>
            <w:tcBorders>
              <w:bottom w:val="single" w:sz="8" w:color="454545"/>
            </w:tcBorders>
          </w:tcPr>
          <w:p>
            <w:pPr>
              <w:jc w:val="center"/>
              <w:spacing w:after="0" w:line="217" w:lineRule="exact"/>
              <w:rPr>
                <w:sz w:val="20"/>
                <w:szCs w:val="20"/>
                <w:color w:val="auto"/>
              </w:rPr>
            </w:pPr>
            <w:r>
              <w:rPr>
                <w:rFonts w:ascii="Arial" w:cs="Arial" w:eastAsia="Arial" w:hAnsi="Arial"/>
                <w:sz w:val="16"/>
                <w:szCs w:val="16"/>
                <w:color w:val="074A75"/>
                <w:w w:val="98"/>
              </w:rPr>
              <w:t>earnings ($)</w:t>
            </w:r>
            <w:r>
              <w:rPr>
                <w:rFonts w:ascii="Arial" w:cs="Arial" w:eastAsia="Arial" w:hAnsi="Arial"/>
                <w:sz w:val="21"/>
                <w:szCs w:val="21"/>
                <w:color w:val="074A75"/>
                <w:w w:val="98"/>
                <w:vertAlign w:val="superscript"/>
              </w:rPr>
              <w:t>4</w:t>
            </w:r>
          </w:p>
        </w:tc>
        <w:tc>
          <w:tcPr>
            <w:tcW w:w="1320" w:type="dxa"/>
            <w:vAlign w:val="bottom"/>
            <w:tcBorders>
              <w:bottom w:val="single" w:sz="8" w:color="454545"/>
            </w:tcBorders>
          </w:tcPr>
          <w:p>
            <w:pPr>
              <w:jc w:val="center"/>
              <w:spacing w:after="0" w:line="217" w:lineRule="exact"/>
              <w:rPr>
                <w:sz w:val="20"/>
                <w:szCs w:val="20"/>
                <w:color w:val="auto"/>
              </w:rPr>
            </w:pPr>
            <w:r>
              <w:rPr>
                <w:rFonts w:ascii="Arial" w:cs="Arial" w:eastAsia="Arial" w:hAnsi="Arial"/>
                <w:sz w:val="16"/>
                <w:szCs w:val="16"/>
                <w:color w:val="074A75"/>
                <w:w w:val="87"/>
              </w:rPr>
              <w:t>($)</w:t>
            </w:r>
            <w:r>
              <w:rPr>
                <w:rFonts w:ascii="Arial" w:cs="Arial" w:eastAsia="Arial" w:hAnsi="Arial"/>
                <w:sz w:val="21"/>
                <w:szCs w:val="21"/>
                <w:color w:val="074A75"/>
                <w:w w:val="87"/>
                <w:vertAlign w:val="superscript"/>
              </w:rPr>
              <w:t>5</w:t>
            </w:r>
          </w:p>
        </w:tc>
        <w:tc>
          <w:tcPr>
            <w:tcW w:w="260" w:type="dxa"/>
            <w:vAlign w:val="bottom"/>
            <w:tcBorders>
              <w:bottom w:val="single" w:sz="8" w:color="454545"/>
            </w:tcBorders>
          </w:tcPr>
          <w:p>
            <w:pPr>
              <w:spacing w:after="0"/>
              <w:rPr>
                <w:sz w:val="18"/>
                <w:szCs w:val="18"/>
                <w:color w:val="auto"/>
              </w:rPr>
            </w:pPr>
          </w:p>
        </w:tc>
        <w:tc>
          <w:tcPr>
            <w:tcW w:w="1400" w:type="dxa"/>
            <w:vAlign w:val="bottom"/>
            <w:tcBorders>
              <w:bottom w:val="single" w:sz="8" w:color="454545"/>
            </w:tcBorders>
          </w:tcPr>
          <w:p>
            <w:pPr>
              <w:jc w:val="right"/>
              <w:ind w:right="247"/>
              <w:spacing w:after="0"/>
              <w:rPr>
                <w:sz w:val="20"/>
                <w:szCs w:val="20"/>
                <w:color w:val="auto"/>
              </w:rPr>
            </w:pPr>
            <w:r>
              <w:rPr>
                <w:rFonts w:ascii="Arial" w:cs="Arial" w:eastAsia="Arial" w:hAnsi="Arial"/>
                <w:sz w:val="16"/>
                <w:szCs w:val="16"/>
                <w:color w:val="074A75"/>
              </w:rPr>
              <w:t>Total ($)</w:t>
            </w:r>
          </w:p>
        </w:tc>
        <w:tc>
          <w:tcPr>
            <w:tcW w:w="0" w:type="dxa"/>
            <w:vAlign w:val="bottom"/>
          </w:tcPr>
          <w:p>
            <w:pPr>
              <w:spacing w:after="0"/>
              <w:rPr>
                <w:sz w:val="1"/>
                <w:szCs w:val="1"/>
                <w:color w:val="auto"/>
              </w:rPr>
            </w:pPr>
          </w:p>
        </w:tc>
      </w:tr>
      <w:tr>
        <w:trPr>
          <w:trHeight w:val="187"/>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James Dimon</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   1,500,000</w:t>
            </w:r>
          </w:p>
        </w:tc>
        <w:tc>
          <w:tcPr>
            <w:tcW w:w="280" w:type="dxa"/>
            <w:vAlign w:val="bottom"/>
          </w:tcPr>
          <w:p>
            <w:pPr>
              <w:spacing w:after="0"/>
              <w:rPr>
                <w:sz w:val="16"/>
                <w:szCs w:val="16"/>
                <w:color w:val="auto"/>
              </w:rPr>
            </w:pPr>
          </w:p>
        </w:tc>
        <w:tc>
          <w:tcPr>
            <w:tcW w:w="1240" w:type="dxa"/>
            <w:vAlign w:val="bottom"/>
          </w:tcPr>
          <w:p>
            <w:pPr>
              <w:jc w:val="right"/>
              <w:ind w:right="107"/>
              <w:spacing w:after="0"/>
              <w:rPr>
                <w:sz w:val="20"/>
                <w:szCs w:val="20"/>
                <w:color w:val="auto"/>
              </w:rPr>
            </w:pPr>
            <w:r>
              <w:rPr>
                <w:rFonts w:ascii="Arial" w:cs="Arial" w:eastAsia="Arial" w:hAnsi="Arial"/>
                <w:sz w:val="14"/>
                <w:szCs w:val="14"/>
                <w:color w:val="auto"/>
              </w:rPr>
              <w:t>$   5,000,000</w:t>
            </w:r>
          </w:p>
        </w:tc>
        <w:tc>
          <w:tcPr>
            <w:tcW w:w="1360" w:type="dxa"/>
            <w:vAlign w:val="bottom"/>
          </w:tcPr>
          <w:p>
            <w:pPr>
              <w:jc w:val="right"/>
              <w:ind w:right="47"/>
              <w:spacing w:after="0"/>
              <w:rPr>
                <w:sz w:val="20"/>
                <w:szCs w:val="20"/>
                <w:color w:val="auto"/>
              </w:rPr>
            </w:pPr>
            <w:r>
              <w:rPr>
                <w:rFonts w:ascii="Arial" w:cs="Arial" w:eastAsia="Arial" w:hAnsi="Arial"/>
                <w:sz w:val="14"/>
                <w:szCs w:val="14"/>
                <w:color w:val="auto"/>
              </w:rPr>
              <w:t>$   25,000,000</w:t>
            </w:r>
          </w:p>
        </w:tc>
        <w:tc>
          <w:tcPr>
            <w:tcW w:w="1660" w:type="dxa"/>
            <w:vAlign w:val="bottom"/>
          </w:tcPr>
          <w:p>
            <w:pPr>
              <w:jc w:val="right"/>
              <w:ind w:right="125"/>
              <w:spacing w:after="0"/>
              <w:rPr>
                <w:sz w:val="20"/>
                <w:szCs w:val="20"/>
                <w:color w:val="auto"/>
              </w:rPr>
            </w:pPr>
            <w:r>
              <w:rPr>
                <w:rFonts w:ascii="Arial" w:cs="Arial" w:eastAsia="Arial" w:hAnsi="Arial"/>
                <w:sz w:val="14"/>
                <w:szCs w:val="14"/>
                <w:color w:val="auto"/>
              </w:rPr>
              <w:t>$  21,845</w:t>
            </w:r>
          </w:p>
        </w:tc>
        <w:tc>
          <w:tcPr>
            <w:tcW w:w="1320" w:type="dxa"/>
            <w:vAlign w:val="bottom"/>
          </w:tcPr>
          <w:p>
            <w:pPr>
              <w:jc w:val="right"/>
              <w:spacing w:after="0"/>
              <w:rPr>
                <w:sz w:val="20"/>
                <w:szCs w:val="20"/>
                <w:color w:val="auto"/>
              </w:rPr>
            </w:pPr>
            <w:r>
              <w:rPr>
                <w:rFonts w:ascii="Arial" w:cs="Arial" w:eastAsia="Arial" w:hAnsi="Arial"/>
                <w:sz w:val="14"/>
                <w:szCs w:val="14"/>
                <w:color w:val="auto"/>
              </w:rPr>
              <w:t>$   142,709</w:t>
            </w:r>
          </w:p>
        </w:tc>
        <w:tc>
          <w:tcPr>
            <w:tcW w:w="260" w:type="dxa"/>
            <w:vAlign w:val="bottom"/>
          </w:tcPr>
          <w:p>
            <w:pPr>
              <w:ind w:left="20"/>
              <w:spacing w:after="0"/>
              <w:rPr>
                <w:sz w:val="20"/>
                <w:szCs w:val="20"/>
                <w:color w:val="auto"/>
              </w:rPr>
            </w:pPr>
            <w:r>
              <w:rPr>
                <w:rFonts w:ascii="Arial" w:cs="Arial" w:eastAsia="Arial" w:hAnsi="Arial"/>
                <w:sz w:val="9"/>
                <w:szCs w:val="9"/>
                <w:color w:val="auto"/>
              </w:rPr>
              <w:t>6</w:t>
            </w:r>
          </w:p>
        </w:tc>
        <w:tc>
          <w:tcPr>
            <w:tcW w:w="1400" w:type="dxa"/>
            <w:vAlign w:val="bottom"/>
          </w:tcPr>
          <w:p>
            <w:pPr>
              <w:jc w:val="right"/>
              <w:spacing w:after="0"/>
              <w:rPr>
                <w:sz w:val="20"/>
                <w:szCs w:val="20"/>
                <w:color w:val="auto"/>
              </w:rPr>
            </w:pPr>
            <w:r>
              <w:rPr>
                <w:rFonts w:ascii="Arial" w:cs="Arial" w:eastAsia="Arial" w:hAnsi="Arial"/>
                <w:sz w:val="14"/>
                <w:szCs w:val="14"/>
                <w:color w:val="auto"/>
              </w:rPr>
              <w:t>$   31,664,554</w:t>
            </w: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Chairman and CEO</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2019</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5,000,000</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24,500,000</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34,370</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578,246</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31,612,616</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780" w:type="dxa"/>
            <w:vAlign w:val="bottom"/>
            <w:tcBorders>
              <w:bottom w:val="single" w:sz="8" w:color="454545"/>
            </w:tcBorders>
          </w:tcPr>
          <w:p>
            <w:pPr>
              <w:spacing w:after="0"/>
              <w:rPr>
                <w:sz w:val="19"/>
                <w:szCs w:val="19"/>
                <w:color w:val="auto"/>
              </w:rPr>
            </w:pPr>
          </w:p>
        </w:tc>
        <w:tc>
          <w:tcPr>
            <w:tcW w:w="800" w:type="dxa"/>
            <w:vAlign w:val="bottom"/>
            <w:tcBorders>
              <w:bottom w:val="single" w:sz="8" w:color="454545"/>
            </w:tcBorders>
          </w:tcPr>
          <w:p>
            <w:pPr>
              <w:jc w:val="right"/>
              <w:ind w:right="67"/>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454545"/>
            </w:tcBorders>
          </w:tcPr>
          <w:p>
            <w:pPr>
              <w:jc w:val="right"/>
              <w:ind w:right="7"/>
              <w:spacing w:after="0"/>
              <w:rPr>
                <w:sz w:val="20"/>
                <w:szCs w:val="20"/>
                <w:color w:val="auto"/>
              </w:rPr>
            </w:pPr>
            <w:r>
              <w:rPr>
                <w:rFonts w:ascii="Arial" w:cs="Arial" w:eastAsia="Arial" w:hAnsi="Arial"/>
                <w:sz w:val="14"/>
                <w:szCs w:val="14"/>
                <w:color w:val="auto"/>
              </w:rPr>
              <w:t>1,500,000</w:t>
            </w:r>
          </w:p>
        </w:tc>
        <w:tc>
          <w:tcPr>
            <w:tcW w:w="280" w:type="dxa"/>
            <w:vAlign w:val="bottom"/>
            <w:tcBorders>
              <w:bottom w:val="single" w:sz="8" w:color="454545"/>
            </w:tcBorders>
          </w:tcPr>
          <w:p>
            <w:pPr>
              <w:spacing w:after="0"/>
              <w:rPr>
                <w:sz w:val="19"/>
                <w:szCs w:val="19"/>
                <w:color w:val="auto"/>
              </w:rPr>
            </w:pPr>
          </w:p>
        </w:tc>
        <w:tc>
          <w:tcPr>
            <w:tcW w:w="1240" w:type="dxa"/>
            <w:vAlign w:val="bottom"/>
            <w:tcBorders>
              <w:bottom w:val="single" w:sz="8" w:color="454545"/>
            </w:tcBorders>
          </w:tcPr>
          <w:p>
            <w:pPr>
              <w:jc w:val="right"/>
              <w:ind w:right="107"/>
              <w:spacing w:after="0"/>
              <w:rPr>
                <w:sz w:val="20"/>
                <w:szCs w:val="20"/>
                <w:color w:val="auto"/>
              </w:rPr>
            </w:pPr>
            <w:r>
              <w:rPr>
                <w:rFonts w:ascii="Arial" w:cs="Arial" w:eastAsia="Arial" w:hAnsi="Arial"/>
                <w:sz w:val="14"/>
                <w:szCs w:val="14"/>
                <w:color w:val="auto"/>
              </w:rPr>
              <w:t>5,000,000</w:t>
            </w:r>
          </w:p>
        </w:tc>
        <w:tc>
          <w:tcPr>
            <w:tcW w:w="1360" w:type="dxa"/>
            <w:vAlign w:val="bottom"/>
            <w:tcBorders>
              <w:bottom w:val="single" w:sz="8" w:color="454545"/>
            </w:tcBorders>
          </w:tcPr>
          <w:p>
            <w:pPr>
              <w:jc w:val="right"/>
              <w:ind w:right="47"/>
              <w:spacing w:after="0"/>
              <w:rPr>
                <w:sz w:val="20"/>
                <w:szCs w:val="20"/>
                <w:color w:val="auto"/>
              </w:rPr>
            </w:pPr>
            <w:r>
              <w:rPr>
                <w:rFonts w:ascii="Arial" w:cs="Arial" w:eastAsia="Arial" w:hAnsi="Arial"/>
                <w:sz w:val="14"/>
                <w:szCs w:val="14"/>
                <w:color w:val="auto"/>
              </w:rPr>
              <w:t>23,000,000</w:t>
            </w:r>
          </w:p>
        </w:tc>
        <w:tc>
          <w:tcPr>
            <w:tcW w:w="1660" w:type="dxa"/>
            <w:vAlign w:val="bottom"/>
            <w:tcBorders>
              <w:bottom w:val="single" w:sz="8" w:color="454545"/>
            </w:tcBorders>
          </w:tcPr>
          <w:p>
            <w:pPr>
              <w:jc w:val="right"/>
              <w:ind w:right="125"/>
              <w:spacing w:after="0"/>
              <w:rPr>
                <w:sz w:val="20"/>
                <w:szCs w:val="20"/>
                <w:color w:val="auto"/>
              </w:rPr>
            </w:pPr>
            <w:r>
              <w:rPr>
                <w:rFonts w:ascii="Arial" w:cs="Arial" w:eastAsia="Arial" w:hAnsi="Arial"/>
                <w:sz w:val="14"/>
                <w:szCs w:val="14"/>
                <w:color w:val="auto"/>
              </w:rPr>
              <w:t>13,905</w:t>
            </w: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520,139</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7</w:t>
            </w:r>
          </w:p>
        </w:tc>
        <w:tc>
          <w:tcPr>
            <w:tcW w:w="14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30,034,044</w:t>
            </w: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Daniel Pinto</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8,240,290</w:t>
            </w:r>
          </w:p>
        </w:tc>
        <w:tc>
          <w:tcPr>
            <w:tcW w:w="280" w:type="dxa"/>
            <w:vAlign w:val="bottom"/>
          </w:tcPr>
          <w:p>
            <w:pPr>
              <w:jc w:val="right"/>
              <w:ind w:right="93"/>
              <w:spacing w:after="0"/>
              <w:rPr>
                <w:sz w:val="20"/>
                <w:szCs w:val="20"/>
                <w:color w:val="auto"/>
              </w:rPr>
            </w:pPr>
            <w:r>
              <w:rPr>
                <w:rFonts w:ascii="Arial" w:cs="Arial" w:eastAsia="Arial" w:hAnsi="Arial"/>
                <w:sz w:val="9"/>
                <w:szCs w:val="9"/>
                <w:color w:val="auto"/>
              </w:rPr>
              <w:t>8</w:t>
            </w:r>
          </w:p>
        </w:tc>
        <w:tc>
          <w:tcPr>
            <w:tcW w:w="124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7"/>
              <w:spacing w:after="0"/>
              <w:rPr>
                <w:sz w:val="20"/>
                <w:szCs w:val="20"/>
                <w:color w:val="auto"/>
              </w:rPr>
            </w:pPr>
            <w:r>
              <w:rPr>
                <w:rFonts w:ascii="Arial" w:cs="Arial" w:eastAsia="Arial" w:hAnsi="Arial"/>
                <w:sz w:val="14"/>
                <w:szCs w:val="14"/>
                <w:color w:val="auto"/>
              </w:rPr>
              <w:t>14,260,778</w:t>
            </w:r>
          </w:p>
        </w:tc>
        <w:tc>
          <w:tcPr>
            <w:tcW w:w="1660" w:type="dxa"/>
            <w:vAlign w:val="bottom"/>
          </w:tcPr>
          <w:p>
            <w:pPr>
              <w:jc w:val="right"/>
              <w:ind w:right="125"/>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46,118</w:t>
            </w:r>
          </w:p>
        </w:tc>
        <w:tc>
          <w:tcPr>
            <w:tcW w:w="260" w:type="dxa"/>
            <w:vAlign w:val="bottom"/>
          </w:tcPr>
          <w:p>
            <w:pPr>
              <w:ind w:left="20"/>
              <w:spacing w:after="0"/>
              <w:rPr>
                <w:sz w:val="20"/>
                <w:szCs w:val="20"/>
                <w:color w:val="auto"/>
              </w:rPr>
            </w:pPr>
            <w:r>
              <w:rPr>
                <w:rFonts w:ascii="Arial" w:cs="Arial" w:eastAsia="Arial" w:hAnsi="Arial"/>
                <w:sz w:val="9"/>
                <w:szCs w:val="9"/>
                <w:color w:val="auto"/>
              </w:rPr>
              <w:t>9</w:t>
            </w:r>
          </w:p>
        </w:tc>
        <w:tc>
          <w:tcPr>
            <w:tcW w:w="1400" w:type="dxa"/>
            <w:vAlign w:val="bottom"/>
          </w:tcPr>
          <w:p>
            <w:pPr>
              <w:jc w:val="right"/>
              <w:spacing w:after="0"/>
              <w:rPr>
                <w:sz w:val="20"/>
                <w:szCs w:val="20"/>
                <w:color w:val="auto"/>
              </w:rPr>
            </w:pPr>
            <w:r>
              <w:rPr>
                <w:rFonts w:ascii="Arial" w:cs="Arial" w:eastAsia="Arial" w:hAnsi="Arial"/>
                <w:sz w:val="14"/>
                <w:szCs w:val="14"/>
                <w:color w:val="auto"/>
              </w:rPr>
              <w:t>22,547,186</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Co-President and Co-</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2019</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8,239,222</w:t>
            </w:r>
          </w:p>
        </w:tc>
        <w:tc>
          <w:tcPr>
            <w:tcW w:w="28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13,723,974</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72,246</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22,035,442</w:t>
            </w:r>
          </w:p>
        </w:tc>
        <w:tc>
          <w:tcPr>
            <w:tcW w:w="0" w:type="dxa"/>
            <w:vAlign w:val="bottom"/>
          </w:tcPr>
          <w:p>
            <w:pPr>
              <w:spacing w:after="0"/>
              <w:rPr>
                <w:sz w:val="1"/>
                <w:szCs w:val="1"/>
                <w:color w:val="auto"/>
              </w:rPr>
            </w:pPr>
          </w:p>
        </w:tc>
      </w:tr>
      <w:tr>
        <w:trPr>
          <w:trHeight w:val="64"/>
        </w:trPr>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COO; CEO CIB</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2018</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8,276,026</w:t>
            </w:r>
          </w:p>
        </w:tc>
        <w:tc>
          <w:tcPr>
            <w:tcW w:w="280" w:type="dxa"/>
            <w:vAlign w:val="bottom"/>
          </w:tcPr>
          <w:p>
            <w:pPr>
              <w:spacing w:after="0"/>
              <w:rPr>
                <w:sz w:val="9"/>
                <w:szCs w:val="9"/>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12,761,372</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68,548</w:t>
            </w:r>
          </w:p>
        </w:tc>
        <w:tc>
          <w:tcPr>
            <w:tcW w:w="26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21,105,946</w:t>
            </w:r>
          </w:p>
        </w:tc>
        <w:tc>
          <w:tcPr>
            <w:tcW w:w="0" w:type="dxa"/>
            <w:vAlign w:val="bottom"/>
          </w:tcPr>
          <w:p>
            <w:pPr>
              <w:spacing w:after="0"/>
              <w:rPr>
                <w:sz w:val="1"/>
                <w:szCs w:val="1"/>
                <w:color w:val="auto"/>
              </w:rPr>
            </w:pPr>
          </w:p>
        </w:tc>
      </w:tr>
      <w:tr>
        <w:trPr>
          <w:trHeight w:val="114"/>
        </w:trPr>
        <w:tc>
          <w:tcPr>
            <w:tcW w:w="1780" w:type="dxa"/>
            <w:vAlign w:val="bottom"/>
            <w:tcBorders>
              <w:bottom w:val="single" w:sz="8" w:color="454545"/>
            </w:tcBorders>
          </w:tcPr>
          <w:p>
            <w:pPr>
              <w:spacing w:after="0"/>
              <w:rPr>
                <w:sz w:val="9"/>
                <w:szCs w:val="9"/>
                <w:color w:val="auto"/>
              </w:rPr>
            </w:pPr>
          </w:p>
        </w:tc>
        <w:tc>
          <w:tcPr>
            <w:tcW w:w="800" w:type="dxa"/>
            <w:vAlign w:val="bottom"/>
            <w:tcBorders>
              <w:bottom w:val="single" w:sz="8" w:color="454545"/>
            </w:tcBorders>
            <w:vMerge w:val="continue"/>
          </w:tcPr>
          <w:p>
            <w:pPr>
              <w:spacing w:after="0"/>
              <w:rPr>
                <w:sz w:val="9"/>
                <w:szCs w:val="9"/>
                <w:color w:val="auto"/>
              </w:rPr>
            </w:pPr>
          </w:p>
        </w:tc>
        <w:tc>
          <w:tcPr>
            <w:tcW w:w="1140" w:type="dxa"/>
            <w:vAlign w:val="bottom"/>
            <w:tcBorders>
              <w:bottom w:val="single" w:sz="8" w:color="454545"/>
            </w:tcBorders>
            <w:vMerge w:val="continue"/>
          </w:tcPr>
          <w:p>
            <w:pPr>
              <w:spacing w:after="0"/>
              <w:rPr>
                <w:sz w:val="9"/>
                <w:szCs w:val="9"/>
                <w:color w:val="auto"/>
              </w:rPr>
            </w:pPr>
          </w:p>
        </w:tc>
        <w:tc>
          <w:tcPr>
            <w:tcW w:w="280" w:type="dxa"/>
            <w:vAlign w:val="bottom"/>
            <w:tcBorders>
              <w:bottom w:val="single" w:sz="8" w:color="454545"/>
            </w:tcBorders>
          </w:tcPr>
          <w:p>
            <w:pPr>
              <w:spacing w:after="0"/>
              <w:rPr>
                <w:sz w:val="9"/>
                <w:szCs w:val="9"/>
                <w:color w:val="auto"/>
              </w:rPr>
            </w:pPr>
          </w:p>
        </w:tc>
        <w:tc>
          <w:tcPr>
            <w:tcW w:w="1240" w:type="dxa"/>
            <w:vAlign w:val="bottom"/>
            <w:tcBorders>
              <w:bottom w:val="single" w:sz="8" w:color="454545"/>
            </w:tcBorders>
            <w:vMerge w:val="continue"/>
          </w:tcPr>
          <w:p>
            <w:pPr>
              <w:spacing w:after="0"/>
              <w:rPr>
                <w:sz w:val="9"/>
                <w:szCs w:val="9"/>
                <w:color w:val="auto"/>
              </w:rPr>
            </w:pPr>
          </w:p>
        </w:tc>
        <w:tc>
          <w:tcPr>
            <w:tcW w:w="1360" w:type="dxa"/>
            <w:vAlign w:val="bottom"/>
            <w:tcBorders>
              <w:bottom w:val="single" w:sz="8" w:color="454545"/>
            </w:tcBorders>
            <w:vMerge w:val="continue"/>
          </w:tcPr>
          <w:p>
            <w:pPr>
              <w:spacing w:after="0"/>
              <w:rPr>
                <w:sz w:val="9"/>
                <w:szCs w:val="9"/>
                <w:color w:val="auto"/>
              </w:rPr>
            </w:pPr>
          </w:p>
        </w:tc>
        <w:tc>
          <w:tcPr>
            <w:tcW w:w="1660" w:type="dxa"/>
            <w:vAlign w:val="bottom"/>
            <w:tcBorders>
              <w:bottom w:val="single" w:sz="8" w:color="454545"/>
            </w:tcBorders>
            <w:vMerge w:val="continue"/>
          </w:tcPr>
          <w:p>
            <w:pPr>
              <w:spacing w:after="0"/>
              <w:rPr>
                <w:sz w:val="9"/>
                <w:szCs w:val="9"/>
                <w:color w:val="auto"/>
              </w:rPr>
            </w:pPr>
          </w:p>
        </w:tc>
        <w:tc>
          <w:tcPr>
            <w:tcW w:w="1320" w:type="dxa"/>
            <w:vAlign w:val="bottom"/>
            <w:tcBorders>
              <w:bottom w:val="single" w:sz="8" w:color="454545"/>
            </w:tcBorders>
            <w:vMerge w:val="continue"/>
          </w:tcPr>
          <w:p>
            <w:pPr>
              <w:spacing w:after="0"/>
              <w:rPr>
                <w:sz w:val="9"/>
                <w:szCs w:val="9"/>
                <w:color w:val="auto"/>
              </w:rPr>
            </w:pPr>
          </w:p>
        </w:tc>
        <w:tc>
          <w:tcPr>
            <w:tcW w:w="260" w:type="dxa"/>
            <w:vAlign w:val="bottom"/>
            <w:tcBorders>
              <w:bottom w:val="single" w:sz="8" w:color="454545"/>
            </w:tcBorders>
          </w:tcPr>
          <w:p>
            <w:pPr>
              <w:spacing w:after="0"/>
              <w:rPr>
                <w:sz w:val="9"/>
                <w:szCs w:val="9"/>
                <w:color w:val="auto"/>
              </w:rPr>
            </w:pPr>
          </w:p>
        </w:tc>
        <w:tc>
          <w:tcPr>
            <w:tcW w:w="1400" w:type="dxa"/>
            <w:vAlign w:val="bottom"/>
            <w:tcBorders>
              <w:bottom w:val="single" w:sz="8" w:color="45454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Gordon Smith</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6"/>
                <w:szCs w:val="16"/>
                <w:color w:val="auto"/>
              </w:rPr>
            </w:pPr>
          </w:p>
        </w:tc>
        <w:tc>
          <w:tcPr>
            <w:tcW w:w="1240" w:type="dxa"/>
            <w:vAlign w:val="bottom"/>
          </w:tcPr>
          <w:p>
            <w:pPr>
              <w:jc w:val="right"/>
              <w:ind w:right="107"/>
              <w:spacing w:after="0"/>
              <w:rPr>
                <w:sz w:val="20"/>
                <w:szCs w:val="20"/>
                <w:color w:val="auto"/>
              </w:rPr>
            </w:pPr>
            <w:r>
              <w:rPr>
                <w:rFonts w:ascii="Arial" w:cs="Arial" w:eastAsia="Arial" w:hAnsi="Arial"/>
                <w:sz w:val="14"/>
                <w:szCs w:val="14"/>
                <w:color w:val="auto"/>
              </w:rPr>
              <w:t>8,700,000</w:t>
            </w:r>
          </w:p>
        </w:tc>
        <w:tc>
          <w:tcPr>
            <w:tcW w:w="1360" w:type="dxa"/>
            <w:vAlign w:val="bottom"/>
          </w:tcPr>
          <w:p>
            <w:pPr>
              <w:jc w:val="right"/>
              <w:ind w:right="47"/>
              <w:spacing w:after="0"/>
              <w:rPr>
                <w:sz w:val="20"/>
                <w:szCs w:val="20"/>
                <w:color w:val="auto"/>
              </w:rPr>
            </w:pPr>
            <w:r>
              <w:rPr>
                <w:rFonts w:ascii="Arial" w:cs="Arial" w:eastAsia="Arial" w:hAnsi="Arial"/>
                <w:sz w:val="14"/>
                <w:szCs w:val="14"/>
                <w:color w:val="auto"/>
              </w:rPr>
              <w:t>13,050,000</w:t>
            </w:r>
          </w:p>
        </w:tc>
        <w:tc>
          <w:tcPr>
            <w:tcW w:w="1660" w:type="dxa"/>
            <w:vAlign w:val="bottom"/>
          </w:tcPr>
          <w:p>
            <w:pPr>
              <w:jc w:val="right"/>
              <w:ind w:right="125"/>
              <w:spacing w:after="0"/>
              <w:rPr>
                <w:sz w:val="20"/>
                <w:szCs w:val="20"/>
                <w:color w:val="auto"/>
              </w:rPr>
            </w:pPr>
            <w:r>
              <w:rPr>
                <w:rFonts w:ascii="Arial" w:cs="Arial" w:eastAsia="Arial" w:hAnsi="Arial"/>
                <w:sz w:val="14"/>
                <w:szCs w:val="14"/>
                <w:color w:val="auto"/>
              </w:rPr>
              <w:t>4,135</w:t>
            </w:r>
          </w:p>
        </w:tc>
        <w:tc>
          <w:tcPr>
            <w:tcW w:w="1320" w:type="dxa"/>
            <w:vAlign w:val="bottom"/>
          </w:tcPr>
          <w:p>
            <w:pPr>
              <w:jc w:val="right"/>
              <w:spacing w:after="0"/>
              <w:rPr>
                <w:sz w:val="20"/>
                <w:szCs w:val="20"/>
                <w:color w:val="auto"/>
              </w:rPr>
            </w:pPr>
            <w:r>
              <w:rPr>
                <w:rFonts w:ascii="Arial" w:cs="Arial" w:eastAsia="Arial" w:hAnsi="Arial"/>
                <w:sz w:val="14"/>
                <w:szCs w:val="14"/>
                <w:color w:val="auto"/>
              </w:rPr>
              <w:t>4,000</w:t>
            </w:r>
          </w:p>
        </w:tc>
        <w:tc>
          <w:tcPr>
            <w:tcW w:w="260" w:type="dxa"/>
            <w:vAlign w:val="bottom"/>
          </w:tcPr>
          <w:p>
            <w:pPr>
              <w:ind w:left="20"/>
              <w:spacing w:after="0"/>
              <w:rPr>
                <w:sz w:val="20"/>
                <w:szCs w:val="20"/>
                <w:color w:val="auto"/>
              </w:rPr>
            </w:pPr>
            <w:r>
              <w:rPr>
                <w:rFonts w:ascii="Arial" w:cs="Arial" w:eastAsia="Arial" w:hAnsi="Arial"/>
                <w:sz w:val="9"/>
                <w:szCs w:val="9"/>
                <w:color w:val="auto"/>
              </w:rPr>
              <w:t>10</w:t>
            </w:r>
          </w:p>
        </w:tc>
        <w:tc>
          <w:tcPr>
            <w:tcW w:w="1400" w:type="dxa"/>
            <w:vAlign w:val="bottom"/>
          </w:tcPr>
          <w:p>
            <w:pPr>
              <w:jc w:val="right"/>
              <w:spacing w:after="0"/>
              <w:rPr>
                <w:sz w:val="20"/>
                <w:szCs w:val="20"/>
                <w:color w:val="auto"/>
              </w:rPr>
            </w:pPr>
            <w:r>
              <w:rPr>
                <w:rFonts w:ascii="Arial" w:cs="Arial" w:eastAsia="Arial" w:hAnsi="Arial"/>
                <w:sz w:val="14"/>
                <w:szCs w:val="14"/>
                <w:color w:val="auto"/>
              </w:rPr>
              <w:t>22,508,135</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Co-President and Co-</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2019</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8,700,000</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12,750,000</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9,071</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22,209,071</w:t>
            </w:r>
          </w:p>
        </w:tc>
        <w:tc>
          <w:tcPr>
            <w:tcW w:w="0" w:type="dxa"/>
            <w:vAlign w:val="bottom"/>
          </w:tcPr>
          <w:p>
            <w:pPr>
              <w:spacing w:after="0"/>
              <w:rPr>
                <w:sz w:val="1"/>
                <w:szCs w:val="1"/>
                <w:color w:val="auto"/>
              </w:rPr>
            </w:pPr>
          </w:p>
        </w:tc>
      </w:tr>
      <w:tr>
        <w:trPr>
          <w:trHeight w:val="64"/>
        </w:trPr>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COO; CEO CCB</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2018</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9"/>
                <w:szCs w:val="9"/>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8,500,000</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11,550,000</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4,089</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20,804,089</w:t>
            </w:r>
          </w:p>
        </w:tc>
        <w:tc>
          <w:tcPr>
            <w:tcW w:w="0" w:type="dxa"/>
            <w:vAlign w:val="bottom"/>
          </w:tcPr>
          <w:p>
            <w:pPr>
              <w:spacing w:after="0"/>
              <w:rPr>
                <w:sz w:val="1"/>
                <w:szCs w:val="1"/>
                <w:color w:val="auto"/>
              </w:rPr>
            </w:pPr>
          </w:p>
        </w:tc>
      </w:tr>
      <w:tr>
        <w:trPr>
          <w:trHeight w:val="114"/>
        </w:trPr>
        <w:tc>
          <w:tcPr>
            <w:tcW w:w="1780" w:type="dxa"/>
            <w:vAlign w:val="bottom"/>
            <w:tcBorders>
              <w:bottom w:val="single" w:sz="8" w:color="454545"/>
            </w:tcBorders>
          </w:tcPr>
          <w:p>
            <w:pPr>
              <w:spacing w:after="0"/>
              <w:rPr>
                <w:sz w:val="9"/>
                <w:szCs w:val="9"/>
                <w:color w:val="auto"/>
              </w:rPr>
            </w:pPr>
          </w:p>
        </w:tc>
        <w:tc>
          <w:tcPr>
            <w:tcW w:w="800" w:type="dxa"/>
            <w:vAlign w:val="bottom"/>
            <w:tcBorders>
              <w:bottom w:val="single" w:sz="8" w:color="454545"/>
            </w:tcBorders>
            <w:vMerge w:val="continue"/>
          </w:tcPr>
          <w:p>
            <w:pPr>
              <w:spacing w:after="0"/>
              <w:rPr>
                <w:sz w:val="9"/>
                <w:szCs w:val="9"/>
                <w:color w:val="auto"/>
              </w:rPr>
            </w:pPr>
          </w:p>
        </w:tc>
        <w:tc>
          <w:tcPr>
            <w:tcW w:w="1140" w:type="dxa"/>
            <w:vAlign w:val="bottom"/>
            <w:tcBorders>
              <w:bottom w:val="single" w:sz="8" w:color="454545"/>
            </w:tcBorders>
            <w:vMerge w:val="continue"/>
          </w:tcPr>
          <w:p>
            <w:pPr>
              <w:spacing w:after="0"/>
              <w:rPr>
                <w:sz w:val="9"/>
                <w:szCs w:val="9"/>
                <w:color w:val="auto"/>
              </w:rPr>
            </w:pPr>
          </w:p>
        </w:tc>
        <w:tc>
          <w:tcPr>
            <w:tcW w:w="280" w:type="dxa"/>
            <w:vAlign w:val="bottom"/>
            <w:tcBorders>
              <w:bottom w:val="single" w:sz="8" w:color="454545"/>
            </w:tcBorders>
          </w:tcPr>
          <w:p>
            <w:pPr>
              <w:spacing w:after="0"/>
              <w:rPr>
                <w:sz w:val="9"/>
                <w:szCs w:val="9"/>
                <w:color w:val="auto"/>
              </w:rPr>
            </w:pPr>
          </w:p>
        </w:tc>
        <w:tc>
          <w:tcPr>
            <w:tcW w:w="1240" w:type="dxa"/>
            <w:vAlign w:val="bottom"/>
            <w:tcBorders>
              <w:bottom w:val="single" w:sz="8" w:color="454545"/>
            </w:tcBorders>
            <w:vMerge w:val="continue"/>
          </w:tcPr>
          <w:p>
            <w:pPr>
              <w:spacing w:after="0"/>
              <w:rPr>
                <w:sz w:val="9"/>
                <w:szCs w:val="9"/>
                <w:color w:val="auto"/>
              </w:rPr>
            </w:pPr>
          </w:p>
        </w:tc>
        <w:tc>
          <w:tcPr>
            <w:tcW w:w="1360" w:type="dxa"/>
            <w:vAlign w:val="bottom"/>
            <w:tcBorders>
              <w:bottom w:val="single" w:sz="8" w:color="454545"/>
            </w:tcBorders>
            <w:vMerge w:val="continue"/>
          </w:tcPr>
          <w:p>
            <w:pPr>
              <w:spacing w:after="0"/>
              <w:rPr>
                <w:sz w:val="9"/>
                <w:szCs w:val="9"/>
                <w:color w:val="auto"/>
              </w:rPr>
            </w:pPr>
          </w:p>
        </w:tc>
        <w:tc>
          <w:tcPr>
            <w:tcW w:w="1660" w:type="dxa"/>
            <w:vAlign w:val="bottom"/>
            <w:tcBorders>
              <w:bottom w:val="single" w:sz="8" w:color="454545"/>
            </w:tcBorders>
            <w:vMerge w:val="continue"/>
          </w:tcPr>
          <w:p>
            <w:pPr>
              <w:spacing w:after="0"/>
              <w:rPr>
                <w:sz w:val="9"/>
                <w:szCs w:val="9"/>
                <w:color w:val="auto"/>
              </w:rPr>
            </w:pPr>
          </w:p>
        </w:tc>
        <w:tc>
          <w:tcPr>
            <w:tcW w:w="1320" w:type="dxa"/>
            <w:vAlign w:val="bottom"/>
            <w:tcBorders>
              <w:bottom w:val="single" w:sz="8" w:color="454545"/>
            </w:tcBorders>
            <w:vMerge w:val="continue"/>
          </w:tcPr>
          <w:p>
            <w:pPr>
              <w:spacing w:after="0"/>
              <w:rPr>
                <w:sz w:val="9"/>
                <w:szCs w:val="9"/>
                <w:color w:val="auto"/>
              </w:rPr>
            </w:pPr>
          </w:p>
        </w:tc>
        <w:tc>
          <w:tcPr>
            <w:tcW w:w="260" w:type="dxa"/>
            <w:vAlign w:val="bottom"/>
            <w:tcBorders>
              <w:bottom w:val="single" w:sz="8" w:color="454545"/>
            </w:tcBorders>
          </w:tcPr>
          <w:p>
            <w:pPr>
              <w:spacing w:after="0"/>
              <w:rPr>
                <w:sz w:val="9"/>
                <w:szCs w:val="9"/>
                <w:color w:val="auto"/>
              </w:rPr>
            </w:pPr>
          </w:p>
        </w:tc>
        <w:tc>
          <w:tcPr>
            <w:tcW w:w="1400" w:type="dxa"/>
            <w:vAlign w:val="bottom"/>
            <w:tcBorders>
              <w:bottom w:val="single" w:sz="8" w:color="45454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Mary Callahan Erdoes</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6"/>
                <w:szCs w:val="16"/>
                <w:color w:val="auto"/>
              </w:rPr>
            </w:pPr>
          </w:p>
        </w:tc>
        <w:tc>
          <w:tcPr>
            <w:tcW w:w="1240" w:type="dxa"/>
            <w:vAlign w:val="bottom"/>
          </w:tcPr>
          <w:p>
            <w:pPr>
              <w:jc w:val="right"/>
              <w:ind w:right="107"/>
              <w:spacing w:after="0"/>
              <w:rPr>
                <w:sz w:val="20"/>
                <w:szCs w:val="20"/>
                <w:color w:val="auto"/>
              </w:rPr>
            </w:pPr>
            <w:r>
              <w:rPr>
                <w:rFonts w:ascii="Arial" w:cs="Arial" w:eastAsia="Arial" w:hAnsi="Arial"/>
                <w:sz w:val="14"/>
                <w:szCs w:val="14"/>
                <w:color w:val="auto"/>
              </w:rPr>
              <w:t>8,100,000</w:t>
            </w:r>
          </w:p>
        </w:tc>
        <w:tc>
          <w:tcPr>
            <w:tcW w:w="1360" w:type="dxa"/>
            <w:vAlign w:val="bottom"/>
          </w:tcPr>
          <w:p>
            <w:pPr>
              <w:jc w:val="right"/>
              <w:ind w:right="47"/>
              <w:spacing w:after="0"/>
              <w:rPr>
                <w:sz w:val="20"/>
                <w:szCs w:val="20"/>
                <w:color w:val="auto"/>
              </w:rPr>
            </w:pPr>
            <w:r>
              <w:rPr>
                <w:rFonts w:ascii="Arial" w:cs="Arial" w:eastAsia="Arial" w:hAnsi="Arial"/>
                <w:sz w:val="14"/>
                <w:szCs w:val="14"/>
                <w:color w:val="auto"/>
              </w:rPr>
              <w:t>12,150,000</w:t>
            </w:r>
          </w:p>
        </w:tc>
        <w:tc>
          <w:tcPr>
            <w:tcW w:w="1660" w:type="dxa"/>
            <w:vAlign w:val="bottom"/>
          </w:tcPr>
          <w:p>
            <w:pPr>
              <w:jc w:val="right"/>
              <w:ind w:right="125"/>
              <w:spacing w:after="0"/>
              <w:rPr>
                <w:sz w:val="20"/>
                <w:szCs w:val="20"/>
                <w:color w:val="auto"/>
              </w:rPr>
            </w:pPr>
            <w:r>
              <w:rPr>
                <w:rFonts w:ascii="Arial" w:cs="Arial" w:eastAsia="Arial" w:hAnsi="Arial"/>
                <w:sz w:val="14"/>
                <w:szCs w:val="14"/>
                <w:color w:val="auto"/>
              </w:rPr>
              <w:t>52,633</w:t>
            </w:r>
          </w:p>
        </w:tc>
        <w:tc>
          <w:tcPr>
            <w:tcW w:w="1320" w:type="dxa"/>
            <w:vAlign w:val="bottom"/>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Pr>
          <w:p>
            <w:pPr>
              <w:ind w:left="20"/>
              <w:spacing w:after="0"/>
              <w:rPr>
                <w:sz w:val="20"/>
                <w:szCs w:val="20"/>
                <w:color w:val="auto"/>
              </w:rPr>
            </w:pPr>
            <w:r>
              <w:rPr>
                <w:rFonts w:ascii="Arial" w:cs="Arial" w:eastAsia="Arial" w:hAnsi="Arial"/>
                <w:sz w:val="9"/>
                <w:szCs w:val="9"/>
                <w:color w:val="auto"/>
              </w:rPr>
              <w:t>11</w:t>
            </w:r>
          </w:p>
        </w:tc>
        <w:tc>
          <w:tcPr>
            <w:tcW w:w="1400" w:type="dxa"/>
            <w:vAlign w:val="bottom"/>
          </w:tcPr>
          <w:p>
            <w:pPr>
              <w:jc w:val="right"/>
              <w:spacing w:after="0"/>
              <w:rPr>
                <w:sz w:val="20"/>
                <w:szCs w:val="20"/>
                <w:color w:val="auto"/>
              </w:rPr>
            </w:pPr>
            <w:r>
              <w:rPr>
                <w:rFonts w:ascii="Arial" w:cs="Arial" w:eastAsia="Arial" w:hAnsi="Arial"/>
                <w:sz w:val="14"/>
                <w:szCs w:val="14"/>
                <w:color w:val="auto"/>
              </w:rPr>
              <w:t>21,057,633</w:t>
            </w: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CEO AWM</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2019</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8,100,000</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11,850,000</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54,269</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20,754,269</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780" w:type="dxa"/>
            <w:vAlign w:val="bottom"/>
            <w:tcBorders>
              <w:bottom w:val="single" w:sz="8" w:color="454545"/>
            </w:tcBorders>
          </w:tcPr>
          <w:p>
            <w:pPr>
              <w:spacing w:after="0"/>
              <w:rPr>
                <w:sz w:val="19"/>
                <w:szCs w:val="19"/>
                <w:color w:val="auto"/>
              </w:rPr>
            </w:pPr>
          </w:p>
        </w:tc>
        <w:tc>
          <w:tcPr>
            <w:tcW w:w="800" w:type="dxa"/>
            <w:vAlign w:val="bottom"/>
            <w:tcBorders>
              <w:bottom w:val="single" w:sz="8" w:color="454545"/>
            </w:tcBorders>
          </w:tcPr>
          <w:p>
            <w:pPr>
              <w:jc w:val="right"/>
              <w:ind w:right="67"/>
              <w:spacing w:after="0"/>
              <w:rPr>
                <w:sz w:val="20"/>
                <w:szCs w:val="20"/>
                <w:color w:val="auto"/>
              </w:rPr>
            </w:pPr>
            <w:r>
              <w:rPr>
                <w:rFonts w:ascii="Arial" w:cs="Arial" w:eastAsia="Arial" w:hAnsi="Arial"/>
                <w:sz w:val="14"/>
                <w:szCs w:val="14"/>
                <w:color w:val="auto"/>
              </w:rPr>
              <w:t>2018</w:t>
            </w:r>
          </w:p>
        </w:tc>
        <w:tc>
          <w:tcPr>
            <w:tcW w:w="1140" w:type="dxa"/>
            <w:vAlign w:val="bottom"/>
            <w:tcBorders>
              <w:bottom w:val="single" w:sz="8" w:color="454545"/>
            </w:tcBorders>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Borders>
              <w:bottom w:val="single" w:sz="8" w:color="454545"/>
            </w:tcBorders>
          </w:tcPr>
          <w:p>
            <w:pPr>
              <w:spacing w:after="0"/>
              <w:rPr>
                <w:sz w:val="19"/>
                <w:szCs w:val="19"/>
                <w:color w:val="auto"/>
              </w:rPr>
            </w:pPr>
          </w:p>
        </w:tc>
        <w:tc>
          <w:tcPr>
            <w:tcW w:w="1240" w:type="dxa"/>
            <w:vAlign w:val="bottom"/>
            <w:tcBorders>
              <w:bottom w:val="single" w:sz="8" w:color="454545"/>
            </w:tcBorders>
          </w:tcPr>
          <w:p>
            <w:pPr>
              <w:jc w:val="right"/>
              <w:ind w:right="107"/>
              <w:spacing w:after="0"/>
              <w:rPr>
                <w:sz w:val="20"/>
                <w:szCs w:val="20"/>
                <w:color w:val="auto"/>
              </w:rPr>
            </w:pPr>
            <w:r>
              <w:rPr>
                <w:rFonts w:ascii="Arial" w:cs="Arial" w:eastAsia="Arial" w:hAnsi="Arial"/>
                <w:sz w:val="14"/>
                <w:szCs w:val="14"/>
                <w:color w:val="auto"/>
              </w:rPr>
              <w:t>7,900,000</w:t>
            </w:r>
          </w:p>
        </w:tc>
        <w:tc>
          <w:tcPr>
            <w:tcW w:w="1360" w:type="dxa"/>
            <w:vAlign w:val="bottom"/>
            <w:tcBorders>
              <w:bottom w:val="single" w:sz="8" w:color="454545"/>
            </w:tcBorders>
          </w:tcPr>
          <w:p>
            <w:pPr>
              <w:jc w:val="right"/>
              <w:ind w:right="47"/>
              <w:spacing w:after="0"/>
              <w:rPr>
                <w:sz w:val="20"/>
                <w:szCs w:val="20"/>
                <w:color w:val="auto"/>
              </w:rPr>
            </w:pPr>
            <w:r>
              <w:rPr>
                <w:rFonts w:ascii="Arial" w:cs="Arial" w:eastAsia="Arial" w:hAnsi="Arial"/>
                <w:sz w:val="14"/>
                <w:szCs w:val="14"/>
                <w:color w:val="auto"/>
              </w:rPr>
              <w:t>11,250,000</w:t>
            </w:r>
          </w:p>
        </w:tc>
        <w:tc>
          <w:tcPr>
            <w:tcW w:w="1660" w:type="dxa"/>
            <w:vAlign w:val="bottom"/>
            <w:tcBorders>
              <w:bottom w:val="single" w:sz="8" w:color="454545"/>
            </w:tcBorders>
          </w:tcPr>
          <w:p>
            <w:pPr>
              <w:jc w:val="right"/>
              <w:ind w:right="125"/>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54545"/>
            </w:tcBorders>
          </w:tcPr>
          <w:p>
            <w:pPr>
              <w:spacing w:after="0"/>
              <w:rPr>
                <w:sz w:val="19"/>
                <w:szCs w:val="19"/>
                <w:color w:val="auto"/>
              </w:rPr>
            </w:pPr>
          </w:p>
        </w:tc>
        <w:tc>
          <w:tcPr>
            <w:tcW w:w="1400" w:type="dxa"/>
            <w:vAlign w:val="bottom"/>
            <w:tcBorders>
              <w:bottom w:val="single" w:sz="8" w:color="454545"/>
            </w:tcBorders>
          </w:tcPr>
          <w:p>
            <w:pPr>
              <w:jc w:val="right"/>
              <w:spacing w:after="0"/>
              <w:rPr>
                <w:sz w:val="20"/>
                <w:szCs w:val="20"/>
                <w:color w:val="auto"/>
              </w:rPr>
            </w:pPr>
            <w:r>
              <w:rPr>
                <w:rFonts w:ascii="Arial" w:cs="Arial" w:eastAsia="Arial" w:hAnsi="Arial"/>
                <w:sz w:val="14"/>
                <w:szCs w:val="14"/>
                <w:color w:val="auto"/>
              </w:rPr>
              <w:t>19,900,000</w:t>
            </w: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4"/>
                <w:szCs w:val="14"/>
                <w:b w:val="1"/>
                <w:bCs w:val="1"/>
                <w:color w:val="auto"/>
              </w:rPr>
              <w:t>Jennifer Piepszak</w:t>
            </w:r>
            <w:r>
              <w:rPr>
                <w:rFonts w:ascii="Arial" w:cs="Arial" w:eastAsia="Arial" w:hAnsi="Arial"/>
                <w:sz w:val="9"/>
                <w:szCs w:val="9"/>
                <w:b w:val="1"/>
                <w:bCs w:val="1"/>
                <w:color w:val="auto"/>
              </w:rPr>
              <w:t>12</w:t>
            </w:r>
          </w:p>
        </w:tc>
        <w:tc>
          <w:tcPr>
            <w:tcW w:w="800" w:type="dxa"/>
            <w:vAlign w:val="bottom"/>
          </w:tcPr>
          <w:p>
            <w:pPr>
              <w:jc w:val="right"/>
              <w:ind w:right="67"/>
              <w:spacing w:after="0"/>
              <w:rPr>
                <w:sz w:val="20"/>
                <w:szCs w:val="20"/>
                <w:color w:val="auto"/>
              </w:rPr>
            </w:pPr>
            <w:r>
              <w:rPr>
                <w:rFonts w:ascii="Arial" w:cs="Arial" w:eastAsia="Arial" w:hAnsi="Arial"/>
                <w:sz w:val="14"/>
                <w:szCs w:val="14"/>
                <w:color w:val="auto"/>
              </w:rPr>
              <w:t>2020</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6"/>
                <w:szCs w:val="16"/>
                <w:color w:val="auto"/>
              </w:rPr>
            </w:pPr>
          </w:p>
        </w:tc>
        <w:tc>
          <w:tcPr>
            <w:tcW w:w="1240" w:type="dxa"/>
            <w:vAlign w:val="bottom"/>
          </w:tcPr>
          <w:p>
            <w:pPr>
              <w:jc w:val="right"/>
              <w:ind w:right="107"/>
              <w:spacing w:after="0"/>
              <w:rPr>
                <w:sz w:val="20"/>
                <w:szCs w:val="20"/>
                <w:color w:val="auto"/>
              </w:rPr>
            </w:pPr>
            <w:r>
              <w:rPr>
                <w:rFonts w:ascii="Arial" w:cs="Arial" w:eastAsia="Arial" w:hAnsi="Arial"/>
                <w:sz w:val="14"/>
                <w:szCs w:val="14"/>
                <w:color w:val="auto"/>
              </w:rPr>
              <w:t>4,500,000</w:t>
            </w:r>
          </w:p>
        </w:tc>
        <w:tc>
          <w:tcPr>
            <w:tcW w:w="1360" w:type="dxa"/>
            <w:vAlign w:val="bottom"/>
          </w:tcPr>
          <w:p>
            <w:pPr>
              <w:jc w:val="right"/>
              <w:ind w:right="47"/>
              <w:spacing w:after="0"/>
              <w:rPr>
                <w:sz w:val="20"/>
                <w:szCs w:val="20"/>
                <w:color w:val="auto"/>
              </w:rPr>
            </w:pPr>
            <w:r>
              <w:rPr>
                <w:rFonts w:ascii="Arial" w:cs="Arial" w:eastAsia="Arial" w:hAnsi="Arial"/>
                <w:sz w:val="14"/>
                <w:szCs w:val="14"/>
                <w:color w:val="auto"/>
              </w:rPr>
              <w:t>5,600,000</w:t>
            </w:r>
          </w:p>
        </w:tc>
        <w:tc>
          <w:tcPr>
            <w:tcW w:w="1660" w:type="dxa"/>
            <w:vAlign w:val="bottom"/>
          </w:tcPr>
          <w:p>
            <w:pPr>
              <w:jc w:val="right"/>
              <w:ind w:right="125"/>
              <w:spacing w:after="0"/>
              <w:rPr>
                <w:sz w:val="20"/>
                <w:szCs w:val="20"/>
                <w:color w:val="auto"/>
              </w:rPr>
            </w:pPr>
            <w:r>
              <w:rPr>
                <w:rFonts w:ascii="Arial" w:cs="Arial" w:eastAsia="Arial" w:hAnsi="Arial"/>
                <w:sz w:val="14"/>
                <w:szCs w:val="14"/>
                <w:color w:val="auto"/>
              </w:rPr>
              <w:t>45,851</w:t>
            </w:r>
          </w:p>
        </w:tc>
        <w:tc>
          <w:tcPr>
            <w:tcW w:w="1320" w:type="dxa"/>
            <w:vAlign w:val="bottom"/>
          </w:tcPr>
          <w:p>
            <w:pPr>
              <w:jc w:val="right"/>
              <w:spacing w:after="0"/>
              <w:rPr>
                <w:sz w:val="20"/>
                <w:szCs w:val="20"/>
                <w:color w:val="auto"/>
              </w:rPr>
            </w:pPr>
            <w:r>
              <w:rPr>
                <w:rFonts w:ascii="Arial" w:cs="Arial" w:eastAsia="Arial" w:hAnsi="Arial"/>
                <w:sz w:val="14"/>
                <w:szCs w:val="14"/>
                <w:color w:val="auto"/>
              </w:rPr>
              <w:t>5,000</w:t>
            </w:r>
          </w:p>
        </w:tc>
        <w:tc>
          <w:tcPr>
            <w:tcW w:w="260" w:type="dxa"/>
            <w:vAlign w:val="bottom"/>
          </w:tcPr>
          <w:p>
            <w:pPr>
              <w:ind w:left="20"/>
              <w:spacing w:after="0"/>
              <w:rPr>
                <w:sz w:val="20"/>
                <w:szCs w:val="20"/>
                <w:color w:val="auto"/>
              </w:rPr>
            </w:pPr>
            <w:r>
              <w:rPr>
                <w:rFonts w:ascii="Arial" w:cs="Arial" w:eastAsia="Arial" w:hAnsi="Arial"/>
                <w:sz w:val="9"/>
                <w:szCs w:val="9"/>
                <w:color w:val="auto"/>
              </w:rPr>
              <w:t>13</w:t>
            </w:r>
          </w:p>
        </w:tc>
        <w:tc>
          <w:tcPr>
            <w:tcW w:w="1400" w:type="dxa"/>
            <w:vAlign w:val="bottom"/>
          </w:tcPr>
          <w:p>
            <w:pPr>
              <w:jc w:val="right"/>
              <w:spacing w:after="0"/>
              <w:rPr>
                <w:sz w:val="20"/>
                <w:szCs w:val="20"/>
                <w:color w:val="auto"/>
              </w:rPr>
            </w:pPr>
            <w:r>
              <w:rPr>
                <w:rFonts w:ascii="Arial" w:cs="Arial" w:eastAsia="Arial" w:hAnsi="Arial"/>
                <w:sz w:val="14"/>
                <w:szCs w:val="14"/>
                <w:color w:val="auto"/>
              </w:rPr>
              <w:t>10,900,851</w:t>
            </w:r>
          </w:p>
        </w:tc>
        <w:tc>
          <w:tcPr>
            <w:tcW w:w="0" w:type="dxa"/>
            <w:vAlign w:val="bottom"/>
          </w:tcPr>
          <w:p>
            <w:pPr>
              <w:spacing w:after="0"/>
              <w:rPr>
                <w:sz w:val="1"/>
                <w:szCs w:val="1"/>
                <w:color w:val="auto"/>
              </w:rPr>
            </w:pPr>
          </w:p>
        </w:tc>
      </w:tr>
      <w:tr>
        <w:trPr>
          <w:trHeight w:val="172"/>
        </w:trPr>
        <w:tc>
          <w:tcPr>
            <w:tcW w:w="1780" w:type="dxa"/>
            <w:vAlign w:val="bottom"/>
          </w:tcPr>
          <w:p>
            <w:pPr>
              <w:ind w:left="20"/>
              <w:spacing w:after="0"/>
              <w:rPr>
                <w:sz w:val="20"/>
                <w:szCs w:val="20"/>
                <w:color w:val="auto"/>
              </w:rPr>
            </w:pPr>
            <w:r>
              <w:rPr>
                <w:rFonts w:ascii="Arial" w:cs="Arial" w:eastAsia="Arial" w:hAnsi="Arial"/>
                <w:sz w:val="14"/>
                <w:szCs w:val="14"/>
                <w:color w:val="auto"/>
              </w:rPr>
              <w:t>Chief Financial Officer</w:t>
            </w:r>
          </w:p>
        </w:tc>
        <w:tc>
          <w:tcPr>
            <w:tcW w:w="800" w:type="dxa"/>
            <w:vAlign w:val="bottom"/>
            <w:vMerge w:val="restart"/>
          </w:tcPr>
          <w:p>
            <w:pPr>
              <w:jc w:val="right"/>
              <w:ind w:right="67"/>
              <w:spacing w:after="0"/>
              <w:rPr>
                <w:sz w:val="20"/>
                <w:szCs w:val="20"/>
                <w:color w:val="auto"/>
              </w:rPr>
            </w:pPr>
            <w:r>
              <w:rPr>
                <w:rFonts w:ascii="Arial" w:cs="Arial" w:eastAsia="Arial" w:hAnsi="Arial"/>
                <w:sz w:val="14"/>
                <w:szCs w:val="14"/>
                <w:color w:val="auto"/>
              </w:rPr>
              <w:t>2019</w:t>
            </w: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666,667</w:t>
            </w:r>
          </w:p>
        </w:tc>
        <w:tc>
          <w:tcPr>
            <w:tcW w:w="280" w:type="dxa"/>
            <w:vAlign w:val="bottom"/>
          </w:tcPr>
          <w:p>
            <w:pPr>
              <w:spacing w:after="0"/>
              <w:rPr>
                <w:sz w:val="14"/>
                <w:szCs w:val="14"/>
                <w:color w:val="auto"/>
              </w:rPr>
            </w:pPr>
          </w:p>
        </w:tc>
        <w:tc>
          <w:tcPr>
            <w:tcW w:w="1240" w:type="dxa"/>
            <w:vAlign w:val="bottom"/>
            <w:vMerge w:val="restart"/>
          </w:tcPr>
          <w:p>
            <w:pPr>
              <w:jc w:val="right"/>
              <w:ind w:right="107"/>
              <w:spacing w:after="0"/>
              <w:rPr>
                <w:sz w:val="20"/>
                <w:szCs w:val="20"/>
                <w:color w:val="auto"/>
              </w:rPr>
            </w:pPr>
            <w:r>
              <w:rPr>
                <w:rFonts w:ascii="Arial" w:cs="Arial" w:eastAsia="Arial" w:hAnsi="Arial"/>
                <w:sz w:val="14"/>
                <w:szCs w:val="14"/>
                <w:color w:val="auto"/>
              </w:rPr>
              <w:t>3,733,333</w:t>
            </w:r>
          </w:p>
        </w:tc>
        <w:tc>
          <w:tcPr>
            <w:tcW w:w="1360" w:type="dxa"/>
            <w:vAlign w:val="bottom"/>
            <w:vMerge w:val="restart"/>
          </w:tcPr>
          <w:p>
            <w:pPr>
              <w:jc w:val="right"/>
              <w:ind w:right="47"/>
              <w:spacing w:after="0"/>
              <w:rPr>
                <w:sz w:val="20"/>
                <w:szCs w:val="20"/>
                <w:color w:val="auto"/>
              </w:rPr>
            </w:pPr>
            <w:r>
              <w:rPr>
                <w:rFonts w:ascii="Arial" w:cs="Arial" w:eastAsia="Arial" w:hAnsi="Arial"/>
                <w:sz w:val="14"/>
                <w:szCs w:val="14"/>
                <w:color w:val="auto"/>
              </w:rPr>
              <w:t>3,300,000</w:t>
            </w:r>
          </w:p>
        </w:tc>
        <w:tc>
          <w:tcPr>
            <w:tcW w:w="1660" w:type="dxa"/>
            <w:vAlign w:val="bottom"/>
            <w:vMerge w:val="restart"/>
          </w:tcPr>
          <w:p>
            <w:pPr>
              <w:jc w:val="right"/>
              <w:ind w:right="125"/>
              <w:spacing w:after="0"/>
              <w:rPr>
                <w:sz w:val="20"/>
                <w:szCs w:val="20"/>
                <w:color w:val="auto"/>
              </w:rPr>
            </w:pPr>
            <w:r>
              <w:rPr>
                <w:rFonts w:ascii="Arial" w:cs="Arial" w:eastAsia="Arial" w:hAnsi="Arial"/>
                <w:sz w:val="14"/>
                <w:szCs w:val="14"/>
                <w:color w:val="auto"/>
              </w:rPr>
              <w:t>46,527</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7,746,527</w:t>
            </w:r>
          </w:p>
        </w:tc>
        <w:tc>
          <w:tcPr>
            <w:tcW w:w="0" w:type="dxa"/>
            <w:vAlign w:val="bottom"/>
          </w:tcPr>
          <w:p>
            <w:pPr>
              <w:spacing w:after="0"/>
              <w:rPr>
                <w:sz w:val="1"/>
                <w:szCs w:val="1"/>
                <w:color w:val="auto"/>
              </w:rPr>
            </w:pPr>
          </w:p>
        </w:tc>
      </w:tr>
      <w:tr>
        <w:trPr>
          <w:trHeight w:val="60"/>
        </w:trPr>
        <w:tc>
          <w:tcPr>
            <w:tcW w:w="1780" w:type="dxa"/>
            <w:vAlign w:val="bottom"/>
            <w:tcBorders>
              <w:bottom w:val="single" w:sz="8" w:color="454545"/>
            </w:tcBorders>
          </w:tcPr>
          <w:p>
            <w:pPr>
              <w:spacing w:after="0"/>
              <w:rPr>
                <w:sz w:val="5"/>
                <w:szCs w:val="5"/>
                <w:color w:val="auto"/>
              </w:rPr>
            </w:pPr>
          </w:p>
        </w:tc>
        <w:tc>
          <w:tcPr>
            <w:tcW w:w="800" w:type="dxa"/>
            <w:vAlign w:val="bottom"/>
            <w:tcBorders>
              <w:bottom w:val="single" w:sz="8" w:color="454545"/>
            </w:tcBorders>
            <w:vMerge w:val="continue"/>
          </w:tcPr>
          <w:p>
            <w:pPr>
              <w:spacing w:after="0"/>
              <w:rPr>
                <w:sz w:val="5"/>
                <w:szCs w:val="5"/>
                <w:color w:val="auto"/>
              </w:rPr>
            </w:pPr>
          </w:p>
        </w:tc>
        <w:tc>
          <w:tcPr>
            <w:tcW w:w="1140" w:type="dxa"/>
            <w:vAlign w:val="bottom"/>
            <w:tcBorders>
              <w:bottom w:val="single" w:sz="8" w:color="454545"/>
            </w:tcBorders>
            <w:vMerge w:val="continue"/>
          </w:tcPr>
          <w:p>
            <w:pPr>
              <w:spacing w:after="0"/>
              <w:rPr>
                <w:sz w:val="5"/>
                <w:szCs w:val="5"/>
                <w:color w:val="auto"/>
              </w:rPr>
            </w:pPr>
          </w:p>
        </w:tc>
        <w:tc>
          <w:tcPr>
            <w:tcW w:w="280" w:type="dxa"/>
            <w:vAlign w:val="bottom"/>
            <w:tcBorders>
              <w:bottom w:val="single" w:sz="8" w:color="454545"/>
            </w:tcBorders>
          </w:tcPr>
          <w:p>
            <w:pPr>
              <w:spacing w:after="0"/>
              <w:rPr>
                <w:sz w:val="5"/>
                <w:szCs w:val="5"/>
                <w:color w:val="auto"/>
              </w:rPr>
            </w:pPr>
          </w:p>
        </w:tc>
        <w:tc>
          <w:tcPr>
            <w:tcW w:w="1240" w:type="dxa"/>
            <w:vAlign w:val="bottom"/>
            <w:tcBorders>
              <w:bottom w:val="single" w:sz="8" w:color="454545"/>
            </w:tcBorders>
            <w:vMerge w:val="continue"/>
          </w:tcPr>
          <w:p>
            <w:pPr>
              <w:spacing w:after="0"/>
              <w:rPr>
                <w:sz w:val="5"/>
                <w:szCs w:val="5"/>
                <w:color w:val="auto"/>
              </w:rPr>
            </w:pPr>
          </w:p>
        </w:tc>
        <w:tc>
          <w:tcPr>
            <w:tcW w:w="1360" w:type="dxa"/>
            <w:vAlign w:val="bottom"/>
            <w:tcBorders>
              <w:bottom w:val="single" w:sz="8" w:color="454545"/>
            </w:tcBorders>
            <w:vMerge w:val="continue"/>
          </w:tcPr>
          <w:p>
            <w:pPr>
              <w:spacing w:after="0"/>
              <w:rPr>
                <w:sz w:val="5"/>
                <w:szCs w:val="5"/>
                <w:color w:val="auto"/>
              </w:rPr>
            </w:pPr>
          </w:p>
        </w:tc>
        <w:tc>
          <w:tcPr>
            <w:tcW w:w="1660" w:type="dxa"/>
            <w:vAlign w:val="bottom"/>
            <w:tcBorders>
              <w:bottom w:val="single" w:sz="8" w:color="454545"/>
            </w:tcBorders>
            <w:vMerge w:val="continue"/>
          </w:tcPr>
          <w:p>
            <w:pPr>
              <w:spacing w:after="0"/>
              <w:rPr>
                <w:sz w:val="5"/>
                <w:szCs w:val="5"/>
                <w:color w:val="auto"/>
              </w:rPr>
            </w:pPr>
          </w:p>
        </w:tc>
        <w:tc>
          <w:tcPr>
            <w:tcW w:w="1320" w:type="dxa"/>
            <w:vAlign w:val="bottom"/>
            <w:tcBorders>
              <w:bottom w:val="single" w:sz="8" w:color="454545"/>
            </w:tcBorders>
            <w:vMerge w:val="continue"/>
          </w:tcPr>
          <w:p>
            <w:pPr>
              <w:spacing w:after="0"/>
              <w:rPr>
                <w:sz w:val="5"/>
                <w:szCs w:val="5"/>
                <w:color w:val="auto"/>
              </w:rPr>
            </w:pPr>
          </w:p>
        </w:tc>
        <w:tc>
          <w:tcPr>
            <w:tcW w:w="260" w:type="dxa"/>
            <w:vAlign w:val="bottom"/>
            <w:tcBorders>
              <w:bottom w:val="single" w:sz="8" w:color="454545"/>
            </w:tcBorders>
          </w:tcPr>
          <w:p>
            <w:pPr>
              <w:spacing w:after="0"/>
              <w:rPr>
                <w:sz w:val="5"/>
                <w:szCs w:val="5"/>
                <w:color w:val="auto"/>
              </w:rPr>
            </w:pPr>
          </w:p>
        </w:tc>
        <w:tc>
          <w:tcPr>
            <w:tcW w:w="1400" w:type="dxa"/>
            <w:vAlign w:val="bottom"/>
            <w:tcBorders>
              <w:bottom w:val="single" w:sz="8" w:color="454545"/>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0" w:hanging="192"/>
        <w:spacing w:after="0"/>
        <w:tabs>
          <w:tab w:leader="none" w:pos="200" w:val="left"/>
        </w:tabs>
        <w:numPr>
          <w:ilvl w:val="0"/>
          <w:numId w:val="208"/>
        </w:numPr>
        <w:rPr>
          <w:rFonts w:ascii="Arial" w:cs="Arial" w:eastAsia="Arial" w:hAnsi="Arial"/>
          <w:sz w:val="16"/>
          <w:szCs w:val="16"/>
          <w:color w:val="auto"/>
          <w:vertAlign w:val="superscript"/>
        </w:rPr>
      </w:pPr>
      <w:r>
        <w:rPr>
          <w:rFonts w:ascii="Arial" w:cs="Arial" w:eastAsia="Arial" w:hAnsi="Arial"/>
          <w:sz w:val="13"/>
          <w:szCs w:val="13"/>
          <w:color w:val="auto"/>
        </w:rPr>
        <w:t>Salary reflects the actual amount paid in each year.</w:t>
      </w:r>
    </w:p>
    <w:p>
      <w:pPr>
        <w:spacing w:after="0" w:line="37" w:lineRule="exact"/>
        <w:rPr>
          <w:sz w:val="20"/>
          <w:szCs w:val="20"/>
          <w:color w:val="auto"/>
        </w:rPr>
      </w:pPr>
    </w:p>
    <w:p>
      <w:pPr>
        <w:ind w:left="200" w:right="100" w:hanging="192"/>
        <w:spacing w:after="0" w:line="216" w:lineRule="auto"/>
        <w:tabs>
          <w:tab w:leader="none" w:pos="200" w:val="left"/>
        </w:tabs>
        <w:numPr>
          <w:ilvl w:val="0"/>
          <w:numId w:val="209"/>
        </w:numPr>
        <w:rPr>
          <w:rFonts w:ascii="Arial" w:cs="Arial" w:eastAsia="Arial" w:hAnsi="Arial"/>
          <w:sz w:val="16"/>
          <w:szCs w:val="16"/>
          <w:color w:val="auto"/>
          <w:vertAlign w:val="superscript"/>
        </w:rPr>
      </w:pPr>
      <w:r>
        <w:rPr>
          <w:rFonts w:ascii="Arial" w:cs="Arial" w:eastAsia="Arial" w:hAnsi="Arial"/>
          <w:sz w:val="13"/>
          <w:szCs w:val="13"/>
          <w:color w:val="auto"/>
        </w:rPr>
        <w:t>Includes amounts awarded, whether paid or deferred. Cash incentive compensation reflects compensation earned in connection with the performance year shown, which was awarded in January of the following year.</w:t>
      </w:r>
    </w:p>
    <w:p>
      <w:pPr>
        <w:spacing w:after="0" w:line="37" w:lineRule="exact"/>
        <w:rPr>
          <w:sz w:val="20"/>
          <w:szCs w:val="20"/>
          <w:color w:val="auto"/>
        </w:rPr>
      </w:pPr>
    </w:p>
    <w:p>
      <w:pPr>
        <w:ind w:left="200" w:right="60" w:hanging="192"/>
        <w:spacing w:after="0" w:line="226"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Includes amounts awarded during the year shown. Amounts are the fair value on the grant date in accordance with applicable accounting guidance (i.e., at target for PSUs awarded in 2020). At the maximum level of performance, the value of PSUs awarded in 2020 would be: $37,500,000 for Mr. Dimon; $10,695,584 for Mr. Pinto; $9,787,500 for Mr. Smith; $9,112,500 for Ms. Erdoes; and $4,200,000 for Ms. Piepszak. The Firm’s accounting for employee stock-based incentives is described in Note 9 to the Firm’s Consolidated Financial Statements in the 2020 Annual Report on pages 221-222, which may be accessed on our website at jpmorganchase.com, under Investor Relations. No SARs or stock options were granted to NEOs in 2020.</w:t>
      </w:r>
    </w:p>
    <w:p>
      <w:pPr>
        <w:spacing w:after="0" w:line="25" w:lineRule="exact"/>
        <w:rPr>
          <w:sz w:val="20"/>
          <w:szCs w:val="20"/>
          <w:color w:val="auto"/>
        </w:rPr>
      </w:pPr>
    </w:p>
    <w:p>
      <w:pPr>
        <w:jc w:val="both"/>
        <w:ind w:left="200" w:right="120" w:hanging="192"/>
        <w:spacing w:after="0"/>
        <w:tabs>
          <w:tab w:leader="none" w:pos="200" w:val="left"/>
        </w:tabs>
        <w:numPr>
          <w:ilvl w:val="0"/>
          <w:numId w:val="211"/>
        </w:numPr>
        <w:rPr>
          <w:rFonts w:ascii="Arial" w:cs="Arial" w:eastAsia="Arial" w:hAnsi="Arial"/>
          <w:sz w:val="15"/>
          <w:szCs w:val="15"/>
          <w:color w:val="auto"/>
          <w:vertAlign w:val="superscript"/>
        </w:rPr>
      </w:pPr>
      <w:r>
        <w:rPr>
          <w:rFonts w:ascii="Arial" w:cs="Arial" w:eastAsia="Arial" w:hAnsi="Arial"/>
          <w:sz w:val="12"/>
          <w:szCs w:val="12"/>
          <w:color w:val="auto"/>
        </w:rPr>
        <w:t>Amounts for years 2020, 2019 and 2018 are the aggregate change in the actuarial present value of the accumulated benefits under all defined benefit pension plans (including supplemental plans). No NEOs had earnings in excess of 120% of the applicable federal rate on deferred compensation balances where the rate of return is not calculated in the same or in a similar manner as earnings on hypothetical investments under the Firm's qualified plans. The amount of earnings in excess of 120% of the applicable federal rate included in this column is $0 for each of 2020, 2019 and 2018.</w:t>
      </w:r>
    </w:p>
    <w:p>
      <w:pPr>
        <w:spacing w:after="0" w:line="38" w:lineRule="exact"/>
        <w:rPr>
          <w:sz w:val="20"/>
          <w:szCs w:val="20"/>
          <w:color w:val="auto"/>
        </w:rPr>
      </w:pPr>
    </w:p>
    <w:p>
      <w:pPr>
        <w:ind w:left="200" w:right="140" w:hanging="192"/>
        <w:spacing w:after="0" w:line="216" w:lineRule="auto"/>
        <w:tabs>
          <w:tab w:leader="none" w:pos="200" w:val="left"/>
        </w:tabs>
        <w:numPr>
          <w:ilvl w:val="0"/>
          <w:numId w:val="212"/>
        </w:numPr>
        <w:rPr>
          <w:rFonts w:ascii="Arial" w:cs="Arial" w:eastAsia="Arial" w:hAnsi="Arial"/>
          <w:sz w:val="16"/>
          <w:szCs w:val="16"/>
          <w:color w:val="auto"/>
          <w:vertAlign w:val="superscript"/>
        </w:rPr>
      </w:pPr>
      <w:r>
        <w:rPr>
          <w:rFonts w:ascii="Arial" w:cs="Arial" w:eastAsia="Arial" w:hAnsi="Arial"/>
          <w:sz w:val="13"/>
          <w:szCs w:val="13"/>
          <w:color w:val="auto"/>
        </w:rPr>
        <w:t>“All other compensation” includes the cost, if any, for a named executive officer’s spouse to attend business-related events where spousal attendance is expected or customary. This did not exceed the greater of $25,000 or 10% of the named executive officer’s total perquisites and personal benefits except as specifically noted in the footnotes that follow.</w:t>
      </w:r>
    </w:p>
    <w:p>
      <w:pPr>
        <w:spacing w:after="0" w:line="37" w:lineRule="exact"/>
        <w:rPr>
          <w:sz w:val="20"/>
          <w:szCs w:val="20"/>
          <w:color w:val="auto"/>
        </w:rPr>
      </w:pPr>
    </w:p>
    <w:p>
      <w:pPr>
        <w:jc w:val="both"/>
        <w:ind w:left="200" w:right="140" w:hanging="192"/>
        <w:spacing w:after="0" w:line="226" w:lineRule="auto"/>
        <w:tabs>
          <w:tab w:leader="none" w:pos="200" w:val="left"/>
        </w:tabs>
        <w:numPr>
          <w:ilvl w:val="0"/>
          <w:numId w:val="213"/>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Dimon includes: $5,000 in employer non-matching contributions to the U.S. defined contribution plan, which replaces the employer benefit to the Firm's qualified noncontributory U.S. defined benefit pension plan that was frozen effective January 1, 2020; $35,714 for personal use of corporate aircraft; $38,900 for personal use of corporate cars; and $62,317 for the cost of residential, personal travel, and related security paid by the Firm. Mr. Dimon’s personal use of corporate aircraft and cars, and certain related security, is required pursuant to security measures approved by the Board. Incremental costs are determined as follows:</w:t>
      </w:r>
    </w:p>
    <w:p>
      <w:pPr>
        <w:spacing w:after="0" w:line="11" w:lineRule="exact"/>
        <w:rPr>
          <w:rFonts w:ascii="Arial" w:cs="Arial" w:eastAsia="Arial" w:hAnsi="Arial"/>
          <w:sz w:val="16"/>
          <w:szCs w:val="16"/>
          <w:color w:val="auto"/>
          <w:vertAlign w:val="superscript"/>
        </w:rPr>
      </w:pPr>
    </w:p>
    <w:p>
      <w:pPr>
        <w:ind w:left="400" w:right="480" w:hanging="198"/>
        <w:spacing w:after="0" w:line="242" w:lineRule="auto"/>
        <w:tabs>
          <w:tab w:leader="none" w:pos="399" w:val="left"/>
        </w:tabs>
        <w:numPr>
          <w:ilvl w:val="1"/>
          <w:numId w:val="213"/>
        </w:numPr>
        <w:rPr>
          <w:rFonts w:ascii="Arial" w:cs="Arial" w:eastAsia="Arial" w:hAnsi="Arial"/>
          <w:sz w:val="13"/>
          <w:szCs w:val="13"/>
          <w:color w:val="auto"/>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spacing w:after="0" w:line="9" w:lineRule="exact"/>
        <w:rPr>
          <w:rFonts w:ascii="Arial" w:cs="Arial" w:eastAsia="Arial" w:hAnsi="Arial"/>
          <w:sz w:val="13"/>
          <w:szCs w:val="13"/>
          <w:color w:val="auto"/>
        </w:rPr>
      </w:pPr>
    </w:p>
    <w:p>
      <w:pPr>
        <w:ind w:left="400" w:right="220" w:hanging="198"/>
        <w:spacing w:after="0" w:line="242" w:lineRule="auto"/>
        <w:tabs>
          <w:tab w:leader="none" w:pos="399" w:val="left"/>
        </w:tabs>
        <w:numPr>
          <w:ilvl w:val="1"/>
          <w:numId w:val="213"/>
        </w:numPr>
        <w:rPr>
          <w:rFonts w:ascii="Arial" w:cs="Arial" w:eastAsia="Arial" w:hAnsi="Arial"/>
          <w:sz w:val="13"/>
          <w:szCs w:val="13"/>
          <w:color w:val="auto"/>
        </w:rPr>
      </w:pPr>
      <w:r>
        <w:rPr>
          <w:rFonts w:ascii="Arial" w:cs="Arial" w:eastAsia="Arial" w:hAnsi="Arial"/>
          <w:sz w:val="13"/>
          <w:szCs w:val="13"/>
          <w:color w:val="auto"/>
        </w:rPr>
        <w:t>Cars: annual lease valuation of the assigned cars; annual insurance premiums; fuel expense; estimated annual maintenance; other miscellaneous expense; and annual drivers’ compensation, including salary, overtime, benefits and bonus. The resulting total is allocated between personal and business use based on mileage.</w:t>
      </w:r>
    </w:p>
    <w:p>
      <w:pPr>
        <w:spacing w:after="0" w:line="4" w:lineRule="exact"/>
        <w:rPr>
          <w:sz w:val="20"/>
          <w:szCs w:val="20"/>
          <w:color w:val="auto"/>
        </w:rPr>
      </w:pPr>
    </w:p>
    <w:p>
      <w:pPr>
        <w:ind w:left="200" w:hanging="192"/>
        <w:spacing w:after="0"/>
        <w:tabs>
          <w:tab w:leader="none" w:pos="200" w:val="left"/>
        </w:tabs>
        <w:numPr>
          <w:ilvl w:val="0"/>
          <w:numId w:val="214"/>
        </w:numPr>
        <w:rPr>
          <w:rFonts w:ascii="Arial" w:cs="Arial" w:eastAsia="Arial" w:hAnsi="Arial"/>
          <w:sz w:val="16"/>
          <w:szCs w:val="16"/>
          <w:color w:val="auto"/>
          <w:vertAlign w:val="superscript"/>
        </w:rPr>
      </w:pPr>
      <w:r>
        <w:rPr>
          <w:rFonts w:ascii="Arial" w:cs="Arial" w:eastAsia="Arial" w:hAnsi="Arial"/>
          <w:sz w:val="13"/>
          <w:szCs w:val="13"/>
          <w:color w:val="auto"/>
        </w:rPr>
        <w:t>The 2018 amount has been revised.</w:t>
      </w:r>
    </w:p>
    <w:p>
      <w:pPr>
        <w:spacing w:after="0" w:line="37" w:lineRule="exact"/>
        <w:rPr>
          <w:sz w:val="20"/>
          <w:szCs w:val="20"/>
          <w:color w:val="auto"/>
        </w:rPr>
      </w:pPr>
    </w:p>
    <w:p>
      <w:pPr>
        <w:ind w:left="200" w:hanging="192"/>
        <w:spacing w:after="0" w:line="251" w:lineRule="auto"/>
        <w:tabs>
          <w:tab w:leader="none" w:pos="200" w:val="left"/>
        </w:tabs>
        <w:numPr>
          <w:ilvl w:val="0"/>
          <w:numId w:val="215"/>
        </w:numPr>
        <w:rPr>
          <w:rFonts w:ascii="Arial" w:cs="Arial" w:eastAsia="Arial" w:hAnsi="Arial"/>
          <w:sz w:val="15"/>
          <w:szCs w:val="15"/>
          <w:color w:val="auto"/>
          <w:vertAlign w:val="superscript"/>
        </w:rPr>
      </w:pPr>
      <w:r>
        <w:rPr>
          <w:rFonts w:ascii="Arial" w:cs="Arial" w:eastAsia="Arial" w:hAnsi="Arial"/>
          <w:sz w:val="12"/>
          <w:szCs w:val="12"/>
          <w:color w:val="auto"/>
        </w:rPr>
        <w:t>Since Mr. Pinto is located in the U.K., the terms and composition of his compensation reflect the requirements of local regulations, including changes that came into effect in 2014 to comply with the Capital Requirements Directive IV. These requirements include that at least 60% of his incentive compensation is deferred, and that his incentive compensation is not more than twice his fixed compensation in respect of any given performance year. Mr. Pinto’s fixed compensation is comprised of salary and an annual cash fixed allowance, which from June 2017, has been payable in equal monthly installments. Mr. Pinto’s salary of £475,000 is denominated and paid in British pound sterling (“GBP”) and his fixed allowance of $7,635,000 is denominated in USD and paid in GBP. Both are unchanged since 2016. The CMDC elected to defer 100% of Mr. Pinto’s variable compensation into equity – 50% into RSUs and 50% into PSUs – in order to maintain a comparable deferred equity portion to similarly situated Firm employees. For the purposes of this table, a blended applicable rate of 1.27429 U.S. dollars per GBP, which was based on a 10-month average rate, has been used to convert Mr. Pinto’s salary to U.S. dollars for 2020. The blended applicable rates used to convert Mr. Pinto’s salary for 2019 and 2018 were 1.27205 and 1.34953 U.S. dollars per GBP, respectively.</w:t>
      </w:r>
    </w:p>
    <w:p>
      <w:pPr>
        <w:spacing w:after="0" w:line="20" w:lineRule="exact"/>
        <w:rPr>
          <w:sz w:val="20"/>
          <w:szCs w:val="20"/>
          <w:color w:val="auto"/>
        </w:rPr>
      </w:pPr>
    </w:p>
    <w:p>
      <w:pPr>
        <w:ind w:left="200" w:right="260" w:hanging="192"/>
        <w:spacing w:after="0" w:line="216" w:lineRule="auto"/>
        <w:tabs>
          <w:tab w:leader="none" w:pos="200" w:val="left"/>
        </w:tabs>
        <w:numPr>
          <w:ilvl w:val="0"/>
          <w:numId w:val="216"/>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Pinto includes $20,254 in employer contributions to a non-U.S. defined contribution plan; $20,518 in tax compliance assistance for non-U.K. business travel; and $3,422 for personal use of cars.</w:t>
      </w:r>
    </w:p>
    <w:p>
      <w:pPr>
        <w:spacing w:after="0" w:line="5" w:lineRule="exact"/>
        <w:rPr>
          <w:sz w:val="20"/>
          <w:szCs w:val="20"/>
          <w:color w:val="auto"/>
        </w:rPr>
      </w:pPr>
    </w:p>
    <w:p>
      <w:pPr>
        <w:ind w:left="200" w:hanging="192"/>
        <w:spacing w:after="0"/>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Mr. Smith includes $4,000 in employer non-matching contributions to the U.S. defined contribution plan.</w:t>
      </w:r>
    </w:p>
    <w:p>
      <w:pPr>
        <w:spacing w:after="0" w:line="37" w:lineRule="exact"/>
        <w:rPr>
          <w:rFonts w:ascii="Arial" w:cs="Arial" w:eastAsia="Arial" w:hAnsi="Arial"/>
          <w:sz w:val="16"/>
          <w:szCs w:val="16"/>
          <w:color w:val="auto"/>
          <w:vertAlign w:val="superscript"/>
        </w:rPr>
      </w:pPr>
    </w:p>
    <w:p>
      <w:pPr>
        <w:ind w:left="200" w:hanging="192"/>
        <w:spacing w:after="0" w:line="198"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Ms. Erdoes includes $5,000 in employer non-matching contributions to the U.S. defined contribution plan.</w:t>
      </w:r>
    </w:p>
    <w:p>
      <w:pPr>
        <w:spacing w:after="0" w:line="23" w:lineRule="exact"/>
        <w:rPr>
          <w:rFonts w:ascii="Arial" w:cs="Arial" w:eastAsia="Arial" w:hAnsi="Arial"/>
          <w:sz w:val="16"/>
          <w:szCs w:val="16"/>
          <w:color w:val="auto"/>
          <w:vertAlign w:val="superscript"/>
        </w:rPr>
      </w:pPr>
    </w:p>
    <w:p>
      <w:pPr>
        <w:ind w:left="200" w:hanging="192"/>
        <w:spacing w:after="0" w:line="198"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Ms. Piepszak was not a NEO in 2018.</w:t>
      </w:r>
    </w:p>
    <w:p>
      <w:pPr>
        <w:spacing w:after="0" w:line="37" w:lineRule="exact"/>
        <w:rPr>
          <w:rFonts w:ascii="Arial" w:cs="Arial" w:eastAsia="Arial" w:hAnsi="Arial"/>
          <w:sz w:val="16"/>
          <w:szCs w:val="16"/>
          <w:color w:val="auto"/>
          <w:vertAlign w:val="superscript"/>
        </w:rPr>
      </w:pPr>
    </w:p>
    <w:p>
      <w:pPr>
        <w:ind w:left="200" w:hanging="192"/>
        <w:spacing w:after="0" w:line="198"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The “All other compensation” column for Ms. Piepszak includes $5,000 in employer non-matching contributions to the U.S. 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490220</wp:posOffset>
            </wp:positionV>
            <wp:extent cx="27432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73  </w:t>
      </w:r>
      <w:r>
        <w:rPr>
          <w:sz w:val="1"/>
          <w:szCs w:val="1"/>
          <w:color w:val="auto"/>
        </w:rPr>
        <w:drawing>
          <wp:inline distT="0" distB="0" distL="0" distR="0">
            <wp:extent cx="2203450" cy="154305"/>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074A75"/>
        </w:rPr>
        <w:t>II. 2020 GRANTS OF PLAN-BASED AWARDS</w:t>
      </w:r>
      <w:r>
        <w:rPr>
          <w:rFonts w:ascii="Arial" w:cs="Arial" w:eastAsia="Arial" w:hAnsi="Arial"/>
          <w:sz w:val="25"/>
          <w:szCs w:val="25"/>
          <w:color w:val="074A75"/>
          <w:vertAlign w:val="superscript"/>
        </w:rPr>
        <w:t>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grants of plan-based awards made in 2020 for the 2019 performance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40" w:type="dxa"/>
            <w:vAlign w:val="bottom"/>
            <w:gridSpan w:val="4"/>
          </w:tcPr>
          <w:p>
            <w:pPr>
              <w:jc w:val="center"/>
              <w:ind w:right="160"/>
              <w:spacing w:after="0"/>
              <w:rPr>
                <w:sz w:val="20"/>
                <w:szCs w:val="20"/>
                <w:color w:val="auto"/>
              </w:rPr>
            </w:pPr>
            <w:r>
              <w:rPr>
                <w:rFonts w:ascii="Arial" w:cs="Arial" w:eastAsia="Arial" w:hAnsi="Arial"/>
                <w:sz w:val="16"/>
                <w:szCs w:val="16"/>
                <w:color w:val="auto"/>
              </w:rPr>
              <w:t>Estimated Future Payout Under Equity</w:t>
            </w: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0"/>
        </w:trPr>
        <w:tc>
          <w:tcPr>
            <w:tcW w:w="2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40" w:type="dxa"/>
            <w:vAlign w:val="bottom"/>
            <w:gridSpan w:val="4"/>
          </w:tcPr>
          <w:p>
            <w:pPr>
              <w:jc w:val="center"/>
              <w:ind w:right="180"/>
              <w:spacing w:after="0" w:line="230" w:lineRule="exact"/>
              <w:rPr>
                <w:sz w:val="20"/>
                <w:szCs w:val="20"/>
                <w:color w:val="auto"/>
              </w:rPr>
            </w:pPr>
            <w:r>
              <w:rPr>
                <w:rFonts w:ascii="Arial" w:cs="Arial" w:eastAsia="Arial" w:hAnsi="Arial"/>
                <w:sz w:val="16"/>
                <w:szCs w:val="16"/>
                <w:color w:val="auto"/>
                <w:w w:val="99"/>
              </w:rPr>
              <w:t>Incentive Plan Awards (PSUs)</w:t>
            </w:r>
            <w:r>
              <w:rPr>
                <w:rFonts w:ascii="Arial" w:cs="Arial" w:eastAsia="Arial" w:hAnsi="Arial"/>
                <w:sz w:val="21"/>
                <w:szCs w:val="21"/>
                <w:color w:val="auto"/>
                <w:w w:val="99"/>
                <w:vertAlign w:val="superscript"/>
              </w:rPr>
              <w:t>2</w:t>
            </w:r>
          </w:p>
        </w:tc>
        <w:tc>
          <w:tcPr>
            <w:tcW w:w="1740" w:type="dxa"/>
            <w:vAlign w:val="bottom"/>
          </w:tcPr>
          <w:p>
            <w:pPr>
              <w:jc w:val="center"/>
              <w:spacing w:after="0" w:line="230" w:lineRule="exact"/>
              <w:rPr>
                <w:sz w:val="20"/>
                <w:szCs w:val="20"/>
                <w:color w:val="auto"/>
              </w:rPr>
            </w:pPr>
            <w:r>
              <w:rPr>
                <w:rFonts w:ascii="Arial" w:cs="Arial" w:eastAsia="Arial" w:hAnsi="Arial"/>
                <w:sz w:val="16"/>
                <w:szCs w:val="16"/>
                <w:color w:val="auto"/>
              </w:rPr>
              <w:t>Stock awards (RSUs)</w:t>
            </w:r>
            <w:r>
              <w:rPr>
                <w:rFonts w:ascii="Arial" w:cs="Arial" w:eastAsia="Arial" w:hAnsi="Arial"/>
                <w:sz w:val="21"/>
                <w:szCs w:val="21"/>
                <w:color w:val="auto"/>
                <w:vertAlign w:val="superscript"/>
              </w:rPr>
              <w:t>3</w:t>
            </w:r>
          </w:p>
        </w:tc>
        <w:tc>
          <w:tcPr>
            <w:tcW w:w="1800" w:type="dxa"/>
            <w:vAlign w:val="bottom"/>
          </w:tcPr>
          <w:p>
            <w:pPr>
              <w:spacing w:after="0"/>
              <w:rPr>
                <w:sz w:val="20"/>
                <w:szCs w:val="20"/>
                <w:color w:val="auto"/>
              </w:rPr>
            </w:pPr>
          </w:p>
        </w:tc>
      </w:tr>
      <w:tr>
        <w:trPr>
          <w:trHeight w:val="211"/>
        </w:trPr>
        <w:tc>
          <w:tcPr>
            <w:tcW w:w="2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Borders>
              <w:top w:val="single" w:sz="8" w:color="454545"/>
            </w:tcBorders>
          </w:tcPr>
          <w:p>
            <w:pPr>
              <w:spacing w:after="0"/>
              <w:rPr>
                <w:sz w:val="18"/>
                <w:szCs w:val="18"/>
                <w:color w:val="auto"/>
              </w:rPr>
            </w:pPr>
          </w:p>
        </w:tc>
        <w:tc>
          <w:tcPr>
            <w:tcW w:w="1300" w:type="dxa"/>
            <w:vAlign w:val="bottom"/>
            <w:tcBorders>
              <w:top w:val="single" w:sz="8" w:color="454545"/>
            </w:tcBorders>
          </w:tcPr>
          <w:p>
            <w:pPr>
              <w:spacing w:after="0"/>
              <w:rPr>
                <w:sz w:val="18"/>
                <w:szCs w:val="18"/>
                <w:color w:val="auto"/>
              </w:rPr>
            </w:pPr>
          </w:p>
        </w:tc>
        <w:tc>
          <w:tcPr>
            <w:tcW w:w="1460" w:type="dxa"/>
            <w:vAlign w:val="bottom"/>
            <w:tcBorders>
              <w:top w:val="single" w:sz="8" w:color="454545"/>
            </w:tcBorders>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Borders>
              <w:top w:val="single" w:sz="8" w:color="454545"/>
            </w:tcBorders>
          </w:tcPr>
          <w:p>
            <w:pPr>
              <w:jc w:val="center"/>
              <w:spacing w:after="0"/>
              <w:rPr>
                <w:sz w:val="20"/>
                <w:szCs w:val="20"/>
                <w:color w:val="auto"/>
              </w:rPr>
            </w:pPr>
            <w:r>
              <w:rPr>
                <w:rFonts w:ascii="Arial" w:cs="Arial" w:eastAsia="Arial" w:hAnsi="Arial"/>
                <w:sz w:val="16"/>
                <w:szCs w:val="16"/>
                <w:color w:val="074A75"/>
              </w:rPr>
              <w:t>Number of shares of</w:t>
            </w:r>
          </w:p>
        </w:tc>
        <w:tc>
          <w:tcPr>
            <w:tcW w:w="1800" w:type="dxa"/>
            <w:vAlign w:val="bottom"/>
          </w:tcPr>
          <w:p>
            <w:pPr>
              <w:spacing w:after="0"/>
              <w:rPr>
                <w:sz w:val="18"/>
                <w:szCs w:val="18"/>
                <w:color w:val="auto"/>
              </w:rPr>
            </w:pPr>
          </w:p>
        </w:tc>
      </w:tr>
      <w:tr>
        <w:trPr>
          <w:trHeight w:val="173"/>
        </w:trPr>
        <w:tc>
          <w:tcPr>
            <w:tcW w:w="2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jc w:val="center"/>
              <w:spacing w:after="0" w:line="173" w:lineRule="exact"/>
              <w:rPr>
                <w:sz w:val="20"/>
                <w:szCs w:val="20"/>
                <w:color w:val="auto"/>
              </w:rPr>
            </w:pPr>
            <w:r>
              <w:rPr>
                <w:rFonts w:ascii="Arial" w:cs="Arial" w:eastAsia="Arial" w:hAnsi="Arial"/>
                <w:sz w:val="16"/>
                <w:szCs w:val="16"/>
                <w:color w:val="074A75"/>
              </w:rPr>
              <w:t>restricted</w:t>
            </w:r>
          </w:p>
        </w:tc>
        <w:tc>
          <w:tcPr>
            <w:tcW w:w="1800" w:type="dxa"/>
            <w:vAlign w:val="bottom"/>
          </w:tcPr>
          <w:p>
            <w:pPr>
              <w:jc w:val="right"/>
              <w:ind w:right="359"/>
              <w:spacing w:after="0" w:line="173" w:lineRule="exact"/>
              <w:rPr>
                <w:sz w:val="20"/>
                <w:szCs w:val="20"/>
                <w:color w:val="auto"/>
              </w:rPr>
            </w:pPr>
            <w:r>
              <w:rPr>
                <w:rFonts w:ascii="Arial" w:cs="Arial" w:eastAsia="Arial" w:hAnsi="Arial"/>
                <w:sz w:val="16"/>
                <w:szCs w:val="16"/>
                <w:color w:val="074A75"/>
              </w:rPr>
              <w:t>Grant date</w:t>
            </w:r>
          </w:p>
        </w:tc>
      </w:tr>
      <w:tr>
        <w:trPr>
          <w:trHeight w:val="230"/>
        </w:trPr>
        <w:tc>
          <w:tcPr>
            <w:tcW w:w="23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074A75"/>
              </w:rPr>
              <w:t>Grant date</w:t>
            </w:r>
          </w:p>
        </w:tc>
        <w:tc>
          <w:tcPr>
            <w:tcW w:w="1320" w:type="dxa"/>
            <w:vAlign w:val="bottom"/>
            <w:tcBorders>
              <w:bottom w:val="single" w:sz="8" w:color="454545"/>
            </w:tcBorders>
          </w:tcPr>
          <w:p>
            <w:pPr>
              <w:jc w:val="center"/>
              <w:ind w:right="99"/>
              <w:spacing w:after="0"/>
              <w:rPr>
                <w:sz w:val="20"/>
                <w:szCs w:val="20"/>
                <w:color w:val="auto"/>
              </w:rPr>
            </w:pPr>
            <w:r>
              <w:rPr>
                <w:rFonts w:ascii="Arial" w:cs="Arial" w:eastAsia="Arial" w:hAnsi="Arial"/>
                <w:sz w:val="16"/>
                <w:szCs w:val="16"/>
                <w:color w:val="074A75"/>
              </w:rPr>
              <w:t>Threshold (#)</w:t>
            </w:r>
          </w:p>
        </w:tc>
        <w:tc>
          <w:tcPr>
            <w:tcW w:w="130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074A75"/>
              </w:rPr>
              <w:t>Target (#)</w:t>
            </w:r>
          </w:p>
        </w:tc>
        <w:tc>
          <w:tcPr>
            <w:tcW w:w="1620" w:type="dxa"/>
            <w:vAlign w:val="bottom"/>
            <w:tcBorders>
              <w:bottom w:val="single" w:sz="8" w:color="454545"/>
            </w:tcBorders>
            <w:gridSpan w:val="2"/>
          </w:tcPr>
          <w:p>
            <w:pPr>
              <w:ind w:left="320"/>
              <w:spacing w:after="0"/>
              <w:rPr>
                <w:sz w:val="20"/>
                <w:szCs w:val="20"/>
                <w:color w:val="auto"/>
              </w:rPr>
            </w:pPr>
            <w:r>
              <w:rPr>
                <w:rFonts w:ascii="Arial" w:cs="Arial" w:eastAsia="Arial" w:hAnsi="Arial"/>
                <w:sz w:val="16"/>
                <w:szCs w:val="16"/>
                <w:color w:val="074A75"/>
              </w:rPr>
              <w:t>Maximum (#)</w:t>
            </w:r>
          </w:p>
        </w:tc>
        <w:tc>
          <w:tcPr>
            <w:tcW w:w="17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074A75"/>
              </w:rPr>
              <w:t>stock or units (#)</w:t>
            </w:r>
          </w:p>
        </w:tc>
        <w:tc>
          <w:tcPr>
            <w:tcW w:w="1800" w:type="dxa"/>
            <w:vAlign w:val="bottom"/>
            <w:tcBorders>
              <w:bottom w:val="single" w:sz="8" w:color="454545"/>
            </w:tcBorders>
          </w:tcPr>
          <w:p>
            <w:pPr>
              <w:jc w:val="right"/>
              <w:ind w:right="259"/>
              <w:spacing w:after="0" w:line="230" w:lineRule="exact"/>
              <w:rPr>
                <w:sz w:val="20"/>
                <w:szCs w:val="20"/>
                <w:color w:val="auto"/>
              </w:rPr>
            </w:pPr>
            <w:r>
              <w:rPr>
                <w:rFonts w:ascii="Arial" w:cs="Arial" w:eastAsia="Arial" w:hAnsi="Arial"/>
                <w:sz w:val="16"/>
                <w:szCs w:val="16"/>
                <w:color w:val="074A75"/>
              </w:rPr>
              <w:t>fair value ($)</w:t>
            </w:r>
            <w:r>
              <w:rPr>
                <w:rFonts w:ascii="Arial" w:cs="Arial" w:eastAsia="Arial" w:hAnsi="Arial"/>
                <w:sz w:val="21"/>
                <w:szCs w:val="21"/>
                <w:color w:val="074A75"/>
                <w:vertAlign w:val="superscript"/>
              </w:rPr>
              <w:t>4</w:t>
            </w:r>
          </w:p>
        </w:tc>
      </w:tr>
      <w:tr>
        <w:trPr>
          <w:trHeight w:val="230"/>
        </w:trPr>
        <w:tc>
          <w:tcPr>
            <w:tcW w:w="2300" w:type="dxa"/>
            <w:vAlign w:val="bottom"/>
            <w:tcBorders>
              <w:bottom w:val="single" w:sz="8" w:color="454545"/>
            </w:tcBorders>
          </w:tcPr>
          <w:p>
            <w:pPr>
              <w:ind w:left="20"/>
              <w:spacing w:after="0"/>
              <w:rPr>
                <w:sz w:val="20"/>
                <w:szCs w:val="20"/>
                <w:color w:val="auto"/>
              </w:rPr>
            </w:pPr>
            <w:r>
              <w:rPr>
                <w:rFonts w:ascii="Arial" w:cs="Arial" w:eastAsia="Arial" w:hAnsi="Arial"/>
                <w:sz w:val="14"/>
                <w:szCs w:val="14"/>
                <w:color w:val="auto"/>
              </w:rPr>
              <w:t>James Dimon</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181,977</w:t>
            </w: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272,966</w:t>
            </w:r>
          </w:p>
        </w:tc>
        <w:tc>
          <w:tcPr>
            <w:tcW w:w="16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   25,000,000</w:t>
            </w:r>
          </w:p>
        </w:tc>
      </w:tr>
      <w:tr>
        <w:trPr>
          <w:trHeight w:val="237"/>
        </w:trPr>
        <w:tc>
          <w:tcPr>
            <w:tcW w:w="2300" w:type="dxa"/>
            <w:vAlign w:val="bottom"/>
          </w:tcPr>
          <w:p>
            <w:pPr>
              <w:ind w:left="20"/>
              <w:spacing w:after="0"/>
              <w:rPr>
                <w:sz w:val="20"/>
                <w:szCs w:val="20"/>
                <w:color w:val="auto"/>
              </w:rPr>
            </w:pPr>
            <w:r>
              <w:rPr>
                <w:rFonts w:ascii="Arial" w:cs="Arial" w:eastAsia="Arial" w:hAnsi="Arial"/>
                <w:sz w:val="14"/>
                <w:szCs w:val="14"/>
                <w:color w:val="auto"/>
              </w:rPr>
              <w:t>Daniel Pinto</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61,613</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7,130,389</w:t>
            </w:r>
          </w:p>
        </w:tc>
      </w:tr>
      <w:tr>
        <w:trPr>
          <w:trHeight w:val="236"/>
        </w:trPr>
        <w:tc>
          <w:tcPr>
            <w:tcW w:w="23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59,420</w:t>
            </w: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89,130</w:t>
            </w:r>
          </w:p>
        </w:tc>
        <w:tc>
          <w:tcPr>
            <w:tcW w:w="16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7,130,389</w:t>
            </w:r>
          </w:p>
        </w:tc>
      </w:tr>
      <w:tr>
        <w:trPr>
          <w:trHeight w:val="237"/>
        </w:trPr>
        <w:tc>
          <w:tcPr>
            <w:tcW w:w="2300" w:type="dxa"/>
            <w:vAlign w:val="bottom"/>
          </w:tcPr>
          <w:p>
            <w:pPr>
              <w:ind w:left="20"/>
              <w:spacing w:after="0"/>
              <w:rPr>
                <w:sz w:val="20"/>
                <w:szCs w:val="20"/>
                <w:color w:val="auto"/>
              </w:rPr>
            </w:pPr>
            <w:r>
              <w:rPr>
                <w:rFonts w:ascii="Arial" w:cs="Arial" w:eastAsia="Arial" w:hAnsi="Arial"/>
                <w:sz w:val="14"/>
                <w:szCs w:val="14"/>
                <w:color w:val="auto"/>
              </w:rPr>
              <w:t>Gordon Smith</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47,496</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6,525,000</w:t>
            </w:r>
          </w:p>
        </w:tc>
      </w:tr>
      <w:tr>
        <w:trPr>
          <w:trHeight w:val="237"/>
        </w:trPr>
        <w:tc>
          <w:tcPr>
            <w:tcW w:w="23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47,496</w:t>
            </w: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71,244</w:t>
            </w:r>
          </w:p>
        </w:tc>
        <w:tc>
          <w:tcPr>
            <w:tcW w:w="16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6,525,000</w:t>
            </w:r>
          </w:p>
        </w:tc>
      </w:tr>
      <w:tr>
        <w:trPr>
          <w:trHeight w:val="237"/>
        </w:trPr>
        <w:tc>
          <w:tcPr>
            <w:tcW w:w="2300" w:type="dxa"/>
            <w:vAlign w:val="bottom"/>
          </w:tcPr>
          <w:p>
            <w:pPr>
              <w:ind w:left="20"/>
              <w:spacing w:after="0"/>
              <w:rPr>
                <w:sz w:val="20"/>
                <w:szCs w:val="20"/>
                <w:color w:val="auto"/>
              </w:rPr>
            </w:pPr>
            <w:r>
              <w:rPr>
                <w:rFonts w:ascii="Arial" w:cs="Arial" w:eastAsia="Arial" w:hAnsi="Arial"/>
                <w:sz w:val="14"/>
                <w:szCs w:val="14"/>
                <w:color w:val="auto"/>
              </w:rPr>
              <w:t>Mary Callahan Erdoes</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44,221</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6,075,000</w:t>
            </w:r>
          </w:p>
        </w:tc>
      </w:tr>
      <w:tr>
        <w:trPr>
          <w:trHeight w:val="237"/>
        </w:trPr>
        <w:tc>
          <w:tcPr>
            <w:tcW w:w="23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44,221</w:t>
            </w: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66,332</w:t>
            </w:r>
          </w:p>
        </w:tc>
        <w:tc>
          <w:tcPr>
            <w:tcW w:w="16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6,075,000</w:t>
            </w:r>
          </w:p>
        </w:tc>
      </w:tr>
      <w:tr>
        <w:trPr>
          <w:trHeight w:val="236"/>
        </w:trPr>
        <w:tc>
          <w:tcPr>
            <w:tcW w:w="2300" w:type="dxa"/>
            <w:vAlign w:val="bottom"/>
          </w:tcPr>
          <w:p>
            <w:pPr>
              <w:ind w:left="20"/>
              <w:spacing w:after="0"/>
              <w:rPr>
                <w:sz w:val="20"/>
                <w:szCs w:val="20"/>
                <w:color w:val="auto"/>
              </w:rPr>
            </w:pPr>
            <w:r>
              <w:rPr>
                <w:rFonts w:ascii="Arial" w:cs="Arial" w:eastAsia="Arial" w:hAnsi="Arial"/>
                <w:sz w:val="14"/>
                <w:szCs w:val="14"/>
                <w:color w:val="auto"/>
              </w:rPr>
              <w:t>Jennifer Piepszak</w:t>
            </w: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gridSpan w:val="2"/>
          </w:tcPr>
          <w:p>
            <w:pPr>
              <w:jc w:val="right"/>
              <w:ind w:right="50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20,382</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2,800,000</w:t>
            </w:r>
          </w:p>
        </w:tc>
      </w:tr>
      <w:tr>
        <w:trPr>
          <w:trHeight w:val="237"/>
        </w:trPr>
        <w:tc>
          <w:tcPr>
            <w:tcW w:w="23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rPr>
              <w:t>1/21/2020</w:t>
            </w:r>
          </w:p>
        </w:tc>
        <w:tc>
          <w:tcPr>
            <w:tcW w:w="1320" w:type="dxa"/>
            <w:vAlign w:val="bottom"/>
            <w:tcBorders>
              <w:bottom w:val="single" w:sz="8" w:color="454545"/>
            </w:tcBorders>
          </w:tcPr>
          <w:p>
            <w:pPr>
              <w:jc w:val="center"/>
              <w:ind w:right="79"/>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color w:val="auto"/>
              </w:rPr>
              <w:t>20,382</w:t>
            </w:r>
          </w:p>
        </w:tc>
        <w:tc>
          <w:tcPr>
            <w:tcW w:w="1460" w:type="dxa"/>
            <w:vAlign w:val="bottom"/>
            <w:tcBorders>
              <w:bottom w:val="single" w:sz="8" w:color="454545"/>
            </w:tcBorders>
          </w:tcPr>
          <w:p>
            <w:pPr>
              <w:jc w:val="right"/>
              <w:ind w:right="259"/>
              <w:spacing w:after="0"/>
              <w:rPr>
                <w:sz w:val="20"/>
                <w:szCs w:val="20"/>
                <w:color w:val="auto"/>
              </w:rPr>
            </w:pPr>
            <w:r>
              <w:rPr>
                <w:rFonts w:ascii="Arial" w:cs="Arial" w:eastAsia="Arial" w:hAnsi="Arial"/>
                <w:sz w:val="16"/>
                <w:szCs w:val="16"/>
                <w:color w:val="auto"/>
              </w:rPr>
              <w:t>30,573</w:t>
            </w:r>
          </w:p>
        </w:tc>
        <w:tc>
          <w:tcPr>
            <w:tcW w:w="160" w:type="dxa"/>
            <w:vAlign w:val="bottom"/>
            <w:tcBorders>
              <w:bottom w:val="single" w:sz="8" w:color="454545"/>
            </w:tcBorders>
          </w:tcPr>
          <w:p>
            <w:pPr>
              <w:spacing w:after="0"/>
              <w:rPr>
                <w:sz w:val="20"/>
                <w:szCs w:val="20"/>
                <w:color w:val="auto"/>
              </w:rPr>
            </w:pPr>
          </w:p>
        </w:tc>
        <w:tc>
          <w:tcPr>
            <w:tcW w:w="1740" w:type="dxa"/>
            <w:vAlign w:val="bottom"/>
            <w:tcBorders>
              <w:bottom w:val="single" w:sz="8" w:color="454545"/>
            </w:tcBorders>
          </w:tcPr>
          <w:p>
            <w:pPr>
              <w:jc w:val="right"/>
              <w:ind w:right="45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auto"/>
              </w:rPr>
              <w:t>2,800,000</w:t>
            </w:r>
          </w:p>
        </w:tc>
      </w:tr>
    </w:tbl>
    <w:p>
      <w:pPr>
        <w:spacing w:after="0" w:line="102" w:lineRule="exact"/>
        <w:rPr>
          <w:sz w:val="20"/>
          <w:szCs w:val="20"/>
          <w:color w:val="auto"/>
        </w:rPr>
      </w:pPr>
    </w:p>
    <w:p>
      <w:pPr>
        <w:ind w:left="200" w:right="200" w:hanging="192"/>
        <w:spacing w:after="0" w:line="229" w:lineRule="auto"/>
        <w:tabs>
          <w:tab w:leader="none" w:pos="200" w:val="left"/>
        </w:tabs>
        <w:numPr>
          <w:ilvl w:val="0"/>
          <w:numId w:val="218"/>
        </w:numPr>
        <w:rPr>
          <w:rFonts w:ascii="Arial" w:cs="Arial" w:eastAsia="Arial" w:hAnsi="Arial"/>
          <w:sz w:val="15"/>
          <w:szCs w:val="15"/>
          <w:color w:val="auto"/>
          <w:vertAlign w:val="superscript"/>
        </w:rPr>
      </w:pPr>
      <w:r>
        <w:rPr>
          <w:rFonts w:ascii="Arial" w:cs="Arial" w:eastAsia="Arial" w:hAnsi="Arial"/>
          <w:sz w:val="12"/>
          <w:szCs w:val="12"/>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 On January 19, 2021, the Firm awarded RSU and PSU awards as part of the 2020</w:t>
      </w:r>
    </w:p>
    <w:p>
      <w:pPr>
        <w:spacing w:after="0" w:line="1" w:lineRule="exact"/>
        <w:rPr>
          <w:sz w:val="20"/>
          <w:szCs w:val="20"/>
          <w:color w:val="auto"/>
        </w:rPr>
      </w:pPr>
    </w:p>
    <w:p>
      <w:pPr>
        <w:ind w:left="200" w:right="240"/>
        <w:spacing w:after="0" w:line="227" w:lineRule="auto"/>
        <w:rPr>
          <w:sz w:val="20"/>
          <w:szCs w:val="20"/>
          <w:color w:val="auto"/>
        </w:rPr>
      </w:pPr>
      <w:r>
        <w:rPr>
          <w:rFonts w:ascii="Arial" w:cs="Arial" w:eastAsia="Arial" w:hAnsi="Arial"/>
          <w:sz w:val="13"/>
          <w:szCs w:val="13"/>
          <w:color w:val="auto"/>
        </w:rPr>
        <w:t>annual incentive compensation. Because these awards were granted in 2021, they do not appear in this table, which is required to include only equity awards actually granted during 2020. These 2021 awards are however reflected in the “NEO Compensation” table on page 65. No SARs have been awarded since 2013.</w:t>
      </w:r>
    </w:p>
    <w:p>
      <w:pPr>
        <w:spacing w:after="0" w:line="14" w:lineRule="exact"/>
        <w:rPr>
          <w:sz w:val="20"/>
          <w:szCs w:val="20"/>
          <w:color w:val="auto"/>
        </w:rPr>
      </w:pPr>
    </w:p>
    <w:p>
      <w:pPr>
        <w:ind w:left="200" w:right="80" w:hanging="192"/>
        <w:spacing w:after="0" w:line="238" w:lineRule="auto"/>
        <w:tabs>
          <w:tab w:leader="none" w:pos="200" w:val="left"/>
        </w:tabs>
        <w:numPr>
          <w:ilvl w:val="0"/>
          <w:numId w:val="219"/>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PSUs vest on March 25, 2023, and are subject to a two-year holding period post-vesting. In accordance with U.K. regulations, for Mr. Pinto, PSUs vest in five equal installments on March 25, 2023, 2024, 2025, 2026 and 2027 and are subject to: (i) a twelve-month holding period for all installments post-vesting, (ii) a two-year holding period for the installment vesting on March 25, 2023, with the holding periods associated with (i) and (ii) above running concurrently. Each PSU represents the right to receive one share of common stock on the vesting date.</w:t>
      </w:r>
    </w:p>
    <w:p>
      <w:pPr>
        <w:spacing w:after="0" w:line="1" w:lineRule="exact"/>
        <w:rPr>
          <w:sz w:val="20"/>
          <w:szCs w:val="20"/>
          <w:color w:val="auto"/>
        </w:rPr>
      </w:pPr>
    </w:p>
    <w:p>
      <w:pPr>
        <w:ind w:left="200" w:right="100"/>
        <w:spacing w:after="0" w:line="232" w:lineRule="auto"/>
        <w:rPr>
          <w:sz w:val="20"/>
          <w:szCs w:val="20"/>
          <w:color w:val="auto"/>
        </w:rPr>
      </w:pPr>
      <w:r>
        <w:rPr>
          <w:rFonts w:ascii="Arial" w:cs="Arial" w:eastAsia="Arial" w:hAnsi="Arial"/>
          <w:sz w:val="13"/>
          <w:szCs w:val="13"/>
          <w:color w:val="auto"/>
        </w:rPr>
        <w:t>The ultimate number of PSUs that will vest will be determined by the Firm’s performance over the three-year performance period, and for NEOs other than Mr. Pinto, will include any accumulated reinvested dividend equivalent shares. The dividend equivalent shares, if any, will be based on: (1) the number of PSUs earned at vesting; and (2) on dividends that would have been paid on the Firm’s common stock during the vesting period as of each dividend payment date, if any. Under rules applicable in the U.K., for Mr. Pinto, the PSUs are not eligible for reinvested dividend equivalent shares and an assessment is also made of his qualitative performance in determining the ultimate number of PSUs that will vest.</w:t>
      </w:r>
    </w:p>
    <w:p>
      <w:pPr>
        <w:spacing w:after="0" w:line="16" w:lineRule="exact"/>
        <w:rPr>
          <w:sz w:val="20"/>
          <w:szCs w:val="20"/>
          <w:color w:val="auto"/>
        </w:rPr>
      </w:pPr>
    </w:p>
    <w:p>
      <w:pPr>
        <w:ind w:left="200" w:right="60" w:hanging="192"/>
        <w:spacing w:after="0" w:line="230" w:lineRule="auto"/>
        <w:tabs>
          <w:tab w:leader="none" w:pos="200" w:val="left"/>
        </w:tabs>
        <w:numPr>
          <w:ilvl w:val="0"/>
          <w:numId w:val="220"/>
        </w:numPr>
        <w:rPr>
          <w:rFonts w:ascii="Arial" w:cs="Arial" w:eastAsia="Arial" w:hAnsi="Arial"/>
          <w:sz w:val="15"/>
          <w:szCs w:val="15"/>
          <w:color w:val="auto"/>
          <w:vertAlign w:val="superscript"/>
        </w:rPr>
      </w:pPr>
      <w:r>
        <w:rPr>
          <w:rFonts w:ascii="Arial" w:cs="Arial" w:eastAsia="Arial" w:hAnsi="Arial"/>
          <w:sz w:val="12"/>
          <w:szCs w:val="12"/>
          <w:color w:val="auto"/>
        </w:rPr>
        <w:t>For NEOs other than Mr. Pinto, RSUs vest in two equal installments on January 13, 2022 and 2023. Each RSU represents the right to receive one share of common stock on the vesting date and non-preferential dividend equivalents, payable in cash, equal to any dividends paid on the Firm’s common stock during the vesting period. Under rules applicable in the U.K., for Mr. Pinto, RSUs vest in five equal installments on January 13, 2023, 2024, 2025, 2026 and 2027 are subject to a twelve-month holding period post-vesting. Mr. Pinto’s RSUs are not eligible for dividend equivalents.</w:t>
      </w:r>
    </w:p>
    <w:p>
      <w:pPr>
        <w:spacing w:after="0" w:line="16" w:lineRule="exact"/>
        <w:rPr>
          <w:sz w:val="20"/>
          <w:szCs w:val="20"/>
          <w:color w:val="auto"/>
        </w:rPr>
      </w:pPr>
    </w:p>
    <w:p>
      <w:pPr>
        <w:ind w:left="200" w:right="240" w:hanging="192"/>
        <w:spacing w:after="0" w:line="223" w:lineRule="auto"/>
        <w:tabs>
          <w:tab w:leader="none" w:pos="200" w:val="left"/>
        </w:tabs>
        <w:numPr>
          <w:ilvl w:val="0"/>
          <w:numId w:val="221"/>
        </w:numPr>
        <w:rPr>
          <w:rFonts w:ascii="Arial" w:cs="Arial" w:eastAsia="Arial" w:hAnsi="Arial"/>
          <w:sz w:val="16"/>
          <w:szCs w:val="16"/>
          <w:color w:val="auto"/>
          <w:vertAlign w:val="superscript"/>
        </w:rPr>
      </w:pPr>
      <w:r>
        <w:rPr>
          <w:rFonts w:ascii="Arial" w:cs="Arial" w:eastAsia="Arial" w:hAnsi="Arial"/>
          <w:sz w:val="13"/>
          <w:szCs w:val="13"/>
          <w:color w:val="auto"/>
        </w:rPr>
        <w:t>Represents the aggregate grant date fair value for RSUs and PSUs. For NEOs other than Mr. Pinto, the aggregate grant date fair value is based on the average of the high and the low prices of JPMorgan Chase common stock on the grant date multiplied by the number of shares granted (for RSUs) or target number of PSUs. For Mr. Pinto, the grant date fair value takes into account that these awards do not carry the right to dividends or dividend equivalents prior to vesting, in accordance with local regulations.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074A75"/>
        </w:rPr>
        <w:t>III. OUTSTANDING EQUITY AWARDS AT FISCAL YEAR-END 2020</w:t>
      </w:r>
    </w:p>
    <w:p>
      <w:pPr>
        <w:spacing w:after="0" w:line="11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shows the number of shares of the Firm’s common stock underlying (i) exercisable SARs and (ii) RSUs and PSUs that had not yet vested held by the Firm’s Named Executive Officers on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bottom w:val="single" w:sz="8" w:color="454545"/>
            </w:tcBorders>
          </w:tcPr>
          <w:p>
            <w:pPr>
              <w:spacing w:after="0"/>
              <w:rPr>
                <w:sz w:val="18"/>
                <w:szCs w:val="18"/>
                <w:color w:val="auto"/>
              </w:rPr>
            </w:pPr>
          </w:p>
        </w:tc>
        <w:tc>
          <w:tcPr>
            <w:tcW w:w="2600" w:type="dxa"/>
            <w:vAlign w:val="bottom"/>
            <w:tcBorders>
              <w:bottom w:val="single" w:sz="8" w:color="454545"/>
            </w:tcBorders>
            <w:gridSpan w:val="4"/>
          </w:tcPr>
          <w:p>
            <w:pPr>
              <w:jc w:val="center"/>
              <w:ind w:left="719"/>
              <w:spacing w:after="0"/>
              <w:rPr>
                <w:sz w:val="20"/>
                <w:szCs w:val="20"/>
                <w:color w:val="auto"/>
              </w:rPr>
            </w:pPr>
            <w:r>
              <w:rPr>
                <w:rFonts w:ascii="Arial" w:cs="Arial" w:eastAsia="Arial" w:hAnsi="Arial"/>
                <w:sz w:val="16"/>
                <w:szCs w:val="16"/>
                <w:color w:val="auto"/>
              </w:rPr>
              <w:t>Option awards</w:t>
            </w:r>
          </w:p>
        </w:tc>
        <w:tc>
          <w:tcPr>
            <w:tcW w:w="1020" w:type="dxa"/>
            <w:vAlign w:val="bottom"/>
            <w:tcBorders>
              <w:bottom w:val="single" w:sz="8" w:color="454545"/>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454545"/>
            </w:tcBorders>
          </w:tcPr>
          <w:p>
            <w:pPr>
              <w:spacing w:after="0"/>
              <w:rPr>
                <w:sz w:val="18"/>
                <w:szCs w:val="18"/>
                <w:color w:val="auto"/>
              </w:rPr>
            </w:pPr>
          </w:p>
        </w:tc>
        <w:tc>
          <w:tcPr>
            <w:tcW w:w="3280" w:type="dxa"/>
            <w:vAlign w:val="bottom"/>
            <w:tcBorders>
              <w:bottom w:val="single" w:sz="8" w:color="454545"/>
            </w:tcBorders>
            <w:gridSpan w:val="4"/>
          </w:tcPr>
          <w:p>
            <w:pPr>
              <w:jc w:val="right"/>
              <w:ind w:right="1199"/>
              <w:spacing w:after="0"/>
              <w:rPr>
                <w:sz w:val="20"/>
                <w:szCs w:val="20"/>
                <w:color w:val="auto"/>
              </w:rPr>
            </w:pPr>
            <w:r>
              <w:rPr>
                <w:rFonts w:ascii="Arial" w:cs="Arial" w:eastAsia="Arial" w:hAnsi="Arial"/>
                <w:sz w:val="16"/>
                <w:szCs w:val="16"/>
                <w:color w:val="auto"/>
              </w:rPr>
              <w:t>Stock awards</w:t>
            </w:r>
          </w:p>
        </w:tc>
        <w:tc>
          <w:tcPr>
            <w:tcW w:w="160" w:type="dxa"/>
            <w:vAlign w:val="bottom"/>
          </w:tcPr>
          <w:p>
            <w:pPr>
              <w:spacing w:after="0"/>
              <w:rPr>
                <w:sz w:val="18"/>
                <w:szCs w:val="18"/>
                <w:color w:val="auto"/>
              </w:rPr>
            </w:pPr>
          </w:p>
        </w:tc>
      </w:tr>
      <w:tr>
        <w:trPr>
          <w:trHeight w:val="218"/>
        </w:trPr>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color w:val="074A75"/>
              </w:rPr>
              <w:t>Number of</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6"/>
                <w:szCs w:val="16"/>
                <w:color w:val="074A75"/>
              </w:rPr>
              <w:t>Number of</w:t>
            </w:r>
          </w:p>
        </w:tc>
      </w:tr>
      <w:tr>
        <w:trPr>
          <w:trHeight w:val="189"/>
        </w:trPr>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color w:val="074A75"/>
              </w:rPr>
              <w:t>securities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6"/>
                <w:szCs w:val="16"/>
                <w:color w:val="074A75"/>
              </w:rPr>
              <w:t>Number of</w:t>
            </w:r>
          </w:p>
        </w:tc>
        <w:tc>
          <w:tcPr>
            <w:tcW w:w="480" w:type="dxa"/>
            <w:vAlign w:val="bottom"/>
          </w:tcPr>
          <w:p>
            <w:pPr>
              <w:spacing w:after="0"/>
              <w:rPr>
                <w:sz w:val="16"/>
                <w:szCs w:val="16"/>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6"/>
                <w:szCs w:val="16"/>
                <w:color w:val="074A75"/>
              </w:rPr>
              <w:t>unearned</w:t>
            </w:r>
          </w:p>
        </w:tc>
      </w:tr>
      <w:tr>
        <w:trPr>
          <w:trHeight w:val="189"/>
        </w:trPr>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color w:val="074A75"/>
              </w:rPr>
              <w:t>underlying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6"/>
                <w:szCs w:val="16"/>
                <w:color w:val="074A75"/>
              </w:rPr>
              <w:t>shares or units</w:t>
            </w:r>
          </w:p>
        </w:tc>
        <w:tc>
          <w:tcPr>
            <w:tcW w:w="1880" w:type="dxa"/>
            <w:vAlign w:val="bottom"/>
            <w:gridSpan w:val="3"/>
          </w:tcPr>
          <w:p>
            <w:pPr>
              <w:jc w:val="center"/>
              <w:ind w:right="140"/>
              <w:spacing w:after="0"/>
              <w:rPr>
                <w:sz w:val="20"/>
                <w:szCs w:val="20"/>
                <w:color w:val="auto"/>
              </w:rPr>
            </w:pPr>
            <w:r>
              <w:rPr>
                <w:rFonts w:ascii="Arial" w:cs="Arial" w:eastAsia="Arial" w:hAnsi="Arial"/>
                <w:sz w:val="16"/>
                <w:szCs w:val="16"/>
                <w:color w:val="074A75"/>
              </w:rPr>
              <w:t>performance</w:t>
            </w:r>
          </w:p>
        </w:tc>
      </w:tr>
      <w:tr>
        <w:trPr>
          <w:trHeight w:val="189"/>
        </w:trPr>
        <w:tc>
          <w:tcPr>
            <w:tcW w:w="1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074A75"/>
              </w:rPr>
              <w:t>Option/</w:t>
            </w:r>
          </w:p>
        </w:tc>
        <w:tc>
          <w:tcPr>
            <w:tcW w:w="2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color w:val="074A75"/>
              </w:rPr>
              <w:t>unexercised</w:t>
            </w:r>
          </w:p>
        </w:tc>
        <w:tc>
          <w:tcPr>
            <w:tcW w:w="26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074A75"/>
              </w:rPr>
              <w:t>Option</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074A75"/>
              </w:rPr>
              <w:t>Option</w:t>
            </w:r>
          </w:p>
        </w:tc>
        <w:tc>
          <w:tcPr>
            <w:tcW w:w="24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6"/>
                <w:szCs w:val="16"/>
                <w:color w:val="074A75"/>
              </w:rPr>
              <w:t>of stock that</w:t>
            </w:r>
          </w:p>
        </w:tc>
        <w:tc>
          <w:tcPr>
            <w:tcW w:w="1880" w:type="dxa"/>
            <w:vAlign w:val="bottom"/>
            <w:gridSpan w:val="3"/>
          </w:tcPr>
          <w:p>
            <w:pPr>
              <w:jc w:val="center"/>
              <w:ind w:right="140"/>
              <w:spacing w:after="0"/>
              <w:rPr>
                <w:sz w:val="20"/>
                <w:szCs w:val="20"/>
                <w:color w:val="auto"/>
              </w:rPr>
            </w:pPr>
            <w:r>
              <w:rPr>
                <w:rFonts w:ascii="Arial" w:cs="Arial" w:eastAsia="Arial" w:hAnsi="Arial"/>
                <w:sz w:val="16"/>
                <w:szCs w:val="16"/>
                <w:color w:val="074A75"/>
              </w:rPr>
              <w:t>shares or units</w:t>
            </w:r>
          </w:p>
        </w:tc>
      </w:tr>
      <w:tr>
        <w:trPr>
          <w:trHeight w:val="186"/>
        </w:trPr>
        <w:tc>
          <w:tcPr>
            <w:tcW w:w="17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074A75"/>
              </w:rPr>
              <w:t>stock award</w:t>
            </w:r>
          </w:p>
        </w:tc>
        <w:tc>
          <w:tcPr>
            <w:tcW w:w="220" w:type="dxa"/>
            <w:vAlign w:val="bottom"/>
          </w:tcPr>
          <w:p>
            <w:pPr>
              <w:spacing w:after="0"/>
              <w:rPr>
                <w:sz w:val="16"/>
                <w:szCs w:val="16"/>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color w:val="074A75"/>
              </w:rPr>
              <w:t>options: #</w:t>
            </w:r>
          </w:p>
        </w:tc>
        <w:tc>
          <w:tcPr>
            <w:tcW w:w="260" w:type="dxa"/>
            <w:vAlign w:val="bottom"/>
          </w:tcPr>
          <w:p>
            <w:pPr>
              <w:spacing w:after="0"/>
              <w:rPr>
                <w:sz w:val="16"/>
                <w:szCs w:val="16"/>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074A75"/>
                <w:w w:val="97"/>
              </w:rPr>
              <w:t>exercise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074A75"/>
              </w:rPr>
              <w:t>expiration</w:t>
            </w:r>
          </w:p>
        </w:tc>
        <w:tc>
          <w:tcPr>
            <w:tcW w:w="240" w:type="dxa"/>
            <w:vAlign w:val="bottom"/>
          </w:tcPr>
          <w:p>
            <w:pPr>
              <w:spacing w:after="0"/>
              <w:rPr>
                <w:sz w:val="16"/>
                <w:szCs w:val="16"/>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6"/>
                <w:szCs w:val="16"/>
                <w:color w:val="074A75"/>
              </w:rPr>
              <w:t>have not</w:t>
            </w:r>
          </w:p>
        </w:tc>
        <w:tc>
          <w:tcPr>
            <w:tcW w:w="1880" w:type="dxa"/>
            <w:vAlign w:val="bottom"/>
            <w:gridSpan w:val="3"/>
          </w:tcPr>
          <w:p>
            <w:pPr>
              <w:jc w:val="center"/>
              <w:ind w:right="140"/>
              <w:spacing w:after="0"/>
              <w:rPr>
                <w:sz w:val="20"/>
                <w:szCs w:val="20"/>
                <w:color w:val="auto"/>
              </w:rPr>
            </w:pPr>
            <w:r>
              <w:rPr>
                <w:rFonts w:ascii="Arial" w:cs="Arial" w:eastAsia="Arial" w:hAnsi="Arial"/>
                <w:sz w:val="16"/>
                <w:szCs w:val="16"/>
                <w:color w:val="074A75"/>
              </w:rPr>
              <w:t>of stock that have</w:t>
            </w:r>
          </w:p>
        </w:tc>
      </w:tr>
      <w:tr>
        <w:trPr>
          <w:trHeight w:val="217"/>
        </w:trPr>
        <w:tc>
          <w:tcPr>
            <w:tcW w:w="17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800" w:type="dxa"/>
            <w:vAlign w:val="bottom"/>
            <w:tcBorders>
              <w:bottom w:val="single" w:sz="8" w:color="454545"/>
            </w:tcBorders>
          </w:tcPr>
          <w:p>
            <w:pPr>
              <w:jc w:val="center"/>
              <w:spacing w:after="0" w:line="217" w:lineRule="exact"/>
              <w:rPr>
                <w:sz w:val="20"/>
                <w:szCs w:val="20"/>
                <w:color w:val="auto"/>
              </w:rPr>
            </w:pPr>
            <w:r>
              <w:rPr>
                <w:rFonts w:ascii="Arial" w:cs="Arial" w:eastAsia="Arial" w:hAnsi="Arial"/>
                <w:sz w:val="16"/>
                <w:szCs w:val="16"/>
                <w:color w:val="074A75"/>
                <w:w w:val="97"/>
              </w:rPr>
              <w:t>grant date</w:t>
            </w:r>
            <w:r>
              <w:rPr>
                <w:rFonts w:ascii="Arial" w:cs="Arial" w:eastAsia="Arial" w:hAnsi="Arial"/>
                <w:sz w:val="21"/>
                <w:szCs w:val="21"/>
                <w:color w:val="074A75"/>
                <w:w w:val="97"/>
                <w:vertAlign w:val="superscript"/>
              </w:rPr>
              <w:t>1</w:t>
            </w:r>
          </w:p>
        </w:tc>
        <w:tc>
          <w:tcPr>
            <w:tcW w:w="1700" w:type="dxa"/>
            <w:vAlign w:val="bottom"/>
            <w:tcBorders>
              <w:bottom w:val="single" w:sz="8" w:color="454545"/>
            </w:tcBorders>
            <w:gridSpan w:val="3"/>
          </w:tcPr>
          <w:p>
            <w:pPr>
              <w:jc w:val="center"/>
              <w:ind w:right="240"/>
              <w:spacing w:after="0" w:line="217" w:lineRule="exact"/>
              <w:rPr>
                <w:sz w:val="20"/>
                <w:szCs w:val="20"/>
                <w:color w:val="auto"/>
              </w:rPr>
            </w:pPr>
            <w:r>
              <w:rPr>
                <w:rFonts w:ascii="Arial" w:cs="Arial" w:eastAsia="Arial" w:hAnsi="Arial"/>
                <w:sz w:val="16"/>
                <w:szCs w:val="16"/>
                <w:color w:val="074A75"/>
                <w:w w:val="94"/>
              </w:rPr>
              <w:t>exercisable</w:t>
            </w:r>
            <w:r>
              <w:rPr>
                <w:rFonts w:ascii="Arial" w:cs="Arial" w:eastAsia="Arial" w:hAnsi="Arial"/>
                <w:sz w:val="21"/>
                <w:szCs w:val="21"/>
                <w:color w:val="074A75"/>
                <w:w w:val="94"/>
                <w:vertAlign w:val="superscript"/>
              </w:rPr>
              <w:t>1,2,3</w:t>
            </w:r>
          </w:p>
        </w:tc>
        <w:tc>
          <w:tcPr>
            <w:tcW w:w="260" w:type="dxa"/>
            <w:vAlign w:val="bottom"/>
            <w:tcBorders>
              <w:bottom w:val="single" w:sz="8" w:color="454545"/>
            </w:tcBorders>
          </w:tcPr>
          <w:p>
            <w:pPr>
              <w:spacing w:after="0"/>
              <w:rPr>
                <w:sz w:val="18"/>
                <w:szCs w:val="18"/>
                <w:color w:val="auto"/>
              </w:rPr>
            </w:pPr>
          </w:p>
        </w:tc>
        <w:tc>
          <w:tcPr>
            <w:tcW w:w="860" w:type="dxa"/>
            <w:vAlign w:val="bottom"/>
            <w:tcBorders>
              <w:bottom w:val="single" w:sz="8" w:color="454545"/>
            </w:tcBorders>
          </w:tcPr>
          <w:p>
            <w:pPr>
              <w:jc w:val="right"/>
              <w:ind w:right="199"/>
              <w:spacing w:after="0"/>
              <w:rPr>
                <w:sz w:val="20"/>
                <w:szCs w:val="20"/>
                <w:color w:val="auto"/>
              </w:rPr>
            </w:pPr>
            <w:r>
              <w:rPr>
                <w:rFonts w:ascii="Arial" w:cs="Arial" w:eastAsia="Arial" w:hAnsi="Arial"/>
                <w:sz w:val="16"/>
                <w:szCs w:val="16"/>
                <w:color w:val="074A75"/>
                <w:w w:val="95"/>
              </w:rPr>
              <w:t>price ($)</w:t>
            </w:r>
          </w:p>
        </w:tc>
        <w:tc>
          <w:tcPr>
            <w:tcW w:w="1200" w:type="dxa"/>
            <w:vAlign w:val="bottom"/>
            <w:tcBorders>
              <w:bottom w:val="single" w:sz="8" w:color="454545"/>
            </w:tcBorders>
            <w:gridSpan w:val="2"/>
          </w:tcPr>
          <w:p>
            <w:pPr>
              <w:jc w:val="center"/>
              <w:ind w:right="160"/>
              <w:spacing w:after="0"/>
              <w:rPr>
                <w:sz w:val="20"/>
                <w:szCs w:val="20"/>
                <w:color w:val="auto"/>
              </w:rPr>
            </w:pPr>
            <w:r>
              <w:rPr>
                <w:rFonts w:ascii="Arial" w:cs="Arial" w:eastAsia="Arial" w:hAnsi="Arial"/>
                <w:sz w:val="16"/>
                <w:szCs w:val="16"/>
                <w:color w:val="074A75"/>
              </w:rPr>
              <w:t>date</w:t>
            </w:r>
          </w:p>
        </w:tc>
        <w:tc>
          <w:tcPr>
            <w:tcW w:w="240" w:type="dxa"/>
            <w:vAlign w:val="bottom"/>
            <w:tcBorders>
              <w:bottom w:val="single" w:sz="8" w:color="454545"/>
            </w:tcBorders>
          </w:tcPr>
          <w:p>
            <w:pPr>
              <w:spacing w:after="0"/>
              <w:rPr>
                <w:sz w:val="18"/>
                <w:szCs w:val="18"/>
                <w:color w:val="auto"/>
              </w:rPr>
            </w:pPr>
          </w:p>
        </w:tc>
        <w:tc>
          <w:tcPr>
            <w:tcW w:w="1560" w:type="dxa"/>
            <w:vAlign w:val="bottom"/>
            <w:tcBorders>
              <w:bottom w:val="single" w:sz="8" w:color="454545"/>
            </w:tcBorders>
            <w:gridSpan w:val="2"/>
          </w:tcPr>
          <w:p>
            <w:pPr>
              <w:jc w:val="center"/>
              <w:ind w:right="540"/>
              <w:spacing w:after="0" w:line="217" w:lineRule="exact"/>
              <w:rPr>
                <w:sz w:val="20"/>
                <w:szCs w:val="20"/>
                <w:color w:val="auto"/>
              </w:rPr>
            </w:pPr>
            <w:r>
              <w:rPr>
                <w:rFonts w:ascii="Arial" w:cs="Arial" w:eastAsia="Arial" w:hAnsi="Arial"/>
                <w:sz w:val="16"/>
                <w:szCs w:val="16"/>
                <w:color w:val="074A75"/>
                <w:w w:val="93"/>
              </w:rPr>
              <w:t>vested</w:t>
            </w:r>
            <w:r>
              <w:rPr>
                <w:rFonts w:ascii="Arial" w:cs="Arial" w:eastAsia="Arial" w:hAnsi="Arial"/>
                <w:sz w:val="21"/>
                <w:szCs w:val="21"/>
                <w:color w:val="074A75"/>
                <w:w w:val="93"/>
                <w:vertAlign w:val="superscript"/>
              </w:rPr>
              <w:t>1,3</w:t>
            </w:r>
          </w:p>
        </w:tc>
        <w:tc>
          <w:tcPr>
            <w:tcW w:w="1880" w:type="dxa"/>
            <w:vAlign w:val="bottom"/>
            <w:tcBorders>
              <w:bottom w:val="single" w:sz="8" w:color="454545"/>
            </w:tcBorders>
            <w:gridSpan w:val="3"/>
          </w:tcPr>
          <w:p>
            <w:pPr>
              <w:jc w:val="center"/>
              <w:ind w:right="140"/>
              <w:spacing w:after="0" w:line="217" w:lineRule="exact"/>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1,3,4</w:t>
            </w: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00"/>
        </w:trPr>
        <w:tc>
          <w:tcPr>
            <w:tcW w:w="1740" w:type="dxa"/>
            <w:vAlign w:val="bottom"/>
          </w:tcPr>
          <w:p>
            <w:pPr>
              <w:spacing w:after="0"/>
              <w:rPr>
                <w:sz w:val="24"/>
                <w:szCs w:val="24"/>
                <w:color w:val="auto"/>
              </w:rPr>
            </w:pPr>
          </w:p>
        </w:tc>
        <w:tc>
          <w:tcPr>
            <w:tcW w:w="1800" w:type="dxa"/>
            <w:vAlign w:val="bottom"/>
          </w:tcPr>
          <w:p>
            <w:pPr>
              <w:ind w:left="720"/>
              <w:spacing w:after="0"/>
              <w:rPr>
                <w:sz w:val="20"/>
                <w:szCs w:val="20"/>
                <w:color w:val="auto"/>
              </w:rPr>
            </w:pPr>
            <w:r>
              <w:rPr>
                <w:rFonts w:ascii="Arial" w:cs="Arial" w:eastAsia="Arial" w:hAnsi="Arial"/>
                <w:sz w:val="16"/>
                <w:szCs w:val="16"/>
                <w:color w:val="auto"/>
              </w:rPr>
              <w:t>1/18/2012</w:t>
            </w:r>
          </w:p>
        </w:tc>
        <w:tc>
          <w:tcPr>
            <w:tcW w:w="220" w:type="dxa"/>
            <w:vAlign w:val="bottom"/>
          </w:tcPr>
          <w:p>
            <w:pPr>
              <w:spacing w:after="0"/>
              <w:rPr>
                <w:sz w:val="24"/>
                <w:szCs w:val="24"/>
                <w:color w:val="auto"/>
              </w:rPr>
            </w:pPr>
          </w:p>
        </w:tc>
        <w:tc>
          <w:tcPr>
            <w:tcW w:w="1480" w:type="dxa"/>
            <w:vAlign w:val="bottom"/>
            <w:gridSpan w:val="2"/>
          </w:tcPr>
          <w:p>
            <w:pPr>
              <w:ind w:left="640"/>
              <w:spacing w:after="0"/>
              <w:rPr>
                <w:sz w:val="20"/>
                <w:szCs w:val="20"/>
                <w:color w:val="auto"/>
              </w:rPr>
            </w:pPr>
            <w:r>
              <w:rPr>
                <w:rFonts w:ascii="Arial" w:cs="Arial" w:eastAsia="Arial" w:hAnsi="Arial"/>
                <w:sz w:val="16"/>
                <w:szCs w:val="16"/>
                <w:color w:val="auto"/>
              </w:rPr>
              <w:t xml:space="preserve">562,430 </w:t>
            </w:r>
            <w:r>
              <w:rPr>
                <w:rFonts w:ascii="Arial" w:cs="Arial" w:eastAsia="Arial" w:hAnsi="Arial"/>
                <w:sz w:val="21"/>
                <w:szCs w:val="21"/>
                <w:color w:val="auto"/>
                <w:vertAlign w:val="superscript"/>
              </w:rPr>
              <w:t>a</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35.61</w:t>
            </w:r>
          </w:p>
        </w:tc>
        <w:tc>
          <w:tcPr>
            <w:tcW w:w="1020" w:type="dxa"/>
            <w:vAlign w:val="bottom"/>
          </w:tcPr>
          <w:p>
            <w:pPr>
              <w:jc w:val="right"/>
              <w:spacing w:after="0"/>
              <w:rPr>
                <w:sz w:val="20"/>
                <w:szCs w:val="20"/>
                <w:color w:val="auto"/>
              </w:rPr>
            </w:pPr>
            <w:r>
              <w:rPr>
                <w:rFonts w:ascii="Arial" w:cs="Arial" w:eastAsia="Arial" w:hAnsi="Arial"/>
                <w:sz w:val="16"/>
                <w:szCs w:val="16"/>
                <w:color w:val="auto"/>
              </w:rPr>
              <w:t>1/18/2022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58"/>
        </w:trPr>
        <w:tc>
          <w:tcPr>
            <w:tcW w:w="1740" w:type="dxa"/>
            <w:vAlign w:val="bottom"/>
          </w:tcPr>
          <w:p>
            <w:pPr>
              <w:spacing w:after="0"/>
              <w:rPr>
                <w:sz w:val="22"/>
                <w:szCs w:val="22"/>
                <w:color w:val="auto"/>
              </w:rPr>
            </w:pPr>
          </w:p>
        </w:tc>
        <w:tc>
          <w:tcPr>
            <w:tcW w:w="1800" w:type="dxa"/>
            <w:vAlign w:val="bottom"/>
          </w:tcPr>
          <w:p>
            <w:pPr>
              <w:ind w:left="720"/>
              <w:spacing w:after="0"/>
              <w:rPr>
                <w:sz w:val="20"/>
                <w:szCs w:val="20"/>
                <w:color w:val="auto"/>
              </w:rPr>
            </w:pPr>
            <w:r>
              <w:rPr>
                <w:rFonts w:ascii="Arial" w:cs="Arial" w:eastAsia="Arial" w:hAnsi="Arial"/>
                <w:sz w:val="16"/>
                <w:szCs w:val="16"/>
                <w:color w:val="auto"/>
              </w:rPr>
              <w:t xml:space="preserve">1/16/2018 </w:t>
            </w:r>
            <w:r>
              <w:rPr>
                <w:rFonts w:ascii="Arial" w:cs="Arial" w:eastAsia="Arial" w:hAnsi="Arial"/>
                <w:sz w:val="21"/>
                <w:szCs w:val="21"/>
                <w:color w:val="auto"/>
                <w:vertAlign w:val="superscript"/>
              </w:rPr>
              <w:t>5</w:t>
            </w:r>
          </w:p>
        </w:tc>
        <w:tc>
          <w:tcPr>
            <w:tcW w:w="220" w:type="dxa"/>
            <w:vAlign w:val="bottom"/>
          </w:tcPr>
          <w:p>
            <w:pPr>
              <w:spacing w:after="0"/>
              <w:rPr>
                <w:sz w:val="22"/>
                <w:szCs w:val="22"/>
                <w:color w:val="auto"/>
              </w:rPr>
            </w:pPr>
          </w:p>
        </w:tc>
        <w:tc>
          <w:tcPr>
            <w:tcW w:w="14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gridSpan w:val="2"/>
          </w:tcPr>
          <w:p>
            <w:pPr>
              <w:ind w:left="640"/>
              <w:spacing w:after="0"/>
              <w:rPr>
                <w:sz w:val="20"/>
                <w:szCs w:val="20"/>
                <w:color w:val="auto"/>
              </w:rPr>
            </w:pPr>
            <w:r>
              <w:rPr>
                <w:rFonts w:ascii="Arial" w:cs="Arial" w:eastAsia="Arial" w:hAnsi="Arial"/>
                <w:sz w:val="16"/>
                <w:szCs w:val="16"/>
                <w:color w:val="auto"/>
              </w:rPr>
              <w:t xml:space="preserve">333,123 </w:t>
            </w:r>
            <w:r>
              <w:rPr>
                <w:rFonts w:ascii="Arial" w:cs="Arial" w:eastAsia="Arial" w:hAnsi="Arial"/>
                <w:sz w:val="21"/>
                <w:szCs w:val="21"/>
                <w:color w:val="auto"/>
                <w:vertAlign w:val="superscript"/>
              </w:rPr>
              <w:t>b</w:t>
            </w:r>
          </w:p>
        </w:tc>
        <w:tc>
          <w:tcPr>
            <w:tcW w:w="48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r>
      <w:tr>
        <w:trPr>
          <w:trHeight w:val="243"/>
        </w:trPr>
        <w:tc>
          <w:tcPr>
            <w:tcW w:w="1740" w:type="dxa"/>
            <w:vAlign w:val="bottom"/>
          </w:tcPr>
          <w:p>
            <w:pPr>
              <w:spacing w:after="0"/>
              <w:rPr>
                <w:sz w:val="21"/>
                <w:szCs w:val="21"/>
                <w:color w:val="auto"/>
              </w:rPr>
            </w:pPr>
          </w:p>
        </w:tc>
        <w:tc>
          <w:tcPr>
            <w:tcW w:w="1800" w:type="dxa"/>
            <w:vAlign w:val="bottom"/>
          </w:tcPr>
          <w:p>
            <w:pPr>
              <w:ind w:left="720"/>
              <w:spacing w:after="0"/>
              <w:rPr>
                <w:sz w:val="20"/>
                <w:szCs w:val="20"/>
                <w:color w:val="auto"/>
              </w:rPr>
            </w:pPr>
            <w:r>
              <w:rPr>
                <w:rFonts w:ascii="Arial" w:cs="Arial" w:eastAsia="Arial" w:hAnsi="Arial"/>
                <w:sz w:val="16"/>
                <w:szCs w:val="16"/>
                <w:color w:val="auto"/>
              </w:rPr>
              <w:t>1/15/2019</w:t>
            </w:r>
          </w:p>
        </w:tc>
        <w:tc>
          <w:tcPr>
            <w:tcW w:w="220" w:type="dxa"/>
            <w:vAlign w:val="bottom"/>
          </w:tcPr>
          <w:p>
            <w:pPr>
              <w:spacing w:after="0"/>
              <w:rPr>
                <w:sz w:val="21"/>
                <w:szCs w:val="21"/>
                <w:color w:val="auto"/>
              </w:rPr>
            </w:pPr>
          </w:p>
        </w:tc>
        <w:tc>
          <w:tcPr>
            <w:tcW w:w="14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6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400" w:type="dxa"/>
            <w:vAlign w:val="bottom"/>
            <w:gridSpan w:val="2"/>
          </w:tcPr>
          <w:p>
            <w:pPr>
              <w:ind w:left="580"/>
              <w:spacing w:after="0"/>
              <w:rPr>
                <w:sz w:val="20"/>
                <w:szCs w:val="20"/>
                <w:color w:val="auto"/>
              </w:rPr>
            </w:pPr>
            <w:r>
              <w:rPr>
                <w:rFonts w:ascii="Arial" w:cs="Arial" w:eastAsia="Arial" w:hAnsi="Arial"/>
                <w:sz w:val="16"/>
                <w:szCs w:val="16"/>
                <w:color w:val="auto"/>
              </w:rPr>
              <w:t xml:space="preserve">386,440 </w:t>
            </w:r>
            <w:r>
              <w:rPr>
                <w:rFonts w:ascii="Arial" w:cs="Arial" w:eastAsia="Arial" w:hAnsi="Arial"/>
                <w:sz w:val="21"/>
                <w:szCs w:val="21"/>
                <w:color w:val="auto"/>
                <w:vertAlign w:val="superscript"/>
              </w:rPr>
              <w:t>b</w:t>
            </w:r>
          </w:p>
        </w:tc>
      </w:tr>
      <w:tr>
        <w:trPr>
          <w:trHeight w:val="230"/>
        </w:trPr>
        <w:tc>
          <w:tcPr>
            <w:tcW w:w="1740" w:type="dxa"/>
            <w:vAlign w:val="bottom"/>
          </w:tcPr>
          <w:p>
            <w:pPr>
              <w:spacing w:after="0"/>
              <w:rPr>
                <w:sz w:val="20"/>
                <w:szCs w:val="20"/>
                <w:color w:val="auto"/>
              </w:rPr>
            </w:pPr>
          </w:p>
        </w:tc>
        <w:tc>
          <w:tcPr>
            <w:tcW w:w="1800" w:type="dxa"/>
            <w:vAlign w:val="bottom"/>
          </w:tcPr>
          <w:p>
            <w:pPr>
              <w:ind w:left="720"/>
              <w:spacing w:after="0"/>
              <w:rPr>
                <w:sz w:val="20"/>
                <w:szCs w:val="20"/>
                <w:color w:val="auto"/>
              </w:rPr>
            </w:pPr>
            <w:r>
              <w:rPr>
                <w:rFonts w:ascii="Arial" w:cs="Arial" w:eastAsia="Arial" w:hAnsi="Arial"/>
                <w:sz w:val="16"/>
                <w:szCs w:val="16"/>
                <w:color w:val="auto"/>
              </w:rPr>
              <w:t>1/21/2020</w:t>
            </w:r>
          </w:p>
        </w:tc>
        <w:tc>
          <w:tcPr>
            <w:tcW w:w="22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gridSpan w:val="2"/>
          </w:tcPr>
          <w:p>
            <w:pPr>
              <w:ind w:left="580"/>
              <w:spacing w:after="0" w:line="230" w:lineRule="exact"/>
              <w:rPr>
                <w:sz w:val="20"/>
                <w:szCs w:val="20"/>
                <w:color w:val="auto"/>
              </w:rPr>
            </w:pPr>
            <w:r>
              <w:rPr>
                <w:rFonts w:ascii="Arial" w:cs="Arial" w:eastAsia="Arial" w:hAnsi="Arial"/>
                <w:sz w:val="16"/>
                <w:szCs w:val="16"/>
                <w:color w:val="auto"/>
              </w:rPr>
              <w:t xml:space="preserve">280,686 </w:t>
            </w:r>
            <w:r>
              <w:rPr>
                <w:rFonts w:ascii="Arial" w:cs="Arial" w:eastAsia="Arial" w:hAnsi="Arial"/>
                <w:sz w:val="21"/>
                <w:szCs w:val="21"/>
                <w:color w:val="auto"/>
                <w:vertAlign w:val="superscript"/>
              </w:rPr>
              <w:t>b</w:t>
            </w:r>
          </w:p>
        </w:tc>
      </w:tr>
      <w:tr>
        <w:trPr>
          <w:trHeight w:val="230"/>
        </w:trPr>
        <w:tc>
          <w:tcPr>
            <w:tcW w:w="174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562,430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333,123</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667,126</w:t>
            </w:r>
          </w:p>
        </w:tc>
        <w:tc>
          <w:tcPr>
            <w:tcW w:w="160" w:type="dxa"/>
            <w:vAlign w:val="bottom"/>
          </w:tcPr>
          <w:p>
            <w:pPr>
              <w:spacing w:after="0"/>
              <w:rPr>
                <w:sz w:val="20"/>
                <w:szCs w:val="20"/>
                <w:color w:val="auto"/>
              </w:rPr>
            </w:pPr>
          </w:p>
        </w:tc>
      </w:tr>
      <w:tr>
        <w:trPr>
          <w:trHeight w:val="270"/>
        </w:trPr>
        <w:tc>
          <w:tcPr>
            <w:tcW w:w="17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6</w:t>
            </w:r>
          </w:p>
        </w:tc>
        <w:tc>
          <w:tcPr>
            <w:tcW w:w="1800" w:type="dxa"/>
            <w:vAlign w:val="bottom"/>
            <w:tcBorders>
              <w:bottom w:val="single" w:sz="8" w:color="454545"/>
            </w:tcBorders>
          </w:tcPr>
          <w:p>
            <w:pPr>
              <w:spacing w:after="0"/>
              <w:rPr>
                <w:sz w:val="23"/>
                <w:szCs w:val="23"/>
                <w:color w:val="auto"/>
              </w:rPr>
            </w:pPr>
          </w:p>
        </w:tc>
        <w:tc>
          <w:tcPr>
            <w:tcW w:w="1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   51,439,848</w:t>
            </w:r>
          </w:p>
        </w:tc>
        <w:tc>
          <w:tcPr>
            <w:tcW w:w="240" w:type="dxa"/>
            <w:vAlign w:val="bottom"/>
            <w:tcBorders>
              <w:bottom w:val="single" w:sz="8" w:color="454545"/>
            </w:tcBorders>
          </w:tcPr>
          <w:p>
            <w:pPr>
              <w:spacing w:after="0"/>
              <w:rPr>
                <w:sz w:val="23"/>
                <w:szCs w:val="23"/>
                <w:color w:val="auto"/>
              </w:rPr>
            </w:pPr>
          </w:p>
        </w:tc>
        <w:tc>
          <w:tcPr>
            <w:tcW w:w="260" w:type="dxa"/>
            <w:vAlign w:val="bottom"/>
            <w:tcBorders>
              <w:bottom w:val="single" w:sz="8" w:color="454545"/>
            </w:tcBorders>
          </w:tcPr>
          <w:p>
            <w:pPr>
              <w:spacing w:after="0"/>
              <w:rPr>
                <w:sz w:val="23"/>
                <w:szCs w:val="23"/>
                <w:color w:val="auto"/>
              </w:rPr>
            </w:pPr>
          </w:p>
        </w:tc>
        <w:tc>
          <w:tcPr>
            <w:tcW w:w="860" w:type="dxa"/>
            <w:vAlign w:val="bottom"/>
            <w:tcBorders>
              <w:bottom w:val="single" w:sz="8" w:color="454545"/>
            </w:tcBorders>
          </w:tcPr>
          <w:p>
            <w:pPr>
              <w:spacing w:after="0"/>
              <w:rPr>
                <w:sz w:val="23"/>
                <w:szCs w:val="23"/>
                <w:color w:val="auto"/>
              </w:rPr>
            </w:pPr>
          </w:p>
        </w:tc>
        <w:tc>
          <w:tcPr>
            <w:tcW w:w="1020" w:type="dxa"/>
            <w:vAlign w:val="bottom"/>
            <w:tcBorders>
              <w:bottom w:val="single" w:sz="8" w:color="454545"/>
            </w:tcBorders>
          </w:tcPr>
          <w:p>
            <w:pPr>
              <w:spacing w:after="0"/>
              <w:rPr>
                <w:sz w:val="23"/>
                <w:szCs w:val="23"/>
                <w:color w:val="auto"/>
              </w:rPr>
            </w:pPr>
          </w:p>
        </w:tc>
        <w:tc>
          <w:tcPr>
            <w:tcW w:w="180" w:type="dxa"/>
            <w:vAlign w:val="bottom"/>
            <w:tcBorders>
              <w:bottom w:val="single" w:sz="8" w:color="454545"/>
            </w:tcBorders>
          </w:tcPr>
          <w:p>
            <w:pPr>
              <w:spacing w:after="0"/>
              <w:rPr>
                <w:sz w:val="23"/>
                <w:szCs w:val="23"/>
                <w:color w:val="auto"/>
              </w:rPr>
            </w:pPr>
          </w:p>
        </w:tc>
        <w:tc>
          <w:tcPr>
            <w:tcW w:w="148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   42,329,940</w:t>
            </w:r>
          </w:p>
        </w:tc>
        <w:tc>
          <w:tcPr>
            <w:tcW w:w="320" w:type="dxa"/>
            <w:vAlign w:val="bottom"/>
            <w:tcBorders>
              <w:bottom w:val="single" w:sz="8" w:color="454545"/>
            </w:tcBorders>
          </w:tcPr>
          <w:p>
            <w:pPr>
              <w:spacing w:after="0"/>
              <w:rPr>
                <w:sz w:val="23"/>
                <w:szCs w:val="23"/>
                <w:color w:val="auto"/>
              </w:rPr>
            </w:pPr>
          </w:p>
        </w:tc>
        <w:tc>
          <w:tcPr>
            <w:tcW w:w="172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   84,771,701</w:t>
            </w:r>
          </w:p>
        </w:tc>
        <w:tc>
          <w:tcPr>
            <w:tcW w:w="160" w:type="dxa"/>
            <w:vAlign w:val="bottom"/>
            <w:tcBorders>
              <w:bottom w:val="single" w:sz="8" w:color="454545"/>
            </w:tcBorders>
          </w:tcPr>
          <w:p>
            <w:pPr>
              <w:spacing w:after="0"/>
              <w:rPr>
                <w:sz w:val="23"/>
                <w:szCs w:val="23"/>
                <w:color w:val="auto"/>
              </w:rPr>
            </w:pP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31"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40" w:type="dxa"/>
            <w:vAlign w:val="bottom"/>
          </w:tcPr>
          <w:p>
            <w:pPr>
              <w:ind w:left="2440"/>
              <w:spacing w:after="0"/>
              <w:rPr>
                <w:sz w:val="20"/>
                <w:szCs w:val="20"/>
                <w:color w:val="auto"/>
              </w:rPr>
            </w:pPr>
            <w:r>
              <w:rPr>
                <w:rFonts w:ascii="Arial" w:cs="Arial" w:eastAsia="Arial" w:hAnsi="Arial"/>
                <w:sz w:val="16"/>
                <w:szCs w:val="16"/>
                <w:color w:val="auto"/>
              </w:rPr>
              <w:t>1/18/2012</w:t>
            </w:r>
          </w:p>
        </w:tc>
        <w:tc>
          <w:tcPr>
            <w:tcW w:w="1240" w:type="dxa"/>
            <w:vAlign w:val="bottom"/>
          </w:tcPr>
          <w:p>
            <w:pPr>
              <w:jc w:val="right"/>
              <w:spacing w:after="0"/>
              <w:rPr>
                <w:sz w:val="20"/>
                <w:szCs w:val="20"/>
                <w:color w:val="auto"/>
              </w:rPr>
            </w:pPr>
            <w:r>
              <w:rPr>
                <w:rFonts w:ascii="Arial" w:cs="Arial" w:eastAsia="Arial" w:hAnsi="Arial"/>
                <w:sz w:val="16"/>
                <w:szCs w:val="16"/>
                <w:color w:val="auto"/>
              </w:rPr>
              <w:t>82,115</w:t>
            </w:r>
          </w:p>
        </w:tc>
      </w:tr>
      <w:tr>
        <w:trPr>
          <w:trHeight w:val="243"/>
        </w:trPr>
        <w:tc>
          <w:tcPr>
            <w:tcW w:w="3740" w:type="dxa"/>
            <w:vAlign w:val="bottom"/>
          </w:tcPr>
          <w:p>
            <w:pPr>
              <w:ind w:left="2440"/>
              <w:spacing w:after="0"/>
              <w:rPr>
                <w:sz w:val="20"/>
                <w:szCs w:val="20"/>
                <w:color w:val="auto"/>
              </w:rPr>
            </w:pPr>
            <w:r>
              <w:rPr>
                <w:rFonts w:ascii="Arial" w:cs="Arial" w:eastAsia="Arial" w:hAnsi="Arial"/>
                <w:sz w:val="16"/>
                <w:szCs w:val="16"/>
                <w:color w:val="auto"/>
              </w:rPr>
              <w:t>1/17/2013</w:t>
            </w:r>
          </w:p>
        </w:tc>
        <w:tc>
          <w:tcPr>
            <w:tcW w:w="1240" w:type="dxa"/>
            <w:vAlign w:val="bottom"/>
          </w:tcPr>
          <w:p>
            <w:pPr>
              <w:jc w:val="right"/>
              <w:spacing w:after="0"/>
              <w:rPr>
                <w:sz w:val="20"/>
                <w:szCs w:val="20"/>
                <w:color w:val="auto"/>
              </w:rPr>
            </w:pPr>
            <w:r>
              <w:rPr>
                <w:rFonts w:ascii="Arial" w:cs="Arial" w:eastAsia="Arial" w:hAnsi="Arial"/>
                <w:sz w:val="16"/>
                <w:szCs w:val="16"/>
                <w:color w:val="auto"/>
              </w:rPr>
              <w:t>104,603</w:t>
            </w:r>
          </w:p>
        </w:tc>
      </w:tr>
      <w:tr>
        <w:trPr>
          <w:trHeight w:val="243"/>
        </w:trPr>
        <w:tc>
          <w:tcPr>
            <w:tcW w:w="3740" w:type="dxa"/>
            <w:vAlign w:val="bottom"/>
          </w:tcPr>
          <w:p>
            <w:pPr>
              <w:ind w:left="2440"/>
              <w:spacing w:after="0"/>
              <w:rPr>
                <w:sz w:val="20"/>
                <w:szCs w:val="20"/>
                <w:color w:val="auto"/>
              </w:rPr>
            </w:pPr>
            <w:r>
              <w:rPr>
                <w:rFonts w:ascii="Arial" w:cs="Arial" w:eastAsia="Arial" w:hAnsi="Arial"/>
                <w:sz w:val="16"/>
                <w:szCs w:val="16"/>
                <w:color w:val="auto"/>
              </w:rPr>
              <w:t>1/17/2017</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740" w:type="dxa"/>
            <w:vAlign w:val="bottom"/>
          </w:tcPr>
          <w:p>
            <w:pPr>
              <w:ind w:left="2440"/>
              <w:spacing w:after="0"/>
              <w:rPr>
                <w:sz w:val="20"/>
                <w:szCs w:val="20"/>
                <w:color w:val="auto"/>
              </w:rPr>
            </w:pPr>
            <w:r>
              <w:rPr>
                <w:rFonts w:ascii="Arial" w:cs="Arial" w:eastAsia="Arial" w:hAnsi="Arial"/>
                <w:sz w:val="16"/>
                <w:szCs w:val="16"/>
                <w:color w:val="auto"/>
              </w:rPr>
              <w:t>1/17/2017</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2"/>
        </w:trPr>
        <w:tc>
          <w:tcPr>
            <w:tcW w:w="3740" w:type="dxa"/>
            <w:vAlign w:val="bottom"/>
          </w:tcPr>
          <w:p>
            <w:pPr>
              <w:ind w:left="2440"/>
              <w:spacing w:after="0"/>
              <w:rPr>
                <w:sz w:val="20"/>
                <w:szCs w:val="20"/>
                <w:color w:val="auto"/>
              </w:rPr>
            </w:pPr>
            <w:r>
              <w:rPr>
                <w:rFonts w:ascii="Arial" w:cs="Arial" w:eastAsia="Arial" w:hAnsi="Arial"/>
                <w:sz w:val="16"/>
                <w:szCs w:val="16"/>
                <w:color w:val="auto"/>
              </w:rPr>
              <w:t xml:space="preserve">1/16/2018 </w:t>
            </w:r>
            <w:r>
              <w:rPr>
                <w:rFonts w:ascii="Arial" w:cs="Arial" w:eastAsia="Arial" w:hAnsi="Arial"/>
                <w:sz w:val="21"/>
                <w:szCs w:val="21"/>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40" w:type="dxa"/>
            <w:vAlign w:val="bottom"/>
          </w:tcPr>
          <w:p>
            <w:pPr>
              <w:ind w:left="2440"/>
              <w:spacing w:after="0"/>
              <w:rPr>
                <w:sz w:val="20"/>
                <w:szCs w:val="20"/>
                <w:color w:val="auto"/>
              </w:rPr>
            </w:pPr>
            <w:r>
              <w:rPr>
                <w:rFonts w:ascii="Arial" w:cs="Arial" w:eastAsia="Arial" w:hAnsi="Arial"/>
                <w:sz w:val="16"/>
                <w:szCs w:val="16"/>
                <w:color w:val="auto"/>
              </w:rPr>
              <w:t>1/16/2018</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740" w:type="dxa"/>
            <w:vAlign w:val="bottom"/>
          </w:tcPr>
          <w:p>
            <w:pPr>
              <w:ind w:left="2440"/>
              <w:spacing w:after="0"/>
              <w:rPr>
                <w:sz w:val="20"/>
                <w:szCs w:val="20"/>
                <w:color w:val="auto"/>
              </w:rPr>
            </w:pPr>
            <w:r>
              <w:rPr>
                <w:rFonts w:ascii="Arial" w:cs="Arial" w:eastAsia="Arial" w:hAnsi="Arial"/>
                <w:sz w:val="16"/>
                <w:szCs w:val="16"/>
                <w:color w:val="auto"/>
              </w:rPr>
              <w:t>1/15/2019</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3740" w:type="dxa"/>
            <w:vAlign w:val="bottom"/>
          </w:tcPr>
          <w:p>
            <w:pPr>
              <w:ind w:left="2440"/>
              <w:spacing w:after="0"/>
              <w:rPr>
                <w:sz w:val="20"/>
                <w:szCs w:val="20"/>
                <w:color w:val="auto"/>
              </w:rPr>
            </w:pPr>
            <w:r>
              <w:rPr>
                <w:rFonts w:ascii="Arial" w:cs="Arial" w:eastAsia="Arial" w:hAnsi="Arial"/>
                <w:sz w:val="16"/>
                <w:szCs w:val="16"/>
                <w:color w:val="auto"/>
              </w:rPr>
              <w:t>1/21/2020</w:t>
            </w: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740" w:type="dxa"/>
            <w:vAlign w:val="bottom"/>
          </w:tcPr>
          <w:p>
            <w:pPr>
              <w:spacing w:after="0"/>
              <w:rPr>
                <w:sz w:val="20"/>
                <w:szCs w:val="20"/>
                <w:color w:val="auto"/>
              </w:rPr>
            </w:pPr>
            <w:r>
              <w:rPr>
                <w:rFonts w:ascii="Arial" w:cs="Arial" w:eastAsia="Arial" w:hAnsi="Arial"/>
                <w:sz w:val="16"/>
                <w:szCs w:val="16"/>
                <w:color w:val="auto"/>
              </w:rPr>
              <w:t>Total awards (#)</w:t>
            </w: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186,718</w:t>
            </w:r>
          </w:p>
        </w:tc>
      </w:tr>
      <w:tr>
        <w:trPr>
          <w:trHeight w:val="294"/>
        </w:trPr>
        <w:tc>
          <w:tcPr>
            <w:tcW w:w="3740" w:type="dxa"/>
            <w:vAlign w:val="bottom"/>
          </w:tcPr>
          <w:p>
            <w:pPr>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6</w:t>
            </w:r>
          </w:p>
        </w:tc>
        <w:tc>
          <w:tcPr>
            <w:tcW w:w="1240" w:type="dxa"/>
            <w:vAlign w:val="bottom"/>
          </w:tcPr>
          <w:p>
            <w:pPr>
              <w:jc w:val="right"/>
              <w:spacing w:after="0"/>
              <w:rPr>
                <w:sz w:val="20"/>
                <w:szCs w:val="20"/>
                <w:color w:val="auto"/>
              </w:rPr>
            </w:pPr>
            <w:r>
              <w:rPr>
                <w:rFonts w:ascii="Arial" w:cs="Arial" w:eastAsia="Arial" w:hAnsi="Arial"/>
                <w:sz w:val="16"/>
                <w:szCs w:val="16"/>
                <w:color w:val="auto"/>
              </w:rPr>
              <w:t>$   15,929,733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20"/>
                <w:szCs w:val="20"/>
                <w:color w:val="auto"/>
              </w:rPr>
            </w:pPr>
            <w:r>
              <w:rPr>
                <w:rFonts w:ascii="Arial" w:cs="Arial" w:eastAsia="Arial" w:hAnsi="Arial"/>
                <w:sz w:val="11"/>
                <w:szCs w:val="11"/>
                <w:color w:val="auto"/>
              </w:rPr>
              <w:t>a</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    35.61</w:t>
            </w:r>
          </w:p>
        </w:tc>
        <w:tc>
          <w:tcPr>
            <w:tcW w:w="1380" w:type="dxa"/>
            <w:vAlign w:val="bottom"/>
            <w:vMerge w:val="restart"/>
          </w:tcPr>
          <w:p>
            <w:pPr>
              <w:jc w:val="right"/>
              <w:ind w:right="359"/>
              <w:spacing w:after="0"/>
              <w:rPr>
                <w:sz w:val="20"/>
                <w:szCs w:val="20"/>
                <w:color w:val="auto"/>
              </w:rPr>
            </w:pPr>
            <w:r>
              <w:rPr>
                <w:rFonts w:ascii="Arial" w:cs="Arial" w:eastAsia="Arial" w:hAnsi="Arial"/>
                <w:sz w:val="16"/>
                <w:szCs w:val="16"/>
                <w:color w:val="auto"/>
              </w:rPr>
              <w:t>1/18/2022</w:t>
            </w:r>
          </w:p>
        </w:tc>
        <w:tc>
          <w:tcPr>
            <w:tcW w:w="2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0"/>
                <w:szCs w:val="10"/>
                <w:color w:val="auto"/>
              </w:rPr>
            </w:pPr>
          </w:p>
        </w:tc>
        <w:tc>
          <w:tcPr>
            <w:tcW w:w="13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20"/>
                <w:szCs w:val="20"/>
                <w:color w:val="auto"/>
              </w:rPr>
            </w:pPr>
            <w:r>
              <w:rPr>
                <w:rFonts w:ascii="Arial" w:cs="Arial" w:eastAsia="Arial" w:hAnsi="Arial"/>
                <w:sz w:val="11"/>
                <w:szCs w:val="11"/>
                <w:color w:val="auto"/>
              </w:rPr>
              <w:t>a</w:t>
            </w:r>
          </w:p>
        </w:tc>
        <w:tc>
          <w:tcPr>
            <w:tcW w:w="1180" w:type="dxa"/>
            <w:vAlign w:val="bottom"/>
            <w:vMerge w:val="restart"/>
          </w:tcPr>
          <w:p>
            <w:pPr>
              <w:jc w:val="right"/>
              <w:ind w:right="159"/>
              <w:spacing w:after="0"/>
              <w:rPr>
                <w:sz w:val="20"/>
                <w:szCs w:val="20"/>
                <w:color w:val="auto"/>
              </w:rPr>
            </w:pPr>
            <w:r>
              <w:rPr>
                <w:rFonts w:ascii="Arial" w:cs="Arial" w:eastAsia="Arial" w:hAnsi="Arial"/>
                <w:sz w:val="16"/>
                <w:szCs w:val="16"/>
                <w:color w:val="auto"/>
              </w:rPr>
              <w:t>46.58</w:t>
            </w:r>
          </w:p>
        </w:tc>
        <w:tc>
          <w:tcPr>
            <w:tcW w:w="1380" w:type="dxa"/>
            <w:vAlign w:val="bottom"/>
            <w:vMerge w:val="restart"/>
          </w:tcPr>
          <w:p>
            <w:pPr>
              <w:jc w:val="right"/>
              <w:ind w:right="359"/>
              <w:spacing w:after="0"/>
              <w:rPr>
                <w:sz w:val="20"/>
                <w:szCs w:val="20"/>
                <w:color w:val="auto"/>
              </w:rPr>
            </w:pPr>
            <w:r>
              <w:rPr>
                <w:rFonts w:ascii="Arial" w:cs="Arial" w:eastAsia="Arial" w:hAnsi="Arial"/>
                <w:sz w:val="16"/>
                <w:szCs w:val="16"/>
                <w:color w:val="auto"/>
              </w:rPr>
              <w:t>1/17/2023</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3"/>
                <w:szCs w:val="13"/>
                <w:color w:val="auto"/>
              </w:rPr>
            </w:pPr>
          </w:p>
        </w:tc>
        <w:tc>
          <w:tcPr>
            <w:tcW w:w="13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82,040</w:t>
            </w:r>
          </w:p>
        </w:tc>
        <w:tc>
          <w:tcPr>
            <w:tcW w:w="800" w:type="dxa"/>
            <w:vAlign w:val="bottom"/>
          </w:tcPr>
          <w:p>
            <w:pPr>
              <w:ind w:left="20"/>
              <w:spacing w:after="0"/>
              <w:rPr>
                <w:sz w:val="20"/>
                <w:szCs w:val="20"/>
                <w:color w:val="auto"/>
              </w:rPr>
            </w:pPr>
            <w:r>
              <w:rPr>
                <w:rFonts w:ascii="Arial" w:cs="Arial" w:eastAsia="Arial" w:hAnsi="Arial"/>
                <w:sz w:val="11"/>
                <w:szCs w:val="11"/>
                <w:color w:val="auto"/>
              </w:rPr>
              <w:t>c</w:t>
            </w: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50,787</w:t>
            </w:r>
          </w:p>
        </w:tc>
        <w:tc>
          <w:tcPr>
            <w:tcW w:w="800" w:type="dxa"/>
            <w:vAlign w:val="bottom"/>
          </w:tcPr>
          <w:p>
            <w:pPr>
              <w:ind w:left="20"/>
              <w:spacing w:after="0"/>
              <w:rPr>
                <w:sz w:val="20"/>
                <w:szCs w:val="20"/>
                <w:color w:val="auto"/>
              </w:rPr>
            </w:pPr>
            <w:r>
              <w:rPr>
                <w:rFonts w:ascii="Arial" w:cs="Arial" w:eastAsia="Arial" w:hAnsi="Arial"/>
                <w:sz w:val="11"/>
                <w:szCs w:val="11"/>
                <w:color w:val="auto"/>
              </w:rPr>
              <w:t>d</w:t>
            </w: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97,614</w:t>
            </w:r>
          </w:p>
        </w:tc>
        <w:tc>
          <w:tcPr>
            <w:tcW w:w="800" w:type="dxa"/>
            <w:vAlign w:val="bottom"/>
          </w:tcPr>
          <w:p>
            <w:pPr>
              <w:ind w:left="20"/>
              <w:spacing w:after="0"/>
              <w:rPr>
                <w:sz w:val="20"/>
                <w:szCs w:val="20"/>
                <w:color w:val="auto"/>
              </w:rPr>
            </w:pPr>
            <w:r>
              <w:rPr>
                <w:rFonts w:ascii="Arial" w:cs="Arial" w:eastAsia="Arial" w:hAnsi="Arial"/>
                <w:sz w:val="11"/>
                <w:szCs w:val="11"/>
                <w:color w:val="auto"/>
              </w:rPr>
              <w:t>d</w:t>
            </w: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63,680</w:t>
            </w:r>
          </w:p>
        </w:tc>
        <w:tc>
          <w:tcPr>
            <w:tcW w:w="800" w:type="dxa"/>
            <w:vAlign w:val="bottom"/>
          </w:tcPr>
          <w:p>
            <w:pPr>
              <w:ind w:left="20"/>
              <w:spacing w:after="0"/>
              <w:rPr>
                <w:sz w:val="20"/>
                <w:szCs w:val="20"/>
                <w:color w:val="auto"/>
              </w:rPr>
            </w:pPr>
            <w:r>
              <w:rPr>
                <w:rFonts w:ascii="Arial" w:cs="Arial" w:eastAsia="Arial" w:hAnsi="Arial"/>
                <w:sz w:val="11"/>
                <w:szCs w:val="11"/>
                <w:color w:val="auto"/>
              </w:rPr>
              <w:t>d</w:t>
            </w: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83,586</w:t>
            </w:r>
          </w:p>
        </w:tc>
        <w:tc>
          <w:tcPr>
            <w:tcW w:w="800" w:type="dxa"/>
            <w:vAlign w:val="bottom"/>
          </w:tcPr>
          <w:p>
            <w:pPr>
              <w:ind w:left="20"/>
              <w:spacing w:after="0"/>
              <w:rPr>
                <w:sz w:val="20"/>
                <w:szCs w:val="20"/>
                <w:color w:val="auto"/>
              </w:rPr>
            </w:pPr>
            <w:r>
              <w:rPr>
                <w:rFonts w:ascii="Arial" w:cs="Arial" w:eastAsia="Arial" w:hAnsi="Arial"/>
                <w:sz w:val="11"/>
                <w:szCs w:val="11"/>
                <w:color w:val="auto"/>
              </w:rPr>
              <w:t>d</w:t>
            </w:r>
          </w:p>
        </w:tc>
        <w:tc>
          <w:tcPr>
            <w:tcW w:w="1240" w:type="dxa"/>
            <w:vAlign w:val="bottom"/>
          </w:tcPr>
          <w:p>
            <w:pPr>
              <w:jc w:val="right"/>
              <w:spacing w:after="0"/>
              <w:rPr>
                <w:sz w:val="20"/>
                <w:szCs w:val="20"/>
                <w:color w:val="auto"/>
              </w:rPr>
            </w:pPr>
            <w:r>
              <w:rPr>
                <w:rFonts w:ascii="Arial" w:cs="Arial" w:eastAsia="Arial" w:hAnsi="Arial"/>
                <w:sz w:val="16"/>
                <w:szCs w:val="16"/>
                <w:color w:val="auto"/>
              </w:rPr>
              <w:t>117,210</w:t>
            </w:r>
          </w:p>
        </w:tc>
        <w:tc>
          <w:tcPr>
            <w:tcW w:w="80" w:type="dxa"/>
            <w:vAlign w:val="bottom"/>
          </w:tcPr>
          <w:p>
            <w:pPr>
              <w:ind w:left="20"/>
              <w:spacing w:after="0"/>
              <w:rPr>
                <w:sz w:val="20"/>
                <w:szCs w:val="20"/>
                <w:color w:val="auto"/>
              </w:rPr>
            </w:pPr>
            <w:r>
              <w:rPr>
                <w:rFonts w:ascii="Arial" w:cs="Arial" w:eastAsia="Arial" w:hAnsi="Arial"/>
                <w:sz w:val="9"/>
                <w:szCs w:val="9"/>
                <w:color w:val="auto"/>
                <w:w w:val="78"/>
              </w:rPr>
              <w:t>d</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61,613</w:t>
            </w:r>
          </w:p>
        </w:tc>
        <w:tc>
          <w:tcPr>
            <w:tcW w:w="800" w:type="dxa"/>
            <w:vAlign w:val="bottom"/>
          </w:tcPr>
          <w:p>
            <w:pPr>
              <w:ind w:left="20"/>
              <w:spacing w:after="0"/>
              <w:rPr>
                <w:sz w:val="20"/>
                <w:szCs w:val="20"/>
                <w:color w:val="auto"/>
              </w:rPr>
            </w:pPr>
            <w:r>
              <w:rPr>
                <w:rFonts w:ascii="Arial" w:cs="Arial" w:eastAsia="Arial" w:hAnsi="Arial"/>
                <w:sz w:val="11"/>
                <w:szCs w:val="11"/>
                <w:color w:val="auto"/>
              </w:rPr>
              <w:t>d</w:t>
            </w:r>
          </w:p>
        </w:tc>
        <w:tc>
          <w:tcPr>
            <w:tcW w:w="1240" w:type="dxa"/>
            <w:vAlign w:val="bottom"/>
          </w:tcPr>
          <w:p>
            <w:pPr>
              <w:jc w:val="right"/>
              <w:spacing w:after="0"/>
              <w:rPr>
                <w:sz w:val="20"/>
                <w:szCs w:val="20"/>
                <w:color w:val="auto"/>
              </w:rPr>
            </w:pPr>
            <w:r>
              <w:rPr>
                <w:rFonts w:ascii="Arial" w:cs="Arial" w:eastAsia="Arial" w:hAnsi="Arial"/>
                <w:sz w:val="16"/>
                <w:szCs w:val="16"/>
                <w:color w:val="auto"/>
              </w:rPr>
              <w:t>89,130</w:t>
            </w:r>
          </w:p>
        </w:tc>
        <w:tc>
          <w:tcPr>
            <w:tcW w:w="80" w:type="dxa"/>
            <w:vAlign w:val="bottom"/>
          </w:tcPr>
          <w:p>
            <w:pPr>
              <w:ind w:left="20"/>
              <w:spacing w:after="0"/>
              <w:rPr>
                <w:sz w:val="20"/>
                <w:szCs w:val="20"/>
                <w:color w:val="auto"/>
              </w:rPr>
            </w:pPr>
            <w:r>
              <w:rPr>
                <w:rFonts w:ascii="Arial" w:cs="Arial" w:eastAsia="Arial" w:hAnsi="Arial"/>
                <w:sz w:val="9"/>
                <w:szCs w:val="9"/>
                <w:color w:val="auto"/>
                <w:w w:val="78"/>
              </w:rPr>
              <w:t>d</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top w:val="single" w:sz="8" w:color="454545"/>
              <w:bottom w:val="single" w:sz="8" w:color="454545"/>
            </w:tcBorders>
          </w:tcPr>
          <w:p>
            <w:pPr>
              <w:spacing w:after="0"/>
              <w:rPr>
                <w:sz w:val="20"/>
                <w:szCs w:val="20"/>
                <w:color w:val="auto"/>
              </w:rPr>
            </w:pPr>
          </w:p>
        </w:tc>
        <w:tc>
          <w:tcPr>
            <w:tcW w:w="100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439,320</w:t>
            </w:r>
          </w:p>
        </w:tc>
        <w:tc>
          <w:tcPr>
            <w:tcW w:w="800" w:type="dxa"/>
            <w:vAlign w:val="bottom"/>
          </w:tcPr>
          <w:p>
            <w:pPr>
              <w:spacing w:after="0"/>
              <w:rPr>
                <w:sz w:val="20"/>
                <w:szCs w:val="20"/>
                <w:color w:val="auto"/>
              </w:rPr>
            </w:pPr>
          </w:p>
        </w:tc>
        <w:tc>
          <w:tcPr>
            <w:tcW w:w="1240" w:type="dxa"/>
            <w:vAlign w:val="bottom"/>
            <w:tcBorders>
              <w:top w:val="single" w:sz="8" w:color="454545"/>
              <w:bottom w:val="single" w:sz="8" w:color="454545"/>
            </w:tcBorders>
          </w:tcPr>
          <w:p>
            <w:pPr>
              <w:jc w:val="right"/>
              <w:spacing w:after="0"/>
              <w:rPr>
                <w:sz w:val="20"/>
                <w:szCs w:val="20"/>
                <w:color w:val="auto"/>
              </w:rPr>
            </w:pPr>
            <w:r>
              <w:rPr>
                <w:rFonts w:ascii="Arial" w:cs="Arial" w:eastAsia="Arial" w:hAnsi="Arial"/>
                <w:sz w:val="16"/>
                <w:szCs w:val="16"/>
                <w:color w:val="auto"/>
              </w:rPr>
              <w:t>206,340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55,824,392</w:t>
            </w:r>
          </w:p>
        </w:tc>
        <w:tc>
          <w:tcPr>
            <w:tcW w:w="8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26,219,624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12700</wp:posOffset>
            </wp:positionV>
            <wp:extent cx="71323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5000" w:space="20"/>
            <w:col w:w="6220"/>
          </w:cols>
          <w:pgMar w:left="320" w:top="17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1"/>
        </w:trPr>
        <w:tc>
          <w:tcPr>
            <w:tcW w:w="3760" w:type="dxa"/>
            <w:vAlign w:val="bottom"/>
          </w:tcPr>
          <w:p>
            <w:pPr>
              <w:ind w:left="2460"/>
              <w:spacing w:after="0"/>
              <w:rPr>
                <w:sz w:val="20"/>
                <w:szCs w:val="20"/>
                <w:color w:val="auto"/>
              </w:rPr>
            </w:pPr>
            <w:r>
              <w:rPr>
                <w:rFonts w:ascii="Arial" w:cs="Arial" w:eastAsia="Arial" w:hAnsi="Arial"/>
                <w:sz w:val="16"/>
                <w:szCs w:val="16"/>
                <w:color w:val="auto"/>
              </w:rPr>
              <w:t>1/16/2018</w:t>
            </w:r>
          </w:p>
        </w:tc>
        <w:tc>
          <w:tcPr>
            <w:tcW w:w="58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ind w:left="260"/>
              <w:spacing w:after="0"/>
              <w:rPr>
                <w:sz w:val="20"/>
                <w:szCs w:val="20"/>
                <w:color w:val="auto"/>
              </w:rPr>
            </w:pPr>
            <w:r>
              <w:rPr>
                <w:rFonts w:ascii="Arial" w:cs="Arial" w:eastAsia="Arial" w:hAnsi="Arial"/>
                <w:sz w:val="16"/>
                <w:szCs w:val="16"/>
                <w:color w:val="auto"/>
              </w:rPr>
              <w:t>—</w:t>
            </w: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25,724</w:t>
            </w:r>
          </w:p>
        </w:tc>
        <w:tc>
          <w:tcPr>
            <w:tcW w:w="800" w:type="dxa"/>
            <w:vAlign w:val="bottom"/>
          </w:tcPr>
          <w:p>
            <w:pPr>
              <w:ind w:left="20"/>
              <w:spacing w:after="0"/>
              <w:rPr>
                <w:sz w:val="20"/>
                <w:szCs w:val="20"/>
                <w:color w:val="auto"/>
              </w:rPr>
            </w:pPr>
            <w:r>
              <w:rPr>
                <w:rFonts w:ascii="Arial" w:cs="Arial" w:eastAsia="Arial" w:hAnsi="Arial"/>
                <w:sz w:val="11"/>
                <w:szCs w:val="11"/>
                <w:color w:val="auto"/>
              </w:rPr>
              <w:t>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r>
      <w:tr>
        <w:trPr>
          <w:trHeight w:val="316"/>
        </w:trPr>
        <w:tc>
          <w:tcPr>
            <w:tcW w:w="3760" w:type="dxa"/>
            <w:vAlign w:val="bottom"/>
          </w:tcPr>
          <w:p>
            <w:pPr>
              <w:ind w:left="2460"/>
              <w:spacing w:after="0"/>
              <w:rPr>
                <w:sz w:val="20"/>
                <w:szCs w:val="20"/>
                <w:color w:val="auto"/>
              </w:rPr>
            </w:pPr>
            <w:r>
              <w:rPr>
                <w:rFonts w:ascii="Arial" w:cs="Arial" w:eastAsia="Arial" w:hAnsi="Arial"/>
                <w:sz w:val="16"/>
                <w:szCs w:val="16"/>
                <w:color w:val="auto"/>
              </w:rPr>
              <w:t xml:space="preserve">1/16/2018 </w:t>
            </w:r>
            <w:r>
              <w:rPr>
                <w:rFonts w:ascii="Arial" w:cs="Arial" w:eastAsia="Arial" w:hAnsi="Arial"/>
                <w:sz w:val="21"/>
                <w:szCs w:val="21"/>
                <w:color w:val="auto"/>
                <w:vertAlign w:val="superscript"/>
              </w:rPr>
              <w:t>5</w:t>
            </w:r>
          </w:p>
        </w:tc>
        <w:tc>
          <w:tcPr>
            <w:tcW w:w="58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Arial" w:cs="Arial" w:eastAsia="Arial" w:hAnsi="Arial"/>
                <w:sz w:val="16"/>
                <w:szCs w:val="16"/>
                <w:color w:val="auto"/>
              </w:rPr>
              <w:t>—</w:t>
            </w: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83,644</w:t>
            </w:r>
          </w:p>
        </w:tc>
        <w:tc>
          <w:tcPr>
            <w:tcW w:w="800" w:type="dxa"/>
            <w:vAlign w:val="bottom"/>
          </w:tcPr>
          <w:p>
            <w:pPr>
              <w:ind w:left="20"/>
              <w:spacing w:after="0"/>
              <w:rPr>
                <w:sz w:val="20"/>
                <w:szCs w:val="20"/>
                <w:color w:val="auto"/>
              </w:rPr>
            </w:pPr>
            <w:r>
              <w:rPr>
                <w:rFonts w:ascii="Arial" w:cs="Arial" w:eastAsia="Arial" w:hAnsi="Arial"/>
                <w:sz w:val="12"/>
                <w:szCs w:val="12"/>
                <w:color w:val="auto"/>
              </w:rPr>
              <w:t>b</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r>
      <w:tr>
        <w:trPr>
          <w:trHeight w:val="211"/>
        </w:trPr>
        <w:tc>
          <w:tcPr>
            <w:tcW w:w="3760" w:type="dxa"/>
            <w:vAlign w:val="bottom"/>
          </w:tcPr>
          <w:p>
            <w:pPr>
              <w:ind w:left="2460"/>
              <w:spacing w:after="0"/>
              <w:rPr>
                <w:sz w:val="20"/>
                <w:szCs w:val="20"/>
                <w:color w:val="auto"/>
              </w:rPr>
            </w:pPr>
            <w:r>
              <w:rPr>
                <w:rFonts w:ascii="Arial" w:cs="Arial" w:eastAsia="Arial" w:hAnsi="Arial"/>
                <w:sz w:val="16"/>
                <w:szCs w:val="16"/>
                <w:color w:val="auto"/>
              </w:rPr>
              <w:t>1/15/2019</w:t>
            </w:r>
          </w:p>
        </w:tc>
        <w:tc>
          <w:tcPr>
            <w:tcW w:w="58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18"/>
                <w:szCs w:val="18"/>
                <w:color w:val="auto"/>
              </w:rPr>
            </w:pPr>
          </w:p>
        </w:tc>
        <w:tc>
          <w:tcPr>
            <w:tcW w:w="940" w:type="dxa"/>
            <w:vAlign w:val="bottom"/>
          </w:tcPr>
          <w:p>
            <w:pPr>
              <w:ind w:left="260"/>
              <w:spacing w:after="0"/>
              <w:rPr>
                <w:sz w:val="20"/>
                <w:szCs w:val="20"/>
                <w:color w:val="auto"/>
              </w:rPr>
            </w:pPr>
            <w:r>
              <w:rPr>
                <w:rFonts w:ascii="Arial" w:cs="Arial" w:eastAsia="Arial" w:hAnsi="Arial"/>
                <w:sz w:val="16"/>
                <w:szCs w:val="16"/>
                <w:color w:val="auto"/>
              </w:rPr>
              <w:t>—</w:t>
            </w: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63,411</w:t>
            </w:r>
          </w:p>
        </w:tc>
        <w:tc>
          <w:tcPr>
            <w:tcW w:w="800" w:type="dxa"/>
            <w:vAlign w:val="bottom"/>
          </w:tcPr>
          <w:p>
            <w:pPr>
              <w:ind w:left="20"/>
              <w:spacing w:after="0" w:line="125" w:lineRule="exact"/>
              <w:rPr>
                <w:sz w:val="20"/>
                <w:szCs w:val="20"/>
                <w:color w:val="auto"/>
              </w:rPr>
            </w:pPr>
            <w:r>
              <w:rPr>
                <w:rFonts w:ascii="Arial" w:cs="Arial" w:eastAsia="Arial" w:hAnsi="Arial"/>
                <w:sz w:val="11"/>
                <w:szCs w:val="11"/>
                <w:color w:val="auto"/>
              </w:rPr>
              <w:t>e</w:t>
            </w:r>
          </w:p>
        </w:tc>
        <w:tc>
          <w:tcPr>
            <w:tcW w:w="1240" w:type="dxa"/>
            <w:vAlign w:val="bottom"/>
          </w:tcPr>
          <w:p>
            <w:pPr>
              <w:jc w:val="right"/>
              <w:spacing w:after="0"/>
              <w:rPr>
                <w:sz w:val="20"/>
                <w:szCs w:val="20"/>
                <w:color w:val="auto"/>
              </w:rPr>
            </w:pPr>
            <w:r>
              <w:rPr>
                <w:rFonts w:ascii="Arial" w:cs="Arial" w:eastAsia="Arial" w:hAnsi="Arial"/>
                <w:sz w:val="16"/>
                <w:szCs w:val="16"/>
                <w:color w:val="auto"/>
              </w:rPr>
              <w:t>100,554</w:t>
            </w:r>
          </w:p>
        </w:tc>
        <w:tc>
          <w:tcPr>
            <w:tcW w:w="160" w:type="dxa"/>
            <w:vAlign w:val="bottom"/>
          </w:tcPr>
          <w:p>
            <w:pPr>
              <w:ind w:left="20"/>
              <w:spacing w:after="0" w:line="125" w:lineRule="exact"/>
              <w:rPr>
                <w:sz w:val="20"/>
                <w:szCs w:val="20"/>
                <w:color w:val="auto"/>
              </w:rPr>
            </w:pPr>
            <w:r>
              <w:rPr>
                <w:rFonts w:ascii="Arial" w:cs="Arial" w:eastAsia="Arial" w:hAnsi="Arial"/>
                <w:sz w:val="11"/>
                <w:szCs w:val="11"/>
                <w:color w:val="auto"/>
              </w:rPr>
              <w:t>b</w:t>
            </w:r>
          </w:p>
        </w:tc>
      </w:tr>
      <w:tr>
        <w:trPr>
          <w:trHeight w:val="256"/>
        </w:trPr>
        <w:tc>
          <w:tcPr>
            <w:tcW w:w="3760" w:type="dxa"/>
            <w:vAlign w:val="bottom"/>
          </w:tcPr>
          <w:p>
            <w:pPr>
              <w:ind w:left="2460"/>
              <w:spacing w:after="0"/>
              <w:rPr>
                <w:sz w:val="20"/>
                <w:szCs w:val="20"/>
                <w:color w:val="auto"/>
              </w:rPr>
            </w:pPr>
            <w:r>
              <w:rPr>
                <w:rFonts w:ascii="Arial" w:cs="Arial" w:eastAsia="Arial" w:hAnsi="Arial"/>
                <w:sz w:val="16"/>
                <w:szCs w:val="16"/>
                <w:color w:val="auto"/>
              </w:rPr>
              <w:t>1/21/2020</w:t>
            </w:r>
          </w:p>
        </w:tc>
        <w:tc>
          <w:tcPr>
            <w:tcW w:w="580" w:type="dxa"/>
            <w:vAlign w:val="bottom"/>
            <w:tcBorders>
              <w:bottom w:val="single" w:sz="8" w:color="454545"/>
            </w:tcBorders>
          </w:tcPr>
          <w:p>
            <w:pPr>
              <w:spacing w:after="0"/>
              <w:rPr>
                <w:sz w:val="22"/>
                <w:szCs w:val="22"/>
                <w:color w:val="auto"/>
              </w:rPr>
            </w:pPr>
          </w:p>
        </w:tc>
        <w:tc>
          <w:tcPr>
            <w:tcW w:w="660" w:type="dxa"/>
            <w:vAlign w:val="bottom"/>
            <w:tcBorders>
              <w:bottom w:val="single" w:sz="8" w:color="454545"/>
            </w:tcBorders>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22"/>
                <w:szCs w:val="22"/>
                <w:color w:val="auto"/>
              </w:rPr>
            </w:pPr>
          </w:p>
        </w:tc>
        <w:tc>
          <w:tcPr>
            <w:tcW w:w="940" w:type="dxa"/>
            <w:vAlign w:val="bottom"/>
          </w:tcPr>
          <w:p>
            <w:pPr>
              <w:ind w:left="260"/>
              <w:spacing w:after="0"/>
              <w:rPr>
                <w:sz w:val="20"/>
                <w:szCs w:val="20"/>
                <w:color w:val="auto"/>
              </w:rPr>
            </w:pPr>
            <w:r>
              <w:rPr>
                <w:rFonts w:ascii="Arial" w:cs="Arial" w:eastAsia="Arial" w:hAnsi="Arial"/>
                <w:sz w:val="16"/>
                <w:szCs w:val="16"/>
                <w:color w:val="auto"/>
              </w:rPr>
              <w:t>—</w:t>
            </w: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47,496</w:t>
            </w:r>
          </w:p>
        </w:tc>
        <w:tc>
          <w:tcPr>
            <w:tcW w:w="800" w:type="dxa"/>
            <w:vAlign w:val="bottom"/>
          </w:tcPr>
          <w:p>
            <w:pPr>
              <w:ind w:left="20"/>
              <w:spacing w:after="0"/>
              <w:rPr>
                <w:sz w:val="20"/>
                <w:szCs w:val="20"/>
                <w:color w:val="auto"/>
              </w:rPr>
            </w:pPr>
            <w:r>
              <w:rPr>
                <w:rFonts w:ascii="Arial" w:cs="Arial" w:eastAsia="Arial" w:hAnsi="Arial"/>
                <w:sz w:val="11"/>
                <w:szCs w:val="11"/>
                <w:color w:val="auto"/>
              </w:rPr>
              <w:t>e</w:t>
            </w: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73,259</w:t>
            </w:r>
          </w:p>
        </w:tc>
        <w:tc>
          <w:tcPr>
            <w:tcW w:w="160" w:type="dxa"/>
            <w:vAlign w:val="bottom"/>
          </w:tcPr>
          <w:p>
            <w:pPr>
              <w:ind w:left="20"/>
              <w:spacing w:after="0"/>
              <w:rPr>
                <w:sz w:val="20"/>
                <w:szCs w:val="20"/>
                <w:color w:val="auto"/>
              </w:rPr>
            </w:pPr>
            <w:r>
              <w:rPr>
                <w:rFonts w:ascii="Arial" w:cs="Arial" w:eastAsia="Arial" w:hAnsi="Arial"/>
                <w:sz w:val="11"/>
                <w:szCs w:val="11"/>
                <w:color w:val="auto"/>
              </w:rPr>
              <w:t>b</w:t>
            </w:r>
          </w:p>
        </w:tc>
      </w:tr>
      <w:tr>
        <w:trPr>
          <w:trHeight w:val="236"/>
        </w:trPr>
        <w:tc>
          <w:tcPr>
            <w:tcW w:w="376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580" w:type="dxa"/>
            <w:vAlign w:val="bottom"/>
            <w:tcBorders>
              <w:bottom w:val="single" w:sz="8" w:color="454545"/>
            </w:tcBorders>
          </w:tcPr>
          <w:p>
            <w:pPr>
              <w:spacing w:after="0"/>
              <w:rPr>
                <w:sz w:val="20"/>
                <w:szCs w:val="20"/>
                <w:color w:val="auto"/>
              </w:rPr>
            </w:pPr>
          </w:p>
        </w:tc>
        <w:tc>
          <w:tcPr>
            <w:tcW w:w="660" w:type="dxa"/>
            <w:vAlign w:val="bottom"/>
            <w:tcBorders>
              <w:bottom w:val="single" w:sz="8" w:color="454545"/>
            </w:tcBorders>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220,275</w:t>
            </w:r>
          </w:p>
        </w:tc>
        <w:tc>
          <w:tcPr>
            <w:tcW w:w="800" w:type="dxa"/>
            <w:vAlign w:val="bottom"/>
          </w:tcPr>
          <w:p>
            <w:pPr>
              <w:spacing w:after="0"/>
              <w:rPr>
                <w:sz w:val="20"/>
                <w:szCs w:val="20"/>
                <w:color w:val="auto"/>
              </w:rPr>
            </w:pP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173,813</w:t>
            </w:r>
          </w:p>
        </w:tc>
        <w:tc>
          <w:tcPr>
            <w:tcW w:w="160" w:type="dxa"/>
            <w:vAlign w:val="bottom"/>
          </w:tcPr>
          <w:p>
            <w:pPr>
              <w:spacing w:after="0"/>
              <w:rPr>
                <w:sz w:val="20"/>
                <w:szCs w:val="20"/>
                <w:color w:val="auto"/>
              </w:rPr>
            </w:pPr>
          </w:p>
        </w:tc>
      </w:tr>
      <w:tr>
        <w:trPr>
          <w:trHeight w:val="270"/>
        </w:trPr>
        <w:tc>
          <w:tcPr>
            <w:tcW w:w="376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6</w:t>
            </w:r>
          </w:p>
        </w:tc>
        <w:tc>
          <w:tcPr>
            <w:tcW w:w="580" w:type="dxa"/>
            <w:vAlign w:val="bottom"/>
            <w:tcBorders>
              <w:bottom w:val="single" w:sz="8" w:color="454545"/>
            </w:tcBorders>
          </w:tcPr>
          <w:p>
            <w:pPr>
              <w:jc w:val="right"/>
              <w:ind w:right="3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454545"/>
            </w:tcBorders>
          </w:tcPr>
          <w:p>
            <w:pPr>
              <w:ind w:left="480"/>
              <w:spacing w:after="0"/>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454545"/>
            </w:tcBorders>
          </w:tcPr>
          <w:p>
            <w:pPr>
              <w:spacing w:after="0"/>
              <w:rPr>
                <w:sz w:val="23"/>
                <w:szCs w:val="23"/>
                <w:color w:val="auto"/>
              </w:rPr>
            </w:pPr>
          </w:p>
        </w:tc>
        <w:tc>
          <w:tcPr>
            <w:tcW w:w="940" w:type="dxa"/>
            <w:vAlign w:val="bottom"/>
            <w:tcBorders>
              <w:bottom w:val="single" w:sz="8" w:color="454545"/>
            </w:tcBorders>
          </w:tcPr>
          <w:p>
            <w:pPr>
              <w:spacing w:after="0"/>
              <w:rPr>
                <w:sz w:val="23"/>
                <w:szCs w:val="23"/>
                <w:color w:val="auto"/>
              </w:rPr>
            </w:pPr>
          </w:p>
        </w:tc>
        <w:tc>
          <w:tcPr>
            <w:tcW w:w="1100" w:type="dxa"/>
            <w:vAlign w:val="bottom"/>
            <w:tcBorders>
              <w:bottom w:val="single" w:sz="8" w:color="454545"/>
            </w:tcBorders>
          </w:tcPr>
          <w:p>
            <w:pPr>
              <w:spacing w:after="0"/>
              <w:rPr>
                <w:sz w:val="23"/>
                <w:szCs w:val="23"/>
                <w:color w:val="auto"/>
              </w:rPr>
            </w:pP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27,990,344</w:t>
            </w:r>
          </w:p>
        </w:tc>
        <w:tc>
          <w:tcPr>
            <w:tcW w:w="800" w:type="dxa"/>
            <w:vAlign w:val="bottom"/>
            <w:tcBorders>
              <w:bottom w:val="single" w:sz="8" w:color="454545"/>
            </w:tcBorders>
          </w:tcPr>
          <w:p>
            <w:pPr>
              <w:spacing w:after="0"/>
              <w:rPr>
                <w:sz w:val="23"/>
                <w:szCs w:val="23"/>
                <w:color w:val="auto"/>
              </w:rPr>
            </w:pPr>
          </w:p>
        </w:tc>
        <w:tc>
          <w:tcPr>
            <w:tcW w:w="12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22,086,418</w:t>
            </w:r>
          </w:p>
        </w:tc>
        <w:tc>
          <w:tcPr>
            <w:tcW w:w="160" w:type="dxa"/>
            <w:vAlign w:val="bottom"/>
            <w:tcBorders>
              <w:bottom w:val="single" w:sz="8" w:color="454545"/>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488315</wp:posOffset>
            </wp:positionV>
            <wp:extent cx="2743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75  </w:t>
      </w:r>
      <w:r>
        <w:rPr>
          <w:sz w:val="1"/>
          <w:szCs w:val="1"/>
          <w:color w:val="auto"/>
        </w:rPr>
        <w:drawing>
          <wp:inline distT="0" distB="0" distL="0" distR="0">
            <wp:extent cx="2203450" cy="154305"/>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454545"/>
            </w:tcBorders>
          </w:tcPr>
          <w:p>
            <w:pPr>
              <w:spacing w:after="0"/>
              <w:rPr>
                <w:sz w:val="18"/>
                <w:szCs w:val="18"/>
                <w:color w:val="auto"/>
              </w:rPr>
            </w:pPr>
          </w:p>
        </w:tc>
        <w:tc>
          <w:tcPr>
            <w:tcW w:w="1020" w:type="dxa"/>
            <w:vAlign w:val="bottom"/>
            <w:tcBorders>
              <w:bottom w:val="single" w:sz="8" w:color="454545"/>
            </w:tcBorders>
          </w:tcPr>
          <w:p>
            <w:pPr>
              <w:spacing w:after="0"/>
              <w:rPr>
                <w:sz w:val="18"/>
                <w:szCs w:val="18"/>
                <w:color w:val="auto"/>
              </w:rPr>
            </w:pPr>
          </w:p>
        </w:tc>
        <w:tc>
          <w:tcPr>
            <w:tcW w:w="100" w:type="dxa"/>
            <w:vAlign w:val="bottom"/>
            <w:tcBorders>
              <w:bottom w:val="single" w:sz="8" w:color="454545"/>
            </w:tcBorders>
          </w:tcPr>
          <w:p>
            <w:pPr>
              <w:spacing w:after="0"/>
              <w:rPr>
                <w:sz w:val="18"/>
                <w:szCs w:val="18"/>
                <w:color w:val="auto"/>
              </w:rPr>
            </w:pPr>
          </w:p>
        </w:tc>
        <w:tc>
          <w:tcPr>
            <w:tcW w:w="1260" w:type="dxa"/>
            <w:vAlign w:val="bottom"/>
            <w:tcBorders>
              <w:bottom w:val="single" w:sz="8" w:color="454545"/>
            </w:tcBorders>
            <w:gridSpan w:val="2"/>
          </w:tcPr>
          <w:p>
            <w:pPr>
              <w:jc w:val="right"/>
              <w:ind w:right="139"/>
              <w:spacing w:after="0"/>
              <w:rPr>
                <w:sz w:val="20"/>
                <w:szCs w:val="20"/>
                <w:color w:val="auto"/>
              </w:rPr>
            </w:pPr>
            <w:r>
              <w:rPr>
                <w:rFonts w:ascii="Arial" w:cs="Arial" w:eastAsia="Arial" w:hAnsi="Arial"/>
                <w:sz w:val="16"/>
                <w:szCs w:val="16"/>
                <w:color w:val="auto"/>
                <w:w w:val="98"/>
              </w:rPr>
              <w:t>Option awards</w:t>
            </w:r>
          </w:p>
        </w:tc>
        <w:tc>
          <w:tcPr>
            <w:tcW w:w="1040" w:type="dxa"/>
            <w:vAlign w:val="bottom"/>
            <w:tcBorders>
              <w:bottom w:val="single" w:sz="8" w:color="454545"/>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454545"/>
            </w:tcBorders>
          </w:tcPr>
          <w:p>
            <w:pPr>
              <w:spacing w:after="0"/>
              <w:rPr>
                <w:sz w:val="18"/>
                <w:szCs w:val="18"/>
                <w:color w:val="auto"/>
              </w:rPr>
            </w:pPr>
          </w:p>
        </w:tc>
        <w:tc>
          <w:tcPr>
            <w:tcW w:w="3020" w:type="dxa"/>
            <w:vAlign w:val="bottom"/>
            <w:tcBorders>
              <w:bottom w:val="single" w:sz="8" w:color="454545"/>
            </w:tcBorders>
            <w:gridSpan w:val="5"/>
          </w:tcPr>
          <w:p>
            <w:pPr>
              <w:jc w:val="right"/>
              <w:ind w:right="1019"/>
              <w:spacing w:after="0"/>
              <w:rPr>
                <w:sz w:val="20"/>
                <w:szCs w:val="20"/>
                <w:color w:val="auto"/>
              </w:rPr>
            </w:pPr>
            <w:r>
              <w:rPr>
                <w:rFonts w:ascii="Arial" w:cs="Arial" w:eastAsia="Arial" w:hAnsi="Arial"/>
                <w:sz w:val="16"/>
                <w:szCs w:val="16"/>
                <w:color w:val="auto"/>
              </w:rPr>
              <w:t>Stock awards</w:t>
            </w:r>
          </w:p>
        </w:tc>
        <w:tc>
          <w:tcPr>
            <w:tcW w:w="180" w:type="dxa"/>
            <w:vAlign w:val="bottom"/>
          </w:tcPr>
          <w:p>
            <w:pPr>
              <w:spacing w:after="0"/>
              <w:rPr>
                <w:sz w:val="18"/>
                <w:szCs w:val="18"/>
                <w:color w:val="auto"/>
              </w:rPr>
            </w:pPr>
          </w:p>
        </w:tc>
      </w:tr>
      <w:tr>
        <w:trPr>
          <w:trHeight w:val="218"/>
        </w:trPr>
        <w:tc>
          <w:tcPr>
            <w:tcW w:w="2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074A75"/>
              </w:rPr>
              <w:t>Number of</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299"/>
              <w:spacing w:after="0"/>
              <w:rPr>
                <w:sz w:val="20"/>
                <w:szCs w:val="20"/>
                <w:color w:val="auto"/>
              </w:rPr>
            </w:pPr>
            <w:r>
              <w:rPr>
                <w:rFonts w:ascii="Arial" w:cs="Arial" w:eastAsia="Arial" w:hAnsi="Arial"/>
                <w:sz w:val="16"/>
                <w:szCs w:val="16"/>
                <w:color w:val="074A75"/>
                <w:w w:val="99"/>
              </w:rPr>
              <w:t>Number of</w:t>
            </w:r>
          </w:p>
        </w:tc>
        <w:tc>
          <w:tcPr>
            <w:tcW w:w="180" w:type="dxa"/>
            <w:vAlign w:val="bottom"/>
          </w:tcPr>
          <w:p>
            <w:pPr>
              <w:spacing w:after="0"/>
              <w:rPr>
                <w:sz w:val="18"/>
                <w:szCs w:val="18"/>
                <w:color w:val="auto"/>
              </w:rPr>
            </w:pPr>
          </w:p>
        </w:tc>
      </w:tr>
      <w:tr>
        <w:trPr>
          <w:trHeight w:val="189"/>
        </w:trPr>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074A75"/>
              </w:rPr>
              <w:t>securities</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color w:val="074A75"/>
              </w:rPr>
              <w:t>Number of</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299"/>
              <w:spacing w:after="0"/>
              <w:rPr>
                <w:sz w:val="20"/>
                <w:szCs w:val="20"/>
                <w:color w:val="auto"/>
              </w:rPr>
            </w:pPr>
            <w:r>
              <w:rPr>
                <w:rFonts w:ascii="Arial" w:cs="Arial" w:eastAsia="Arial" w:hAnsi="Arial"/>
                <w:sz w:val="16"/>
                <w:szCs w:val="16"/>
                <w:color w:val="074A75"/>
              </w:rPr>
              <w:t>unearned</w:t>
            </w:r>
          </w:p>
        </w:tc>
        <w:tc>
          <w:tcPr>
            <w:tcW w:w="180" w:type="dxa"/>
            <w:vAlign w:val="bottom"/>
          </w:tcPr>
          <w:p>
            <w:pPr>
              <w:spacing w:after="0"/>
              <w:rPr>
                <w:sz w:val="16"/>
                <w:szCs w:val="16"/>
                <w:color w:val="auto"/>
              </w:rPr>
            </w:pPr>
          </w:p>
        </w:tc>
      </w:tr>
      <w:tr>
        <w:trPr>
          <w:trHeight w:val="189"/>
        </w:trPr>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6"/>
                <w:szCs w:val="16"/>
                <w:color w:val="074A75"/>
              </w:rPr>
              <w:t>underlying</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color w:val="074A75"/>
              </w:rPr>
              <w:t>shares or units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6"/>
                <w:szCs w:val="16"/>
                <w:color w:val="074A75"/>
              </w:rPr>
              <w:t>performance</w:t>
            </w:r>
          </w:p>
        </w:tc>
        <w:tc>
          <w:tcPr>
            <w:tcW w:w="180" w:type="dxa"/>
            <w:vAlign w:val="bottom"/>
          </w:tcPr>
          <w:p>
            <w:pPr>
              <w:spacing w:after="0"/>
              <w:rPr>
                <w:sz w:val="16"/>
                <w:szCs w:val="16"/>
                <w:color w:val="auto"/>
              </w:rPr>
            </w:pPr>
          </w:p>
        </w:tc>
      </w:tr>
      <w:tr>
        <w:trPr>
          <w:trHeight w:val="189"/>
        </w:trPr>
        <w:tc>
          <w:tcPr>
            <w:tcW w:w="2340" w:type="dxa"/>
            <w:vAlign w:val="bottom"/>
          </w:tcPr>
          <w:p>
            <w:pPr>
              <w:spacing w:after="0"/>
              <w:rPr>
                <w:sz w:val="16"/>
                <w:szCs w:val="16"/>
                <w:color w:val="auto"/>
              </w:rPr>
            </w:pPr>
          </w:p>
        </w:tc>
        <w:tc>
          <w:tcPr>
            <w:tcW w:w="1820" w:type="dxa"/>
            <w:vAlign w:val="bottom"/>
          </w:tcPr>
          <w:p>
            <w:pPr>
              <w:jc w:val="center"/>
              <w:ind w:left="179"/>
              <w:spacing w:after="0"/>
              <w:rPr>
                <w:sz w:val="20"/>
                <w:szCs w:val="20"/>
                <w:color w:val="auto"/>
              </w:rPr>
            </w:pPr>
            <w:r>
              <w:rPr>
                <w:rFonts w:ascii="Arial" w:cs="Arial" w:eastAsia="Arial" w:hAnsi="Arial"/>
                <w:sz w:val="16"/>
                <w:szCs w:val="16"/>
                <w:color w:val="074A75"/>
              </w:rPr>
              <w:t>Option/</w:t>
            </w:r>
          </w:p>
        </w:tc>
        <w:tc>
          <w:tcPr>
            <w:tcW w:w="140" w:type="dxa"/>
            <w:vAlign w:val="bottom"/>
          </w:tcPr>
          <w:p>
            <w:pPr>
              <w:spacing w:after="0"/>
              <w:rPr>
                <w:sz w:val="16"/>
                <w:szCs w:val="16"/>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074A75"/>
              </w:rPr>
              <w:t>unexercised</w:t>
            </w:r>
          </w:p>
        </w:tc>
        <w:tc>
          <w:tcPr>
            <w:tcW w:w="380" w:type="dxa"/>
            <w:vAlign w:val="bottom"/>
          </w:tcPr>
          <w:p>
            <w:pPr>
              <w:spacing w:after="0"/>
              <w:rPr>
                <w:sz w:val="16"/>
                <w:szCs w:val="16"/>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074A75"/>
              </w:rPr>
              <w:t>Option</w:t>
            </w:r>
          </w:p>
        </w:tc>
        <w:tc>
          <w:tcPr>
            <w:tcW w:w="1360" w:type="dxa"/>
            <w:vAlign w:val="bottom"/>
            <w:gridSpan w:val="3"/>
          </w:tcPr>
          <w:p>
            <w:pPr>
              <w:jc w:val="center"/>
              <w:ind w:right="239"/>
              <w:spacing w:after="0"/>
              <w:rPr>
                <w:sz w:val="20"/>
                <w:szCs w:val="20"/>
                <w:color w:val="auto"/>
              </w:rPr>
            </w:pPr>
            <w:r>
              <w:rPr>
                <w:rFonts w:ascii="Arial" w:cs="Arial" w:eastAsia="Arial" w:hAnsi="Arial"/>
                <w:sz w:val="16"/>
                <w:szCs w:val="16"/>
                <w:color w:val="074A75"/>
              </w:rPr>
              <w:t>Option</w:t>
            </w:r>
          </w:p>
        </w:tc>
        <w:tc>
          <w:tcPr>
            <w:tcW w:w="1120" w:type="dxa"/>
            <w:vAlign w:val="bottom"/>
          </w:tcPr>
          <w:p>
            <w:pPr>
              <w:jc w:val="center"/>
              <w:ind w:right="79"/>
              <w:spacing w:after="0"/>
              <w:rPr>
                <w:sz w:val="20"/>
                <w:szCs w:val="20"/>
                <w:color w:val="auto"/>
              </w:rPr>
            </w:pPr>
            <w:r>
              <w:rPr>
                <w:rFonts w:ascii="Arial" w:cs="Arial" w:eastAsia="Arial" w:hAnsi="Arial"/>
                <w:sz w:val="16"/>
                <w:szCs w:val="16"/>
                <w:color w:val="074A75"/>
              </w:rPr>
              <w:t>of stock that</w:t>
            </w:r>
          </w:p>
        </w:tc>
        <w:tc>
          <w:tcPr>
            <w:tcW w:w="28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color w:val="074A75"/>
              </w:rPr>
              <w:t>shares or units</w:t>
            </w:r>
          </w:p>
        </w:tc>
        <w:tc>
          <w:tcPr>
            <w:tcW w:w="180" w:type="dxa"/>
            <w:vAlign w:val="bottom"/>
          </w:tcPr>
          <w:p>
            <w:pPr>
              <w:spacing w:after="0"/>
              <w:rPr>
                <w:sz w:val="16"/>
                <w:szCs w:val="16"/>
                <w:color w:val="auto"/>
              </w:rPr>
            </w:pPr>
          </w:p>
        </w:tc>
      </w:tr>
      <w:tr>
        <w:trPr>
          <w:trHeight w:val="186"/>
        </w:trPr>
        <w:tc>
          <w:tcPr>
            <w:tcW w:w="2340" w:type="dxa"/>
            <w:vAlign w:val="bottom"/>
          </w:tcPr>
          <w:p>
            <w:pPr>
              <w:spacing w:after="0"/>
              <w:rPr>
                <w:sz w:val="16"/>
                <w:szCs w:val="16"/>
                <w:color w:val="auto"/>
              </w:rPr>
            </w:pPr>
          </w:p>
        </w:tc>
        <w:tc>
          <w:tcPr>
            <w:tcW w:w="1820" w:type="dxa"/>
            <w:vAlign w:val="bottom"/>
          </w:tcPr>
          <w:p>
            <w:pPr>
              <w:jc w:val="center"/>
              <w:ind w:left="159"/>
              <w:spacing w:after="0"/>
              <w:rPr>
                <w:sz w:val="20"/>
                <w:szCs w:val="20"/>
                <w:color w:val="auto"/>
              </w:rPr>
            </w:pPr>
            <w:r>
              <w:rPr>
                <w:rFonts w:ascii="Arial" w:cs="Arial" w:eastAsia="Arial" w:hAnsi="Arial"/>
                <w:sz w:val="16"/>
                <w:szCs w:val="16"/>
                <w:color w:val="074A75"/>
              </w:rPr>
              <w:t>stock award</w:t>
            </w:r>
          </w:p>
        </w:tc>
        <w:tc>
          <w:tcPr>
            <w:tcW w:w="140" w:type="dxa"/>
            <w:vAlign w:val="bottom"/>
          </w:tcPr>
          <w:p>
            <w:pPr>
              <w:spacing w:after="0"/>
              <w:rPr>
                <w:sz w:val="16"/>
                <w:szCs w:val="16"/>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6"/>
                <w:szCs w:val="16"/>
                <w:color w:val="074A75"/>
              </w:rPr>
              <w:t>options: #</w:t>
            </w:r>
          </w:p>
        </w:tc>
        <w:tc>
          <w:tcPr>
            <w:tcW w:w="380" w:type="dxa"/>
            <w:vAlign w:val="bottom"/>
          </w:tcPr>
          <w:p>
            <w:pPr>
              <w:spacing w:after="0"/>
              <w:rPr>
                <w:sz w:val="16"/>
                <w:szCs w:val="16"/>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074A75"/>
                <w:w w:val="97"/>
              </w:rPr>
              <w:t>exercise</w:t>
            </w:r>
          </w:p>
        </w:tc>
        <w:tc>
          <w:tcPr>
            <w:tcW w:w="1360" w:type="dxa"/>
            <w:vAlign w:val="bottom"/>
            <w:gridSpan w:val="3"/>
          </w:tcPr>
          <w:p>
            <w:pPr>
              <w:jc w:val="center"/>
              <w:ind w:right="219"/>
              <w:spacing w:after="0"/>
              <w:rPr>
                <w:sz w:val="20"/>
                <w:szCs w:val="20"/>
                <w:color w:val="auto"/>
              </w:rPr>
            </w:pPr>
            <w:r>
              <w:rPr>
                <w:rFonts w:ascii="Arial" w:cs="Arial" w:eastAsia="Arial" w:hAnsi="Arial"/>
                <w:sz w:val="16"/>
                <w:szCs w:val="16"/>
                <w:color w:val="074A75"/>
              </w:rPr>
              <w:t>expiration</w:t>
            </w:r>
          </w:p>
        </w:tc>
        <w:tc>
          <w:tcPr>
            <w:tcW w:w="1120" w:type="dxa"/>
            <w:vAlign w:val="bottom"/>
          </w:tcPr>
          <w:p>
            <w:pPr>
              <w:jc w:val="center"/>
              <w:ind w:right="59"/>
              <w:spacing w:after="0"/>
              <w:rPr>
                <w:sz w:val="20"/>
                <w:szCs w:val="20"/>
                <w:color w:val="auto"/>
              </w:rPr>
            </w:pPr>
            <w:r>
              <w:rPr>
                <w:rFonts w:ascii="Arial" w:cs="Arial" w:eastAsia="Arial" w:hAnsi="Arial"/>
                <w:sz w:val="16"/>
                <w:szCs w:val="16"/>
                <w:color w:val="074A75"/>
              </w:rPr>
              <w:t>have not</w:t>
            </w:r>
          </w:p>
        </w:tc>
        <w:tc>
          <w:tcPr>
            <w:tcW w:w="28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color w:val="074A75"/>
              </w:rPr>
              <w:t>of stock that have</w:t>
            </w:r>
          </w:p>
        </w:tc>
        <w:tc>
          <w:tcPr>
            <w:tcW w:w="180" w:type="dxa"/>
            <w:vAlign w:val="bottom"/>
          </w:tcPr>
          <w:p>
            <w:pPr>
              <w:spacing w:after="0"/>
              <w:rPr>
                <w:sz w:val="16"/>
                <w:szCs w:val="16"/>
                <w:color w:val="auto"/>
              </w:rPr>
            </w:pPr>
          </w:p>
        </w:tc>
      </w:tr>
      <w:tr>
        <w:trPr>
          <w:trHeight w:val="217"/>
        </w:trPr>
        <w:tc>
          <w:tcPr>
            <w:tcW w:w="23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820" w:type="dxa"/>
            <w:vAlign w:val="bottom"/>
            <w:tcBorders>
              <w:bottom w:val="single" w:sz="8" w:color="454545"/>
            </w:tcBorders>
          </w:tcPr>
          <w:p>
            <w:pPr>
              <w:jc w:val="center"/>
              <w:ind w:left="179"/>
              <w:spacing w:after="0" w:line="217" w:lineRule="exact"/>
              <w:rPr>
                <w:sz w:val="20"/>
                <w:szCs w:val="20"/>
                <w:color w:val="auto"/>
              </w:rPr>
            </w:pPr>
            <w:r>
              <w:rPr>
                <w:rFonts w:ascii="Arial" w:cs="Arial" w:eastAsia="Arial" w:hAnsi="Arial"/>
                <w:sz w:val="16"/>
                <w:szCs w:val="16"/>
                <w:color w:val="074A75"/>
              </w:rPr>
              <w:t>grant date</w:t>
            </w:r>
            <w:r>
              <w:rPr>
                <w:rFonts w:ascii="Arial" w:cs="Arial" w:eastAsia="Arial" w:hAnsi="Arial"/>
                <w:sz w:val="21"/>
                <w:szCs w:val="21"/>
                <w:color w:val="074A75"/>
                <w:vertAlign w:val="superscript"/>
              </w:rPr>
              <w:t>1</w:t>
            </w:r>
          </w:p>
        </w:tc>
        <w:tc>
          <w:tcPr>
            <w:tcW w:w="140" w:type="dxa"/>
            <w:vAlign w:val="bottom"/>
            <w:tcBorders>
              <w:bottom w:val="single" w:sz="8" w:color="454545"/>
            </w:tcBorders>
          </w:tcPr>
          <w:p>
            <w:pPr>
              <w:spacing w:after="0"/>
              <w:rPr>
                <w:sz w:val="18"/>
                <w:szCs w:val="18"/>
                <w:color w:val="auto"/>
              </w:rPr>
            </w:pPr>
          </w:p>
        </w:tc>
        <w:tc>
          <w:tcPr>
            <w:tcW w:w="1120" w:type="dxa"/>
            <w:vAlign w:val="bottom"/>
            <w:tcBorders>
              <w:bottom w:val="single" w:sz="8" w:color="454545"/>
            </w:tcBorders>
            <w:gridSpan w:val="2"/>
          </w:tcPr>
          <w:p>
            <w:pPr>
              <w:jc w:val="center"/>
              <w:ind w:right="60"/>
              <w:spacing w:after="0" w:line="217" w:lineRule="exact"/>
              <w:rPr>
                <w:sz w:val="20"/>
                <w:szCs w:val="20"/>
                <w:color w:val="auto"/>
              </w:rPr>
            </w:pPr>
            <w:r>
              <w:rPr>
                <w:rFonts w:ascii="Arial" w:cs="Arial" w:eastAsia="Arial" w:hAnsi="Arial"/>
                <w:sz w:val="16"/>
                <w:szCs w:val="16"/>
                <w:color w:val="074A75"/>
                <w:w w:val="94"/>
              </w:rPr>
              <w:t>exercisable</w:t>
            </w:r>
            <w:r>
              <w:rPr>
                <w:rFonts w:ascii="Arial" w:cs="Arial" w:eastAsia="Arial" w:hAnsi="Arial"/>
                <w:sz w:val="21"/>
                <w:szCs w:val="21"/>
                <w:color w:val="074A75"/>
                <w:w w:val="94"/>
                <w:vertAlign w:val="superscript"/>
              </w:rPr>
              <w:t>1,2,3</w:t>
            </w:r>
          </w:p>
        </w:tc>
        <w:tc>
          <w:tcPr>
            <w:tcW w:w="380" w:type="dxa"/>
            <w:vAlign w:val="bottom"/>
            <w:tcBorders>
              <w:bottom w:val="single" w:sz="8" w:color="454545"/>
            </w:tcBorders>
          </w:tcPr>
          <w:p>
            <w:pPr>
              <w:spacing w:after="0"/>
              <w:rPr>
                <w:sz w:val="18"/>
                <w:szCs w:val="18"/>
                <w:color w:val="auto"/>
              </w:rPr>
            </w:pPr>
          </w:p>
        </w:tc>
        <w:tc>
          <w:tcPr>
            <w:tcW w:w="880" w:type="dxa"/>
            <w:vAlign w:val="bottom"/>
            <w:tcBorders>
              <w:bottom w:val="single" w:sz="8" w:color="454545"/>
            </w:tcBorders>
          </w:tcPr>
          <w:p>
            <w:pPr>
              <w:jc w:val="right"/>
              <w:ind w:right="199"/>
              <w:spacing w:after="0"/>
              <w:rPr>
                <w:sz w:val="20"/>
                <w:szCs w:val="20"/>
                <w:color w:val="auto"/>
              </w:rPr>
            </w:pPr>
            <w:r>
              <w:rPr>
                <w:rFonts w:ascii="Arial" w:cs="Arial" w:eastAsia="Arial" w:hAnsi="Arial"/>
                <w:sz w:val="16"/>
                <w:szCs w:val="16"/>
                <w:color w:val="074A75"/>
                <w:w w:val="98"/>
              </w:rPr>
              <w:t>price ($)</w:t>
            </w:r>
          </w:p>
        </w:tc>
        <w:tc>
          <w:tcPr>
            <w:tcW w:w="1360" w:type="dxa"/>
            <w:vAlign w:val="bottom"/>
            <w:tcBorders>
              <w:bottom w:val="single" w:sz="8" w:color="454545"/>
            </w:tcBorders>
            <w:gridSpan w:val="3"/>
          </w:tcPr>
          <w:p>
            <w:pPr>
              <w:jc w:val="center"/>
              <w:ind w:right="239"/>
              <w:spacing w:after="0"/>
              <w:rPr>
                <w:sz w:val="20"/>
                <w:szCs w:val="20"/>
                <w:color w:val="auto"/>
              </w:rPr>
            </w:pPr>
            <w:r>
              <w:rPr>
                <w:rFonts w:ascii="Arial" w:cs="Arial" w:eastAsia="Arial" w:hAnsi="Arial"/>
                <w:sz w:val="16"/>
                <w:szCs w:val="16"/>
                <w:color w:val="074A75"/>
              </w:rPr>
              <w:t>date</w:t>
            </w:r>
          </w:p>
        </w:tc>
        <w:tc>
          <w:tcPr>
            <w:tcW w:w="1120" w:type="dxa"/>
            <w:vAlign w:val="bottom"/>
            <w:tcBorders>
              <w:bottom w:val="single" w:sz="8" w:color="454545"/>
            </w:tcBorders>
          </w:tcPr>
          <w:p>
            <w:pPr>
              <w:jc w:val="center"/>
              <w:ind w:right="59"/>
              <w:spacing w:after="0" w:line="217" w:lineRule="exact"/>
              <w:rPr>
                <w:sz w:val="20"/>
                <w:szCs w:val="20"/>
                <w:color w:val="auto"/>
              </w:rPr>
            </w:pPr>
            <w:r>
              <w:rPr>
                <w:rFonts w:ascii="Arial" w:cs="Arial" w:eastAsia="Arial" w:hAnsi="Arial"/>
                <w:sz w:val="16"/>
                <w:szCs w:val="16"/>
                <w:color w:val="074A75"/>
                <w:w w:val="93"/>
              </w:rPr>
              <w:t>vested</w:t>
            </w:r>
            <w:r>
              <w:rPr>
                <w:rFonts w:ascii="Arial" w:cs="Arial" w:eastAsia="Arial" w:hAnsi="Arial"/>
                <w:sz w:val="21"/>
                <w:szCs w:val="21"/>
                <w:color w:val="074A75"/>
                <w:w w:val="93"/>
                <w:vertAlign w:val="superscript"/>
              </w:rPr>
              <w:t>1,3</w:t>
            </w:r>
          </w:p>
        </w:tc>
        <w:tc>
          <w:tcPr>
            <w:tcW w:w="280" w:type="dxa"/>
            <w:vAlign w:val="bottom"/>
            <w:tcBorders>
              <w:bottom w:val="single" w:sz="8" w:color="454545"/>
            </w:tcBorders>
          </w:tcPr>
          <w:p>
            <w:pPr>
              <w:spacing w:after="0"/>
              <w:rPr>
                <w:sz w:val="18"/>
                <w:szCs w:val="18"/>
                <w:color w:val="auto"/>
              </w:rPr>
            </w:pPr>
          </w:p>
        </w:tc>
        <w:tc>
          <w:tcPr>
            <w:tcW w:w="360" w:type="dxa"/>
            <w:vAlign w:val="bottom"/>
            <w:tcBorders>
              <w:bottom w:val="single" w:sz="8" w:color="454545"/>
            </w:tcBorders>
          </w:tcPr>
          <w:p>
            <w:pPr>
              <w:spacing w:after="0"/>
              <w:rPr>
                <w:sz w:val="18"/>
                <w:szCs w:val="18"/>
                <w:color w:val="auto"/>
              </w:rPr>
            </w:pPr>
          </w:p>
        </w:tc>
        <w:tc>
          <w:tcPr>
            <w:tcW w:w="1260" w:type="dxa"/>
            <w:vAlign w:val="bottom"/>
            <w:tcBorders>
              <w:bottom w:val="single" w:sz="8" w:color="454545"/>
            </w:tcBorders>
            <w:gridSpan w:val="2"/>
          </w:tcPr>
          <w:p>
            <w:pPr>
              <w:jc w:val="center"/>
              <w:ind w:right="199"/>
              <w:spacing w:after="0" w:line="217" w:lineRule="exact"/>
              <w:rPr>
                <w:sz w:val="20"/>
                <w:szCs w:val="20"/>
                <w:color w:val="auto"/>
              </w:rPr>
            </w:pPr>
            <w:r>
              <w:rPr>
                <w:rFonts w:ascii="Arial" w:cs="Arial" w:eastAsia="Arial" w:hAnsi="Arial"/>
                <w:sz w:val="16"/>
                <w:szCs w:val="16"/>
                <w:color w:val="074A75"/>
                <w:w w:val="93"/>
              </w:rPr>
              <w:t>not vested</w:t>
            </w:r>
            <w:r>
              <w:rPr>
                <w:rFonts w:ascii="Arial" w:cs="Arial" w:eastAsia="Arial" w:hAnsi="Arial"/>
                <w:sz w:val="21"/>
                <w:szCs w:val="21"/>
                <w:color w:val="074A75"/>
                <w:w w:val="93"/>
                <w:vertAlign w:val="superscript"/>
              </w:rPr>
              <w:t>1,3,4</w:t>
            </w:r>
          </w:p>
        </w:tc>
        <w:tc>
          <w:tcPr>
            <w:tcW w:w="180" w:type="dxa"/>
            <w:vAlign w:val="bottom"/>
            <w:tcBorders>
              <w:bottom w:val="single" w:sz="8" w:color="454545"/>
            </w:tcBorders>
          </w:tcPr>
          <w:p>
            <w:pPr>
              <w:spacing w:after="0"/>
              <w:rPr>
                <w:sz w:val="18"/>
                <w:szCs w:val="18"/>
                <w:color w:val="auto"/>
              </w:rPr>
            </w:pPr>
          </w:p>
        </w:tc>
      </w:tr>
      <w:tr>
        <w:trPr>
          <w:trHeight w:val="217"/>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0"/>
        </w:trPr>
        <w:tc>
          <w:tcPr>
            <w:tcW w:w="2340" w:type="dxa"/>
            <w:vAlign w:val="bottom"/>
          </w:tcPr>
          <w:p>
            <w:pPr>
              <w:spacing w:after="0"/>
              <w:rPr>
                <w:sz w:val="24"/>
                <w:szCs w:val="24"/>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1/17/2013</w:t>
            </w:r>
          </w:p>
        </w:tc>
        <w:tc>
          <w:tcPr>
            <w:tcW w:w="140" w:type="dxa"/>
            <w:vAlign w:val="bottom"/>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Arial" w:cs="Arial" w:eastAsia="Arial" w:hAnsi="Arial"/>
                <w:sz w:val="16"/>
                <w:szCs w:val="16"/>
                <w:color w:val="auto"/>
              </w:rPr>
              <w:t xml:space="preserve">105,143 </w:t>
            </w:r>
            <w:r>
              <w:rPr>
                <w:rFonts w:ascii="Arial" w:cs="Arial" w:eastAsia="Arial" w:hAnsi="Arial"/>
                <w:sz w:val="21"/>
                <w:szCs w:val="21"/>
                <w:color w:val="auto"/>
                <w:vertAlign w:val="superscript"/>
              </w:rPr>
              <w:t>a</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46.58</w:t>
            </w:r>
          </w:p>
        </w:tc>
        <w:tc>
          <w:tcPr>
            <w:tcW w:w="1040" w:type="dxa"/>
            <w:vAlign w:val="bottom"/>
          </w:tcPr>
          <w:p>
            <w:pPr>
              <w:jc w:val="right"/>
              <w:spacing w:after="0"/>
              <w:rPr>
                <w:sz w:val="20"/>
                <w:szCs w:val="20"/>
                <w:color w:val="auto"/>
              </w:rPr>
            </w:pPr>
            <w:r>
              <w:rPr>
                <w:rFonts w:ascii="Arial" w:cs="Arial" w:eastAsia="Arial" w:hAnsi="Arial"/>
                <w:sz w:val="16"/>
                <w:szCs w:val="16"/>
                <w:color w:val="auto"/>
              </w:rPr>
              <w:t>1/17/2023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r>
      <w:tr>
        <w:trPr>
          <w:trHeight w:val="226"/>
        </w:trPr>
        <w:tc>
          <w:tcPr>
            <w:tcW w:w="2340" w:type="dxa"/>
            <w:vAlign w:val="bottom"/>
          </w:tcPr>
          <w:p>
            <w:pPr>
              <w:spacing w:after="0"/>
              <w:rPr>
                <w:sz w:val="19"/>
                <w:szCs w:val="19"/>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25,056</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r>
      <w:tr>
        <w:trPr>
          <w:trHeight w:val="316"/>
        </w:trPr>
        <w:tc>
          <w:tcPr>
            <w:tcW w:w="2340" w:type="dxa"/>
            <w:vAlign w:val="bottom"/>
          </w:tcPr>
          <w:p>
            <w:pPr>
              <w:spacing w:after="0"/>
              <w:rPr>
                <w:sz w:val="24"/>
                <w:szCs w:val="24"/>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 xml:space="preserve">1/16/2018  </w:t>
            </w:r>
            <w:r>
              <w:rPr>
                <w:rFonts w:ascii="Arial" w:cs="Arial" w:eastAsia="Arial" w:hAnsi="Arial"/>
                <w:sz w:val="21"/>
                <w:szCs w:val="21"/>
                <w:color w:val="auto"/>
                <w:vertAlign w:val="superscript"/>
              </w:rPr>
              <w:t>5</w:t>
            </w:r>
          </w:p>
        </w:tc>
        <w:tc>
          <w:tcPr>
            <w:tcW w:w="140" w:type="dxa"/>
            <w:vAlign w:val="bottom"/>
          </w:tcPr>
          <w:p>
            <w:pPr>
              <w:spacing w:after="0"/>
              <w:rPr>
                <w:sz w:val="24"/>
                <w:szCs w:val="24"/>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81,472</w:t>
            </w:r>
          </w:p>
        </w:tc>
        <w:tc>
          <w:tcPr>
            <w:tcW w:w="280" w:type="dxa"/>
            <w:vAlign w:val="bottom"/>
          </w:tcPr>
          <w:p>
            <w:pPr>
              <w:ind w:left="20"/>
              <w:spacing w:after="0"/>
              <w:rPr>
                <w:sz w:val="20"/>
                <w:szCs w:val="20"/>
                <w:color w:val="auto"/>
              </w:rPr>
            </w:pPr>
            <w:r>
              <w:rPr>
                <w:rFonts w:ascii="Arial" w:cs="Arial" w:eastAsia="Arial" w:hAnsi="Arial"/>
                <w:sz w:val="11"/>
                <w:szCs w:val="11"/>
                <w:color w:val="auto"/>
              </w:rPr>
              <w:t>b</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r>
      <w:tr>
        <w:trPr>
          <w:trHeight w:val="211"/>
        </w:trPr>
        <w:tc>
          <w:tcPr>
            <w:tcW w:w="2340" w:type="dxa"/>
            <w:vAlign w:val="bottom"/>
          </w:tcPr>
          <w:p>
            <w:pPr>
              <w:spacing w:after="0"/>
              <w:rPr>
                <w:sz w:val="18"/>
                <w:szCs w:val="18"/>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58,935</w:t>
            </w:r>
          </w:p>
        </w:tc>
        <w:tc>
          <w:tcPr>
            <w:tcW w:w="280" w:type="dxa"/>
            <w:vAlign w:val="bottom"/>
          </w:tcPr>
          <w:p>
            <w:pPr>
              <w:ind w:left="20"/>
              <w:spacing w:after="0" w:line="125" w:lineRule="exact"/>
              <w:rPr>
                <w:sz w:val="20"/>
                <w:szCs w:val="20"/>
                <w:color w:val="auto"/>
              </w:rPr>
            </w:pPr>
            <w:r>
              <w:rPr>
                <w:rFonts w:ascii="Arial" w:cs="Arial" w:eastAsia="Arial" w:hAnsi="Arial"/>
                <w:sz w:val="11"/>
                <w:szCs w:val="11"/>
                <w:color w:val="auto"/>
              </w:rPr>
              <w:t>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93,456</w:t>
            </w:r>
          </w:p>
        </w:tc>
        <w:tc>
          <w:tcPr>
            <w:tcW w:w="180" w:type="dxa"/>
            <w:vAlign w:val="bottom"/>
          </w:tcPr>
          <w:p>
            <w:pPr>
              <w:ind w:left="20"/>
              <w:spacing w:after="0" w:line="125" w:lineRule="exact"/>
              <w:rPr>
                <w:sz w:val="20"/>
                <w:szCs w:val="20"/>
                <w:color w:val="auto"/>
              </w:rPr>
            </w:pPr>
            <w:r>
              <w:rPr>
                <w:rFonts w:ascii="Arial" w:cs="Arial" w:eastAsia="Arial" w:hAnsi="Arial"/>
                <w:sz w:val="11"/>
                <w:szCs w:val="11"/>
                <w:color w:val="auto"/>
              </w:rPr>
              <w:t>b</w:t>
            </w:r>
          </w:p>
        </w:tc>
      </w:tr>
      <w:tr>
        <w:trPr>
          <w:trHeight w:val="256"/>
        </w:trPr>
        <w:tc>
          <w:tcPr>
            <w:tcW w:w="2340" w:type="dxa"/>
            <w:vAlign w:val="bottom"/>
          </w:tcPr>
          <w:p>
            <w:pPr>
              <w:spacing w:after="0"/>
              <w:rPr>
                <w:sz w:val="22"/>
                <w:szCs w:val="22"/>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1/21/2020</w:t>
            </w:r>
          </w:p>
        </w:tc>
        <w:tc>
          <w:tcPr>
            <w:tcW w:w="140" w:type="dxa"/>
            <w:vAlign w:val="bottom"/>
            <w:tcBorders>
              <w:bottom w:val="single" w:sz="8" w:color="454545"/>
            </w:tcBorders>
          </w:tcPr>
          <w:p>
            <w:pPr>
              <w:spacing w:after="0"/>
              <w:rPr>
                <w:sz w:val="22"/>
                <w:szCs w:val="22"/>
                <w:color w:val="auto"/>
              </w:rPr>
            </w:pPr>
          </w:p>
        </w:tc>
        <w:tc>
          <w:tcPr>
            <w:tcW w:w="1020" w:type="dxa"/>
            <w:vAlign w:val="bottom"/>
            <w:tcBorders>
              <w:bottom w:val="single" w:sz="8" w:color="454545"/>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bottom w:val="single" w:sz="8" w:color="454545"/>
            </w:tcBorders>
          </w:tcPr>
          <w:p>
            <w:pPr>
              <w:spacing w:after="0"/>
              <w:rPr>
                <w:sz w:val="22"/>
                <w:szCs w:val="22"/>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44,221</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360" w:type="dxa"/>
            <w:vAlign w:val="bottom"/>
          </w:tcPr>
          <w:p>
            <w:pPr>
              <w:spacing w:after="0"/>
              <w:rPr>
                <w:sz w:val="22"/>
                <w:szCs w:val="22"/>
                <w:color w:val="auto"/>
              </w:rPr>
            </w:pPr>
          </w:p>
        </w:tc>
        <w:tc>
          <w:tcPr>
            <w:tcW w:w="100" w:type="dxa"/>
            <w:vAlign w:val="bottom"/>
            <w:tcBorders>
              <w:bottom w:val="single" w:sz="8" w:color="454545"/>
            </w:tcBorders>
          </w:tcPr>
          <w:p>
            <w:pPr>
              <w:spacing w:after="0"/>
              <w:rPr>
                <w:sz w:val="22"/>
                <w:szCs w:val="22"/>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68,208</w:t>
            </w:r>
          </w:p>
        </w:tc>
        <w:tc>
          <w:tcPr>
            <w:tcW w:w="180" w:type="dxa"/>
            <w:vAlign w:val="bottom"/>
          </w:tcPr>
          <w:p>
            <w:pPr>
              <w:ind w:left="20"/>
              <w:spacing w:after="0"/>
              <w:rPr>
                <w:sz w:val="20"/>
                <w:szCs w:val="20"/>
                <w:color w:val="auto"/>
              </w:rPr>
            </w:pPr>
            <w:r>
              <w:rPr>
                <w:rFonts w:ascii="Arial" w:cs="Arial" w:eastAsia="Arial" w:hAnsi="Arial"/>
                <w:sz w:val="11"/>
                <w:szCs w:val="11"/>
                <w:color w:val="auto"/>
              </w:rPr>
              <w:t>b</w:t>
            </w:r>
          </w:p>
        </w:tc>
      </w:tr>
      <w:tr>
        <w:trPr>
          <w:trHeight w:val="237"/>
        </w:trPr>
        <w:tc>
          <w:tcPr>
            <w:tcW w:w="234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82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105,143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209,684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161,664</w:t>
            </w:r>
          </w:p>
        </w:tc>
        <w:tc>
          <w:tcPr>
            <w:tcW w:w="180" w:type="dxa"/>
            <w:vAlign w:val="bottom"/>
          </w:tcPr>
          <w:p>
            <w:pPr>
              <w:spacing w:after="0"/>
              <w:rPr>
                <w:sz w:val="20"/>
                <w:szCs w:val="20"/>
                <w:color w:val="auto"/>
              </w:rPr>
            </w:pPr>
          </w:p>
        </w:tc>
      </w:tr>
      <w:tr>
        <w:trPr>
          <w:trHeight w:val="270"/>
        </w:trPr>
        <w:tc>
          <w:tcPr>
            <w:tcW w:w="23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6</w:t>
            </w:r>
          </w:p>
        </w:tc>
        <w:tc>
          <w:tcPr>
            <w:tcW w:w="18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8,462,960</w:t>
            </w:r>
          </w:p>
        </w:tc>
        <w:tc>
          <w:tcPr>
            <w:tcW w:w="100" w:type="dxa"/>
            <w:vAlign w:val="bottom"/>
            <w:tcBorders>
              <w:bottom w:val="single" w:sz="8" w:color="454545"/>
            </w:tcBorders>
          </w:tcPr>
          <w:p>
            <w:pPr>
              <w:spacing w:after="0"/>
              <w:rPr>
                <w:sz w:val="23"/>
                <w:szCs w:val="23"/>
                <w:color w:val="auto"/>
              </w:rPr>
            </w:pPr>
          </w:p>
        </w:tc>
        <w:tc>
          <w:tcPr>
            <w:tcW w:w="380" w:type="dxa"/>
            <w:vAlign w:val="bottom"/>
            <w:tcBorders>
              <w:bottom w:val="single" w:sz="8" w:color="454545"/>
            </w:tcBorders>
          </w:tcPr>
          <w:p>
            <w:pPr>
              <w:spacing w:after="0"/>
              <w:rPr>
                <w:sz w:val="23"/>
                <w:szCs w:val="23"/>
                <w:color w:val="auto"/>
              </w:rPr>
            </w:pPr>
          </w:p>
        </w:tc>
        <w:tc>
          <w:tcPr>
            <w:tcW w:w="880" w:type="dxa"/>
            <w:vAlign w:val="bottom"/>
            <w:tcBorders>
              <w:bottom w:val="single" w:sz="8" w:color="454545"/>
            </w:tcBorders>
          </w:tcPr>
          <w:p>
            <w:pPr>
              <w:spacing w:after="0"/>
              <w:rPr>
                <w:sz w:val="23"/>
                <w:szCs w:val="23"/>
                <w:color w:val="auto"/>
              </w:rPr>
            </w:pPr>
          </w:p>
        </w:tc>
        <w:tc>
          <w:tcPr>
            <w:tcW w:w="136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26,644,546</w:t>
            </w:r>
          </w:p>
        </w:tc>
        <w:tc>
          <w:tcPr>
            <w:tcW w:w="280" w:type="dxa"/>
            <w:vAlign w:val="bottom"/>
            <w:tcBorders>
              <w:bottom w:val="single" w:sz="8" w:color="454545"/>
            </w:tcBorders>
          </w:tcPr>
          <w:p>
            <w:pPr>
              <w:spacing w:after="0"/>
              <w:rPr>
                <w:sz w:val="23"/>
                <w:szCs w:val="23"/>
                <w:color w:val="auto"/>
              </w:rPr>
            </w:pPr>
          </w:p>
        </w:tc>
        <w:tc>
          <w:tcPr>
            <w:tcW w:w="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20,542,644</w:t>
            </w:r>
          </w:p>
        </w:tc>
        <w:tc>
          <w:tcPr>
            <w:tcW w:w="180" w:type="dxa"/>
            <w:vAlign w:val="bottom"/>
            <w:tcBorders>
              <w:bottom w:val="single" w:sz="8" w:color="454545"/>
            </w:tcBorders>
          </w:tcPr>
          <w:p>
            <w:pPr>
              <w:spacing w:after="0"/>
              <w:rPr>
                <w:sz w:val="23"/>
                <w:szCs w:val="23"/>
                <w:color w:val="auto"/>
              </w:rPr>
            </w:pPr>
          </w:p>
        </w:tc>
      </w:tr>
      <w:tr>
        <w:trPr>
          <w:trHeight w:val="217"/>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3"/>
        </w:trPr>
        <w:tc>
          <w:tcPr>
            <w:tcW w:w="2340" w:type="dxa"/>
            <w:vAlign w:val="bottom"/>
          </w:tcPr>
          <w:p>
            <w:pPr>
              <w:spacing w:after="0"/>
              <w:rPr>
                <w:sz w:val="21"/>
                <w:szCs w:val="21"/>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1/16/2018</w:t>
            </w:r>
          </w:p>
        </w:tc>
        <w:tc>
          <w:tcPr>
            <w:tcW w:w="140" w:type="dxa"/>
            <w:vAlign w:val="bottom"/>
          </w:tcPr>
          <w:p>
            <w:pPr>
              <w:spacing w:after="0"/>
              <w:rPr>
                <w:sz w:val="21"/>
                <w:szCs w:val="21"/>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8,909</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1/15/2019</w:t>
            </w:r>
          </w:p>
        </w:tc>
        <w:tc>
          <w:tcPr>
            <w:tcW w:w="140" w:type="dxa"/>
            <w:vAlign w:val="bottom"/>
          </w:tcPr>
          <w:p>
            <w:pPr>
              <w:spacing w:after="0"/>
              <w:rPr>
                <w:sz w:val="21"/>
                <w:szCs w:val="21"/>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32,825</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r>
      <w:tr>
        <w:trPr>
          <w:trHeight w:val="256"/>
        </w:trPr>
        <w:tc>
          <w:tcPr>
            <w:tcW w:w="2340" w:type="dxa"/>
            <w:vAlign w:val="bottom"/>
          </w:tcPr>
          <w:p>
            <w:pPr>
              <w:spacing w:after="0"/>
              <w:rPr>
                <w:sz w:val="22"/>
                <w:szCs w:val="22"/>
                <w:color w:val="auto"/>
              </w:rPr>
            </w:pPr>
          </w:p>
        </w:tc>
        <w:tc>
          <w:tcPr>
            <w:tcW w:w="1820" w:type="dxa"/>
            <w:vAlign w:val="bottom"/>
          </w:tcPr>
          <w:p>
            <w:pPr>
              <w:ind w:left="700"/>
              <w:spacing w:after="0"/>
              <w:rPr>
                <w:sz w:val="20"/>
                <w:szCs w:val="20"/>
                <w:color w:val="auto"/>
              </w:rPr>
            </w:pPr>
            <w:r>
              <w:rPr>
                <w:rFonts w:ascii="Arial" w:cs="Arial" w:eastAsia="Arial" w:hAnsi="Arial"/>
                <w:sz w:val="16"/>
                <w:szCs w:val="16"/>
                <w:color w:val="auto"/>
              </w:rPr>
              <w:t>1/21/2020</w:t>
            </w:r>
          </w:p>
        </w:tc>
        <w:tc>
          <w:tcPr>
            <w:tcW w:w="140" w:type="dxa"/>
            <w:vAlign w:val="bottom"/>
            <w:tcBorders>
              <w:bottom w:val="single" w:sz="8" w:color="454545"/>
            </w:tcBorders>
          </w:tcPr>
          <w:p>
            <w:pPr>
              <w:spacing w:after="0"/>
              <w:rPr>
                <w:sz w:val="22"/>
                <w:szCs w:val="22"/>
                <w:color w:val="auto"/>
              </w:rPr>
            </w:pPr>
          </w:p>
        </w:tc>
        <w:tc>
          <w:tcPr>
            <w:tcW w:w="1020" w:type="dxa"/>
            <w:vAlign w:val="bottom"/>
            <w:tcBorders>
              <w:bottom w:val="single" w:sz="8" w:color="454545"/>
            </w:tcBorders>
          </w:tcPr>
          <w:p>
            <w:pPr>
              <w:ind w:left="8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54545"/>
            </w:tcBorders>
          </w:tcPr>
          <w:p>
            <w:pPr>
              <w:spacing w:after="0"/>
              <w:rPr>
                <w:sz w:val="22"/>
                <w:szCs w:val="22"/>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20,382</w:t>
            </w:r>
          </w:p>
        </w:tc>
        <w:tc>
          <w:tcPr>
            <w:tcW w:w="280" w:type="dxa"/>
            <w:vAlign w:val="bottom"/>
          </w:tcPr>
          <w:p>
            <w:pPr>
              <w:ind w:left="20"/>
              <w:spacing w:after="0"/>
              <w:rPr>
                <w:sz w:val="20"/>
                <w:szCs w:val="20"/>
                <w:color w:val="auto"/>
              </w:rPr>
            </w:pPr>
            <w:r>
              <w:rPr>
                <w:rFonts w:ascii="Arial" w:cs="Arial" w:eastAsia="Arial" w:hAnsi="Arial"/>
                <w:sz w:val="11"/>
                <w:szCs w:val="11"/>
                <w:color w:val="auto"/>
              </w:rPr>
              <w:t>e</w:t>
            </w:r>
          </w:p>
        </w:tc>
        <w:tc>
          <w:tcPr>
            <w:tcW w:w="360" w:type="dxa"/>
            <w:vAlign w:val="bottom"/>
          </w:tcPr>
          <w:p>
            <w:pPr>
              <w:spacing w:after="0"/>
              <w:rPr>
                <w:sz w:val="22"/>
                <w:szCs w:val="22"/>
                <w:color w:val="auto"/>
              </w:rPr>
            </w:pPr>
          </w:p>
        </w:tc>
        <w:tc>
          <w:tcPr>
            <w:tcW w:w="100" w:type="dxa"/>
            <w:vAlign w:val="bottom"/>
            <w:tcBorders>
              <w:bottom w:val="single" w:sz="8" w:color="454545"/>
            </w:tcBorders>
          </w:tcPr>
          <w:p>
            <w:pPr>
              <w:spacing w:after="0"/>
              <w:rPr>
                <w:sz w:val="22"/>
                <w:szCs w:val="22"/>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31,438</w:t>
            </w:r>
          </w:p>
        </w:tc>
        <w:tc>
          <w:tcPr>
            <w:tcW w:w="180" w:type="dxa"/>
            <w:vAlign w:val="bottom"/>
          </w:tcPr>
          <w:p>
            <w:pPr>
              <w:ind w:left="20"/>
              <w:spacing w:after="0"/>
              <w:rPr>
                <w:sz w:val="20"/>
                <w:szCs w:val="20"/>
                <w:color w:val="auto"/>
              </w:rPr>
            </w:pPr>
            <w:r>
              <w:rPr>
                <w:rFonts w:ascii="Arial" w:cs="Arial" w:eastAsia="Arial" w:hAnsi="Arial"/>
                <w:sz w:val="11"/>
                <w:szCs w:val="11"/>
                <w:color w:val="auto"/>
              </w:rPr>
              <w:t>b</w:t>
            </w:r>
          </w:p>
        </w:tc>
      </w:tr>
      <w:tr>
        <w:trPr>
          <w:trHeight w:val="237"/>
        </w:trPr>
        <w:tc>
          <w:tcPr>
            <w:tcW w:w="2340" w:type="dxa"/>
            <w:vAlign w:val="bottom"/>
          </w:tcPr>
          <w:p>
            <w:pPr>
              <w:ind w:left="20"/>
              <w:spacing w:after="0"/>
              <w:rPr>
                <w:sz w:val="20"/>
                <w:szCs w:val="20"/>
                <w:color w:val="auto"/>
              </w:rPr>
            </w:pPr>
            <w:r>
              <w:rPr>
                <w:rFonts w:ascii="Arial" w:cs="Arial" w:eastAsia="Arial" w:hAnsi="Arial"/>
                <w:sz w:val="16"/>
                <w:szCs w:val="16"/>
                <w:color w:val="auto"/>
              </w:rPr>
              <w:t>Total awards (#)</w:t>
            </w:r>
          </w:p>
        </w:tc>
        <w:tc>
          <w:tcPr>
            <w:tcW w:w="182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020" w:type="dxa"/>
            <w:vAlign w:val="bottom"/>
            <w:tcBorders>
              <w:bottom w:val="single" w:sz="8" w:color="454545"/>
            </w:tcBorders>
          </w:tcPr>
          <w:p>
            <w:pPr>
              <w:ind w:left="8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454545"/>
            </w:tcBorders>
          </w:tcPr>
          <w:p>
            <w:pPr>
              <w:spacing w:after="0"/>
              <w:rPr>
                <w:sz w:val="20"/>
                <w:szCs w:val="20"/>
                <w:color w:val="auto"/>
              </w:rPr>
            </w:pP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62,116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454545"/>
            </w:tcBorders>
          </w:tcPr>
          <w:p>
            <w:pPr>
              <w:spacing w:after="0"/>
              <w:rPr>
                <w:sz w:val="20"/>
                <w:szCs w:val="20"/>
                <w:color w:val="auto"/>
              </w:rPr>
            </w:pP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31,438</w:t>
            </w:r>
          </w:p>
        </w:tc>
        <w:tc>
          <w:tcPr>
            <w:tcW w:w="180" w:type="dxa"/>
            <w:vAlign w:val="bottom"/>
          </w:tcPr>
          <w:p>
            <w:pPr>
              <w:spacing w:after="0"/>
              <w:rPr>
                <w:sz w:val="20"/>
                <w:szCs w:val="20"/>
                <w:color w:val="auto"/>
              </w:rPr>
            </w:pPr>
          </w:p>
        </w:tc>
      </w:tr>
      <w:tr>
        <w:trPr>
          <w:trHeight w:val="270"/>
        </w:trPr>
        <w:tc>
          <w:tcPr>
            <w:tcW w:w="234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Market value ($)</w:t>
            </w:r>
            <w:r>
              <w:rPr>
                <w:rFonts w:ascii="Arial" w:cs="Arial" w:eastAsia="Arial" w:hAnsi="Arial"/>
                <w:sz w:val="21"/>
                <w:szCs w:val="21"/>
                <w:color w:val="auto"/>
                <w:vertAlign w:val="superscript"/>
              </w:rPr>
              <w:t>6</w:t>
            </w:r>
          </w:p>
        </w:tc>
        <w:tc>
          <w:tcPr>
            <w:tcW w:w="1820" w:type="dxa"/>
            <w:vAlign w:val="bottom"/>
            <w:tcBorders>
              <w:bottom w:val="single" w:sz="8" w:color="454545"/>
            </w:tcBorders>
          </w:tcPr>
          <w:p>
            <w:pPr>
              <w:spacing w:after="0"/>
              <w:rPr>
                <w:sz w:val="23"/>
                <w:szCs w:val="23"/>
                <w:color w:val="auto"/>
              </w:rPr>
            </w:pPr>
          </w:p>
        </w:tc>
        <w:tc>
          <w:tcPr>
            <w:tcW w:w="1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54545"/>
            </w:tcBorders>
            <w:gridSpan w:val="2"/>
          </w:tcPr>
          <w:p>
            <w:pPr>
              <w:ind w:left="8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54545"/>
            </w:tcBorders>
          </w:tcPr>
          <w:p>
            <w:pPr>
              <w:spacing w:after="0"/>
              <w:rPr>
                <w:sz w:val="23"/>
                <w:szCs w:val="23"/>
                <w:color w:val="auto"/>
              </w:rPr>
            </w:pPr>
          </w:p>
        </w:tc>
        <w:tc>
          <w:tcPr>
            <w:tcW w:w="880" w:type="dxa"/>
            <w:vAlign w:val="bottom"/>
            <w:tcBorders>
              <w:bottom w:val="single" w:sz="8" w:color="454545"/>
            </w:tcBorders>
          </w:tcPr>
          <w:p>
            <w:pPr>
              <w:spacing w:after="0"/>
              <w:rPr>
                <w:sz w:val="23"/>
                <w:szCs w:val="23"/>
                <w:color w:val="auto"/>
              </w:rPr>
            </w:pPr>
          </w:p>
        </w:tc>
        <w:tc>
          <w:tcPr>
            <w:tcW w:w="1360" w:type="dxa"/>
            <w:vAlign w:val="bottom"/>
            <w:tcBorders>
              <w:bottom w:val="single" w:sz="8" w:color="454545"/>
            </w:tcBorders>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7,893,080</w:t>
            </w:r>
          </w:p>
        </w:tc>
        <w:tc>
          <w:tcPr>
            <w:tcW w:w="280" w:type="dxa"/>
            <w:vAlign w:val="bottom"/>
            <w:tcBorders>
              <w:bottom w:val="single" w:sz="8" w:color="454545"/>
            </w:tcBorders>
          </w:tcPr>
          <w:p>
            <w:pPr>
              <w:spacing w:after="0"/>
              <w:rPr>
                <w:sz w:val="23"/>
                <w:szCs w:val="23"/>
                <w:color w:val="auto"/>
              </w:rPr>
            </w:pPr>
          </w:p>
        </w:tc>
        <w:tc>
          <w:tcPr>
            <w:tcW w:w="46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3,994,827</w:t>
            </w:r>
          </w:p>
        </w:tc>
        <w:tc>
          <w:tcPr>
            <w:tcW w:w="180" w:type="dxa"/>
            <w:vAlign w:val="bottom"/>
            <w:tcBorders>
              <w:bottom w:val="single" w:sz="8" w:color="454545"/>
            </w:tcBorders>
          </w:tcPr>
          <w:p>
            <w:pPr>
              <w:spacing w:after="0"/>
              <w:rPr>
                <w:sz w:val="23"/>
                <w:szCs w:val="23"/>
                <w:color w:val="auto"/>
              </w:rPr>
            </w:pPr>
          </w:p>
        </w:tc>
      </w:tr>
    </w:tbl>
    <w:p>
      <w:pPr>
        <w:spacing w:after="0" w:line="31" w:lineRule="exact"/>
        <w:rPr>
          <w:sz w:val="20"/>
          <w:szCs w:val="20"/>
          <w:color w:val="auto"/>
        </w:rPr>
      </w:pPr>
    </w:p>
    <w:p>
      <w:pPr>
        <w:ind w:left="200" w:hanging="192"/>
        <w:spacing w:after="0"/>
        <w:tabs>
          <w:tab w:leader="none" w:pos="200" w:val="left"/>
        </w:tabs>
        <w:numPr>
          <w:ilvl w:val="0"/>
          <w:numId w:val="222"/>
        </w:numPr>
        <w:rPr>
          <w:rFonts w:ascii="Arial" w:cs="Arial" w:eastAsia="Arial" w:hAnsi="Arial"/>
          <w:sz w:val="19"/>
          <w:szCs w:val="19"/>
          <w:color w:val="auto"/>
          <w:vertAlign w:val="superscript"/>
        </w:rPr>
      </w:pPr>
      <w:r>
        <w:rPr>
          <w:rFonts w:ascii="Arial" w:cs="Arial" w:eastAsia="Arial" w:hAnsi="Arial"/>
          <w:sz w:val="13"/>
          <w:szCs w:val="13"/>
          <w:color w:val="auto"/>
        </w:rPr>
        <w:t>The awards set forth in the table were granted with the following vesting schedules:</w:t>
      </w:r>
    </w:p>
    <w:p>
      <w:pPr>
        <w:ind w:left="400" w:hanging="198"/>
        <w:spacing w:after="0" w:line="193" w:lineRule="auto"/>
        <w:tabs>
          <w:tab w:leader="none" w:pos="400" w:val="left"/>
        </w:tabs>
        <w:numPr>
          <w:ilvl w:val="0"/>
          <w:numId w:val="223"/>
        </w:numPr>
        <w:rPr>
          <w:rFonts w:ascii="Arial" w:cs="Arial" w:eastAsia="Arial" w:hAnsi="Arial"/>
          <w:sz w:val="16"/>
          <w:szCs w:val="16"/>
          <w:color w:val="auto"/>
          <w:vertAlign w:val="superscript"/>
        </w:rPr>
      </w:pPr>
      <w:r>
        <w:rPr>
          <w:rFonts w:ascii="Arial" w:cs="Arial" w:eastAsia="Arial" w:hAnsi="Arial"/>
          <w:sz w:val="13"/>
          <w:szCs w:val="13"/>
          <w:color w:val="auto"/>
        </w:rPr>
        <w:t>SARs vest in five equal installments, in years one, two, three, four and five</w:t>
      </w:r>
    </w:p>
    <w:p>
      <w:pPr>
        <w:ind w:left="400" w:hanging="198"/>
        <w:spacing w:after="0" w:line="194" w:lineRule="auto"/>
        <w:tabs>
          <w:tab w:leader="none" w:pos="400" w:val="left"/>
        </w:tabs>
        <w:numPr>
          <w:ilvl w:val="0"/>
          <w:numId w:val="224"/>
        </w:numPr>
        <w:rPr>
          <w:rFonts w:ascii="Arial" w:cs="Arial" w:eastAsia="Arial" w:hAnsi="Arial"/>
          <w:sz w:val="16"/>
          <w:szCs w:val="16"/>
          <w:color w:val="auto"/>
          <w:vertAlign w:val="superscript"/>
        </w:rPr>
      </w:pPr>
      <w:r>
        <w:rPr>
          <w:rFonts w:ascii="Arial" w:cs="Arial" w:eastAsia="Arial" w:hAnsi="Arial"/>
          <w:sz w:val="13"/>
          <w:szCs w:val="13"/>
          <w:color w:val="auto"/>
        </w:rPr>
        <w:t>PSUs vest in year three including any dividends that are reinvested over the vesting period</w:t>
      </w:r>
    </w:p>
    <w:p>
      <w:pPr>
        <w:ind w:left="400" w:hanging="198"/>
        <w:spacing w:after="0" w:line="194" w:lineRule="auto"/>
        <w:tabs>
          <w:tab w:leader="none" w:pos="400" w:val="left"/>
        </w:tabs>
        <w:numPr>
          <w:ilvl w:val="0"/>
          <w:numId w:val="225"/>
        </w:numPr>
        <w:rPr>
          <w:rFonts w:ascii="Arial" w:cs="Arial" w:eastAsia="Arial" w:hAnsi="Arial"/>
          <w:sz w:val="16"/>
          <w:szCs w:val="16"/>
          <w:color w:val="auto"/>
          <w:vertAlign w:val="superscript"/>
        </w:rPr>
      </w:pPr>
      <w:r>
        <w:rPr>
          <w:rFonts w:ascii="Arial" w:cs="Arial" w:eastAsia="Arial" w:hAnsi="Arial"/>
          <w:sz w:val="13"/>
          <w:szCs w:val="13"/>
          <w:color w:val="auto"/>
        </w:rPr>
        <w:t>PSUs vest in five equal installments, in years three, four, five, six and seven including any dividends that are reinvested over the vesting period</w:t>
      </w:r>
    </w:p>
    <w:p>
      <w:pPr>
        <w:ind w:left="400" w:hanging="198"/>
        <w:spacing w:after="0" w:line="193" w:lineRule="auto"/>
        <w:tabs>
          <w:tab w:leader="none" w:pos="400" w:val="left"/>
        </w:tabs>
        <w:numPr>
          <w:ilvl w:val="0"/>
          <w:numId w:val="226"/>
        </w:numPr>
        <w:rPr>
          <w:rFonts w:ascii="Arial" w:cs="Arial" w:eastAsia="Arial" w:hAnsi="Arial"/>
          <w:sz w:val="16"/>
          <w:szCs w:val="16"/>
          <w:color w:val="auto"/>
          <w:vertAlign w:val="superscript"/>
        </w:rPr>
      </w:pPr>
      <w:r>
        <w:rPr>
          <w:rFonts w:ascii="Arial" w:cs="Arial" w:eastAsia="Arial" w:hAnsi="Arial"/>
          <w:sz w:val="13"/>
          <w:szCs w:val="13"/>
          <w:color w:val="auto"/>
        </w:rPr>
        <w:t>PSUs and RSUs vest in five equal installments, in years three, four, five, six and seven</w:t>
      </w:r>
    </w:p>
    <w:p>
      <w:pPr>
        <w:ind w:left="400" w:hanging="198"/>
        <w:spacing w:after="0" w:line="186" w:lineRule="auto"/>
        <w:tabs>
          <w:tab w:leader="none" w:pos="400" w:val="left"/>
        </w:tabs>
        <w:numPr>
          <w:ilvl w:val="0"/>
          <w:numId w:val="227"/>
        </w:numPr>
        <w:rPr>
          <w:rFonts w:ascii="Arial" w:cs="Arial" w:eastAsia="Arial" w:hAnsi="Arial"/>
          <w:sz w:val="14"/>
          <w:szCs w:val="14"/>
          <w:color w:val="auto"/>
          <w:vertAlign w:val="superscript"/>
        </w:rPr>
      </w:pPr>
      <w:r>
        <w:rPr>
          <w:rFonts w:ascii="Arial" w:cs="Arial" w:eastAsia="Arial" w:hAnsi="Arial"/>
          <w:sz w:val="11"/>
          <w:szCs w:val="11"/>
          <w:color w:val="auto"/>
        </w:rPr>
        <w:t>RSUs vest in two equal installments, in years two and three</w:t>
      </w:r>
    </w:p>
    <w:p>
      <w:pPr>
        <w:ind w:left="200" w:hanging="192"/>
        <w:spacing w:after="0" w:line="182" w:lineRule="auto"/>
        <w:tabs>
          <w:tab w:leader="none" w:pos="200" w:val="left"/>
        </w:tabs>
        <w:numPr>
          <w:ilvl w:val="0"/>
          <w:numId w:val="228"/>
        </w:numPr>
        <w:rPr>
          <w:rFonts w:ascii="Arial" w:cs="Arial" w:eastAsia="Arial" w:hAnsi="Arial"/>
          <w:sz w:val="17"/>
          <w:szCs w:val="17"/>
          <w:color w:val="auto"/>
          <w:vertAlign w:val="superscript"/>
        </w:rPr>
      </w:pPr>
      <w:r>
        <w:rPr>
          <w:rFonts w:ascii="Arial" w:cs="Arial" w:eastAsia="Arial" w:hAnsi="Arial"/>
          <w:sz w:val="11"/>
          <w:szCs w:val="11"/>
          <w:color w:val="auto"/>
        </w:rPr>
        <w:t>All outstanding SARs were exercisable as of December 31, 2020.</w:t>
      </w:r>
    </w:p>
    <w:p>
      <w:pPr>
        <w:ind w:left="200" w:hanging="192"/>
        <w:spacing w:after="0" w:line="182" w:lineRule="auto"/>
        <w:tabs>
          <w:tab w:leader="none" w:pos="200" w:val="left"/>
        </w:tabs>
        <w:numPr>
          <w:ilvl w:val="0"/>
          <w:numId w:val="229"/>
        </w:numPr>
        <w:rPr>
          <w:rFonts w:ascii="Arial" w:cs="Arial" w:eastAsia="Arial" w:hAnsi="Arial"/>
          <w:sz w:val="17"/>
          <w:szCs w:val="17"/>
          <w:color w:val="auto"/>
          <w:vertAlign w:val="superscript"/>
        </w:rPr>
      </w:pPr>
      <w:r>
        <w:rPr>
          <w:rFonts w:ascii="Arial" w:cs="Arial" w:eastAsia="Arial" w:hAnsi="Arial"/>
          <w:sz w:val="11"/>
          <w:szCs w:val="11"/>
          <w:color w:val="auto"/>
        </w:rPr>
        <w:t>Value based on $127.07, which was the closing price per share of our common stock on December 31, 2020.</w:t>
      </w:r>
    </w:p>
    <w:p>
      <w:pPr>
        <w:spacing w:after="0" w:line="25" w:lineRule="exact"/>
        <w:rPr>
          <w:sz w:val="20"/>
          <w:szCs w:val="20"/>
          <w:color w:val="auto"/>
        </w:rPr>
      </w:pPr>
    </w:p>
    <w:p>
      <w:pPr>
        <w:ind w:left="200" w:right="380" w:hanging="192"/>
        <w:spacing w:after="0" w:line="189" w:lineRule="auto"/>
        <w:tabs>
          <w:tab w:leader="none" w:pos="193" w:val="left"/>
        </w:tabs>
        <w:numPr>
          <w:ilvl w:val="0"/>
          <w:numId w:val="230"/>
        </w:numPr>
        <w:rPr>
          <w:rFonts w:ascii="Arial" w:cs="Arial" w:eastAsia="Arial" w:hAnsi="Arial"/>
          <w:sz w:val="18"/>
          <w:szCs w:val="18"/>
          <w:color w:val="auto"/>
          <w:vertAlign w:val="superscript"/>
        </w:rPr>
      </w:pPr>
      <w:r>
        <w:rPr>
          <w:rFonts w:ascii="Arial" w:cs="Arial" w:eastAsia="Arial" w:hAnsi="Arial"/>
          <w:sz w:val="12"/>
          <w:szCs w:val="12"/>
          <w:color w:val="auto"/>
        </w:rPr>
        <w:t>Represents the maximum number of shares that NEOs may receive over the vesting period in connection with PSU awards granted and accumulated reinvested dividend equivalent shares, as applicable, as of December 31, 2020.</w:t>
      </w:r>
    </w:p>
    <w:p>
      <w:pPr>
        <w:spacing w:after="0" w:line="25" w:lineRule="exact"/>
        <w:rPr>
          <w:sz w:val="20"/>
          <w:szCs w:val="20"/>
          <w:color w:val="auto"/>
        </w:rPr>
      </w:pPr>
    </w:p>
    <w:p>
      <w:pPr>
        <w:ind w:left="200" w:right="520" w:hanging="192"/>
        <w:spacing w:after="0" w:line="189" w:lineRule="auto"/>
        <w:tabs>
          <w:tab w:leader="none" w:pos="193" w:val="left"/>
        </w:tabs>
        <w:numPr>
          <w:ilvl w:val="0"/>
          <w:numId w:val="231"/>
        </w:numPr>
        <w:rPr>
          <w:rFonts w:ascii="Arial" w:cs="Arial" w:eastAsia="Arial" w:hAnsi="Arial"/>
          <w:sz w:val="18"/>
          <w:szCs w:val="18"/>
          <w:color w:val="auto"/>
          <w:vertAlign w:val="superscript"/>
        </w:rPr>
      </w:pPr>
      <w:r>
        <w:rPr>
          <w:rFonts w:ascii="Arial" w:cs="Arial" w:eastAsia="Arial" w:hAnsi="Arial"/>
          <w:sz w:val="12"/>
          <w:szCs w:val="12"/>
          <w:color w:val="auto"/>
        </w:rPr>
        <w:t>Represents PSU awards for which the performance period ended on December 31, 2020. The CMDC certified the applicable performance criteria for the PSUs on March 16, 2021; the PSUs subsequently vested on March 25, 2021 as noted in the applicable footnotes b and d.</w:t>
      </w:r>
    </w:p>
    <w:p>
      <w:pPr>
        <w:ind w:left="200" w:hanging="192"/>
        <w:spacing w:after="0" w:line="194" w:lineRule="auto"/>
        <w:tabs>
          <w:tab w:leader="none" w:pos="200" w:val="left"/>
        </w:tabs>
        <w:numPr>
          <w:ilvl w:val="0"/>
          <w:numId w:val="232"/>
        </w:numPr>
        <w:rPr>
          <w:rFonts w:ascii="Arial" w:cs="Arial" w:eastAsia="Arial" w:hAnsi="Arial"/>
          <w:sz w:val="19"/>
          <w:szCs w:val="19"/>
          <w:color w:val="auto"/>
          <w:vertAlign w:val="superscript"/>
        </w:rPr>
      </w:pPr>
      <w:r>
        <w:rPr>
          <w:rFonts w:ascii="Arial" w:cs="Arial" w:eastAsia="Arial" w:hAnsi="Arial"/>
          <w:sz w:val="13"/>
          <w:szCs w:val="13"/>
          <w:color w:val="auto"/>
        </w:rPr>
        <w:t>For option awards, this represents the market value of in-the-money SARs; for stock awards it represents the value of unearned PSUs or RSUs that have not vested.</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074A75"/>
        </w:rPr>
        <w:t>IV. 2020 OPTION EXERCISES AND STOCK VESTED TABLE</w:t>
      </w:r>
    </w:p>
    <w:p>
      <w:pPr>
        <w:spacing w:after="0" w:line="11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shows the number of shares acquired and the value realized during 2020 upon the exercise of stock options and the vesting of PSUs and RSUs previously granted to each of the Named Executive Officers.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840" w:type="dxa"/>
            <w:vAlign w:val="bottom"/>
            <w:gridSpan w:val="3"/>
          </w:tcPr>
          <w:p>
            <w:pPr>
              <w:ind w:left="840"/>
              <w:spacing w:after="0"/>
              <w:rPr>
                <w:sz w:val="20"/>
                <w:szCs w:val="20"/>
                <w:color w:val="auto"/>
              </w:rPr>
            </w:pPr>
            <w:r>
              <w:rPr>
                <w:rFonts w:ascii="Arial" w:cs="Arial" w:eastAsia="Arial" w:hAnsi="Arial"/>
                <w:sz w:val="16"/>
                <w:szCs w:val="16"/>
                <w:color w:val="auto"/>
              </w:rPr>
              <w:t>Option awards</w:t>
            </w:r>
          </w:p>
        </w:tc>
        <w:tc>
          <w:tcPr>
            <w:tcW w:w="2720" w:type="dxa"/>
            <w:vAlign w:val="bottom"/>
            <w:gridSpan w:val="3"/>
          </w:tcPr>
          <w:p>
            <w:pPr>
              <w:jc w:val="right"/>
              <w:ind w:right="799"/>
              <w:spacing w:after="0"/>
              <w:rPr>
                <w:sz w:val="20"/>
                <w:szCs w:val="20"/>
                <w:color w:val="auto"/>
              </w:rPr>
            </w:pPr>
            <w:r>
              <w:rPr>
                <w:rFonts w:ascii="Arial" w:cs="Arial" w:eastAsia="Arial" w:hAnsi="Arial"/>
                <w:sz w:val="16"/>
                <w:szCs w:val="16"/>
                <w:color w:val="auto"/>
              </w:rPr>
              <w:t>Stock awards</w:t>
            </w:r>
          </w:p>
        </w:tc>
      </w:tr>
      <w:tr>
        <w:trPr>
          <w:trHeight w:val="218"/>
        </w:trPr>
        <w:tc>
          <w:tcPr>
            <w:tcW w:w="5680" w:type="dxa"/>
            <w:vAlign w:val="bottom"/>
          </w:tcPr>
          <w:p>
            <w:pPr>
              <w:spacing w:after="0"/>
              <w:rPr>
                <w:sz w:val="18"/>
                <w:szCs w:val="18"/>
                <w:color w:val="auto"/>
              </w:rPr>
            </w:pPr>
          </w:p>
        </w:tc>
        <w:tc>
          <w:tcPr>
            <w:tcW w:w="1440" w:type="dxa"/>
            <w:vAlign w:val="bottom"/>
            <w:tcBorders>
              <w:top w:val="single" w:sz="8" w:color="454545"/>
            </w:tcBorders>
          </w:tcPr>
          <w:p>
            <w:pPr>
              <w:jc w:val="center"/>
              <w:spacing w:after="0"/>
              <w:rPr>
                <w:sz w:val="20"/>
                <w:szCs w:val="20"/>
                <w:color w:val="auto"/>
              </w:rPr>
            </w:pPr>
            <w:r>
              <w:rPr>
                <w:rFonts w:ascii="Arial" w:cs="Arial" w:eastAsia="Arial" w:hAnsi="Arial"/>
                <w:sz w:val="16"/>
                <w:szCs w:val="16"/>
                <w:color w:val="205A85"/>
              </w:rPr>
              <w:t>Number of</w:t>
            </w:r>
          </w:p>
        </w:tc>
        <w:tc>
          <w:tcPr>
            <w:tcW w:w="1280" w:type="dxa"/>
            <w:vAlign w:val="bottom"/>
            <w:tcBorders>
              <w:top w:val="single" w:sz="8" w:color="454545"/>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454545"/>
            </w:tcBorders>
          </w:tcPr>
          <w:p>
            <w:pPr>
              <w:spacing w:after="0"/>
              <w:rPr>
                <w:sz w:val="18"/>
                <w:szCs w:val="18"/>
                <w:color w:val="auto"/>
              </w:rPr>
            </w:pPr>
          </w:p>
        </w:tc>
        <w:tc>
          <w:tcPr>
            <w:tcW w:w="180" w:type="dxa"/>
            <w:vAlign w:val="bottom"/>
            <w:tcBorders>
              <w:top w:val="single" w:sz="8" w:color="454545"/>
            </w:tcBorders>
          </w:tcPr>
          <w:p>
            <w:pPr>
              <w:spacing w:after="0"/>
              <w:rPr>
                <w:sz w:val="18"/>
                <w:szCs w:val="18"/>
                <w:color w:val="auto"/>
              </w:rPr>
            </w:pPr>
          </w:p>
        </w:tc>
        <w:tc>
          <w:tcPr>
            <w:tcW w:w="1100" w:type="dxa"/>
            <w:vAlign w:val="bottom"/>
            <w:tcBorders>
              <w:top w:val="single" w:sz="8" w:color="454545"/>
            </w:tcBorders>
          </w:tcPr>
          <w:p>
            <w:pPr>
              <w:spacing w:after="0"/>
              <w:rPr>
                <w:sz w:val="18"/>
                <w:szCs w:val="18"/>
                <w:color w:val="auto"/>
              </w:rPr>
            </w:pPr>
          </w:p>
        </w:tc>
      </w:tr>
      <w:tr>
        <w:trPr>
          <w:trHeight w:val="189"/>
        </w:trPr>
        <w:tc>
          <w:tcPr>
            <w:tcW w:w="5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205A85"/>
                <w:w w:val="97"/>
              </w:rPr>
              <w:t>Value</w:t>
            </w:r>
          </w:p>
        </w:tc>
        <w:tc>
          <w:tcPr>
            <w:tcW w:w="1440" w:type="dxa"/>
            <w:vAlign w:val="bottom"/>
          </w:tcPr>
          <w:p>
            <w:pPr>
              <w:jc w:val="center"/>
              <w:spacing w:after="0"/>
              <w:rPr>
                <w:sz w:val="20"/>
                <w:szCs w:val="20"/>
                <w:color w:val="auto"/>
              </w:rPr>
            </w:pPr>
            <w:r>
              <w:rPr>
                <w:rFonts w:ascii="Arial" w:cs="Arial" w:eastAsia="Arial" w:hAnsi="Arial"/>
                <w:sz w:val="16"/>
                <w:szCs w:val="16"/>
                <w:color w:val="205A85"/>
                <w:w w:val="99"/>
              </w:rPr>
              <w:t>Number of</w:t>
            </w:r>
          </w:p>
        </w:tc>
        <w:tc>
          <w:tcPr>
            <w:tcW w:w="18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color w:val="205A85"/>
                <w:w w:val="97"/>
              </w:rPr>
              <w:t>Value</w:t>
            </w:r>
          </w:p>
        </w:tc>
      </w:tr>
      <w:tr>
        <w:trPr>
          <w:trHeight w:val="186"/>
        </w:trPr>
        <w:tc>
          <w:tcPr>
            <w:tcW w:w="56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205A85"/>
              </w:rPr>
              <w:t>on exercise</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color w:val="205A85"/>
              </w:rPr>
              <w:t>realized on</w:t>
            </w:r>
          </w:p>
        </w:tc>
        <w:tc>
          <w:tcPr>
            <w:tcW w:w="1440" w:type="dxa"/>
            <w:vAlign w:val="bottom"/>
          </w:tcPr>
          <w:p>
            <w:pPr>
              <w:jc w:val="center"/>
              <w:spacing w:after="0"/>
              <w:rPr>
                <w:sz w:val="20"/>
                <w:szCs w:val="20"/>
                <w:color w:val="auto"/>
              </w:rPr>
            </w:pPr>
            <w:r>
              <w:rPr>
                <w:rFonts w:ascii="Arial" w:cs="Arial" w:eastAsia="Arial" w:hAnsi="Arial"/>
                <w:sz w:val="16"/>
                <w:szCs w:val="16"/>
                <w:color w:val="205A85"/>
              </w:rPr>
              <w:t>shares acquired</w:t>
            </w:r>
          </w:p>
        </w:tc>
        <w:tc>
          <w:tcPr>
            <w:tcW w:w="18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color w:val="205A85"/>
              </w:rPr>
              <w:t>realized on</w:t>
            </w:r>
          </w:p>
        </w:tc>
      </w:tr>
      <w:tr>
        <w:trPr>
          <w:trHeight w:val="21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14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w:t>
            </w:r>
          </w:p>
        </w:tc>
        <w:tc>
          <w:tcPr>
            <w:tcW w:w="1400" w:type="dxa"/>
            <w:vAlign w:val="bottom"/>
            <w:tcBorders>
              <w:bottom w:val="single" w:sz="8" w:color="454545"/>
            </w:tcBorders>
            <w:gridSpan w:val="2"/>
          </w:tcPr>
          <w:p>
            <w:pPr>
              <w:jc w:val="center"/>
              <w:ind w:right="220"/>
              <w:spacing w:after="0" w:line="217" w:lineRule="exact"/>
              <w:rPr>
                <w:sz w:val="20"/>
                <w:szCs w:val="20"/>
                <w:color w:val="auto"/>
              </w:rPr>
            </w:pPr>
            <w:r>
              <w:rPr>
                <w:rFonts w:ascii="Arial" w:cs="Arial" w:eastAsia="Arial" w:hAnsi="Arial"/>
                <w:sz w:val="16"/>
                <w:szCs w:val="16"/>
                <w:color w:val="205A85"/>
                <w:w w:val="98"/>
              </w:rPr>
              <w:t>exercise ($)</w:t>
            </w:r>
            <w:r>
              <w:rPr>
                <w:rFonts w:ascii="Arial" w:cs="Arial" w:eastAsia="Arial" w:hAnsi="Arial"/>
                <w:sz w:val="21"/>
                <w:szCs w:val="21"/>
                <w:color w:val="205A85"/>
                <w:w w:val="98"/>
                <w:vertAlign w:val="superscript"/>
              </w:rPr>
              <w:t>1</w:t>
            </w:r>
          </w:p>
        </w:tc>
        <w:tc>
          <w:tcPr>
            <w:tcW w:w="1440" w:type="dxa"/>
            <w:vAlign w:val="bottom"/>
            <w:tcBorders>
              <w:bottom w:val="single" w:sz="8" w:color="454545"/>
            </w:tcBorders>
          </w:tcPr>
          <w:p>
            <w:pPr>
              <w:jc w:val="center"/>
              <w:spacing w:after="0"/>
              <w:rPr>
                <w:sz w:val="20"/>
                <w:szCs w:val="20"/>
                <w:color w:val="auto"/>
              </w:rPr>
            </w:pPr>
            <w:r>
              <w:rPr>
                <w:rFonts w:ascii="Arial" w:cs="Arial" w:eastAsia="Arial" w:hAnsi="Arial"/>
                <w:sz w:val="16"/>
                <w:szCs w:val="16"/>
                <w:color w:val="205A85"/>
              </w:rPr>
              <w:t>on vesting (#)</w:t>
            </w:r>
          </w:p>
        </w:tc>
        <w:tc>
          <w:tcPr>
            <w:tcW w:w="180" w:type="dxa"/>
            <w:vAlign w:val="bottom"/>
            <w:tcBorders>
              <w:bottom w:val="single" w:sz="8" w:color="454545"/>
            </w:tcBorders>
          </w:tcPr>
          <w:p>
            <w:pPr>
              <w:spacing w:after="0"/>
              <w:rPr>
                <w:sz w:val="18"/>
                <w:szCs w:val="18"/>
                <w:color w:val="auto"/>
              </w:rPr>
            </w:pPr>
          </w:p>
        </w:tc>
        <w:tc>
          <w:tcPr>
            <w:tcW w:w="1100" w:type="dxa"/>
            <w:vAlign w:val="bottom"/>
            <w:tcBorders>
              <w:bottom w:val="single" w:sz="8" w:color="454545"/>
            </w:tcBorders>
          </w:tcPr>
          <w:p>
            <w:pPr>
              <w:jc w:val="center"/>
              <w:ind w:right="159"/>
              <w:spacing w:after="0" w:line="217" w:lineRule="exact"/>
              <w:rPr>
                <w:sz w:val="20"/>
                <w:szCs w:val="20"/>
                <w:color w:val="auto"/>
              </w:rPr>
            </w:pPr>
            <w:r>
              <w:rPr>
                <w:rFonts w:ascii="Arial" w:cs="Arial" w:eastAsia="Arial" w:hAnsi="Arial"/>
                <w:sz w:val="16"/>
                <w:szCs w:val="16"/>
                <w:color w:val="205A85"/>
                <w:w w:val="99"/>
              </w:rPr>
              <w:t>vesting ($)</w:t>
            </w:r>
            <w:r>
              <w:rPr>
                <w:rFonts w:ascii="Arial" w:cs="Arial" w:eastAsia="Arial" w:hAnsi="Arial"/>
                <w:sz w:val="21"/>
                <w:szCs w:val="21"/>
                <w:color w:val="205A85"/>
                <w:w w:val="99"/>
                <w:vertAlign w:val="superscript"/>
              </w:rPr>
              <w:t>2</w:t>
            </w:r>
          </w:p>
        </w:tc>
      </w:tr>
      <w:tr>
        <w:trPr>
          <w:trHeight w:val="230"/>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367,377</w:t>
            </w:r>
          </w:p>
        </w:tc>
        <w:tc>
          <w:tcPr>
            <w:tcW w:w="12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19,574,765</w:t>
            </w:r>
          </w:p>
        </w:tc>
        <w:tc>
          <w:tcPr>
            <w:tcW w:w="12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412,233</w:t>
            </w:r>
          </w:p>
        </w:tc>
        <w:tc>
          <w:tcPr>
            <w:tcW w:w="1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37,037,134</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75,000</w:t>
            </w:r>
          </w:p>
        </w:tc>
        <w:tc>
          <w:tcPr>
            <w:tcW w:w="12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4,254,188</w:t>
            </w:r>
          </w:p>
        </w:tc>
        <w:tc>
          <w:tcPr>
            <w:tcW w:w="120" w:type="dxa"/>
            <w:vAlign w:val="bottom"/>
            <w:tcBorders>
              <w:bottom w:val="single" w:sz="8" w:color="454545"/>
            </w:tcBorders>
          </w:tcPr>
          <w:p>
            <w:pPr>
              <w:spacing w:after="0"/>
              <w:rPr>
                <w:sz w:val="20"/>
                <w:szCs w:val="20"/>
                <w:color w:val="auto"/>
              </w:rPr>
            </w:pP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33,204</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3,575,340</w:t>
            </w:r>
          </w:p>
        </w:tc>
      </w:tr>
      <w:tr>
        <w:trPr>
          <w:trHeight w:val="236"/>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Gordon Smith</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163,194</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17,376,988</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162,526</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17,285,821</w:t>
            </w:r>
          </w:p>
        </w:tc>
      </w:tr>
      <w:tr>
        <w:trPr>
          <w:trHeight w:val="237"/>
        </w:trPr>
        <w:tc>
          <w:tcPr>
            <w:tcW w:w="568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4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454545"/>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21,341</w:t>
            </w:r>
          </w:p>
        </w:tc>
        <w:tc>
          <w:tcPr>
            <w:tcW w:w="180" w:type="dxa"/>
            <w:vAlign w:val="bottom"/>
            <w:tcBorders>
              <w:bottom w:val="single" w:sz="8" w:color="454545"/>
            </w:tcBorders>
          </w:tcPr>
          <w:p>
            <w:pPr>
              <w:spacing w:after="0"/>
              <w:rPr>
                <w:sz w:val="20"/>
                <w:szCs w:val="20"/>
                <w:color w:val="auto"/>
              </w:rPr>
            </w:pPr>
          </w:p>
        </w:tc>
        <w:tc>
          <w:tcPr>
            <w:tcW w:w="11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2,699,546</w:t>
            </w:r>
          </w:p>
        </w:tc>
      </w:tr>
    </w:tbl>
    <w:p>
      <w:pPr>
        <w:spacing w:after="0" w:line="102" w:lineRule="exact"/>
        <w:rPr>
          <w:sz w:val="20"/>
          <w:szCs w:val="20"/>
          <w:color w:val="auto"/>
        </w:rPr>
      </w:pPr>
    </w:p>
    <w:p>
      <w:pPr>
        <w:ind w:left="200" w:right="380" w:hanging="192"/>
        <w:spacing w:after="0" w:line="213" w:lineRule="auto"/>
        <w:tabs>
          <w:tab w:leader="none" w:pos="200" w:val="left"/>
        </w:tabs>
        <w:numPr>
          <w:ilvl w:val="0"/>
          <w:numId w:val="233"/>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ind w:left="200" w:hanging="192"/>
        <w:spacing w:after="0" w:line="199" w:lineRule="auto"/>
        <w:tabs>
          <w:tab w:leader="none" w:pos="200" w:val="left"/>
        </w:tabs>
        <w:numPr>
          <w:ilvl w:val="0"/>
          <w:numId w:val="234"/>
        </w:numPr>
        <w:rPr>
          <w:rFonts w:ascii="Arial" w:cs="Arial" w:eastAsia="Arial" w:hAnsi="Arial"/>
          <w:sz w:val="16"/>
          <w:szCs w:val="16"/>
          <w:color w:val="auto"/>
          <w:vertAlign w:val="superscript"/>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074A75"/>
        </w:rPr>
        <w:t>V. 2020 PENSION BENEFITS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retirement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plans are described below the table. No payments were made under these plans during 2020 to our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jc w:val="right"/>
              <w:ind w:right="139"/>
              <w:spacing w:after="0"/>
              <w:rPr>
                <w:sz w:val="20"/>
                <w:szCs w:val="20"/>
                <w:color w:val="auto"/>
              </w:rPr>
            </w:pPr>
            <w:r>
              <w:rPr>
                <w:rFonts w:ascii="Arial" w:cs="Arial" w:eastAsia="Arial" w:hAnsi="Arial"/>
                <w:sz w:val="16"/>
                <w:szCs w:val="16"/>
                <w:color w:val="074A75"/>
              </w:rPr>
              <w:t>Number of years of</w:t>
            </w:r>
          </w:p>
        </w:tc>
        <w:tc>
          <w:tcPr>
            <w:tcW w:w="1940" w:type="dxa"/>
            <w:vAlign w:val="bottom"/>
          </w:tcPr>
          <w:p>
            <w:pPr>
              <w:jc w:val="right"/>
              <w:spacing w:after="0"/>
              <w:rPr>
                <w:sz w:val="20"/>
                <w:szCs w:val="20"/>
                <w:color w:val="auto"/>
              </w:rPr>
            </w:pPr>
            <w:r>
              <w:rPr>
                <w:rFonts w:ascii="Arial" w:cs="Arial" w:eastAsia="Arial" w:hAnsi="Arial"/>
                <w:sz w:val="16"/>
                <w:szCs w:val="16"/>
                <w:color w:val="074A75"/>
              </w:rPr>
              <w:t>Present value of</w:t>
            </w:r>
          </w:p>
        </w:tc>
      </w:tr>
      <w:tr>
        <w:trPr>
          <w:trHeight w:val="208"/>
        </w:trPr>
        <w:tc>
          <w:tcPr>
            <w:tcW w:w="276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074A75"/>
              </w:rPr>
              <w:t>Plan name</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074A75"/>
              </w:rPr>
              <w:t>credited service (#)</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074A75"/>
              </w:rPr>
              <w:t>accumulated benefit ($)</w:t>
            </w:r>
          </w:p>
        </w:tc>
      </w:tr>
      <w:tr>
        <w:trPr>
          <w:trHeight w:val="224"/>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3860" w:type="dxa"/>
            <w:vAlign w:val="bottom"/>
          </w:tcPr>
          <w:p>
            <w:pPr>
              <w:ind w:left="1060"/>
              <w:spacing w:after="0"/>
              <w:rPr>
                <w:sz w:val="20"/>
                <w:szCs w:val="20"/>
                <w:color w:val="auto"/>
              </w:rPr>
            </w:pPr>
            <w:r>
              <w:rPr>
                <w:rFonts w:ascii="Arial" w:cs="Arial" w:eastAsia="Arial" w:hAnsi="Arial"/>
                <w:sz w:val="16"/>
                <w:szCs w:val="16"/>
                <w:color w:val="auto"/>
              </w:rPr>
              <w:t>Retirement Plan</w:t>
            </w:r>
          </w:p>
        </w:tc>
        <w:tc>
          <w:tcPr>
            <w:tcW w:w="26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940" w:type="dxa"/>
            <w:vAlign w:val="bottom"/>
          </w:tcPr>
          <w:p>
            <w:pPr>
              <w:jc w:val="right"/>
              <w:spacing w:after="0"/>
              <w:rPr>
                <w:sz w:val="20"/>
                <w:szCs w:val="20"/>
                <w:color w:val="auto"/>
              </w:rPr>
            </w:pPr>
            <w:r>
              <w:rPr>
                <w:rFonts w:ascii="Arial" w:cs="Arial" w:eastAsia="Arial" w:hAnsi="Arial"/>
                <w:sz w:val="16"/>
                <w:szCs w:val="16"/>
                <w:color w:val="auto"/>
              </w:rPr>
              <w:t>$  194,312</w:t>
            </w:r>
          </w:p>
        </w:tc>
      </w:tr>
      <w:tr>
        <w:trPr>
          <w:trHeight w:val="256"/>
        </w:trPr>
        <w:tc>
          <w:tcPr>
            <w:tcW w:w="2760" w:type="dxa"/>
            <w:vAlign w:val="bottom"/>
            <w:tcBorders>
              <w:bottom w:val="single" w:sz="8" w:color="454545"/>
            </w:tcBorders>
          </w:tcPr>
          <w:p>
            <w:pPr>
              <w:spacing w:after="0"/>
              <w:rPr>
                <w:sz w:val="22"/>
                <w:szCs w:val="22"/>
                <w:color w:val="auto"/>
              </w:rPr>
            </w:pP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auto"/>
              </w:rPr>
              <w:t>Excess Retirement Plan</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auto"/>
              </w:rPr>
              <w:t>20</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460,794</w:t>
            </w:r>
          </w:p>
        </w:tc>
      </w:tr>
      <w:tr>
        <w:trPr>
          <w:trHeight w:val="236"/>
        </w:trPr>
        <w:tc>
          <w:tcPr>
            <w:tcW w:w="276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3860" w:type="dxa"/>
            <w:vAlign w:val="bottom"/>
          </w:tcPr>
          <w:p>
            <w:pPr>
              <w:ind w:left="1060"/>
              <w:spacing w:after="0"/>
              <w:rPr>
                <w:sz w:val="20"/>
                <w:szCs w:val="20"/>
                <w:color w:val="auto"/>
              </w:rPr>
            </w:pPr>
            <w:r>
              <w:rPr>
                <w:rFonts w:ascii="Arial" w:cs="Arial" w:eastAsia="Arial" w:hAnsi="Arial"/>
                <w:sz w:val="16"/>
                <w:szCs w:val="16"/>
                <w:color w:val="auto"/>
              </w:rPr>
              <w:t>Retirement Plan</w:t>
            </w:r>
          </w:p>
        </w:tc>
        <w:tc>
          <w:tcPr>
            <w:tcW w:w="268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940" w:type="dxa"/>
            <w:vAlign w:val="bottom"/>
          </w:tcPr>
          <w:p>
            <w:pPr>
              <w:jc w:val="right"/>
              <w:spacing w:after="0"/>
              <w:rPr>
                <w:sz w:val="20"/>
                <w:szCs w:val="20"/>
                <w:color w:val="auto"/>
              </w:rPr>
            </w:pPr>
            <w:r>
              <w:rPr>
                <w:rFonts w:ascii="Arial" w:cs="Arial" w:eastAsia="Arial" w:hAnsi="Arial"/>
                <w:sz w:val="16"/>
                <w:szCs w:val="16"/>
                <w:color w:val="auto"/>
              </w:rPr>
              <w:t>65,830</w:t>
            </w:r>
          </w:p>
        </w:tc>
      </w:tr>
      <w:tr>
        <w:trPr>
          <w:trHeight w:val="256"/>
        </w:trPr>
        <w:tc>
          <w:tcPr>
            <w:tcW w:w="2760" w:type="dxa"/>
            <w:vAlign w:val="bottom"/>
            <w:tcBorders>
              <w:bottom w:val="single" w:sz="8" w:color="454545"/>
            </w:tcBorders>
          </w:tcPr>
          <w:p>
            <w:pPr>
              <w:spacing w:after="0"/>
              <w:rPr>
                <w:sz w:val="22"/>
                <w:szCs w:val="22"/>
                <w:color w:val="auto"/>
              </w:rPr>
            </w:pP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auto"/>
              </w:rPr>
              <w:t>Excess Retirement Plan</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auto"/>
              </w:rPr>
              <w:t>13</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12,024</w:t>
            </w: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3860" w:type="dxa"/>
            <w:vAlign w:val="bottom"/>
          </w:tcPr>
          <w:p>
            <w:pPr>
              <w:ind w:left="1060"/>
              <w:spacing w:after="0"/>
              <w:rPr>
                <w:sz w:val="20"/>
                <w:szCs w:val="20"/>
                <w:color w:val="auto"/>
              </w:rPr>
            </w:pPr>
            <w:r>
              <w:rPr>
                <w:rFonts w:ascii="Arial" w:cs="Arial" w:eastAsia="Arial" w:hAnsi="Arial"/>
                <w:sz w:val="16"/>
                <w:szCs w:val="16"/>
                <w:color w:val="auto"/>
              </w:rPr>
              <w:t>Retirement Plan</w:t>
            </w:r>
          </w:p>
        </w:tc>
        <w:tc>
          <w:tcPr>
            <w:tcW w:w="268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1940" w:type="dxa"/>
            <w:vAlign w:val="bottom"/>
          </w:tcPr>
          <w:p>
            <w:pPr>
              <w:jc w:val="right"/>
              <w:spacing w:after="0"/>
              <w:rPr>
                <w:sz w:val="20"/>
                <w:szCs w:val="20"/>
                <w:color w:val="auto"/>
              </w:rPr>
            </w:pPr>
            <w:r>
              <w:rPr>
                <w:rFonts w:ascii="Arial" w:cs="Arial" w:eastAsia="Arial" w:hAnsi="Arial"/>
                <w:sz w:val="16"/>
                <w:szCs w:val="16"/>
                <w:color w:val="auto"/>
              </w:rPr>
              <w:t>409,410</w:t>
            </w:r>
          </w:p>
        </w:tc>
      </w:tr>
      <w:tr>
        <w:trPr>
          <w:trHeight w:val="256"/>
        </w:trPr>
        <w:tc>
          <w:tcPr>
            <w:tcW w:w="2760" w:type="dxa"/>
            <w:vAlign w:val="bottom"/>
            <w:tcBorders>
              <w:bottom w:val="single" w:sz="8" w:color="454545"/>
            </w:tcBorders>
          </w:tcPr>
          <w:p>
            <w:pPr>
              <w:spacing w:after="0"/>
              <w:rPr>
                <w:sz w:val="22"/>
                <w:szCs w:val="22"/>
                <w:color w:val="auto"/>
              </w:rPr>
            </w:pP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auto"/>
              </w:rPr>
              <w:t>Excess Retirement Plan</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auto"/>
              </w:rPr>
              <w:t>24</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36,091</w:t>
            </w: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3860" w:type="dxa"/>
            <w:vAlign w:val="bottom"/>
          </w:tcPr>
          <w:p>
            <w:pPr>
              <w:ind w:left="1060"/>
              <w:spacing w:after="0"/>
              <w:rPr>
                <w:sz w:val="20"/>
                <w:szCs w:val="20"/>
                <w:color w:val="auto"/>
              </w:rPr>
            </w:pPr>
            <w:r>
              <w:rPr>
                <w:rFonts w:ascii="Arial" w:cs="Arial" w:eastAsia="Arial" w:hAnsi="Arial"/>
                <w:sz w:val="16"/>
                <w:szCs w:val="16"/>
                <w:color w:val="auto"/>
              </w:rPr>
              <w:t>Retirement Plan</w:t>
            </w:r>
          </w:p>
        </w:tc>
        <w:tc>
          <w:tcPr>
            <w:tcW w:w="268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940" w:type="dxa"/>
            <w:vAlign w:val="bottom"/>
          </w:tcPr>
          <w:p>
            <w:pPr>
              <w:jc w:val="right"/>
              <w:spacing w:after="0"/>
              <w:rPr>
                <w:sz w:val="20"/>
                <w:szCs w:val="20"/>
                <w:color w:val="auto"/>
              </w:rPr>
            </w:pPr>
            <w:r>
              <w:rPr>
                <w:rFonts w:ascii="Arial" w:cs="Arial" w:eastAsia="Arial" w:hAnsi="Arial"/>
                <w:sz w:val="16"/>
                <w:szCs w:val="16"/>
                <w:color w:val="auto"/>
              </w:rPr>
              <w:t>337,797</w:t>
            </w:r>
          </w:p>
        </w:tc>
      </w:tr>
      <w:tr>
        <w:trPr>
          <w:trHeight w:val="256"/>
        </w:trPr>
        <w:tc>
          <w:tcPr>
            <w:tcW w:w="2760" w:type="dxa"/>
            <w:vAlign w:val="bottom"/>
            <w:tcBorders>
              <w:bottom w:val="single" w:sz="8" w:color="454545"/>
            </w:tcBorders>
          </w:tcPr>
          <w:p>
            <w:pPr>
              <w:spacing w:after="0"/>
              <w:rPr>
                <w:sz w:val="22"/>
                <w:szCs w:val="22"/>
                <w:color w:val="auto"/>
              </w:rPr>
            </w:pPr>
          </w:p>
        </w:tc>
        <w:tc>
          <w:tcPr>
            <w:tcW w:w="3860" w:type="dxa"/>
            <w:vAlign w:val="bottom"/>
            <w:tcBorders>
              <w:bottom w:val="single" w:sz="8" w:color="454545"/>
            </w:tcBorders>
          </w:tcPr>
          <w:p>
            <w:pPr>
              <w:ind w:left="1060"/>
              <w:spacing w:after="0"/>
              <w:rPr>
                <w:sz w:val="20"/>
                <w:szCs w:val="20"/>
                <w:color w:val="auto"/>
              </w:rPr>
            </w:pPr>
            <w:r>
              <w:rPr>
                <w:rFonts w:ascii="Arial" w:cs="Arial" w:eastAsia="Arial" w:hAnsi="Arial"/>
                <w:sz w:val="16"/>
                <w:szCs w:val="16"/>
                <w:color w:val="auto"/>
              </w:rPr>
              <w:t>Excess Retirement Plan</w:t>
            </w:r>
          </w:p>
        </w:tc>
        <w:tc>
          <w:tcPr>
            <w:tcW w:w="268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auto"/>
              </w:rPr>
              <w:t>26</w:t>
            </w:r>
          </w:p>
        </w:tc>
        <w:tc>
          <w:tcPr>
            <w:tcW w:w="1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689</w:t>
            </w:r>
          </w:p>
        </w:tc>
      </w:tr>
    </w:tbl>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 xml:space="preserve">Retirement Plan — </w:t>
      </w:r>
      <w:r>
        <w:rPr>
          <w:rFonts w:ascii="Arial" w:cs="Arial" w:eastAsia="Arial" w:hAnsi="Arial"/>
          <w:sz w:val="18"/>
          <w:szCs w:val="18"/>
          <w:color w:val="auto"/>
        </w:rPr>
        <w:t>The JPMorgan Chase Retirement Plan is a qualified noncontributory U.S. defined benefit pension plan that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substantially all U.S. employees. The Plan was frozen with respect to pay credit contributions, effective January 1, 2020, and frozen with respect to new entrants into the Plan, effective January 1, 2019. Employees became fully vested in the value of their Plan benefits as a result of this change. The Plan employed a cash balance formula (in the form of pay and interest credits) to determine amounts at retirement. Pay credits ceased effective with the plan freeze. Interest credits, which generally equal the yield on one-year U.S. Treasury bills plus 1% (subject to a minimum of 4.5%), continue to accrue.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Excess Retirement Plan — </w:t>
      </w:r>
      <w:r>
        <w:rPr>
          <w:rFonts w:ascii="Arial" w:cs="Arial" w:eastAsia="Arial" w:hAnsi="Arial"/>
          <w:sz w:val="18"/>
          <w:szCs w:val="18"/>
          <w:color w:val="auto"/>
        </w:rPr>
        <w:t>Benefits were determined under the same terms and conditions as the Retirement Plan, but reflecting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in excess of IRS limits up to $ 1 million and benefit amounts in excess of IRS limits. Benefits are generally payable in a lump sum in the year following termination. The plan is closed to new participants and accruals under the plan were discontinued as of May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182880</wp:posOffset>
            </wp:positionV>
            <wp:extent cx="2743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77  </w:t>
      </w:r>
      <w:r>
        <w:rPr>
          <w:sz w:val="1"/>
          <w:szCs w:val="1"/>
          <w:color w:val="auto"/>
        </w:rPr>
        <w:drawing>
          <wp:inline distT="0" distB="0" distL="0" distR="0">
            <wp:extent cx="2203450" cy="154305"/>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 xml:space="preserve">Present value of accumulated benefits — </w:t>
      </w:r>
      <w:r>
        <w:rPr>
          <w:rFonts w:ascii="Arial" w:cs="Arial" w:eastAsia="Arial" w:hAnsi="Arial"/>
          <w:sz w:val="18"/>
          <w:szCs w:val="18"/>
          <w:color w:val="auto"/>
        </w:rPr>
        <w:t>The valuation method and all material assumptions used to calculate the amounts above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those reflected in Note 8 to the Firm’s Consolidated Financial Statements in the 2020 Form 10-K on pages 216-220. Key assumptions include the discount rate (2.50%); interest rates (4.75% crediting to project cash balances; 2.00% to convert annuities to lump sums and lump sums to annuities) and mortality rates (for the present value of annuities, the Pri-2012 (white-collar) projected generational mortality table with projection scale MP2020; for lump sums, the UP94 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85%) or life annuities (with probability of 15%). Benefits from the Excess Retirement Plan are paid as single-sum distributions. No death or other separation from service was assumed prior to retirement date.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074A75"/>
        </w:rPr>
        <w:t>VI. 2020 NON-QUALIFIED DEFERRED COMPENSATION</w:t>
      </w:r>
    </w:p>
    <w:p>
      <w:pPr>
        <w:spacing w:after="0" w:line="1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2020, there were no contributions made by the Firm nor contributions made or withdrawals or distributions received by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4820" w:type="dxa"/>
            <w:vAlign w:val="bottom"/>
          </w:tcPr>
          <w:p>
            <w:pPr>
              <w:jc w:val="center"/>
              <w:ind w:left="2699"/>
              <w:spacing w:after="0"/>
              <w:rPr>
                <w:sz w:val="20"/>
                <w:szCs w:val="20"/>
                <w:color w:val="auto"/>
              </w:rPr>
            </w:pPr>
            <w:r>
              <w:rPr>
                <w:rFonts w:ascii="Arial" w:cs="Arial" w:eastAsia="Arial" w:hAnsi="Arial"/>
                <w:sz w:val="16"/>
                <w:szCs w:val="16"/>
                <w:color w:val="205A85"/>
              </w:rPr>
              <w:t>Aggregate earnings</w:t>
            </w:r>
          </w:p>
        </w:tc>
        <w:tc>
          <w:tcPr>
            <w:tcW w:w="1620" w:type="dxa"/>
            <w:vAlign w:val="bottom"/>
          </w:tcPr>
          <w:p>
            <w:pPr>
              <w:jc w:val="center"/>
              <w:ind w:right="19"/>
              <w:spacing w:after="0"/>
              <w:rPr>
                <w:sz w:val="20"/>
                <w:szCs w:val="20"/>
                <w:color w:val="auto"/>
              </w:rPr>
            </w:pPr>
            <w:r>
              <w:rPr>
                <w:rFonts w:ascii="Arial" w:cs="Arial" w:eastAsia="Arial" w:hAnsi="Arial"/>
                <w:sz w:val="16"/>
                <w:szCs w:val="16"/>
                <w:color w:val="205A85"/>
              </w:rPr>
              <w:t>Aggregate</w:t>
            </w:r>
          </w:p>
        </w:tc>
      </w:tr>
      <w:tr>
        <w:trPr>
          <w:trHeight w:val="186"/>
        </w:trPr>
        <w:tc>
          <w:tcPr>
            <w:tcW w:w="4800" w:type="dxa"/>
            <w:vAlign w:val="bottom"/>
          </w:tcPr>
          <w:p>
            <w:pPr>
              <w:spacing w:after="0"/>
              <w:rPr>
                <w:sz w:val="16"/>
                <w:szCs w:val="16"/>
                <w:color w:val="auto"/>
              </w:rPr>
            </w:pPr>
          </w:p>
        </w:tc>
        <w:tc>
          <w:tcPr>
            <w:tcW w:w="4820" w:type="dxa"/>
            <w:vAlign w:val="bottom"/>
          </w:tcPr>
          <w:p>
            <w:pPr>
              <w:jc w:val="center"/>
              <w:ind w:left="2699"/>
              <w:spacing w:after="0"/>
              <w:rPr>
                <w:sz w:val="20"/>
                <w:szCs w:val="20"/>
                <w:color w:val="auto"/>
              </w:rPr>
            </w:pPr>
            <w:r>
              <w:rPr>
                <w:rFonts w:ascii="Arial" w:cs="Arial" w:eastAsia="Arial" w:hAnsi="Arial"/>
                <w:sz w:val="16"/>
                <w:szCs w:val="16"/>
                <w:color w:val="205A85"/>
              </w:rPr>
              <w:t>(loss) in last</w:t>
            </w:r>
          </w:p>
        </w:tc>
        <w:tc>
          <w:tcPr>
            <w:tcW w:w="1620" w:type="dxa"/>
            <w:vAlign w:val="bottom"/>
          </w:tcPr>
          <w:p>
            <w:pPr>
              <w:jc w:val="center"/>
              <w:ind w:right="19"/>
              <w:spacing w:after="0"/>
              <w:rPr>
                <w:sz w:val="20"/>
                <w:szCs w:val="20"/>
                <w:color w:val="auto"/>
              </w:rPr>
            </w:pPr>
            <w:r>
              <w:rPr>
                <w:rFonts w:ascii="Arial" w:cs="Arial" w:eastAsia="Arial" w:hAnsi="Arial"/>
                <w:sz w:val="16"/>
                <w:szCs w:val="16"/>
                <w:color w:val="205A85"/>
              </w:rPr>
              <w:t>balance at last</w:t>
            </w:r>
          </w:p>
        </w:tc>
      </w:tr>
      <w:tr>
        <w:trPr>
          <w:trHeight w:val="21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4820" w:type="dxa"/>
            <w:vAlign w:val="bottom"/>
            <w:tcBorders>
              <w:bottom w:val="single" w:sz="8" w:color="454545"/>
            </w:tcBorders>
          </w:tcPr>
          <w:p>
            <w:pPr>
              <w:jc w:val="center"/>
              <w:ind w:left="2699"/>
              <w:spacing w:after="0" w:line="217" w:lineRule="exact"/>
              <w:rPr>
                <w:sz w:val="20"/>
                <w:szCs w:val="20"/>
                <w:color w:val="auto"/>
              </w:rPr>
            </w:pPr>
            <w:r>
              <w:rPr>
                <w:rFonts w:ascii="Arial" w:cs="Arial" w:eastAsia="Arial" w:hAnsi="Arial"/>
                <w:sz w:val="16"/>
                <w:szCs w:val="16"/>
                <w:color w:val="205A85"/>
              </w:rPr>
              <w:t>fiscal year ($)</w:t>
            </w:r>
            <w:r>
              <w:rPr>
                <w:rFonts w:ascii="Arial" w:cs="Arial" w:eastAsia="Arial" w:hAnsi="Arial"/>
                <w:sz w:val="21"/>
                <w:szCs w:val="21"/>
                <w:color w:val="205A85"/>
                <w:vertAlign w:val="superscript"/>
              </w:rPr>
              <w:t>1</w:t>
            </w:r>
          </w:p>
        </w:tc>
        <w:tc>
          <w:tcPr>
            <w:tcW w:w="1620" w:type="dxa"/>
            <w:vAlign w:val="bottom"/>
            <w:tcBorders>
              <w:bottom w:val="single" w:sz="8" w:color="454545"/>
            </w:tcBorders>
          </w:tcPr>
          <w:p>
            <w:pPr>
              <w:jc w:val="center"/>
              <w:ind w:right="19"/>
              <w:spacing w:after="0"/>
              <w:rPr>
                <w:sz w:val="20"/>
                <w:szCs w:val="20"/>
                <w:color w:val="auto"/>
              </w:rPr>
            </w:pPr>
            <w:r>
              <w:rPr>
                <w:rFonts w:ascii="Arial" w:cs="Arial" w:eastAsia="Arial" w:hAnsi="Arial"/>
                <w:sz w:val="16"/>
                <w:szCs w:val="16"/>
                <w:color w:val="205A85"/>
              </w:rPr>
              <w:t>fiscal year–end ($)</w:t>
            </w:r>
          </w:p>
        </w:tc>
      </w:tr>
      <w:tr>
        <w:trPr>
          <w:trHeight w:val="230"/>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p>
        </w:tc>
        <w:tc>
          <w:tcPr>
            <w:tcW w:w="4820" w:type="dxa"/>
            <w:vAlign w:val="bottom"/>
            <w:tcBorders>
              <w:bottom w:val="single" w:sz="8" w:color="454545"/>
            </w:tcBorders>
          </w:tcPr>
          <w:p>
            <w:pPr>
              <w:jc w:val="right"/>
              <w:ind w:right="79"/>
              <w:spacing w:after="0"/>
              <w:rPr>
                <w:sz w:val="20"/>
                <w:szCs w:val="20"/>
                <w:color w:val="auto"/>
              </w:rPr>
            </w:pPr>
            <w:r>
              <w:rPr>
                <w:rFonts w:ascii="Arial" w:cs="Arial" w:eastAsia="Arial" w:hAnsi="Arial"/>
                <w:sz w:val="16"/>
                <w:szCs w:val="16"/>
                <w:color w:val="auto"/>
              </w:rPr>
              <w:t>$  1,344</w:t>
            </w:r>
          </w:p>
        </w:tc>
        <w:tc>
          <w:tcPr>
            <w:tcW w:w="16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  151,050</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482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759</w:t>
            </w:r>
          </w:p>
        </w:tc>
        <w:tc>
          <w:tcPr>
            <w:tcW w:w="16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24,165</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Gordon Smith</w:t>
            </w:r>
          </w:p>
        </w:tc>
        <w:tc>
          <w:tcPr>
            <w:tcW w:w="482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482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482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auto"/>
              </w:rPr>
              <w:t>16</w:t>
            </w:r>
          </w:p>
        </w:tc>
        <w:tc>
          <w:tcPr>
            <w:tcW w:w="16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495</w:t>
            </w:r>
          </w:p>
        </w:tc>
      </w:tr>
    </w:tbl>
    <w:p>
      <w:pPr>
        <w:spacing w:after="0" w:line="102" w:lineRule="exact"/>
        <w:rPr>
          <w:sz w:val="20"/>
          <w:szCs w:val="20"/>
          <w:color w:val="auto"/>
        </w:rPr>
      </w:pPr>
    </w:p>
    <w:p>
      <w:pPr>
        <w:ind w:left="200" w:right="80" w:hanging="192"/>
        <w:spacing w:after="0" w:line="245" w:lineRule="auto"/>
        <w:tabs>
          <w:tab w:leader="none" w:pos="200" w:val="left"/>
        </w:tabs>
        <w:numPr>
          <w:ilvl w:val="0"/>
          <w:numId w:val="235"/>
        </w:numPr>
        <w:rPr>
          <w:rFonts w:ascii="Arial" w:cs="Arial" w:eastAsia="Arial" w:hAnsi="Arial"/>
          <w:sz w:val="15"/>
          <w:szCs w:val="15"/>
          <w:color w:val="auto"/>
          <w:vertAlign w:val="superscript"/>
        </w:rPr>
      </w:pPr>
      <w:r>
        <w:rPr>
          <w:rFonts w:ascii="Arial" w:cs="Arial" w:eastAsia="Arial" w:hAnsi="Arial"/>
          <w:sz w:val="12"/>
          <w:szCs w:val="12"/>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policies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spacing w:after="0" w:line="8" w:lineRule="exact"/>
        <w:rPr>
          <w:rFonts w:ascii="Arial" w:cs="Arial" w:eastAsia="Arial" w:hAnsi="Arial"/>
          <w:sz w:val="15"/>
          <w:szCs w:val="15"/>
          <w:color w:val="auto"/>
          <w:vertAlign w:val="superscript"/>
        </w:rPr>
      </w:pPr>
    </w:p>
    <w:p>
      <w:pPr>
        <w:ind w:left="200"/>
        <w:spacing w:after="0"/>
        <w:rPr>
          <w:rFonts w:ascii="Arial" w:cs="Arial" w:eastAsia="Arial" w:hAnsi="Arial"/>
          <w:sz w:val="15"/>
          <w:szCs w:val="15"/>
          <w:color w:val="auto"/>
          <w:vertAlign w:val="superscript"/>
        </w:rPr>
      </w:pPr>
      <w:r>
        <w:rPr>
          <w:rFonts w:ascii="Arial" w:cs="Arial" w:eastAsia="Arial" w:hAnsi="Arial"/>
          <w:sz w:val="12"/>
          <w:szCs w:val="12"/>
          <w:color w:val="auto"/>
        </w:rPr>
        <w:t>Investment returns in 2020 for the following investment choices were: Short-Term Fixed Income, 1.13%; Interest Income, 3.25%; Barclays Capital U.S. Aggregate Bond Index, 7.46%; High-Yield,</w:t>
      </w:r>
    </w:p>
    <w:p>
      <w:pPr>
        <w:spacing w:after="0" w:line="10" w:lineRule="exact"/>
        <w:rPr>
          <w:rFonts w:ascii="Arial" w:cs="Arial" w:eastAsia="Arial" w:hAnsi="Arial"/>
          <w:sz w:val="15"/>
          <w:szCs w:val="15"/>
          <w:color w:val="auto"/>
          <w:vertAlign w:val="superscript"/>
        </w:rPr>
      </w:pPr>
    </w:p>
    <w:p>
      <w:pPr>
        <w:ind w:left="200" w:right="2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5.67%; Balanced Portfolio, 11.46%; S&amp;P 500 Index, 18.40%; Mid-Cap Index, 18.07%; Russell 2000 Index, 19.92%; REIT Index, (4.85)%; International, 57.58%; and JPMorgan Chase common stock, including dividend equivalents, (5.52)%.</w:t>
      </w:r>
    </w:p>
    <w:p>
      <w:pPr>
        <w:spacing w:after="0" w:line="22" w:lineRule="exact"/>
        <w:rPr>
          <w:rFonts w:ascii="Arial" w:cs="Arial" w:eastAsia="Arial" w:hAnsi="Arial"/>
          <w:sz w:val="15"/>
          <w:szCs w:val="15"/>
          <w:color w:val="auto"/>
          <w:vertAlign w:val="superscript"/>
        </w:rPr>
      </w:pPr>
    </w:p>
    <w:p>
      <w:pPr>
        <w:ind w:left="200" w:right="40"/>
        <w:spacing w:after="0" w:line="239" w:lineRule="auto"/>
        <w:rPr>
          <w:rFonts w:ascii="Arial" w:cs="Arial" w:eastAsia="Arial" w:hAnsi="Arial"/>
          <w:sz w:val="15"/>
          <w:szCs w:val="15"/>
          <w:color w:val="auto"/>
          <w:vertAlign w:val="superscript"/>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spacing w:after="0" w:line="11" w:lineRule="exact"/>
        <w:rPr>
          <w:rFonts w:ascii="Arial" w:cs="Arial" w:eastAsia="Arial" w:hAnsi="Arial"/>
          <w:sz w:val="15"/>
          <w:szCs w:val="15"/>
          <w:color w:val="auto"/>
          <w:vertAlign w:val="superscript"/>
        </w:rPr>
      </w:pPr>
    </w:p>
    <w:p>
      <w:pPr>
        <w:ind w:left="200" w:right="220"/>
        <w:spacing w:after="0"/>
        <w:rPr>
          <w:rFonts w:ascii="Arial" w:cs="Arial" w:eastAsia="Arial" w:hAnsi="Arial"/>
          <w:sz w:val="15"/>
          <w:szCs w:val="15"/>
          <w:color w:val="auto"/>
          <w:vertAlign w:val="superscript"/>
        </w:rPr>
      </w:pPr>
      <w:r>
        <w:rPr>
          <w:rFonts w:ascii="Arial" w:cs="Arial" w:eastAsia="Arial" w:hAnsi="Arial"/>
          <w:sz w:val="13"/>
          <w:szCs w:val="13"/>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2020 for the following investment choice was: Short-Term Fixed Income, 0.90%. With respect to the SSIP, account balances are automatically paid as a lump sum in the year following termination unless an installment option is elected prior to termination of employment.</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78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074A75"/>
        </w:rPr>
        <w:t>VII. 2020 POTENTIAL PAYMENTS UPON TERMINATION OR CHANGE IN CONTROL</w:t>
      </w:r>
    </w:p>
    <w:p>
      <w:pPr>
        <w:spacing w:after="0" w:line="11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golden parachute agreements</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accelerated cash/equity payments or special benefits upon a</w:t>
            </w:r>
          </w:p>
        </w:tc>
      </w:tr>
      <w:tr>
        <w:trPr>
          <w:trHeight w:val="217"/>
        </w:trPr>
        <w:tc>
          <w:tcPr>
            <w:tcW w:w="3360" w:type="dxa"/>
            <w:vAlign w:val="bottom"/>
            <w:shd w:val="clear" w:color="auto" w:fill="EEEFEF"/>
          </w:tcPr>
          <w:p>
            <w:pPr>
              <w:spacing w:after="0"/>
              <w:rPr>
                <w:sz w:val="18"/>
                <w:szCs w:val="18"/>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change in control</w:t>
            </w:r>
          </w:p>
        </w:tc>
      </w:tr>
      <w:tr>
        <w:trPr>
          <w:trHeight w:val="81"/>
        </w:trPr>
        <w:tc>
          <w:tcPr>
            <w:tcW w:w="3360" w:type="dxa"/>
            <w:vAlign w:val="bottom"/>
            <w:shd w:val="clear" w:color="auto" w:fill="EEEFEF"/>
          </w:tcPr>
          <w:p>
            <w:pPr>
              <w:spacing w:after="0"/>
              <w:rPr>
                <w:sz w:val="7"/>
                <w:szCs w:val="7"/>
                <w:color w:val="auto"/>
              </w:rPr>
            </w:pPr>
          </w:p>
        </w:tc>
        <w:tc>
          <w:tcPr>
            <w:tcW w:w="7880" w:type="dxa"/>
            <w:vAlign w:val="bottom"/>
            <w:shd w:val="clear" w:color="auto" w:fill="EEEFEF"/>
          </w:tcPr>
          <w:p>
            <w:pPr>
              <w:spacing w:after="0"/>
              <w:rPr>
                <w:sz w:val="7"/>
                <w:szCs w:val="7"/>
                <w:color w:val="auto"/>
              </w:rPr>
            </w:pPr>
          </w:p>
        </w:tc>
      </w:tr>
      <w:tr>
        <w:trPr>
          <w:trHeight w:val="310"/>
        </w:trPr>
        <w:tc>
          <w:tcPr>
            <w:tcW w:w="3360" w:type="dxa"/>
            <w:vAlign w:val="bottom"/>
          </w:tcPr>
          <w:p>
            <w:pPr>
              <w:ind w:left="20"/>
              <w:spacing w:after="0"/>
              <w:rPr>
                <w:sz w:val="20"/>
                <w:szCs w:val="20"/>
                <w:color w:val="auto"/>
              </w:rPr>
            </w:pPr>
            <w:r>
              <w:rPr>
                <w:rFonts w:ascii="Arial" w:cs="Arial" w:eastAsia="Arial" w:hAnsi="Arial"/>
                <w:sz w:val="18"/>
                <w:szCs w:val="18"/>
                <w:color w:val="auto"/>
              </w:rPr>
              <w:t>No employment agreements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All of the U.S. based NEOs are “at will” employees and are not covered by employment</w:t>
            </w:r>
          </w:p>
        </w:tc>
      </w:tr>
      <w:tr>
        <w:trPr>
          <w:trHeight w:val="217"/>
        </w:trPr>
        <w:tc>
          <w:tcPr>
            <w:tcW w:w="336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agreements</w:t>
            </w:r>
          </w:p>
        </w:tc>
      </w:tr>
      <w:tr>
        <w:trPr>
          <w:trHeight w:val="324"/>
        </w:trPr>
        <w:tc>
          <w:tcPr>
            <w:tcW w:w="3360" w:type="dxa"/>
            <w:vAlign w:val="bottom"/>
          </w:tcPr>
          <w:p>
            <w:pPr>
              <w:spacing w:after="0"/>
              <w:rPr>
                <w:sz w:val="24"/>
                <w:szCs w:val="24"/>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Mr. Pinto has terms of employment that reflect applicable U.K. legal standards</w:t>
            </w:r>
          </w:p>
        </w:tc>
      </w:tr>
      <w:tr>
        <w:trPr>
          <w:trHeight w:val="108"/>
        </w:trPr>
        <w:tc>
          <w:tcPr>
            <w:tcW w:w="3360" w:type="dxa"/>
            <w:vAlign w:val="bottom"/>
          </w:tcPr>
          <w:p>
            <w:pPr>
              <w:spacing w:after="0"/>
              <w:rPr>
                <w:sz w:val="9"/>
                <w:szCs w:val="9"/>
                <w:color w:val="auto"/>
              </w:rPr>
            </w:pPr>
          </w:p>
        </w:tc>
        <w:tc>
          <w:tcPr>
            <w:tcW w:w="7880" w:type="dxa"/>
            <w:vAlign w:val="bottom"/>
          </w:tcPr>
          <w:p>
            <w:pPr>
              <w:spacing w:after="0"/>
              <w:rPr>
                <w:sz w:val="9"/>
                <w:szCs w:val="9"/>
                <w:color w:val="auto"/>
              </w:rPr>
            </w:pPr>
          </w:p>
        </w:tc>
      </w:tr>
      <w:tr>
        <w:trPr>
          <w:trHeight w:val="296"/>
        </w:trPr>
        <w:tc>
          <w:tcPr>
            <w:tcW w:w="3360" w:type="dxa"/>
            <w:vAlign w:val="bottom"/>
            <w:shd w:val="clear" w:color="auto" w:fill="EEEFEF"/>
          </w:tcPr>
          <w:p>
            <w:pPr>
              <w:ind w:left="20"/>
              <w:spacing w:after="0"/>
              <w:rPr>
                <w:sz w:val="20"/>
                <w:szCs w:val="20"/>
                <w:color w:val="auto"/>
              </w:rPr>
            </w:pPr>
            <w:r>
              <w:rPr>
                <w:rFonts w:ascii="Arial" w:cs="Arial" w:eastAsia="Arial" w:hAnsi="Arial"/>
                <w:sz w:val="18"/>
                <w:szCs w:val="18"/>
                <w:color w:val="auto"/>
              </w:rPr>
              <w:t>No special cash severance</w:t>
            </w:r>
          </w:p>
        </w:tc>
        <w:tc>
          <w:tcPr>
            <w:tcW w:w="7880" w:type="dxa"/>
            <w:vAlign w:val="bottom"/>
            <w:shd w:val="clear" w:color="auto" w:fill="EEEFEF"/>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Severance amounts for NEOs are capped at one-year salary, not to exceed $400,000 (or</w:t>
            </w:r>
          </w:p>
        </w:tc>
      </w:tr>
      <w:tr>
        <w:trPr>
          <w:trHeight w:val="217"/>
        </w:trPr>
        <w:tc>
          <w:tcPr>
            <w:tcW w:w="3360" w:type="dxa"/>
            <w:vAlign w:val="bottom"/>
            <w:shd w:val="clear" w:color="auto" w:fill="EEEFEF"/>
          </w:tcPr>
          <w:p>
            <w:pPr>
              <w:spacing w:after="0"/>
              <w:rPr>
                <w:sz w:val="18"/>
                <w:szCs w:val="18"/>
                <w:color w:val="auto"/>
              </w:rPr>
            </w:pPr>
          </w:p>
        </w:tc>
        <w:tc>
          <w:tcPr>
            <w:tcW w:w="7880" w:type="dxa"/>
            <w:vAlign w:val="bottom"/>
            <w:shd w:val="clear" w:color="auto" w:fill="EEEFEF"/>
          </w:tcPr>
          <w:p>
            <w:pPr>
              <w:ind w:left="220"/>
              <w:spacing w:after="0"/>
              <w:rPr>
                <w:sz w:val="20"/>
                <w:szCs w:val="20"/>
                <w:color w:val="auto"/>
              </w:rPr>
            </w:pPr>
            <w:r>
              <w:rPr>
                <w:rFonts w:ascii="Arial" w:cs="Arial" w:eastAsia="Arial" w:hAnsi="Arial"/>
                <w:sz w:val="18"/>
                <w:szCs w:val="18"/>
                <w:color w:val="auto"/>
              </w:rPr>
              <w:t>£275,000 in the case of Mr. Pinto)</w:t>
            </w:r>
          </w:p>
        </w:tc>
      </w:tr>
      <w:tr>
        <w:trPr>
          <w:trHeight w:val="81"/>
        </w:trPr>
        <w:tc>
          <w:tcPr>
            <w:tcW w:w="3360" w:type="dxa"/>
            <w:vAlign w:val="bottom"/>
            <w:shd w:val="clear" w:color="auto" w:fill="EEEFEF"/>
          </w:tcPr>
          <w:p>
            <w:pPr>
              <w:spacing w:after="0"/>
              <w:rPr>
                <w:sz w:val="7"/>
                <w:szCs w:val="7"/>
                <w:color w:val="auto"/>
              </w:rPr>
            </w:pPr>
          </w:p>
        </w:tc>
        <w:tc>
          <w:tcPr>
            <w:tcW w:w="7880" w:type="dxa"/>
            <w:vAlign w:val="bottom"/>
            <w:shd w:val="clear" w:color="auto" w:fill="EEEFEF"/>
          </w:tcPr>
          <w:p>
            <w:pPr>
              <w:spacing w:after="0"/>
              <w:rPr>
                <w:sz w:val="7"/>
                <w:szCs w:val="7"/>
                <w:color w:val="auto"/>
              </w:rPr>
            </w:pPr>
          </w:p>
        </w:tc>
      </w:tr>
      <w:tr>
        <w:trPr>
          <w:trHeight w:val="297"/>
        </w:trPr>
        <w:tc>
          <w:tcPr>
            <w:tcW w:w="3360" w:type="dxa"/>
            <w:vAlign w:val="bottom"/>
          </w:tcPr>
          <w:p>
            <w:pPr>
              <w:ind w:left="20"/>
              <w:spacing w:after="0"/>
              <w:rPr>
                <w:sz w:val="20"/>
                <w:szCs w:val="20"/>
                <w:color w:val="auto"/>
              </w:rPr>
            </w:pPr>
            <w:r>
              <w:rPr>
                <w:rFonts w:ascii="Arial" w:cs="Arial" w:eastAsia="Arial" w:hAnsi="Arial"/>
                <w:sz w:val="18"/>
                <w:szCs w:val="18"/>
                <w:color w:val="auto"/>
              </w:rPr>
              <w:t>No special executive benefits</w:t>
            </w:r>
          </w:p>
        </w:tc>
        <w:tc>
          <w:tcPr>
            <w:tcW w:w="7880" w:type="dxa"/>
            <w:vAlign w:val="bottom"/>
          </w:tcPr>
          <w:p>
            <w:pPr>
              <w:ind w:left="20"/>
              <w:spacing w:after="0"/>
              <w:rPr>
                <w:sz w:val="20"/>
                <w:szCs w:val="20"/>
                <w:color w:val="auto"/>
              </w:rPr>
            </w:pPr>
            <w:r>
              <w:rPr>
                <w:rFonts w:ascii="Arial" w:cs="Arial" w:eastAsia="Arial" w:hAnsi="Arial"/>
                <w:sz w:val="18"/>
                <w:szCs w:val="18"/>
                <w:color w:val="074A75"/>
              </w:rPr>
              <w:t xml:space="preserve">•  </w:t>
            </w:r>
            <w:r>
              <w:rPr>
                <w:rFonts w:ascii="Arial" w:cs="Arial" w:eastAsia="Arial" w:hAnsi="Arial"/>
                <w:sz w:val="18"/>
                <w:szCs w:val="18"/>
                <w:color w:val="000000"/>
              </w:rPr>
              <w:t>NEOs are not entitled to any special benefits upon termination</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broad-based severance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Mr. Dimon, Mr. Smith, Ms. Erdoes and Ms. Piepszak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Mr. Pinto is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 terminated on December 31, 2020.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 retirement welfare benefits available under broad-based employee plans. For information on the pension and deferred compensation plans, see “Table V: 2020 Pension benefits” on page 77 and “Table VI: 2020 Non-qualified deferred compensation” on page 78. Such tables also do not show the value of vested SARs, which are listed In “Table III: Outstanding equity awards at fiscal year-end 2020” on pages 75 and 76. There are no unvested SARs outstanding on December 31, 2020.</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and PSUs based on the closing price of our common stock on December 31,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Office provision</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the Government Office provision does not provide any benefit to employees who are full-career eligible. All NEOs meet the full-career eligibility provision of their applicable awards.</w:t>
      </w:r>
      <w:r>
        <w:rPr>
          <w:rFonts w:ascii="Arial" w:cs="Arial" w:eastAsia="Arial" w:hAnsi="Arial"/>
          <w:sz w:val="23"/>
          <w:szCs w:val="23"/>
          <w:color w:val="auto"/>
          <w:vertAlign w:val="superscript"/>
        </w:rPr>
        <w:t>1</w:t>
      </w:r>
    </w:p>
    <w:p>
      <w:pPr>
        <w:spacing w:after="0" w:line="2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 employees who are not full-career eligible, the value of awards that would continue to vest as a result of the Government Office provision of our equity plan would equal a percentage of the unvested stock awards ranging from 0% prior to three years of employment by the Firm to 50% after three years of employment increasing to 100% after five years.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hanging="192"/>
        <w:spacing w:after="0"/>
        <w:tabs>
          <w:tab w:leader="none" w:pos="200" w:val="left"/>
        </w:tabs>
        <w:numPr>
          <w:ilvl w:val="0"/>
          <w:numId w:val="236"/>
        </w:numPr>
        <w:rPr>
          <w:rFonts w:ascii="Arial" w:cs="Arial" w:eastAsia="Arial" w:hAnsi="Arial"/>
          <w:sz w:val="16"/>
          <w:szCs w:val="16"/>
          <w:color w:val="auto"/>
          <w:vertAlign w:val="superscript"/>
        </w:rPr>
      </w:pPr>
      <w:r>
        <w:rPr>
          <w:rFonts w:ascii="Arial" w:cs="Arial" w:eastAsia="Arial" w:hAnsi="Arial"/>
          <w:sz w:val="13"/>
          <w:szCs w:val="13"/>
          <w:color w:val="auto"/>
        </w:rPr>
        <w:t>Refer to Notes 3 and 5 on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267335</wp:posOffset>
            </wp:positionV>
            <wp:extent cx="27432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79  </w:t>
      </w:r>
      <w:r>
        <w:rPr>
          <w:sz w:val="1"/>
          <w:szCs w:val="1"/>
          <w:color w:val="auto"/>
        </w:rPr>
        <w:drawing>
          <wp:inline distT="0" distB="0" distL="0" distR="0">
            <wp:extent cx="2203450" cy="154305"/>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5900"/>
        <w:spacing w:after="0"/>
        <w:rPr>
          <w:sz w:val="20"/>
          <w:szCs w:val="20"/>
          <w:color w:val="auto"/>
        </w:rPr>
      </w:pPr>
      <w:r>
        <w:rPr>
          <w:rFonts w:ascii="Arial" w:cs="Arial" w:eastAsia="Arial" w:hAnsi="Arial"/>
          <w:sz w:val="16"/>
          <w:szCs w:val="16"/>
          <w:color w:val="074A75"/>
        </w:rPr>
        <w:t xml:space="preserve">EXECUTIVE COMPENSATION TABLES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w:t>
      </w:r>
    </w:p>
    <w:p>
      <w:pPr>
        <w:spacing w:after="0" w:line="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2020, no current or former OC member received any benefits under the Government Office provision.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POTENTIAL PAYMENTS UPON TERMINATION OR CHANGE IN CONTROL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00" w:type="dxa"/>
            <w:vAlign w:val="bottom"/>
            <w:tcBorders>
              <w:bottom w:val="single" w:sz="8" w:color="454545"/>
            </w:tcBorders>
          </w:tcPr>
          <w:p>
            <w:pPr>
              <w:spacing w:after="0"/>
              <w:rPr>
                <w:sz w:val="21"/>
                <w:szCs w:val="21"/>
                <w:color w:val="auto"/>
              </w:rPr>
            </w:pPr>
          </w:p>
        </w:tc>
        <w:tc>
          <w:tcPr>
            <w:tcW w:w="1200" w:type="dxa"/>
            <w:vAlign w:val="bottom"/>
            <w:tcBorders>
              <w:bottom w:val="single" w:sz="8" w:color="454545"/>
            </w:tcBorders>
          </w:tcPr>
          <w:p>
            <w:pPr>
              <w:spacing w:after="0"/>
              <w:rPr>
                <w:sz w:val="21"/>
                <w:szCs w:val="21"/>
                <w:color w:val="auto"/>
              </w:rPr>
            </w:pPr>
          </w:p>
        </w:tc>
        <w:tc>
          <w:tcPr>
            <w:tcW w:w="280" w:type="dxa"/>
            <w:vAlign w:val="bottom"/>
            <w:tcBorders>
              <w:bottom w:val="single" w:sz="8" w:color="454545"/>
            </w:tcBorders>
          </w:tcPr>
          <w:p>
            <w:pPr>
              <w:spacing w:after="0"/>
              <w:rPr>
                <w:sz w:val="21"/>
                <w:szCs w:val="21"/>
                <w:color w:val="auto"/>
              </w:rPr>
            </w:pPr>
          </w:p>
        </w:tc>
        <w:tc>
          <w:tcPr>
            <w:tcW w:w="2700" w:type="dxa"/>
            <w:vAlign w:val="bottom"/>
            <w:tcBorders>
              <w:bottom w:val="single" w:sz="8" w:color="454545"/>
            </w:tcBorders>
            <w:gridSpan w:val="2"/>
          </w:tcPr>
          <w:p>
            <w:pPr>
              <w:jc w:val="right"/>
              <w:ind w:right="279"/>
              <w:spacing w:after="0"/>
              <w:rPr>
                <w:sz w:val="20"/>
                <w:szCs w:val="20"/>
                <w:color w:val="auto"/>
              </w:rPr>
            </w:pPr>
            <w:r>
              <w:rPr>
                <w:rFonts w:ascii="Arial" w:cs="Arial" w:eastAsia="Arial" w:hAnsi="Arial"/>
                <w:sz w:val="16"/>
                <w:szCs w:val="16"/>
                <w:color w:val="auto"/>
              </w:rPr>
              <w:t>Termination reason</w:t>
            </w:r>
            <w:r>
              <w:rPr>
                <w:rFonts w:ascii="Arial" w:cs="Arial" w:eastAsia="Arial" w:hAnsi="Arial"/>
                <w:sz w:val="21"/>
                <w:szCs w:val="21"/>
                <w:color w:val="auto"/>
                <w:vertAlign w:val="superscript"/>
              </w:rPr>
              <w:t>1</w:t>
            </w:r>
          </w:p>
        </w:tc>
        <w:tc>
          <w:tcPr>
            <w:tcW w:w="1120" w:type="dxa"/>
            <w:vAlign w:val="bottom"/>
            <w:tcBorders>
              <w:bottom w:val="single" w:sz="8" w:color="454545"/>
            </w:tcBorders>
          </w:tcPr>
          <w:p>
            <w:pPr>
              <w:spacing w:after="0"/>
              <w:rPr>
                <w:sz w:val="21"/>
                <w:szCs w:val="21"/>
                <w:color w:val="auto"/>
              </w:rPr>
            </w:pPr>
          </w:p>
        </w:tc>
        <w:tc>
          <w:tcPr>
            <w:tcW w:w="260" w:type="dxa"/>
            <w:vAlign w:val="bottom"/>
            <w:tcBorders>
              <w:bottom w:val="single" w:sz="8" w:color="454545"/>
            </w:tcBorders>
          </w:tcPr>
          <w:p>
            <w:pPr>
              <w:spacing w:after="0"/>
              <w:rPr>
                <w:sz w:val="21"/>
                <w:szCs w:val="21"/>
                <w:color w:val="auto"/>
              </w:rPr>
            </w:pPr>
          </w:p>
        </w:tc>
        <w:tc>
          <w:tcPr>
            <w:tcW w:w="940" w:type="dxa"/>
            <w:vAlign w:val="bottom"/>
            <w:tcBorders>
              <w:bottom w:val="single" w:sz="8" w:color="454545"/>
            </w:tcBorders>
          </w:tcPr>
          <w:p>
            <w:pPr>
              <w:spacing w:after="0"/>
              <w:rPr>
                <w:sz w:val="21"/>
                <w:szCs w:val="21"/>
                <w:color w:val="auto"/>
              </w:rPr>
            </w:pPr>
          </w:p>
        </w:tc>
      </w:tr>
      <w:tr>
        <w:trPr>
          <w:trHeight w:val="211"/>
        </w:trPr>
        <w:tc>
          <w:tcPr>
            <w:tcW w:w="18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gridSpan w:val="2"/>
          </w:tcPr>
          <w:p>
            <w:pPr>
              <w:jc w:val="center"/>
              <w:ind w:right="319"/>
              <w:spacing w:after="0"/>
              <w:rPr>
                <w:sz w:val="20"/>
                <w:szCs w:val="20"/>
                <w:color w:val="auto"/>
              </w:rPr>
            </w:pPr>
            <w:r>
              <w:rPr>
                <w:rFonts w:ascii="Arial" w:cs="Arial" w:eastAsia="Arial" w:hAnsi="Arial"/>
                <w:sz w:val="16"/>
                <w:szCs w:val="16"/>
                <w:color w:val="205A85"/>
              </w:rPr>
              <w:t>Resignation per</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1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center"/>
              <w:ind w:right="579"/>
              <w:spacing w:after="0"/>
              <w:rPr>
                <w:sz w:val="20"/>
                <w:szCs w:val="20"/>
                <w:color w:val="auto"/>
              </w:rPr>
            </w:pPr>
            <w:r>
              <w:rPr>
                <w:rFonts w:ascii="Arial" w:cs="Arial" w:eastAsia="Arial" w:hAnsi="Arial"/>
                <w:sz w:val="16"/>
                <w:szCs w:val="16"/>
                <w:color w:val="205A85"/>
                <w:w w:val="99"/>
              </w:rPr>
              <w:t>Full-Career</w:t>
            </w:r>
          </w:p>
        </w:tc>
        <w:tc>
          <w:tcPr>
            <w:tcW w:w="11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205A85"/>
                <w:w w:val="99"/>
              </w:rPr>
              <w:t>Resignation per</w:t>
            </w:r>
          </w:p>
        </w:tc>
        <w:tc>
          <w:tcPr>
            <w:tcW w:w="940" w:type="dxa"/>
            <w:vAlign w:val="bottom"/>
          </w:tcPr>
          <w:p>
            <w:pPr>
              <w:spacing w:after="0"/>
              <w:rPr>
                <w:sz w:val="16"/>
                <w:szCs w:val="16"/>
                <w:color w:val="auto"/>
              </w:rPr>
            </w:pPr>
          </w:p>
        </w:tc>
      </w:tr>
      <w:tr>
        <w:trPr>
          <w:trHeight w:val="189"/>
        </w:trPr>
        <w:tc>
          <w:tcPr>
            <w:tcW w:w="1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color w:val="205A85"/>
                <w:w w:val="99"/>
              </w:rPr>
              <w:t>Involuntary</w:t>
            </w:r>
          </w:p>
        </w:tc>
        <w:tc>
          <w:tcPr>
            <w:tcW w:w="280" w:type="dxa"/>
            <w:vAlign w:val="bottom"/>
          </w:tcPr>
          <w:p>
            <w:pPr>
              <w:spacing w:after="0"/>
              <w:rPr>
                <w:sz w:val="16"/>
                <w:szCs w:val="16"/>
                <w:color w:val="auto"/>
              </w:rPr>
            </w:pPr>
          </w:p>
        </w:tc>
        <w:tc>
          <w:tcPr>
            <w:tcW w:w="1580" w:type="dxa"/>
            <w:vAlign w:val="bottom"/>
          </w:tcPr>
          <w:p>
            <w:pPr>
              <w:jc w:val="center"/>
              <w:ind w:right="579"/>
              <w:spacing w:after="0"/>
              <w:rPr>
                <w:sz w:val="20"/>
                <w:szCs w:val="20"/>
                <w:color w:val="auto"/>
              </w:rPr>
            </w:pPr>
            <w:r>
              <w:rPr>
                <w:rFonts w:ascii="Arial" w:cs="Arial" w:eastAsia="Arial" w:hAnsi="Arial"/>
                <w:sz w:val="16"/>
                <w:szCs w:val="16"/>
                <w:color w:val="205A85"/>
              </w:rPr>
              <w:t>Eligibility</w:t>
            </w:r>
          </w:p>
        </w:tc>
        <w:tc>
          <w:tcPr>
            <w:tcW w:w="1120" w:type="dxa"/>
            <w:vAlign w:val="bottom"/>
          </w:tcPr>
          <w:p>
            <w:pPr>
              <w:spacing w:after="0"/>
              <w:rPr>
                <w:sz w:val="16"/>
                <w:szCs w:val="16"/>
                <w:color w:val="auto"/>
              </w:rPr>
            </w:pPr>
          </w:p>
        </w:tc>
        <w:tc>
          <w:tcPr>
            <w:tcW w:w="1120" w:type="dxa"/>
            <w:vAlign w:val="bottom"/>
          </w:tcPr>
          <w:p>
            <w:pPr>
              <w:jc w:val="center"/>
              <w:ind w:left="119"/>
              <w:spacing w:after="0"/>
              <w:rPr>
                <w:sz w:val="20"/>
                <w:szCs w:val="20"/>
                <w:color w:val="auto"/>
              </w:rPr>
            </w:pPr>
            <w:r>
              <w:rPr>
                <w:rFonts w:ascii="Arial" w:cs="Arial" w:eastAsia="Arial" w:hAnsi="Arial"/>
                <w:sz w:val="16"/>
                <w:szCs w:val="16"/>
                <w:color w:val="205A85"/>
                <w:w w:val="99"/>
              </w:rPr>
              <w:t>Government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6"/>
        </w:trPr>
        <w:tc>
          <w:tcPr>
            <w:tcW w:w="1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color w:val="205A85"/>
              </w:rPr>
              <w:t>without cause</w:t>
            </w:r>
          </w:p>
        </w:tc>
        <w:tc>
          <w:tcPr>
            <w:tcW w:w="1860" w:type="dxa"/>
            <w:vAlign w:val="bottom"/>
            <w:gridSpan w:val="2"/>
          </w:tcPr>
          <w:p>
            <w:pPr>
              <w:jc w:val="center"/>
              <w:ind w:right="319"/>
              <w:spacing w:after="0"/>
              <w:rPr>
                <w:sz w:val="20"/>
                <w:szCs w:val="20"/>
                <w:color w:val="auto"/>
              </w:rPr>
            </w:pPr>
            <w:r>
              <w:rPr>
                <w:rFonts w:ascii="Arial" w:cs="Arial" w:eastAsia="Arial" w:hAnsi="Arial"/>
                <w:sz w:val="16"/>
                <w:szCs w:val="16"/>
                <w:color w:val="205A85"/>
              </w:rPr>
              <w:t>provision/Disability</w:t>
            </w:r>
          </w:p>
        </w:tc>
        <w:tc>
          <w:tcPr>
            <w:tcW w:w="1120" w:type="dxa"/>
            <w:vAlign w:val="bottom"/>
          </w:tcPr>
          <w:p>
            <w:pPr>
              <w:jc w:val="right"/>
              <w:ind w:right="459"/>
              <w:spacing w:after="0"/>
              <w:rPr>
                <w:sz w:val="20"/>
                <w:szCs w:val="20"/>
                <w:color w:val="auto"/>
              </w:rPr>
            </w:pPr>
            <w:r>
              <w:rPr>
                <w:rFonts w:ascii="Arial" w:cs="Arial" w:eastAsia="Arial" w:hAnsi="Arial"/>
                <w:sz w:val="16"/>
                <w:szCs w:val="16"/>
                <w:color w:val="205A85"/>
              </w:rPr>
              <w:t>Death</w:t>
            </w:r>
          </w:p>
        </w:tc>
        <w:tc>
          <w:tcPr>
            <w:tcW w:w="1380" w:type="dxa"/>
            <w:vAlign w:val="bottom"/>
            <w:gridSpan w:val="2"/>
          </w:tcPr>
          <w:p>
            <w:pPr>
              <w:jc w:val="center"/>
              <w:spacing w:after="0"/>
              <w:rPr>
                <w:sz w:val="20"/>
                <w:szCs w:val="20"/>
                <w:color w:val="auto"/>
              </w:rPr>
            </w:pPr>
            <w:r>
              <w:rPr>
                <w:rFonts w:ascii="Arial" w:cs="Arial" w:eastAsia="Arial" w:hAnsi="Arial"/>
                <w:sz w:val="16"/>
                <w:szCs w:val="16"/>
                <w:color w:val="205A85"/>
              </w:rPr>
              <w:t>Office provision</w:t>
            </w:r>
          </w:p>
        </w:tc>
        <w:tc>
          <w:tcPr>
            <w:tcW w:w="940" w:type="dxa"/>
            <w:vAlign w:val="bottom"/>
          </w:tcPr>
          <w:p>
            <w:pPr>
              <w:jc w:val="right"/>
              <w:ind w:right="39"/>
              <w:spacing w:after="0"/>
              <w:rPr>
                <w:sz w:val="20"/>
                <w:szCs w:val="20"/>
                <w:color w:val="auto"/>
              </w:rPr>
            </w:pPr>
            <w:r>
              <w:rPr>
                <w:rFonts w:ascii="Arial" w:cs="Arial" w:eastAsia="Arial" w:hAnsi="Arial"/>
                <w:sz w:val="16"/>
                <w:szCs w:val="16"/>
                <w:color w:val="205A85"/>
              </w:rPr>
              <w:t>Change in</w:t>
            </w:r>
          </w:p>
        </w:tc>
      </w:tr>
      <w:tr>
        <w:trPr>
          <w:trHeight w:val="217"/>
        </w:trPr>
        <w:tc>
          <w:tcPr>
            <w:tcW w:w="18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205A85"/>
              </w:rPr>
              <w:t>Name</w:t>
            </w:r>
          </w:p>
        </w:tc>
        <w:tc>
          <w:tcPr>
            <w:tcW w:w="2640" w:type="dxa"/>
            <w:vAlign w:val="bottom"/>
            <w:tcBorders>
              <w:bottom w:val="single" w:sz="8" w:color="454545"/>
            </w:tcBorders>
          </w:tcPr>
          <w:p>
            <w:pPr>
              <w:spacing w:after="0"/>
              <w:rPr>
                <w:sz w:val="18"/>
                <w:szCs w:val="18"/>
                <w:color w:val="auto"/>
              </w:rPr>
            </w:pPr>
          </w:p>
        </w:tc>
        <w:tc>
          <w:tcPr>
            <w:tcW w:w="300" w:type="dxa"/>
            <w:vAlign w:val="bottom"/>
            <w:tcBorders>
              <w:bottom w:val="single" w:sz="8" w:color="454545"/>
            </w:tcBorders>
          </w:tcPr>
          <w:p>
            <w:pPr>
              <w:spacing w:after="0"/>
              <w:rPr>
                <w:sz w:val="18"/>
                <w:szCs w:val="18"/>
                <w:color w:val="auto"/>
              </w:rPr>
            </w:pPr>
          </w:p>
        </w:tc>
        <w:tc>
          <w:tcPr>
            <w:tcW w:w="1200" w:type="dxa"/>
            <w:vAlign w:val="bottom"/>
            <w:tcBorders>
              <w:bottom w:val="single" w:sz="8" w:color="454545"/>
            </w:tcBorders>
          </w:tcPr>
          <w:p>
            <w:pPr>
              <w:jc w:val="center"/>
              <w:ind w:right="219"/>
              <w:spacing w:after="0" w:line="217" w:lineRule="exact"/>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2</w:t>
            </w:r>
          </w:p>
        </w:tc>
        <w:tc>
          <w:tcPr>
            <w:tcW w:w="280" w:type="dxa"/>
            <w:vAlign w:val="bottom"/>
            <w:tcBorders>
              <w:bottom w:val="single" w:sz="8" w:color="454545"/>
            </w:tcBorders>
          </w:tcPr>
          <w:p>
            <w:pPr>
              <w:spacing w:after="0"/>
              <w:rPr>
                <w:sz w:val="18"/>
                <w:szCs w:val="18"/>
                <w:color w:val="auto"/>
              </w:rPr>
            </w:pPr>
          </w:p>
        </w:tc>
        <w:tc>
          <w:tcPr>
            <w:tcW w:w="1580" w:type="dxa"/>
            <w:vAlign w:val="bottom"/>
            <w:tcBorders>
              <w:bottom w:val="single" w:sz="8" w:color="454545"/>
            </w:tcBorders>
          </w:tcPr>
          <w:p>
            <w:pPr>
              <w:jc w:val="center"/>
              <w:ind w:right="599"/>
              <w:spacing w:after="0" w:line="217" w:lineRule="exact"/>
              <w:rPr>
                <w:sz w:val="20"/>
                <w:szCs w:val="20"/>
                <w:color w:val="auto"/>
              </w:rPr>
            </w:pPr>
            <w:r>
              <w:rPr>
                <w:rFonts w:ascii="Arial" w:cs="Arial" w:eastAsia="Arial" w:hAnsi="Arial"/>
                <w:sz w:val="16"/>
                <w:szCs w:val="16"/>
                <w:color w:val="205A85"/>
                <w:w w:val="94"/>
              </w:rPr>
              <w:t>($)</w:t>
            </w:r>
            <w:r>
              <w:rPr>
                <w:rFonts w:ascii="Arial" w:cs="Arial" w:eastAsia="Arial" w:hAnsi="Arial"/>
                <w:sz w:val="21"/>
                <w:szCs w:val="21"/>
                <w:color w:val="205A85"/>
                <w:w w:val="94"/>
                <w:vertAlign w:val="superscript"/>
              </w:rPr>
              <w:t>3</w:t>
            </w:r>
          </w:p>
        </w:tc>
        <w:tc>
          <w:tcPr>
            <w:tcW w:w="1120" w:type="dxa"/>
            <w:vAlign w:val="bottom"/>
            <w:tcBorders>
              <w:bottom w:val="single" w:sz="8" w:color="454545"/>
            </w:tcBorders>
          </w:tcPr>
          <w:p>
            <w:pPr>
              <w:jc w:val="right"/>
              <w:ind w:right="539"/>
              <w:spacing w:after="0" w:line="217" w:lineRule="exact"/>
              <w:rPr>
                <w:sz w:val="20"/>
                <w:szCs w:val="20"/>
                <w:color w:val="auto"/>
              </w:rPr>
            </w:pPr>
            <w:r>
              <w:rPr>
                <w:rFonts w:ascii="Arial" w:cs="Arial" w:eastAsia="Arial" w:hAnsi="Arial"/>
                <w:sz w:val="16"/>
                <w:szCs w:val="16"/>
                <w:color w:val="205A85"/>
              </w:rPr>
              <w:t>($)</w:t>
            </w:r>
            <w:r>
              <w:rPr>
                <w:rFonts w:ascii="Arial" w:cs="Arial" w:eastAsia="Arial" w:hAnsi="Arial"/>
                <w:sz w:val="21"/>
                <w:szCs w:val="21"/>
                <w:color w:val="205A85"/>
                <w:vertAlign w:val="superscript"/>
              </w:rPr>
              <w:t>4</w:t>
            </w:r>
          </w:p>
        </w:tc>
        <w:tc>
          <w:tcPr>
            <w:tcW w:w="1120" w:type="dxa"/>
            <w:vAlign w:val="bottom"/>
            <w:tcBorders>
              <w:bottom w:val="single" w:sz="8" w:color="454545"/>
            </w:tcBorders>
          </w:tcPr>
          <w:p>
            <w:pPr>
              <w:jc w:val="center"/>
              <w:ind w:left="119"/>
              <w:spacing w:after="0" w:line="217" w:lineRule="exact"/>
              <w:rPr>
                <w:sz w:val="20"/>
                <w:szCs w:val="20"/>
                <w:color w:val="auto"/>
              </w:rPr>
            </w:pPr>
            <w:r>
              <w:rPr>
                <w:rFonts w:ascii="Arial" w:cs="Arial" w:eastAsia="Arial" w:hAnsi="Arial"/>
                <w:sz w:val="16"/>
                <w:szCs w:val="16"/>
                <w:color w:val="205A85"/>
                <w:w w:val="87"/>
              </w:rPr>
              <w:t>($)</w:t>
            </w:r>
            <w:r>
              <w:rPr>
                <w:rFonts w:ascii="Arial" w:cs="Arial" w:eastAsia="Arial" w:hAnsi="Arial"/>
                <w:sz w:val="21"/>
                <w:szCs w:val="21"/>
                <w:color w:val="205A85"/>
                <w:w w:val="87"/>
                <w:vertAlign w:val="superscript"/>
              </w:rPr>
              <w:t>5</w:t>
            </w:r>
          </w:p>
        </w:tc>
        <w:tc>
          <w:tcPr>
            <w:tcW w:w="260" w:type="dxa"/>
            <w:vAlign w:val="bottom"/>
            <w:tcBorders>
              <w:bottom w:val="single" w:sz="8" w:color="454545"/>
            </w:tcBorders>
          </w:tcPr>
          <w:p>
            <w:pPr>
              <w:spacing w:after="0"/>
              <w:rPr>
                <w:sz w:val="18"/>
                <w:szCs w:val="18"/>
                <w:color w:val="auto"/>
              </w:rPr>
            </w:pPr>
          </w:p>
        </w:tc>
        <w:tc>
          <w:tcPr>
            <w:tcW w:w="940" w:type="dxa"/>
            <w:vAlign w:val="bottom"/>
            <w:tcBorders>
              <w:bottom w:val="single" w:sz="8" w:color="454545"/>
            </w:tcBorders>
          </w:tcPr>
          <w:p>
            <w:pPr>
              <w:jc w:val="right"/>
              <w:ind w:right="39"/>
              <w:spacing w:after="0"/>
              <w:rPr>
                <w:sz w:val="20"/>
                <w:szCs w:val="20"/>
                <w:color w:val="auto"/>
              </w:rPr>
            </w:pPr>
            <w:r>
              <w:rPr>
                <w:rFonts w:ascii="Arial" w:cs="Arial" w:eastAsia="Arial" w:hAnsi="Arial"/>
                <w:sz w:val="16"/>
                <w:szCs w:val="16"/>
                <w:color w:val="205A85"/>
              </w:rPr>
              <w:t>control ($)</w:t>
            </w: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James Dimon</w:t>
            </w:r>
          </w:p>
        </w:tc>
        <w:tc>
          <w:tcPr>
            <w:tcW w:w="264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180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1800" w:type="dxa"/>
            <w:vAlign w:val="bottom"/>
            <w:tcBorders>
              <w:bottom w:val="single" w:sz="8" w:color="454545"/>
            </w:tcBorders>
          </w:tcPr>
          <w:p>
            <w:pPr>
              <w:spacing w:after="0"/>
              <w:rPr>
                <w:sz w:val="24"/>
                <w:szCs w:val="24"/>
                <w:color w:val="auto"/>
              </w:rPr>
            </w:pPr>
          </w:p>
        </w:tc>
        <w:tc>
          <w:tcPr>
            <w:tcW w:w="264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6</w:t>
            </w:r>
          </w:p>
        </w:tc>
        <w:tc>
          <w:tcPr>
            <w:tcW w:w="300" w:type="dxa"/>
            <w:vAlign w:val="bottom"/>
            <w:tcBorders>
              <w:bottom w:val="single" w:sz="8" w:color="454545"/>
            </w:tcBorders>
          </w:tcPr>
          <w:p>
            <w:pPr>
              <w:spacing w:after="0"/>
              <w:rPr>
                <w:sz w:val="24"/>
                <w:szCs w:val="24"/>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109,756,530</w:t>
            </w:r>
          </w:p>
        </w:tc>
        <w:tc>
          <w:tcPr>
            <w:tcW w:w="280" w:type="dxa"/>
            <w:vAlign w:val="bottom"/>
            <w:tcBorders>
              <w:bottom w:val="single" w:sz="8" w:color="454545"/>
            </w:tcBorders>
          </w:tcPr>
          <w:p>
            <w:pPr>
              <w:spacing w:after="0"/>
              <w:rPr>
                <w:sz w:val="24"/>
                <w:szCs w:val="24"/>
                <w:color w:val="auto"/>
              </w:rPr>
            </w:pPr>
          </w:p>
        </w:tc>
        <w:tc>
          <w:tcPr>
            <w:tcW w:w="1580" w:type="dxa"/>
            <w:vAlign w:val="bottom"/>
            <w:tcBorders>
              <w:bottom w:val="single" w:sz="8" w:color="454545"/>
            </w:tcBorders>
          </w:tcPr>
          <w:p>
            <w:pPr>
              <w:jc w:val="right"/>
              <w:ind w:right="379"/>
              <w:spacing w:after="0"/>
              <w:rPr>
                <w:sz w:val="20"/>
                <w:szCs w:val="20"/>
                <w:color w:val="auto"/>
              </w:rPr>
            </w:pPr>
            <w:r>
              <w:rPr>
                <w:rFonts w:ascii="Arial" w:cs="Arial" w:eastAsia="Arial" w:hAnsi="Arial"/>
                <w:sz w:val="16"/>
                <w:szCs w:val="16"/>
                <w:color w:val="auto"/>
              </w:rPr>
              <w:t>109,756,530</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113,719,494</w:t>
            </w:r>
          </w:p>
        </w:tc>
        <w:tc>
          <w:tcPr>
            <w:tcW w:w="1120" w:type="dxa"/>
            <w:vAlign w:val="bottom"/>
            <w:tcBorders>
              <w:bottom w:val="single" w:sz="8" w:color="454545"/>
            </w:tcBorders>
          </w:tcPr>
          <w:p>
            <w:pPr>
              <w:spacing w:after="0"/>
              <w:rPr>
                <w:sz w:val="24"/>
                <w:szCs w:val="24"/>
                <w:color w:val="auto"/>
              </w:rPr>
            </w:pPr>
          </w:p>
        </w:tc>
        <w:tc>
          <w:tcPr>
            <w:tcW w:w="260" w:type="dxa"/>
            <w:vAlign w:val="bottom"/>
            <w:tcBorders>
              <w:bottom w:val="single" w:sz="8" w:color="454545"/>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Daniel Pinto</w:t>
            </w:r>
          </w:p>
        </w:tc>
        <w:tc>
          <w:tcPr>
            <w:tcW w:w="264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369,688</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80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43,420,569</w:t>
            </w:r>
          </w:p>
        </w:tc>
        <w:tc>
          <w:tcPr>
            <w:tcW w:w="280" w:type="dxa"/>
            <w:vAlign w:val="bottom"/>
          </w:tcPr>
          <w:p>
            <w:pPr>
              <w:spacing w:after="0"/>
              <w:rPr>
                <w:sz w:val="21"/>
                <w:szCs w:val="21"/>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43,420,569</w:t>
            </w:r>
          </w:p>
        </w:tc>
        <w:tc>
          <w:tcPr>
            <w:tcW w:w="1120" w:type="dxa"/>
            <w:vAlign w:val="bottom"/>
          </w:tcPr>
          <w:p>
            <w:pPr>
              <w:jc w:val="right"/>
              <w:spacing w:after="0"/>
              <w:rPr>
                <w:sz w:val="20"/>
                <w:szCs w:val="20"/>
                <w:color w:val="auto"/>
              </w:rPr>
            </w:pPr>
            <w:r>
              <w:rPr>
                <w:rFonts w:ascii="Arial" w:cs="Arial" w:eastAsia="Arial" w:hAnsi="Arial"/>
                <w:sz w:val="16"/>
                <w:szCs w:val="16"/>
                <w:color w:val="auto"/>
              </w:rPr>
              <w:t>43,420,569</w:t>
            </w:r>
          </w:p>
        </w:tc>
        <w:tc>
          <w:tcPr>
            <w:tcW w:w="11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1800" w:type="dxa"/>
            <w:vAlign w:val="bottom"/>
            <w:tcBorders>
              <w:bottom w:val="single" w:sz="8" w:color="454545"/>
            </w:tcBorders>
          </w:tcPr>
          <w:p>
            <w:pPr>
              <w:spacing w:after="0"/>
              <w:rPr>
                <w:sz w:val="24"/>
                <w:szCs w:val="24"/>
                <w:color w:val="auto"/>
              </w:rPr>
            </w:pPr>
          </w:p>
        </w:tc>
        <w:tc>
          <w:tcPr>
            <w:tcW w:w="264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6</w:t>
            </w:r>
          </w:p>
        </w:tc>
        <w:tc>
          <w:tcPr>
            <w:tcW w:w="300" w:type="dxa"/>
            <w:vAlign w:val="bottom"/>
            <w:tcBorders>
              <w:bottom w:val="single" w:sz="8" w:color="454545"/>
            </w:tcBorders>
          </w:tcPr>
          <w:p>
            <w:pPr>
              <w:spacing w:after="0"/>
              <w:rPr>
                <w:sz w:val="24"/>
                <w:szCs w:val="24"/>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33,193,310</w:t>
            </w:r>
          </w:p>
        </w:tc>
        <w:tc>
          <w:tcPr>
            <w:tcW w:w="280" w:type="dxa"/>
            <w:vAlign w:val="bottom"/>
            <w:tcBorders>
              <w:bottom w:val="single" w:sz="8" w:color="454545"/>
            </w:tcBorders>
          </w:tcPr>
          <w:p>
            <w:pPr>
              <w:spacing w:after="0"/>
              <w:rPr>
                <w:sz w:val="24"/>
                <w:szCs w:val="24"/>
                <w:color w:val="auto"/>
              </w:rPr>
            </w:pPr>
          </w:p>
        </w:tc>
        <w:tc>
          <w:tcPr>
            <w:tcW w:w="1580" w:type="dxa"/>
            <w:vAlign w:val="bottom"/>
            <w:tcBorders>
              <w:bottom w:val="single" w:sz="8" w:color="454545"/>
            </w:tcBorders>
          </w:tcPr>
          <w:p>
            <w:pPr>
              <w:jc w:val="right"/>
              <w:ind w:right="379"/>
              <w:spacing w:after="0"/>
              <w:rPr>
                <w:sz w:val="20"/>
                <w:szCs w:val="20"/>
                <w:color w:val="auto"/>
              </w:rPr>
            </w:pPr>
            <w:r>
              <w:rPr>
                <w:rFonts w:ascii="Arial" w:cs="Arial" w:eastAsia="Arial" w:hAnsi="Arial"/>
                <w:sz w:val="16"/>
                <w:szCs w:val="16"/>
                <w:color w:val="auto"/>
              </w:rPr>
              <w:t>33,193,310</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34,451,727</w:t>
            </w:r>
          </w:p>
        </w:tc>
        <w:tc>
          <w:tcPr>
            <w:tcW w:w="1120" w:type="dxa"/>
            <w:vAlign w:val="bottom"/>
            <w:tcBorders>
              <w:bottom w:val="single" w:sz="8" w:color="454545"/>
            </w:tcBorders>
          </w:tcPr>
          <w:p>
            <w:pPr>
              <w:spacing w:after="0"/>
              <w:rPr>
                <w:sz w:val="24"/>
                <w:szCs w:val="24"/>
                <w:color w:val="auto"/>
              </w:rPr>
            </w:pPr>
          </w:p>
        </w:tc>
        <w:tc>
          <w:tcPr>
            <w:tcW w:w="260" w:type="dxa"/>
            <w:vAlign w:val="bottom"/>
            <w:tcBorders>
              <w:bottom w:val="single" w:sz="8" w:color="454545"/>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Gordon Smith</w:t>
            </w:r>
          </w:p>
        </w:tc>
        <w:tc>
          <w:tcPr>
            <w:tcW w:w="264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323,077</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80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17,361,701</w:t>
            </w:r>
          </w:p>
        </w:tc>
        <w:tc>
          <w:tcPr>
            <w:tcW w:w="280" w:type="dxa"/>
            <w:vAlign w:val="bottom"/>
          </w:tcPr>
          <w:p>
            <w:pPr>
              <w:spacing w:after="0"/>
              <w:rPr>
                <w:sz w:val="21"/>
                <w:szCs w:val="21"/>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17,361,701</w:t>
            </w:r>
          </w:p>
        </w:tc>
        <w:tc>
          <w:tcPr>
            <w:tcW w:w="1120" w:type="dxa"/>
            <w:vAlign w:val="bottom"/>
          </w:tcPr>
          <w:p>
            <w:pPr>
              <w:jc w:val="right"/>
              <w:spacing w:after="0"/>
              <w:rPr>
                <w:sz w:val="20"/>
                <w:szCs w:val="20"/>
                <w:color w:val="auto"/>
              </w:rPr>
            </w:pPr>
            <w:r>
              <w:rPr>
                <w:rFonts w:ascii="Arial" w:cs="Arial" w:eastAsia="Arial" w:hAnsi="Arial"/>
                <w:sz w:val="16"/>
                <w:szCs w:val="16"/>
                <w:color w:val="auto"/>
              </w:rPr>
              <w:t>17,361,701</w:t>
            </w:r>
          </w:p>
        </w:tc>
        <w:tc>
          <w:tcPr>
            <w:tcW w:w="11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1800" w:type="dxa"/>
            <w:vAlign w:val="bottom"/>
            <w:tcBorders>
              <w:bottom w:val="single" w:sz="8" w:color="454545"/>
            </w:tcBorders>
          </w:tcPr>
          <w:p>
            <w:pPr>
              <w:spacing w:after="0"/>
              <w:rPr>
                <w:sz w:val="24"/>
                <w:szCs w:val="24"/>
                <w:color w:val="auto"/>
              </w:rPr>
            </w:pPr>
          </w:p>
        </w:tc>
        <w:tc>
          <w:tcPr>
            <w:tcW w:w="264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6</w:t>
            </w:r>
          </w:p>
        </w:tc>
        <w:tc>
          <w:tcPr>
            <w:tcW w:w="300" w:type="dxa"/>
            <w:vAlign w:val="bottom"/>
            <w:tcBorders>
              <w:bottom w:val="single" w:sz="8" w:color="454545"/>
            </w:tcBorders>
          </w:tcPr>
          <w:p>
            <w:pPr>
              <w:spacing w:after="0"/>
              <w:rPr>
                <w:sz w:val="24"/>
                <w:szCs w:val="24"/>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28,192,162</w:t>
            </w:r>
          </w:p>
        </w:tc>
        <w:tc>
          <w:tcPr>
            <w:tcW w:w="280" w:type="dxa"/>
            <w:vAlign w:val="bottom"/>
            <w:tcBorders>
              <w:bottom w:val="single" w:sz="8" w:color="454545"/>
            </w:tcBorders>
          </w:tcPr>
          <w:p>
            <w:pPr>
              <w:spacing w:after="0"/>
              <w:rPr>
                <w:sz w:val="24"/>
                <w:szCs w:val="24"/>
                <w:color w:val="auto"/>
              </w:rPr>
            </w:pPr>
          </w:p>
        </w:tc>
        <w:tc>
          <w:tcPr>
            <w:tcW w:w="1580" w:type="dxa"/>
            <w:vAlign w:val="bottom"/>
            <w:tcBorders>
              <w:bottom w:val="single" w:sz="8" w:color="454545"/>
            </w:tcBorders>
          </w:tcPr>
          <w:p>
            <w:pPr>
              <w:jc w:val="right"/>
              <w:ind w:right="379"/>
              <w:spacing w:after="0"/>
              <w:rPr>
                <w:sz w:val="20"/>
                <w:szCs w:val="20"/>
                <w:color w:val="auto"/>
              </w:rPr>
            </w:pPr>
            <w:r>
              <w:rPr>
                <w:rFonts w:ascii="Arial" w:cs="Arial" w:eastAsia="Arial" w:hAnsi="Arial"/>
                <w:sz w:val="16"/>
                <w:szCs w:val="16"/>
                <w:color w:val="auto"/>
              </w:rPr>
              <w:t>28,192,162</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29,226,496</w:t>
            </w:r>
          </w:p>
        </w:tc>
        <w:tc>
          <w:tcPr>
            <w:tcW w:w="1120" w:type="dxa"/>
            <w:vAlign w:val="bottom"/>
            <w:tcBorders>
              <w:bottom w:val="single" w:sz="8" w:color="454545"/>
            </w:tcBorders>
          </w:tcPr>
          <w:p>
            <w:pPr>
              <w:spacing w:after="0"/>
              <w:rPr>
                <w:sz w:val="24"/>
                <w:szCs w:val="24"/>
                <w:color w:val="auto"/>
              </w:rPr>
            </w:pPr>
          </w:p>
        </w:tc>
        <w:tc>
          <w:tcPr>
            <w:tcW w:w="260" w:type="dxa"/>
            <w:vAlign w:val="bottom"/>
            <w:tcBorders>
              <w:bottom w:val="single" w:sz="8" w:color="454545"/>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Mary Callahan Erdoes</w:t>
            </w:r>
          </w:p>
        </w:tc>
        <w:tc>
          <w:tcPr>
            <w:tcW w:w="264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80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16,291,899</w:t>
            </w:r>
          </w:p>
        </w:tc>
        <w:tc>
          <w:tcPr>
            <w:tcW w:w="280" w:type="dxa"/>
            <w:vAlign w:val="bottom"/>
          </w:tcPr>
          <w:p>
            <w:pPr>
              <w:spacing w:after="0"/>
              <w:rPr>
                <w:sz w:val="21"/>
                <w:szCs w:val="21"/>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16,291,899</w:t>
            </w:r>
          </w:p>
        </w:tc>
        <w:tc>
          <w:tcPr>
            <w:tcW w:w="1120" w:type="dxa"/>
            <w:vAlign w:val="bottom"/>
          </w:tcPr>
          <w:p>
            <w:pPr>
              <w:jc w:val="right"/>
              <w:spacing w:after="0"/>
              <w:rPr>
                <w:sz w:val="20"/>
                <w:szCs w:val="20"/>
                <w:color w:val="auto"/>
              </w:rPr>
            </w:pPr>
            <w:r>
              <w:rPr>
                <w:rFonts w:ascii="Arial" w:cs="Arial" w:eastAsia="Arial" w:hAnsi="Arial"/>
                <w:sz w:val="16"/>
                <w:szCs w:val="16"/>
                <w:color w:val="auto"/>
              </w:rPr>
              <w:t>16,291,899</w:t>
            </w:r>
          </w:p>
        </w:tc>
        <w:tc>
          <w:tcPr>
            <w:tcW w:w="11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1800" w:type="dxa"/>
            <w:vAlign w:val="bottom"/>
            <w:tcBorders>
              <w:bottom w:val="single" w:sz="8" w:color="454545"/>
            </w:tcBorders>
          </w:tcPr>
          <w:p>
            <w:pPr>
              <w:spacing w:after="0"/>
              <w:rPr>
                <w:sz w:val="24"/>
                <w:szCs w:val="24"/>
                <w:color w:val="auto"/>
              </w:rPr>
            </w:pPr>
          </w:p>
        </w:tc>
        <w:tc>
          <w:tcPr>
            <w:tcW w:w="264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6</w:t>
            </w:r>
          </w:p>
        </w:tc>
        <w:tc>
          <w:tcPr>
            <w:tcW w:w="300" w:type="dxa"/>
            <w:vAlign w:val="bottom"/>
            <w:tcBorders>
              <w:bottom w:val="single" w:sz="8" w:color="454545"/>
            </w:tcBorders>
          </w:tcPr>
          <w:p>
            <w:pPr>
              <w:spacing w:after="0"/>
              <w:rPr>
                <w:sz w:val="24"/>
                <w:szCs w:val="24"/>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26,686,536</w:t>
            </w:r>
          </w:p>
        </w:tc>
        <w:tc>
          <w:tcPr>
            <w:tcW w:w="280" w:type="dxa"/>
            <w:vAlign w:val="bottom"/>
            <w:tcBorders>
              <w:bottom w:val="single" w:sz="8" w:color="454545"/>
            </w:tcBorders>
          </w:tcPr>
          <w:p>
            <w:pPr>
              <w:spacing w:after="0"/>
              <w:rPr>
                <w:sz w:val="24"/>
                <w:szCs w:val="24"/>
                <w:color w:val="auto"/>
              </w:rPr>
            </w:pPr>
          </w:p>
        </w:tc>
        <w:tc>
          <w:tcPr>
            <w:tcW w:w="1580" w:type="dxa"/>
            <w:vAlign w:val="bottom"/>
            <w:tcBorders>
              <w:bottom w:val="single" w:sz="8" w:color="454545"/>
            </w:tcBorders>
          </w:tcPr>
          <w:p>
            <w:pPr>
              <w:jc w:val="right"/>
              <w:ind w:right="379"/>
              <w:spacing w:after="0"/>
              <w:rPr>
                <w:sz w:val="20"/>
                <w:szCs w:val="20"/>
                <w:color w:val="auto"/>
              </w:rPr>
            </w:pPr>
            <w:r>
              <w:rPr>
                <w:rFonts w:ascii="Arial" w:cs="Arial" w:eastAsia="Arial" w:hAnsi="Arial"/>
                <w:sz w:val="16"/>
                <w:szCs w:val="16"/>
                <w:color w:val="auto"/>
              </w:rPr>
              <w:t>26,686,536</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27,649,549</w:t>
            </w:r>
          </w:p>
        </w:tc>
        <w:tc>
          <w:tcPr>
            <w:tcW w:w="1120" w:type="dxa"/>
            <w:vAlign w:val="bottom"/>
            <w:tcBorders>
              <w:bottom w:val="single" w:sz="8" w:color="454545"/>
            </w:tcBorders>
          </w:tcPr>
          <w:p>
            <w:pPr>
              <w:spacing w:after="0"/>
              <w:rPr>
                <w:sz w:val="24"/>
                <w:szCs w:val="24"/>
                <w:color w:val="auto"/>
              </w:rPr>
            </w:pPr>
          </w:p>
        </w:tc>
        <w:tc>
          <w:tcPr>
            <w:tcW w:w="260" w:type="dxa"/>
            <w:vAlign w:val="bottom"/>
            <w:tcBorders>
              <w:bottom w:val="single" w:sz="8" w:color="454545"/>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800" w:type="dxa"/>
            <w:vAlign w:val="bottom"/>
          </w:tcPr>
          <w:p>
            <w:pPr>
              <w:ind w:left="20"/>
              <w:spacing w:after="0"/>
              <w:rPr>
                <w:sz w:val="20"/>
                <w:szCs w:val="20"/>
                <w:color w:val="auto"/>
              </w:rPr>
            </w:pPr>
            <w:r>
              <w:rPr>
                <w:rFonts w:ascii="Arial" w:cs="Arial" w:eastAsia="Arial" w:hAnsi="Arial"/>
                <w:sz w:val="16"/>
                <w:szCs w:val="16"/>
                <w:b w:val="1"/>
                <w:bCs w:val="1"/>
                <w:color w:val="auto"/>
              </w:rPr>
              <w:t>Jennifer Piepszak</w:t>
            </w:r>
          </w:p>
        </w:tc>
        <w:tc>
          <w:tcPr>
            <w:tcW w:w="2640" w:type="dxa"/>
            <w:vAlign w:val="bottom"/>
          </w:tcPr>
          <w:p>
            <w:pPr>
              <w:ind w:left="80"/>
              <w:spacing w:after="0"/>
              <w:rPr>
                <w:sz w:val="20"/>
                <w:szCs w:val="20"/>
                <w:color w:val="auto"/>
              </w:rPr>
            </w:pPr>
            <w:r>
              <w:rPr>
                <w:rFonts w:ascii="Arial" w:cs="Arial" w:eastAsia="Arial" w:hAnsi="Arial"/>
                <w:sz w:val="16"/>
                <w:szCs w:val="16"/>
                <w:color w:val="auto"/>
              </w:rPr>
              <w:t>Severance and other</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800" w:type="dxa"/>
            <w:vAlign w:val="bottom"/>
          </w:tcPr>
          <w:p>
            <w:pPr>
              <w:spacing w:after="0"/>
              <w:rPr>
                <w:sz w:val="21"/>
                <w:szCs w:val="21"/>
                <w:color w:val="auto"/>
              </w:rPr>
            </w:pPr>
          </w:p>
        </w:tc>
        <w:tc>
          <w:tcPr>
            <w:tcW w:w="2640" w:type="dxa"/>
            <w:vAlign w:val="bottom"/>
          </w:tcPr>
          <w:p>
            <w:pPr>
              <w:ind w:left="80"/>
              <w:spacing w:after="0"/>
              <w:rPr>
                <w:sz w:val="20"/>
                <w:szCs w:val="20"/>
                <w:color w:val="auto"/>
              </w:rPr>
            </w:pPr>
            <w:r>
              <w:rPr>
                <w:rFonts w:ascii="Arial" w:cs="Arial" w:eastAsia="Arial" w:hAnsi="Arial"/>
                <w:sz w:val="16"/>
                <w:szCs w:val="16"/>
                <w:color w:val="auto"/>
              </w:rPr>
              <w:t>Stock awards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7,893,080</w:t>
            </w:r>
          </w:p>
        </w:tc>
        <w:tc>
          <w:tcPr>
            <w:tcW w:w="280" w:type="dxa"/>
            <w:vAlign w:val="bottom"/>
          </w:tcPr>
          <w:p>
            <w:pPr>
              <w:spacing w:after="0"/>
              <w:rPr>
                <w:sz w:val="21"/>
                <w:szCs w:val="21"/>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7,893,080</w:t>
            </w:r>
          </w:p>
        </w:tc>
        <w:tc>
          <w:tcPr>
            <w:tcW w:w="1120" w:type="dxa"/>
            <w:vAlign w:val="bottom"/>
          </w:tcPr>
          <w:p>
            <w:pPr>
              <w:jc w:val="right"/>
              <w:spacing w:after="0"/>
              <w:rPr>
                <w:sz w:val="20"/>
                <w:szCs w:val="20"/>
                <w:color w:val="auto"/>
              </w:rPr>
            </w:pPr>
            <w:r>
              <w:rPr>
                <w:rFonts w:ascii="Arial" w:cs="Arial" w:eastAsia="Arial" w:hAnsi="Arial"/>
                <w:sz w:val="16"/>
                <w:szCs w:val="16"/>
                <w:color w:val="auto"/>
              </w:rPr>
              <w:t>7,893,080</w:t>
            </w:r>
          </w:p>
        </w:tc>
        <w:tc>
          <w:tcPr>
            <w:tcW w:w="112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1800" w:type="dxa"/>
            <w:vAlign w:val="bottom"/>
            <w:tcBorders>
              <w:bottom w:val="single" w:sz="8" w:color="454545"/>
            </w:tcBorders>
          </w:tcPr>
          <w:p>
            <w:pPr>
              <w:spacing w:after="0"/>
              <w:rPr>
                <w:sz w:val="24"/>
                <w:szCs w:val="24"/>
                <w:color w:val="auto"/>
              </w:rPr>
            </w:pPr>
          </w:p>
        </w:tc>
        <w:tc>
          <w:tcPr>
            <w:tcW w:w="2640" w:type="dxa"/>
            <w:vAlign w:val="bottom"/>
            <w:tcBorders>
              <w:bottom w:val="single" w:sz="8" w:color="454545"/>
            </w:tcBorders>
          </w:tcPr>
          <w:p>
            <w:pPr>
              <w:ind w:left="8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6</w:t>
            </w:r>
          </w:p>
        </w:tc>
        <w:tc>
          <w:tcPr>
            <w:tcW w:w="300" w:type="dxa"/>
            <w:vAlign w:val="bottom"/>
            <w:tcBorders>
              <w:bottom w:val="single" w:sz="8" w:color="454545"/>
            </w:tcBorders>
          </w:tcPr>
          <w:p>
            <w:pPr>
              <w:spacing w:after="0"/>
              <w:rPr>
                <w:sz w:val="24"/>
                <w:szCs w:val="24"/>
                <w:color w:val="auto"/>
              </w:rPr>
            </w:pPr>
          </w:p>
        </w:tc>
        <w:tc>
          <w:tcPr>
            <w:tcW w:w="12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2,663,187</w:t>
            </w:r>
          </w:p>
        </w:tc>
        <w:tc>
          <w:tcPr>
            <w:tcW w:w="280" w:type="dxa"/>
            <w:vAlign w:val="bottom"/>
            <w:tcBorders>
              <w:bottom w:val="single" w:sz="8" w:color="454545"/>
            </w:tcBorders>
          </w:tcPr>
          <w:p>
            <w:pPr>
              <w:spacing w:after="0"/>
              <w:rPr>
                <w:sz w:val="24"/>
                <w:szCs w:val="24"/>
                <w:color w:val="auto"/>
              </w:rPr>
            </w:pPr>
          </w:p>
        </w:tc>
        <w:tc>
          <w:tcPr>
            <w:tcW w:w="1580" w:type="dxa"/>
            <w:vAlign w:val="bottom"/>
            <w:tcBorders>
              <w:bottom w:val="single" w:sz="8" w:color="454545"/>
            </w:tcBorders>
          </w:tcPr>
          <w:p>
            <w:pPr>
              <w:jc w:val="right"/>
              <w:ind w:right="379"/>
              <w:spacing w:after="0"/>
              <w:rPr>
                <w:sz w:val="20"/>
                <w:szCs w:val="20"/>
                <w:color w:val="auto"/>
              </w:rPr>
            </w:pPr>
            <w:r>
              <w:rPr>
                <w:rFonts w:ascii="Arial" w:cs="Arial" w:eastAsia="Arial" w:hAnsi="Arial"/>
                <w:sz w:val="16"/>
                <w:szCs w:val="16"/>
                <w:color w:val="auto"/>
              </w:rPr>
              <w:t>2,663,187</w:t>
            </w:r>
          </w:p>
        </w:tc>
        <w:tc>
          <w:tcPr>
            <w:tcW w:w="112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3,107,051</w:t>
            </w:r>
          </w:p>
        </w:tc>
        <w:tc>
          <w:tcPr>
            <w:tcW w:w="1120" w:type="dxa"/>
            <w:vAlign w:val="bottom"/>
            <w:tcBorders>
              <w:bottom w:val="single" w:sz="8" w:color="454545"/>
            </w:tcBorders>
          </w:tcPr>
          <w:p>
            <w:pPr>
              <w:spacing w:after="0"/>
              <w:rPr>
                <w:sz w:val="24"/>
                <w:szCs w:val="24"/>
                <w:color w:val="auto"/>
              </w:rPr>
            </w:pPr>
          </w:p>
        </w:tc>
        <w:tc>
          <w:tcPr>
            <w:tcW w:w="260" w:type="dxa"/>
            <w:vAlign w:val="bottom"/>
            <w:tcBorders>
              <w:bottom w:val="single" w:sz="8" w:color="454545"/>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w:t>
            </w:r>
          </w:p>
        </w:tc>
      </w:tr>
    </w:tbl>
    <w:p>
      <w:pPr>
        <w:spacing w:after="0" w:line="77" w:lineRule="exact"/>
        <w:rPr>
          <w:sz w:val="20"/>
          <w:szCs w:val="20"/>
          <w:color w:val="auto"/>
        </w:rPr>
      </w:pPr>
    </w:p>
    <w:p>
      <w:pPr>
        <w:ind w:left="200" w:hanging="192"/>
        <w:spacing w:after="0"/>
        <w:tabs>
          <w:tab w:leader="none" w:pos="200" w:val="left"/>
        </w:tabs>
        <w:numPr>
          <w:ilvl w:val="0"/>
          <w:numId w:val="237"/>
        </w:numPr>
        <w:rPr>
          <w:rFonts w:ascii="Arial" w:cs="Arial" w:eastAsia="Arial" w:hAnsi="Arial"/>
          <w:sz w:val="15"/>
          <w:szCs w:val="15"/>
          <w:color w:val="auto"/>
          <w:vertAlign w:val="superscript"/>
        </w:rPr>
      </w:pPr>
      <w:r>
        <w:rPr>
          <w:rFonts w:ascii="Arial" w:cs="Arial" w:eastAsia="Arial" w:hAnsi="Arial"/>
          <w:sz w:val="12"/>
          <w:szCs w:val="12"/>
          <w:color w:val="auto"/>
        </w:rPr>
        <w:t>“Stock awards” and “Performance share units” refer to previously granted, outstanding equity awards. NEOs are not entitled to any additional equity awards in connection with a potential termination.</w:t>
      </w:r>
    </w:p>
    <w:p>
      <w:pPr>
        <w:spacing w:after="0" w:line="1" w:lineRule="exact"/>
        <w:rPr>
          <w:sz w:val="20"/>
          <w:szCs w:val="20"/>
          <w:color w:val="auto"/>
        </w:rPr>
      </w:pPr>
    </w:p>
    <w:p>
      <w:pPr>
        <w:ind w:left="200" w:right="40" w:hanging="192"/>
        <w:spacing w:after="0" w:line="229" w:lineRule="auto"/>
        <w:tabs>
          <w:tab w:leader="none" w:pos="200" w:val="left"/>
        </w:tabs>
        <w:numPr>
          <w:ilvl w:val="0"/>
          <w:numId w:val="238"/>
        </w:numPr>
        <w:rPr>
          <w:rFonts w:ascii="Arial" w:cs="Arial" w:eastAsia="Arial" w:hAnsi="Arial"/>
          <w:sz w:val="15"/>
          <w:szCs w:val="15"/>
          <w:color w:val="auto"/>
          <w:vertAlign w:val="superscript"/>
        </w:rPr>
      </w:pPr>
      <w:r>
        <w:rPr>
          <w:rFonts w:ascii="Arial" w:cs="Arial" w:eastAsia="Arial" w:hAnsi="Arial"/>
          <w:sz w:val="12"/>
          <w:szCs w:val="12"/>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Mr. Pinto. Base salary greater than $400,000 per year, or</w:t>
      </w:r>
    </w:p>
    <w:p>
      <w:pPr>
        <w:spacing w:after="0" w:line="1" w:lineRule="exact"/>
        <w:rPr>
          <w:sz w:val="20"/>
          <w:szCs w:val="20"/>
          <w:color w:val="auto"/>
        </w:rPr>
      </w:pPr>
    </w:p>
    <w:p>
      <w:pPr>
        <w:ind w:left="200" w:right="40"/>
        <w:spacing w:after="0" w:line="237" w:lineRule="auto"/>
        <w:rPr>
          <w:sz w:val="20"/>
          <w:szCs w:val="20"/>
          <w:color w:val="auto"/>
        </w:rPr>
      </w:pPr>
      <w:r>
        <w:rPr>
          <w:rFonts w:ascii="Arial" w:cs="Arial" w:eastAsia="Arial" w:hAnsi="Arial"/>
          <w:sz w:val="13"/>
          <w:szCs w:val="13"/>
          <w:color w:val="auto"/>
        </w:rPr>
        <w:t>£275,000 in the case of Mr. Pinto, is disregarded for purposes of determining severance amounts. The rate used to convert Mr. Pinto’s eligible severance to U.S. dollars was the blended spot rate for the month of December 2020, which was $1.34432 U.S. dollars per British pound sterling.</w:t>
      </w:r>
    </w:p>
    <w:p>
      <w:pPr>
        <w:spacing w:after="0" w:line="2" w:lineRule="exact"/>
        <w:rPr>
          <w:sz w:val="20"/>
          <w:szCs w:val="20"/>
          <w:color w:val="auto"/>
        </w:rPr>
      </w:pPr>
    </w:p>
    <w:p>
      <w:pPr>
        <w:ind w:left="200" w:right="20" w:hanging="192"/>
        <w:spacing w:after="0" w:line="243" w:lineRule="auto"/>
        <w:tabs>
          <w:tab w:leader="none" w:pos="200" w:val="left"/>
        </w:tabs>
        <w:numPr>
          <w:ilvl w:val="0"/>
          <w:numId w:val="239"/>
        </w:numPr>
        <w:rPr>
          <w:rFonts w:ascii="Arial" w:cs="Arial" w:eastAsia="Arial" w:hAnsi="Arial"/>
          <w:sz w:val="15"/>
          <w:szCs w:val="15"/>
          <w:color w:val="auto"/>
          <w:vertAlign w:val="superscript"/>
        </w:rPr>
      </w:pPr>
      <w:r>
        <w:rPr>
          <w:rFonts w:ascii="Arial" w:cs="Arial" w:eastAsia="Arial" w:hAnsi="Arial"/>
          <w:sz w:val="12"/>
          <w:szCs w:val="12"/>
          <w:color w:val="auto"/>
        </w:rPr>
        <w:t>For employees in good standing who have resigned and have met full-career eligibility or other acceptable criteria, awards continue to vest over time on their original schedule, provided that the employees, for the remainder of the vesting period, do not perform services for a financial services company or work in their profession (whether or not for a financial services company); provided that employees may work for a government, education or not-for-profit organization. The awards shown represent RSUs and PSUs that would continue to vest because the Named Executive Officers have met the full-career eligibility criteria. The awards are subject to continuing post-employment obligations to the Firm during this period. In the case of disability, stock awards continue to vest</w:t>
      </w:r>
    </w:p>
    <w:p>
      <w:pPr>
        <w:ind w:left="200"/>
        <w:spacing w:after="0" w:line="237" w:lineRule="auto"/>
        <w:rPr>
          <w:sz w:val="20"/>
          <w:szCs w:val="20"/>
          <w:color w:val="auto"/>
        </w:rPr>
      </w:pPr>
      <w:r>
        <w:rPr>
          <w:rFonts w:ascii="Arial" w:cs="Arial" w:eastAsia="Arial" w:hAnsi="Arial"/>
          <w:sz w:val="13"/>
          <w:szCs w:val="13"/>
          <w:color w:val="auto"/>
        </w:rPr>
        <w:t>pursuant to their original vesting schedule.</w:t>
      </w:r>
    </w:p>
    <w:p>
      <w:pPr>
        <w:ind w:left="200" w:hanging="192"/>
        <w:spacing w:after="0" w:line="194" w:lineRule="auto"/>
        <w:tabs>
          <w:tab w:leader="none" w:pos="200" w:val="left"/>
        </w:tabs>
        <w:numPr>
          <w:ilvl w:val="0"/>
          <w:numId w:val="240"/>
        </w:numPr>
        <w:rPr>
          <w:rFonts w:ascii="Arial" w:cs="Arial" w:eastAsia="Arial" w:hAnsi="Arial"/>
          <w:sz w:val="16"/>
          <w:szCs w:val="16"/>
          <w:color w:val="auto"/>
          <w:vertAlign w:val="superscript"/>
        </w:rPr>
      </w:pPr>
      <w:r>
        <w:rPr>
          <w:rFonts w:ascii="Arial" w:cs="Arial" w:eastAsia="Arial" w:hAnsi="Arial"/>
          <w:sz w:val="13"/>
          <w:szCs w:val="13"/>
          <w:color w:val="auto"/>
        </w:rPr>
        <w:t>Vesting restrictions on stock awards and PSU awards lapse immediately upon death.</w:t>
      </w:r>
    </w:p>
    <w:p>
      <w:pPr>
        <w:spacing w:after="0" w:line="1" w:lineRule="exact"/>
        <w:rPr>
          <w:sz w:val="20"/>
          <w:szCs w:val="20"/>
          <w:color w:val="auto"/>
        </w:rPr>
      </w:pPr>
    </w:p>
    <w:p>
      <w:pPr>
        <w:ind w:left="200" w:right="20" w:hanging="192"/>
        <w:spacing w:after="0" w:line="221" w:lineRule="auto"/>
        <w:tabs>
          <w:tab w:leader="none" w:pos="200" w:val="left"/>
        </w:tabs>
        <w:numPr>
          <w:ilvl w:val="0"/>
          <w:numId w:val="241"/>
        </w:numPr>
        <w:rPr>
          <w:rFonts w:ascii="Arial" w:cs="Arial" w:eastAsia="Arial" w:hAnsi="Arial"/>
          <w:sz w:val="16"/>
          <w:szCs w:val="16"/>
          <w:color w:val="auto"/>
          <w:vertAlign w:val="superscript"/>
        </w:rPr>
      </w:pPr>
      <w:r>
        <w:rPr>
          <w:rFonts w:ascii="Arial" w:cs="Arial" w:eastAsia="Arial" w:hAnsi="Arial"/>
          <w:sz w:val="13"/>
          <w:szCs w:val="13"/>
          <w:color w:val="auto"/>
        </w:rPr>
        <w:t>The Government Office provision of an award does not provide any benefit to employees who have met the full-career eligibility provision of that same award. Therefore, under the terms of the Government Office provision, Named Executive Officers would generally not receive any benefit upon termination since they meet the full-career eligibility provision entitling them to continued vesting of their equity awards (see preceding Note 4).</w:t>
      </w:r>
    </w:p>
    <w:p>
      <w:pPr>
        <w:ind w:left="200" w:hanging="192"/>
        <w:spacing w:after="0" w:line="207" w:lineRule="auto"/>
        <w:tabs>
          <w:tab w:leader="none" w:pos="200" w:val="left"/>
        </w:tabs>
        <w:numPr>
          <w:ilvl w:val="0"/>
          <w:numId w:val="242"/>
        </w:numPr>
        <w:rPr>
          <w:rFonts w:ascii="Arial" w:cs="Arial" w:eastAsia="Arial" w:hAnsi="Arial"/>
          <w:sz w:val="15"/>
          <w:szCs w:val="15"/>
          <w:color w:val="auto"/>
          <w:vertAlign w:val="superscript"/>
        </w:rPr>
      </w:pPr>
      <w:r>
        <w:rPr>
          <w:rFonts w:ascii="Arial" w:cs="Arial" w:eastAsia="Arial" w:hAnsi="Arial"/>
          <w:sz w:val="12"/>
          <w:szCs w:val="12"/>
          <w:color w:val="auto"/>
        </w:rPr>
        <w:t>For death, represents the value of PSUs granted on January 16, 2018, January 15, 2019 and January 21, 2020, assuming: (a) maximum payout related to 2018, 2019 and 2020 performance years;</w:t>
      </w:r>
    </w:p>
    <w:p>
      <w:pPr>
        <w:ind w:left="200" w:right="460"/>
        <w:spacing w:after="0" w:line="242" w:lineRule="auto"/>
        <w:rPr>
          <w:rFonts w:ascii="Arial" w:cs="Arial" w:eastAsia="Arial" w:hAnsi="Arial"/>
          <w:sz w:val="15"/>
          <w:szCs w:val="15"/>
          <w:color w:val="auto"/>
          <w:vertAlign w:val="superscript"/>
        </w:rPr>
      </w:pPr>
      <w:r>
        <w:rPr>
          <w:rFonts w:ascii="Arial" w:cs="Arial" w:eastAsia="Arial" w:hAnsi="Arial"/>
          <w:sz w:val="13"/>
          <w:szCs w:val="13"/>
          <w:color w:val="auto"/>
        </w:rPr>
        <w:t>(b) target payout related to 2021 and 2022 performance years; and (c) accumulated reinvested dividend equivalent shares as of December 31, 2020. For involuntary without cause, full career eligibility provision and disability, target payout is assumed for the PSUs granted on January 21, 2020.</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74A75"/>
        </w:rPr>
        <w:t>CEO pay ratio disclosure</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074A75"/>
        </w:rPr>
        <w:t>CEO PAY RATIO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w:t>
      </w:r>
    </w:p>
    <w:p>
      <w:pPr>
        <w:spacing w:after="0" w:line="107" w:lineRule="exact"/>
        <w:rPr>
          <w:sz w:val="20"/>
          <w:szCs w:val="20"/>
          <w:color w:val="auto"/>
        </w:rPr>
      </w:pPr>
    </w:p>
    <w:p>
      <w:pPr>
        <w:ind w:left="200" w:hanging="192"/>
        <w:spacing w:after="0"/>
        <w:tabs>
          <w:tab w:leader="none" w:pos="200" w:val="left"/>
        </w:tabs>
        <w:numPr>
          <w:ilvl w:val="0"/>
          <w:numId w:val="243"/>
        </w:numPr>
        <w:rPr>
          <w:rFonts w:ascii="Arial" w:cs="Arial" w:eastAsia="Arial" w:hAnsi="Arial"/>
          <w:sz w:val="18"/>
          <w:szCs w:val="18"/>
          <w:color w:val="074A75"/>
        </w:rPr>
      </w:pPr>
      <w:r>
        <w:rPr>
          <w:rFonts w:ascii="Arial" w:cs="Arial" w:eastAsia="Arial" w:hAnsi="Arial"/>
          <w:sz w:val="18"/>
          <w:szCs w:val="18"/>
          <w:color w:val="auto"/>
        </w:rPr>
        <w:t>The annual total compensation of Mr. Dimon was $31,671,589</w:t>
      </w:r>
      <w:r>
        <w:rPr>
          <w:rFonts w:ascii="Arial" w:cs="Arial" w:eastAsia="Arial" w:hAnsi="Arial"/>
          <w:sz w:val="23"/>
          <w:szCs w:val="23"/>
          <w:color w:val="auto"/>
          <w:vertAlign w:val="superscript"/>
        </w:rPr>
        <w:t>1</w:t>
      </w:r>
      <w:r>
        <w:rPr>
          <w:rFonts w:ascii="Arial" w:cs="Arial" w:eastAsia="Arial" w:hAnsi="Arial"/>
          <w:sz w:val="18"/>
          <w:szCs w:val="18"/>
          <w:color w:val="auto"/>
        </w:rPr>
        <w:t>, including Firm-paid employee benefits</w:t>
      </w:r>
    </w:p>
    <w:p>
      <w:pPr>
        <w:spacing w:after="0" w:line="29" w:lineRule="exact"/>
        <w:rPr>
          <w:rFonts w:ascii="Arial" w:cs="Arial" w:eastAsia="Arial" w:hAnsi="Arial"/>
          <w:sz w:val="18"/>
          <w:szCs w:val="18"/>
          <w:color w:val="074A75"/>
        </w:rPr>
      </w:pPr>
    </w:p>
    <w:p>
      <w:pPr>
        <w:ind w:left="200" w:right="340" w:hanging="192"/>
        <w:spacing w:after="0" w:line="220" w:lineRule="auto"/>
        <w:tabs>
          <w:tab w:leader="none" w:pos="204" w:val="left"/>
        </w:tabs>
        <w:numPr>
          <w:ilvl w:val="0"/>
          <w:numId w:val="243"/>
        </w:numPr>
        <w:rPr>
          <w:rFonts w:ascii="Arial" w:cs="Arial" w:eastAsia="Arial" w:hAnsi="Arial"/>
          <w:sz w:val="18"/>
          <w:szCs w:val="18"/>
          <w:color w:val="074A75"/>
        </w:rPr>
      </w:pPr>
      <w:r>
        <w:rPr>
          <w:rFonts w:ascii="Arial" w:cs="Arial" w:eastAsia="Arial" w:hAnsi="Arial"/>
          <w:sz w:val="18"/>
          <w:szCs w:val="18"/>
          <w:color w:val="auto"/>
        </w:rPr>
        <w:t>The annual total compensation of our estimated median employee was $80,102, including Firm-paid employee benefits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change in pension value</w:t>
      </w:r>
    </w:p>
    <w:p>
      <w:pPr>
        <w:spacing w:after="0" w:line="80" w:lineRule="exact"/>
        <w:rPr>
          <w:rFonts w:ascii="Arial" w:cs="Arial" w:eastAsia="Arial" w:hAnsi="Arial"/>
          <w:sz w:val="18"/>
          <w:szCs w:val="18"/>
          <w:color w:val="074A75"/>
        </w:rPr>
      </w:pPr>
    </w:p>
    <w:p>
      <w:pPr>
        <w:ind w:left="200" w:hanging="192"/>
        <w:spacing w:after="0"/>
        <w:tabs>
          <w:tab w:leader="none" w:pos="200" w:val="left"/>
        </w:tabs>
        <w:numPr>
          <w:ilvl w:val="0"/>
          <w:numId w:val="243"/>
        </w:numPr>
        <w:rPr>
          <w:rFonts w:ascii="Arial" w:cs="Arial" w:eastAsia="Arial" w:hAnsi="Arial"/>
          <w:sz w:val="18"/>
          <w:szCs w:val="18"/>
          <w:color w:val="074A75"/>
        </w:rPr>
      </w:pPr>
      <w:r>
        <w:rPr>
          <w:rFonts w:ascii="Arial" w:cs="Arial" w:eastAsia="Arial" w:hAnsi="Arial"/>
          <w:sz w:val="18"/>
          <w:szCs w:val="18"/>
          <w:color w:val="auto"/>
        </w:rPr>
        <w:t>This represents a ratio of 395 to 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074A75"/>
        </w:rPr>
        <w:t>IDENTIFYING OUR MEDIAN EMPLOYEE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our disclosure in the 2020 proxy statement, we identified our estimated median employee using gross taxable payroll compensation as reported to our employees’ respective national governments for the year ended December 31, 2017, i.e., Form W-2 gross taxable wages Box 1 for U.S. employees. For this year’s disclosure, we have identified a new estimated median employee using annual total compensation for performance year 2020 based on data from the Firm's global compensation system as of February 28, 2021. This revised approach aligns more closely with how performance year compensation is referenced internally at the Firm. Annual total compensation includes salary as of December 31, 2020, as well as overtime pay, fixed allowance and incentive compensation, if applicable. We annualized the salary portion of the compensation for employees who were hired during 2020; however, we did not make any full-time equivalent adjustments to part-time, temporary and seasonal employees. We did not apply any cost-of-living adjustments as part of the calculation.</w:t>
      </w:r>
    </w:p>
    <w:p>
      <w:pPr>
        <w:spacing w:after="0" w:line="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determining the scope of our employees (other than our CEO), we included our global workforce of full-time, part-time, temporary and seasonal employees who were employed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074A75"/>
        </w:rPr>
        <w:t>COMPARABILITY</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right="60" w:hanging="192"/>
        <w:spacing w:after="0" w:line="213" w:lineRule="auto"/>
        <w:tabs>
          <w:tab w:leader="none" w:pos="200" w:val="left"/>
        </w:tabs>
        <w:numPr>
          <w:ilvl w:val="0"/>
          <w:numId w:val="244"/>
        </w:numPr>
        <w:rPr>
          <w:rFonts w:ascii="Arial" w:cs="Arial" w:eastAsia="Arial" w:hAnsi="Arial"/>
          <w:sz w:val="16"/>
          <w:szCs w:val="16"/>
          <w:color w:val="auto"/>
          <w:vertAlign w:val="superscript"/>
        </w:rPr>
      </w:pPr>
      <w:r>
        <w:rPr>
          <w:rFonts w:ascii="Arial" w:cs="Arial" w:eastAsia="Arial" w:hAnsi="Arial"/>
          <w:sz w:val="13"/>
          <w:szCs w:val="13"/>
          <w:color w:val="auto"/>
        </w:rPr>
        <w:t>For purposes of the CEO pay ratio disclosure, Mr. Dimon’s annual total compensation includes the amount reported in the “Total” column of the 2020 Summary Compensation Table on page 73, plus the value of Firm-paid healthcare benefits applicable to Mr. Dimon.</w:t>
      </w:r>
    </w:p>
    <w:p>
      <w:pPr>
        <w:ind w:left="200" w:hanging="192"/>
        <w:spacing w:after="0" w:line="199" w:lineRule="auto"/>
        <w:tabs>
          <w:tab w:leader="none" w:pos="200" w:val="left"/>
        </w:tabs>
        <w:numPr>
          <w:ilvl w:val="0"/>
          <w:numId w:val="245"/>
        </w:numPr>
        <w:rPr>
          <w:rFonts w:ascii="Arial" w:cs="Arial" w:eastAsia="Arial" w:hAnsi="Arial"/>
          <w:sz w:val="16"/>
          <w:szCs w:val="16"/>
          <w:color w:val="auto"/>
          <w:vertAlign w:val="superscript"/>
        </w:rPr>
      </w:pPr>
      <w:r>
        <w:rPr>
          <w:rFonts w:ascii="Arial" w:cs="Arial" w:eastAsia="Arial" w:hAnsi="Arial"/>
          <w:sz w:val="13"/>
          <w:szCs w:val="13"/>
          <w:color w:val="auto"/>
        </w:rPr>
        <w:t>The median employee’s Firm-paid employee benefits include healthcare benefits and 401(k) retirement plan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353060</wp:posOffset>
            </wp:positionV>
            <wp:extent cx="27432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81  </w:t>
      </w:r>
      <w:r>
        <w:rPr>
          <w:sz w:val="1"/>
          <w:szCs w:val="1"/>
          <w:color w:val="auto"/>
        </w:rPr>
        <w:drawing>
          <wp:inline distT="0" distB="0" distL="0" distR="0">
            <wp:extent cx="2203450" cy="154305"/>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074A75"/>
        </w:rPr>
        <w:t xml:space="preserve">SECURITY OWNERSHIP OF DIRECTORS AND EXECUTIVE OFFICERS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074A75"/>
        </w:rPr>
        <w:t>Security ownership of directors and executive officers</w:t>
      </w:r>
    </w:p>
    <w:p>
      <w:pPr>
        <w:sectPr>
          <w:pgSz w:w="11900" w:h="16838" w:orient="portrait"/>
          <w:cols w:equalWidth="0" w:num="1">
            <w:col w:w="11240"/>
          </w:cols>
          <w:pgMar w:left="320" w:top="171" w:right="339" w:bottom="1440" w:gutter="0" w:footer="0" w:header="0"/>
        </w:sectPr>
      </w:pPr>
    </w:p>
    <w:p>
      <w:pPr>
        <w:spacing w:after="0" w:line="2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33 and 50, respectively.</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SCT, and all directors and executive officers as a group as of February 28, 2021. Shares beneficially owned include shares that could have been acquired within 60 days after that date through the exercise of stock options or SARs, and additional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—as of February 28, 2021, by all directors and executive officers as a group and by each director and NEO individually—is less than 1% of our outstanding common stock.</w:t>
      </w:r>
    </w:p>
    <w:p>
      <w:pPr>
        <w:spacing w:after="0" w:line="634" w:lineRule="exact"/>
        <w:rPr>
          <w:sz w:val="20"/>
          <w:szCs w:val="20"/>
          <w:color w:val="auto"/>
        </w:rPr>
      </w:pPr>
    </w:p>
    <w:p>
      <w:pPr>
        <w:sectPr>
          <w:pgSz w:w="11900" w:h="16838" w:orient="portrait"/>
          <w:cols w:equalWidth="0" w:num="2">
            <w:col w:w="5360" w:space="380"/>
            <w:col w:w="5500"/>
          </w:cols>
          <w:pgMar w:left="320" w:top="171"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SECURITY OWNERSHIP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1080" w:type="dxa"/>
            <w:vAlign w:val="bottom"/>
            <w:tcBorders>
              <w:bottom w:val="single" w:sz="8" w:color="454545"/>
            </w:tcBorders>
          </w:tcPr>
          <w:p>
            <w:pPr>
              <w:spacing w:after="0"/>
              <w:rPr>
                <w:sz w:val="18"/>
                <w:szCs w:val="18"/>
                <w:color w:val="auto"/>
              </w:rPr>
            </w:pPr>
          </w:p>
        </w:tc>
        <w:tc>
          <w:tcPr>
            <w:tcW w:w="1640" w:type="dxa"/>
            <w:vAlign w:val="bottom"/>
            <w:tcBorders>
              <w:bottom w:val="single" w:sz="8" w:color="454545"/>
            </w:tcBorders>
            <w:gridSpan w:val="2"/>
          </w:tcPr>
          <w:p>
            <w:pPr>
              <w:ind w:left="140"/>
              <w:spacing w:after="0"/>
              <w:rPr>
                <w:sz w:val="20"/>
                <w:szCs w:val="20"/>
                <w:color w:val="auto"/>
              </w:rPr>
            </w:pPr>
            <w:r>
              <w:rPr>
                <w:rFonts w:ascii="Arial" w:cs="Arial" w:eastAsia="Arial" w:hAnsi="Arial"/>
                <w:sz w:val="16"/>
                <w:szCs w:val="16"/>
                <w:color w:val="auto"/>
              </w:rPr>
              <w:t>Beneficial ownership</w:t>
            </w:r>
          </w:p>
        </w:tc>
        <w:tc>
          <w:tcPr>
            <w:tcW w:w="1260" w:type="dxa"/>
            <w:vAlign w:val="bottom"/>
            <w:tcBorders>
              <w:bottom w:val="single" w:sz="8" w:color="454545"/>
            </w:tcBorders>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color w:val="074A75"/>
              </w:rPr>
              <w:t>SARs/Options</w:t>
            </w:r>
          </w:p>
        </w:tc>
        <w:tc>
          <w:tcPr>
            <w:tcW w:w="1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074A75"/>
              </w:rPr>
              <w:t>Additional</w:t>
            </w:r>
          </w:p>
        </w:tc>
        <w:tc>
          <w:tcPr>
            <w:tcW w:w="1060" w:type="dxa"/>
            <w:vAlign w:val="bottom"/>
          </w:tcPr>
          <w:p>
            <w:pPr>
              <w:spacing w:after="0"/>
              <w:rPr>
                <w:sz w:val="18"/>
                <w:szCs w:val="18"/>
                <w:color w:val="auto"/>
              </w:rPr>
            </w:pPr>
          </w:p>
        </w:tc>
      </w:tr>
      <w:tr>
        <w:trPr>
          <w:trHeight w:val="186"/>
        </w:trPr>
        <w:tc>
          <w:tcPr>
            <w:tcW w:w="480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074A75"/>
              </w:rPr>
              <w:t>Common</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color w:val="074A75"/>
              </w:rPr>
              <w:t>exercisable within</w:t>
            </w:r>
          </w:p>
        </w:tc>
        <w:tc>
          <w:tcPr>
            <w:tcW w:w="1260" w:type="dxa"/>
            <w:vAlign w:val="bottom"/>
          </w:tcPr>
          <w:p>
            <w:pPr>
              <w:jc w:val="right"/>
              <w:ind w:right="79"/>
              <w:spacing w:after="0"/>
              <w:rPr>
                <w:sz w:val="20"/>
                <w:szCs w:val="20"/>
                <w:color w:val="auto"/>
              </w:rPr>
            </w:pPr>
            <w:r>
              <w:rPr>
                <w:rFonts w:ascii="Arial" w:cs="Arial" w:eastAsia="Arial" w:hAnsi="Arial"/>
                <w:sz w:val="16"/>
                <w:szCs w:val="16"/>
                <w:color w:val="074A75"/>
              </w:rPr>
              <w:t>Total beneficial</w:t>
            </w:r>
          </w:p>
        </w:tc>
        <w:tc>
          <w:tcPr>
            <w:tcW w:w="1400" w:type="dxa"/>
            <w:vAlign w:val="bottom"/>
          </w:tcPr>
          <w:p>
            <w:pPr>
              <w:jc w:val="center"/>
              <w:spacing w:after="0"/>
              <w:rPr>
                <w:sz w:val="20"/>
                <w:szCs w:val="20"/>
                <w:color w:val="auto"/>
              </w:rPr>
            </w:pPr>
            <w:r>
              <w:rPr>
                <w:rFonts w:ascii="Arial" w:cs="Arial" w:eastAsia="Arial" w:hAnsi="Arial"/>
                <w:sz w:val="16"/>
                <w:szCs w:val="16"/>
                <w:color w:val="074A75"/>
              </w:rPr>
              <w:t>underlying stock</w:t>
            </w:r>
          </w:p>
        </w:tc>
        <w:tc>
          <w:tcPr>
            <w:tcW w:w="1060" w:type="dxa"/>
            <w:vAlign w:val="bottom"/>
          </w:tcPr>
          <w:p>
            <w:pPr>
              <w:spacing w:after="0"/>
              <w:rPr>
                <w:sz w:val="16"/>
                <w:szCs w:val="16"/>
                <w:color w:val="auto"/>
              </w:rPr>
            </w:pPr>
          </w:p>
        </w:tc>
      </w:tr>
      <w:tr>
        <w:trPr>
          <w:trHeight w:val="217"/>
        </w:trPr>
        <w:tc>
          <w:tcPr>
            <w:tcW w:w="480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w:t>
            </w:r>
          </w:p>
        </w:tc>
        <w:tc>
          <w:tcPr>
            <w:tcW w:w="1080" w:type="dxa"/>
            <w:vAlign w:val="bottom"/>
            <w:tcBorders>
              <w:bottom w:val="single" w:sz="8" w:color="454545"/>
            </w:tcBorders>
          </w:tcPr>
          <w:p>
            <w:pPr>
              <w:jc w:val="right"/>
              <w:ind w:right="119"/>
              <w:spacing w:after="0" w:line="217" w:lineRule="exact"/>
              <w:rPr>
                <w:sz w:val="20"/>
                <w:szCs w:val="20"/>
                <w:color w:val="auto"/>
              </w:rPr>
            </w:pPr>
            <w:r>
              <w:rPr>
                <w:rFonts w:ascii="Arial" w:cs="Arial" w:eastAsia="Arial" w:hAnsi="Arial"/>
                <w:sz w:val="16"/>
                <w:szCs w:val="16"/>
                <w:color w:val="074A75"/>
              </w:rPr>
              <w:t>Stock (#)</w:t>
            </w:r>
            <w:r>
              <w:rPr>
                <w:rFonts w:ascii="Arial" w:cs="Arial" w:eastAsia="Arial" w:hAnsi="Arial"/>
                <w:sz w:val="21"/>
                <w:szCs w:val="21"/>
                <w:color w:val="074A75"/>
                <w:vertAlign w:val="superscript"/>
              </w:rPr>
              <w:t>1</w:t>
            </w:r>
          </w:p>
        </w:tc>
        <w:tc>
          <w:tcPr>
            <w:tcW w:w="1640" w:type="dxa"/>
            <w:vAlign w:val="bottom"/>
            <w:tcBorders>
              <w:bottom w:val="single" w:sz="8" w:color="454545"/>
            </w:tcBorders>
            <w:gridSpan w:val="2"/>
          </w:tcPr>
          <w:p>
            <w:pPr>
              <w:jc w:val="center"/>
              <w:ind w:right="120"/>
              <w:spacing w:after="0"/>
              <w:rPr>
                <w:sz w:val="20"/>
                <w:szCs w:val="20"/>
                <w:color w:val="auto"/>
              </w:rPr>
            </w:pPr>
            <w:r>
              <w:rPr>
                <w:rFonts w:ascii="Arial" w:cs="Arial" w:eastAsia="Arial" w:hAnsi="Arial"/>
                <w:sz w:val="16"/>
                <w:szCs w:val="16"/>
                <w:color w:val="074A75"/>
                <w:w w:val="99"/>
              </w:rPr>
              <w:t>60 days (#)</w:t>
            </w:r>
          </w:p>
        </w:tc>
        <w:tc>
          <w:tcPr>
            <w:tcW w:w="1260" w:type="dxa"/>
            <w:vAlign w:val="bottom"/>
            <w:tcBorders>
              <w:bottom w:val="single" w:sz="8" w:color="454545"/>
            </w:tcBorders>
          </w:tcPr>
          <w:p>
            <w:pPr>
              <w:jc w:val="right"/>
              <w:ind w:right="119"/>
              <w:spacing w:after="0"/>
              <w:rPr>
                <w:sz w:val="20"/>
                <w:szCs w:val="20"/>
                <w:color w:val="auto"/>
              </w:rPr>
            </w:pPr>
            <w:r>
              <w:rPr>
                <w:rFonts w:ascii="Arial" w:cs="Arial" w:eastAsia="Arial" w:hAnsi="Arial"/>
                <w:sz w:val="16"/>
                <w:szCs w:val="16"/>
                <w:color w:val="074A75"/>
              </w:rPr>
              <w:t>ownership (#)</w:t>
            </w:r>
          </w:p>
        </w:tc>
        <w:tc>
          <w:tcPr>
            <w:tcW w:w="1400" w:type="dxa"/>
            <w:vAlign w:val="bottom"/>
            <w:tcBorders>
              <w:bottom w:val="single" w:sz="8" w:color="454545"/>
            </w:tcBorders>
          </w:tcPr>
          <w:p>
            <w:pPr>
              <w:jc w:val="center"/>
              <w:spacing w:after="0" w:line="217" w:lineRule="exact"/>
              <w:rPr>
                <w:sz w:val="20"/>
                <w:szCs w:val="20"/>
                <w:color w:val="auto"/>
              </w:rPr>
            </w:pPr>
            <w:r>
              <w:rPr>
                <w:rFonts w:ascii="Arial" w:cs="Arial" w:eastAsia="Arial" w:hAnsi="Arial"/>
                <w:sz w:val="16"/>
                <w:szCs w:val="16"/>
                <w:color w:val="074A75"/>
                <w:w w:val="97"/>
              </w:rPr>
              <w:t>units (#)</w:t>
            </w:r>
            <w:r>
              <w:rPr>
                <w:rFonts w:ascii="Arial" w:cs="Arial" w:eastAsia="Arial" w:hAnsi="Arial"/>
                <w:sz w:val="21"/>
                <w:szCs w:val="21"/>
                <w:color w:val="074A75"/>
                <w:w w:val="97"/>
                <w:vertAlign w:val="superscript"/>
              </w:rPr>
              <w:t>2</w:t>
            </w:r>
          </w:p>
        </w:tc>
        <w:tc>
          <w:tcPr>
            <w:tcW w:w="1060" w:type="dxa"/>
            <w:vAlign w:val="bottom"/>
            <w:tcBorders>
              <w:bottom w:val="single" w:sz="8" w:color="454545"/>
            </w:tcBorders>
          </w:tcPr>
          <w:p>
            <w:pPr>
              <w:jc w:val="right"/>
              <w:ind w:right="159"/>
              <w:spacing w:after="0"/>
              <w:rPr>
                <w:sz w:val="20"/>
                <w:szCs w:val="20"/>
                <w:color w:val="auto"/>
              </w:rPr>
            </w:pPr>
            <w:r>
              <w:rPr>
                <w:rFonts w:ascii="Arial" w:cs="Arial" w:eastAsia="Arial" w:hAnsi="Arial"/>
                <w:sz w:val="16"/>
                <w:szCs w:val="16"/>
                <w:color w:val="074A75"/>
              </w:rPr>
              <w:t>Total (#)</w:t>
            </w:r>
          </w:p>
        </w:tc>
      </w:tr>
      <w:tr>
        <w:trPr>
          <w:trHeight w:val="230"/>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Linda B. Bammann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65,986</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65,986</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26,080</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92,066</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Stephen B. Burke</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107,107</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107,107</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124,149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231,256</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Todd A. Combs</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13,016</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13,016</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12,086</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25,102</w:t>
            </w:r>
          </w:p>
        </w:tc>
      </w:tr>
      <w:tr>
        <w:trPr>
          <w:trHeight w:val="284"/>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S. Crown</w:t>
            </w:r>
            <w:r>
              <w:rPr>
                <w:rFonts w:ascii="Arial" w:cs="Arial" w:eastAsia="Arial" w:hAnsi="Arial"/>
                <w:sz w:val="21"/>
                <w:szCs w:val="21"/>
                <w:b w:val="1"/>
                <w:bCs w:val="1"/>
                <w:color w:val="auto"/>
                <w:vertAlign w:val="superscript"/>
              </w:rPr>
              <w:t>3</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12,281,578</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12,281,578</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198,120</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12,479,698</w:t>
            </w:r>
          </w:p>
        </w:tc>
      </w:tr>
      <w:tr>
        <w:trPr>
          <w:trHeight w:val="27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James Dimon</w:t>
            </w:r>
            <w:r>
              <w:rPr>
                <w:rFonts w:ascii="Arial" w:cs="Arial" w:eastAsia="Arial" w:hAnsi="Arial"/>
                <w:sz w:val="21"/>
                <w:szCs w:val="21"/>
                <w:b w:val="1"/>
                <w:bCs w:val="1"/>
                <w:color w:val="auto"/>
                <w:vertAlign w:val="superscript"/>
              </w:rPr>
              <w:t>4</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8,143,232</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562,430</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8,705,662</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679,479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9,385,141</w:t>
            </w:r>
          </w:p>
        </w:tc>
      </w:tr>
      <w:tr>
        <w:trPr>
          <w:trHeight w:val="27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Mary Callahan Erdoes</w:t>
            </w:r>
            <w:r>
              <w:rPr>
                <w:rFonts w:ascii="Arial" w:cs="Arial" w:eastAsia="Arial" w:hAnsi="Arial"/>
                <w:sz w:val="21"/>
                <w:szCs w:val="21"/>
                <w:b w:val="1"/>
                <w:bCs w:val="1"/>
                <w:color w:val="auto"/>
                <w:vertAlign w:val="superscript"/>
              </w:rPr>
              <w:t>5</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481,983</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105,143</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587,126</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280,525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867,651</w:t>
            </w:r>
          </w:p>
        </w:tc>
      </w:tr>
      <w:tr>
        <w:trPr>
          <w:trHeight w:val="230"/>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Timothy P. Flynn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10,000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10,000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47,303</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57,303</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Mellody Hobson</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127,869</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127,869</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10,419</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138,288</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Michael A. Neal</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9,050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9,050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36,566</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45,616</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Phebe N. Novakovic</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1,795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2,295</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Jennifer Piepszak</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6,212</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6,212</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82,135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88,347</w:t>
            </w:r>
          </w:p>
        </w:tc>
      </w:tr>
      <w:tr>
        <w:trPr>
          <w:trHeight w:val="236"/>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Daniel Pinto</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504,877</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186,718</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691,595</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588,201</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1,279,796</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Virginia M. Rometty</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280</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2,475</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2,755</w:t>
            </w:r>
          </w:p>
        </w:tc>
      </w:tr>
      <w:tr>
        <w:trPr>
          <w:trHeight w:val="237"/>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6"/>
                <w:szCs w:val="16"/>
                <w:b w:val="1"/>
                <w:bCs w:val="1"/>
                <w:color w:val="auto"/>
              </w:rPr>
              <w:t>Gordon Smith</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505,185</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54545"/>
            </w:tcBorders>
          </w:tcPr>
          <w:p>
            <w:pPr>
              <w:spacing w:after="0"/>
              <w:rPr>
                <w:sz w:val="20"/>
                <w:szCs w:val="20"/>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505,185</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298,923</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804,108</w:t>
            </w:r>
          </w:p>
        </w:tc>
      </w:tr>
      <w:tr>
        <w:trPr>
          <w:trHeight w:val="231"/>
        </w:trPr>
        <w:tc>
          <w:tcPr>
            <w:tcW w:w="4800" w:type="dxa"/>
            <w:vAlign w:val="bottom"/>
            <w:tcBorders>
              <w:right w:val="single" w:sz="8" w:color="454545"/>
            </w:tcBorders>
          </w:tcPr>
          <w:p>
            <w:pPr>
              <w:ind w:left="20"/>
              <w:spacing w:after="0"/>
              <w:rPr>
                <w:sz w:val="20"/>
                <w:szCs w:val="20"/>
                <w:color w:val="auto"/>
              </w:rPr>
            </w:pPr>
            <w:r>
              <w:rPr>
                <w:rFonts w:ascii="Arial" w:cs="Arial" w:eastAsia="Arial" w:hAnsi="Arial"/>
                <w:sz w:val="16"/>
                <w:szCs w:val="16"/>
                <w:b w:val="1"/>
                <w:bCs w:val="1"/>
                <w:color w:val="auto"/>
              </w:rPr>
              <w:t>All directors and current executive officers</w:t>
            </w:r>
          </w:p>
        </w:tc>
        <w:tc>
          <w:tcPr>
            <w:tcW w:w="1080" w:type="dxa"/>
            <w:vAlign w:val="bottom"/>
            <w:tcBorders>
              <w:right w:val="single" w:sz="8" w:color="454545"/>
            </w:tcBorders>
          </w:tcPr>
          <w:p>
            <w:pPr>
              <w:spacing w:after="0"/>
              <w:rPr>
                <w:sz w:val="20"/>
                <w:szCs w:val="20"/>
                <w:color w:val="auto"/>
              </w:rPr>
            </w:pPr>
          </w:p>
        </w:tc>
        <w:tc>
          <w:tcPr>
            <w:tcW w:w="1540" w:type="dxa"/>
            <w:vAlign w:val="bottom"/>
            <w:tcBorders>
              <w:right w:val="single" w:sz="8" w:color="454545"/>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right w:val="single" w:sz="8" w:color="454545"/>
            </w:tcBorders>
          </w:tcPr>
          <w:p>
            <w:pPr>
              <w:spacing w:after="0"/>
              <w:rPr>
                <w:sz w:val="20"/>
                <w:szCs w:val="20"/>
                <w:color w:val="auto"/>
              </w:rPr>
            </w:pPr>
          </w:p>
        </w:tc>
        <w:tc>
          <w:tcPr>
            <w:tcW w:w="1400" w:type="dxa"/>
            <w:vAlign w:val="bottom"/>
            <w:tcBorders>
              <w:right w:val="single" w:sz="8" w:color="454545"/>
            </w:tcBorders>
          </w:tcPr>
          <w:p>
            <w:pPr>
              <w:spacing w:after="0"/>
              <w:rPr>
                <w:sz w:val="20"/>
                <w:szCs w:val="20"/>
                <w:color w:val="auto"/>
              </w:rPr>
            </w:pPr>
          </w:p>
        </w:tc>
        <w:tc>
          <w:tcPr>
            <w:tcW w:w="1060" w:type="dxa"/>
            <w:vAlign w:val="bottom"/>
          </w:tcPr>
          <w:p>
            <w:pPr>
              <w:spacing w:after="0"/>
              <w:rPr>
                <w:sz w:val="20"/>
                <w:szCs w:val="20"/>
                <w:color w:val="auto"/>
              </w:rPr>
            </w:pPr>
          </w:p>
        </w:tc>
      </w:tr>
      <w:tr>
        <w:trPr>
          <w:trHeight w:val="282"/>
        </w:trPr>
        <w:tc>
          <w:tcPr>
            <w:tcW w:w="4800" w:type="dxa"/>
            <w:vAlign w:val="bottom"/>
            <w:tcBorders>
              <w:bottom w:val="single" w:sz="8" w:color="454545"/>
              <w:right w:val="single" w:sz="8" w:color="454545"/>
            </w:tcBorders>
          </w:tcPr>
          <w:p>
            <w:pPr>
              <w:ind w:left="20"/>
              <w:spacing w:after="0"/>
              <w:rPr>
                <w:sz w:val="20"/>
                <w:szCs w:val="20"/>
                <w:color w:val="auto"/>
              </w:rPr>
            </w:pPr>
            <w:r>
              <w:rPr>
                <w:rFonts w:ascii="Arial" w:cs="Arial" w:eastAsia="Arial" w:hAnsi="Arial"/>
                <w:sz w:val="18"/>
                <w:szCs w:val="18"/>
                <w:b w:val="1"/>
                <w:bCs w:val="1"/>
                <w:color w:val="auto"/>
              </w:rPr>
              <w:t>as a group (21 persons)</w:t>
            </w:r>
            <w:r>
              <w:rPr>
                <w:rFonts w:ascii="Arial" w:cs="Arial" w:eastAsia="Arial" w:hAnsi="Arial"/>
                <w:sz w:val="23"/>
                <w:szCs w:val="23"/>
                <w:b w:val="1"/>
                <w:bCs w:val="1"/>
                <w:color w:val="auto"/>
                <w:vertAlign w:val="superscript"/>
              </w:rPr>
              <w:t>3, 5</w:t>
            </w:r>
          </w:p>
        </w:tc>
        <w:tc>
          <w:tcPr>
            <w:tcW w:w="108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22,965,158</w:t>
            </w:r>
          </w:p>
        </w:tc>
        <w:tc>
          <w:tcPr>
            <w:tcW w:w="154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858,476</w:t>
            </w:r>
          </w:p>
        </w:tc>
        <w:tc>
          <w:tcPr>
            <w:tcW w:w="100" w:type="dxa"/>
            <w:vAlign w:val="bottom"/>
            <w:tcBorders>
              <w:bottom w:val="single" w:sz="8" w:color="454545"/>
            </w:tcBorders>
          </w:tcPr>
          <w:p>
            <w:pPr>
              <w:spacing w:after="0"/>
              <w:rPr>
                <w:sz w:val="24"/>
                <w:szCs w:val="24"/>
                <w:color w:val="auto"/>
              </w:rPr>
            </w:pPr>
          </w:p>
        </w:tc>
        <w:tc>
          <w:tcPr>
            <w:tcW w:w="126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23,823,634</w:t>
            </w:r>
          </w:p>
        </w:tc>
        <w:tc>
          <w:tcPr>
            <w:tcW w:w="1400" w:type="dxa"/>
            <w:vAlign w:val="bottom"/>
            <w:tcBorders>
              <w:bottom w:val="single" w:sz="8" w:color="454545"/>
              <w:right w:val="single" w:sz="8" w:color="454545"/>
            </w:tcBorders>
          </w:tcPr>
          <w:p>
            <w:pPr>
              <w:jc w:val="right"/>
              <w:spacing w:after="0"/>
              <w:rPr>
                <w:sz w:val="20"/>
                <w:szCs w:val="20"/>
                <w:color w:val="auto"/>
              </w:rPr>
            </w:pPr>
            <w:r>
              <w:rPr>
                <w:rFonts w:ascii="Arial" w:cs="Arial" w:eastAsia="Arial" w:hAnsi="Arial"/>
                <w:sz w:val="16"/>
                <w:szCs w:val="16"/>
                <w:color w:val="auto"/>
              </w:rPr>
              <w:t>3,271,948</w:t>
            </w:r>
          </w:p>
        </w:tc>
        <w:tc>
          <w:tcPr>
            <w:tcW w:w="10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27,095,582</w:t>
            </w:r>
          </w:p>
        </w:tc>
      </w:tr>
    </w:tbl>
    <w:p>
      <w:pPr>
        <w:spacing w:after="0" w:line="78" w:lineRule="exact"/>
        <w:rPr>
          <w:sz w:val="20"/>
          <w:szCs w:val="20"/>
          <w:color w:val="auto"/>
        </w:rPr>
      </w:pPr>
    </w:p>
    <w:p>
      <w:pPr>
        <w:ind w:left="200" w:hanging="192"/>
        <w:spacing w:after="0"/>
        <w:tabs>
          <w:tab w:leader="none" w:pos="200" w:val="left"/>
        </w:tabs>
        <w:numPr>
          <w:ilvl w:val="0"/>
          <w:numId w:val="246"/>
        </w:numPr>
        <w:rPr>
          <w:rFonts w:ascii="Arial" w:cs="Arial" w:eastAsia="Arial" w:hAnsi="Arial"/>
          <w:sz w:val="15"/>
          <w:szCs w:val="15"/>
          <w:color w:val="auto"/>
          <w:vertAlign w:val="superscript"/>
        </w:rPr>
      </w:pPr>
      <w:r>
        <w:rPr>
          <w:rFonts w:ascii="Arial" w:cs="Arial" w:eastAsia="Arial" w:hAnsi="Arial"/>
          <w:sz w:val="12"/>
          <w:szCs w:val="12"/>
          <w:color w:val="auto"/>
        </w:rPr>
        <w:t>Shares owned outright, except as otherwise noted. Directors agree to retain all shares of common stock of JPMorgan Chase purchased on the open market or received pursuant to their service as a</w:t>
      </w:r>
    </w:p>
    <w:p>
      <w:pPr>
        <w:ind w:left="200"/>
        <w:spacing w:after="0" w:line="237" w:lineRule="auto"/>
        <w:rPr>
          <w:sz w:val="20"/>
          <w:szCs w:val="20"/>
          <w:color w:val="auto"/>
        </w:rPr>
      </w:pPr>
      <w:r>
        <w:rPr>
          <w:rFonts w:ascii="Arial" w:cs="Arial" w:eastAsia="Arial" w:hAnsi="Arial"/>
          <w:sz w:val="13"/>
          <w:szCs w:val="13"/>
          <w:color w:val="auto"/>
        </w:rPr>
        <w:t>Board member for as long as they serve on the Board.</w:t>
      </w:r>
    </w:p>
    <w:p>
      <w:pPr>
        <w:ind w:left="200" w:hanging="192"/>
        <w:spacing w:after="0" w:line="194" w:lineRule="auto"/>
        <w:tabs>
          <w:tab w:leader="none" w:pos="200" w:val="left"/>
        </w:tabs>
        <w:numPr>
          <w:ilvl w:val="0"/>
          <w:numId w:val="247"/>
        </w:numPr>
        <w:rPr>
          <w:rFonts w:ascii="Arial" w:cs="Arial" w:eastAsia="Arial" w:hAnsi="Arial"/>
          <w:sz w:val="16"/>
          <w:szCs w:val="16"/>
          <w:color w:val="auto"/>
          <w:vertAlign w:val="superscript"/>
        </w:rPr>
      </w:pPr>
      <w:r>
        <w:rPr>
          <w:rFonts w:ascii="Arial" w:cs="Arial" w:eastAsia="Arial" w:hAnsi="Arial"/>
          <w:sz w:val="13"/>
          <w:szCs w:val="13"/>
          <w:color w:val="auto"/>
        </w:rPr>
        <w:t>Amounts include for directors and executive officers, shares or deferred stock units, receipt of which has been deferred under deferred compensation plan arrangements. For executive officers,</w:t>
      </w:r>
    </w:p>
    <w:p>
      <w:pPr>
        <w:spacing w:after="0" w:line="1" w:lineRule="exact"/>
        <w:rPr>
          <w:sz w:val="20"/>
          <w:szCs w:val="20"/>
          <w:color w:val="auto"/>
        </w:rPr>
      </w:pPr>
    </w:p>
    <w:p>
      <w:pPr>
        <w:ind w:left="200" w:right="20"/>
        <w:spacing w:after="0" w:line="238" w:lineRule="auto"/>
        <w:rPr>
          <w:sz w:val="20"/>
          <w:szCs w:val="20"/>
          <w:color w:val="auto"/>
        </w:rPr>
      </w:pPr>
      <w:r>
        <w:rPr>
          <w:rFonts w:ascii="Arial" w:cs="Arial" w:eastAsia="Arial" w:hAnsi="Arial"/>
          <w:sz w:val="13"/>
          <w:szCs w:val="13"/>
          <w:color w:val="auto"/>
        </w:rPr>
        <w:t>amounts also include unvested RSUs and unvested PSUs (including accumulated reinvested dividend equivalent shares), as well as share equivalents attributable under the JPMorgan Chase 401(k) Savings Plan. The ultimate number of PSUs earned at vesting is formulaically determined, with potential payout value ranging from 0% to 150%. Additional details on the PSU program are provided on pages 47-48.</w:t>
      </w:r>
    </w:p>
    <w:p>
      <w:pPr>
        <w:spacing w:after="0" w:line="1" w:lineRule="exact"/>
        <w:rPr>
          <w:sz w:val="20"/>
          <w:szCs w:val="20"/>
          <w:color w:val="auto"/>
        </w:rPr>
      </w:pPr>
    </w:p>
    <w:p>
      <w:pPr>
        <w:ind w:left="200" w:right="100" w:hanging="192"/>
        <w:spacing w:after="0" w:line="238" w:lineRule="auto"/>
        <w:tabs>
          <w:tab w:leader="none" w:pos="200" w:val="left"/>
        </w:tabs>
        <w:numPr>
          <w:ilvl w:val="0"/>
          <w:numId w:val="248"/>
        </w:numPr>
        <w:rPr>
          <w:rFonts w:ascii="Arial" w:cs="Arial" w:eastAsia="Arial" w:hAnsi="Arial"/>
          <w:sz w:val="15"/>
          <w:szCs w:val="15"/>
          <w:color w:val="auto"/>
          <w:vertAlign w:val="superscript"/>
        </w:rPr>
      </w:pPr>
      <w:r>
        <w:rPr>
          <w:rFonts w:ascii="Arial" w:cs="Arial" w:eastAsia="Arial" w:hAnsi="Arial"/>
          <w:sz w:val="12"/>
          <w:szCs w:val="12"/>
          <w:color w:val="auto"/>
        </w:rPr>
        <w:t>Includes 166,952 shares Mr. Crown owns individually; 36,893 shares owned by Mr. Crown’s spouse; and 38,140 shares held in trusts for the benefit of his children. None of such shares are pledged or held in margin accounts. Also includes 12,039,593 shares owned by entities as to which Mr. Crown disclaims beneficial ownership, except to the extent of his pecuniary interest therein. Of such shares (and for all directors and current executive officers as a group) 11,871,288 shares may be pledged or held by brokers in margin loan accounts, whether or not there are loans outstanding.</w:t>
      </w:r>
    </w:p>
    <w:p>
      <w:pPr>
        <w:ind w:left="200" w:hanging="192"/>
        <w:spacing w:after="0" w:line="194" w:lineRule="auto"/>
        <w:tabs>
          <w:tab w:leader="none" w:pos="200" w:val="left"/>
        </w:tabs>
        <w:numPr>
          <w:ilvl w:val="0"/>
          <w:numId w:val="249"/>
        </w:numPr>
        <w:rPr>
          <w:rFonts w:ascii="Arial" w:cs="Arial" w:eastAsia="Arial" w:hAnsi="Arial"/>
          <w:sz w:val="16"/>
          <w:szCs w:val="16"/>
          <w:color w:val="auto"/>
          <w:vertAlign w:val="superscript"/>
        </w:rPr>
      </w:pPr>
      <w:r>
        <w:rPr>
          <w:rFonts w:ascii="Arial" w:cs="Arial" w:eastAsia="Arial" w:hAnsi="Arial"/>
          <w:sz w:val="13"/>
          <w:szCs w:val="13"/>
          <w:color w:val="auto"/>
        </w:rPr>
        <w:t>Includes 143,388 shares owned by entities as to which Mr. Dimon disclaims beneficial ownership, except to the extent of his pecuniary interest therein.</w:t>
      </w:r>
    </w:p>
    <w:p>
      <w:pPr>
        <w:spacing w:after="0" w:line="1" w:lineRule="exact"/>
        <w:rPr>
          <w:sz w:val="20"/>
          <w:szCs w:val="20"/>
          <w:color w:val="auto"/>
        </w:rPr>
      </w:pPr>
    </w:p>
    <w:p>
      <w:pPr>
        <w:ind w:left="200" w:right="440" w:hanging="192"/>
        <w:spacing w:after="0" w:line="216" w:lineRule="auto"/>
        <w:tabs>
          <w:tab w:leader="none" w:pos="200" w:val="left"/>
        </w:tabs>
        <w:numPr>
          <w:ilvl w:val="0"/>
          <w:numId w:val="250"/>
        </w:numPr>
        <w:rPr>
          <w:rFonts w:ascii="Arial" w:cs="Arial" w:eastAsia="Arial" w:hAnsi="Arial"/>
          <w:sz w:val="16"/>
          <w:szCs w:val="16"/>
          <w:color w:val="auto"/>
          <w:vertAlign w:val="superscript"/>
        </w:rPr>
      </w:pPr>
      <w:r>
        <w:rPr>
          <w:rFonts w:ascii="Arial" w:cs="Arial" w:eastAsia="Arial" w:hAnsi="Arial"/>
          <w:sz w:val="13"/>
          <w:szCs w:val="13"/>
          <w:color w:val="auto"/>
        </w:rPr>
        <w:t>As of February 28, 2021, Ms. Erdoes held 51,000 depositary shares, each representing a one-tenth interest in a share of JPMorgan Chase’s Fixed-to-Floating Rate Non-Cumulative Perpetual Preferred Stock, Series H (“Series H Preferred”). Ms. Erdoes is the only director or executive officer who owns shares of the Series H Preferred.</w:t>
      </w:r>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 </w:t>
      </w:r>
      <w:r>
        <w:rPr>
          <w:rFonts w:ascii="Arial" w:cs="Arial" w:eastAsia="Arial" w:hAnsi="Arial"/>
          <w:sz w:val="16"/>
          <w:szCs w:val="16"/>
          <w:color w:val="074A75"/>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074A75"/>
              </w:rPr>
              <w:t>Common stock</w:t>
            </w:r>
          </w:p>
        </w:tc>
        <w:tc>
          <w:tcPr>
            <w:tcW w:w="1000" w:type="dxa"/>
            <w:vAlign w:val="bottom"/>
          </w:tcPr>
          <w:p>
            <w:pPr>
              <w:jc w:val="right"/>
              <w:ind w:right="159"/>
              <w:spacing w:after="0"/>
              <w:rPr>
                <w:sz w:val="20"/>
                <w:szCs w:val="20"/>
                <w:color w:val="auto"/>
              </w:rPr>
            </w:pPr>
            <w:r>
              <w:rPr>
                <w:rFonts w:ascii="Arial" w:cs="Arial" w:eastAsia="Arial" w:hAnsi="Arial"/>
                <w:sz w:val="16"/>
                <w:szCs w:val="16"/>
                <w:color w:val="074A75"/>
              </w:rPr>
              <w:t>Percent</w:t>
            </w:r>
          </w:p>
        </w:tc>
      </w:tr>
      <w:tr>
        <w:trPr>
          <w:trHeight w:val="208"/>
        </w:trPr>
        <w:tc>
          <w:tcPr>
            <w:tcW w:w="43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of beneficial owner</w:t>
            </w: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074A75"/>
              </w:rPr>
              <w:t>Address of beneficial owner</w:t>
            </w:r>
          </w:p>
        </w:tc>
        <w:tc>
          <w:tcPr>
            <w:tcW w:w="1380" w:type="dxa"/>
            <w:vAlign w:val="bottom"/>
            <w:tcBorders>
              <w:bottom w:val="single" w:sz="8" w:color="454545"/>
            </w:tcBorders>
          </w:tcPr>
          <w:p>
            <w:pPr>
              <w:jc w:val="right"/>
              <w:ind w:right="319"/>
              <w:spacing w:after="0"/>
              <w:rPr>
                <w:sz w:val="20"/>
                <w:szCs w:val="20"/>
                <w:color w:val="auto"/>
              </w:rPr>
            </w:pPr>
            <w:r>
              <w:rPr>
                <w:rFonts w:ascii="Arial" w:cs="Arial" w:eastAsia="Arial" w:hAnsi="Arial"/>
                <w:sz w:val="16"/>
                <w:szCs w:val="16"/>
                <w:color w:val="074A75"/>
              </w:rPr>
              <w:t>owned (#)</w:t>
            </w:r>
          </w:p>
        </w:tc>
        <w:tc>
          <w:tcPr>
            <w:tcW w:w="1000" w:type="dxa"/>
            <w:vAlign w:val="bottom"/>
            <w:tcBorders>
              <w:bottom w:val="single" w:sz="8" w:color="454545"/>
            </w:tcBorders>
          </w:tcPr>
          <w:p>
            <w:pPr>
              <w:jc w:val="right"/>
              <w:ind w:right="59"/>
              <w:spacing w:after="0"/>
              <w:rPr>
                <w:sz w:val="20"/>
                <w:szCs w:val="20"/>
                <w:color w:val="auto"/>
              </w:rPr>
            </w:pPr>
            <w:r>
              <w:rPr>
                <w:rFonts w:ascii="Arial" w:cs="Arial" w:eastAsia="Arial" w:hAnsi="Arial"/>
                <w:sz w:val="16"/>
                <w:szCs w:val="16"/>
                <w:color w:val="074A75"/>
              </w:rPr>
              <w:t>owned (%)</w:t>
            </w:r>
          </w:p>
        </w:tc>
      </w:tr>
      <w:tr>
        <w:trPr>
          <w:trHeight w:val="218"/>
        </w:trPr>
        <w:tc>
          <w:tcPr>
            <w:tcW w:w="4320" w:type="dxa"/>
            <w:vAlign w:val="bottom"/>
          </w:tcPr>
          <w:p>
            <w:pPr>
              <w:ind w:left="20"/>
              <w:spacing w:after="0" w:line="218" w:lineRule="exact"/>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1</w:t>
            </w:r>
          </w:p>
        </w:tc>
        <w:tc>
          <w:tcPr>
            <w:tcW w:w="4540" w:type="dxa"/>
            <w:vAlign w:val="bottom"/>
          </w:tcPr>
          <w:p>
            <w:pPr>
              <w:jc w:val="right"/>
              <w:ind w:right="19"/>
              <w:spacing w:after="0"/>
              <w:rPr>
                <w:sz w:val="20"/>
                <w:szCs w:val="20"/>
                <w:color w:val="auto"/>
              </w:rPr>
            </w:pPr>
            <w:r>
              <w:rPr>
                <w:rFonts w:ascii="Arial" w:cs="Arial" w:eastAsia="Arial" w:hAnsi="Arial"/>
                <w:sz w:val="16"/>
                <w:szCs w:val="16"/>
                <w:color w:val="auto"/>
              </w:rPr>
              <w:t>100 Vanguard Blvd.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4320" w:type="dxa"/>
            <w:vAlign w:val="bottom"/>
            <w:tcBorders>
              <w:bottom w:val="single" w:sz="8" w:color="454545"/>
            </w:tcBorders>
          </w:tcPr>
          <w:p>
            <w:pPr>
              <w:spacing w:after="0"/>
              <w:rPr>
                <w:sz w:val="18"/>
                <w:szCs w:val="18"/>
                <w:color w:val="auto"/>
              </w:rPr>
            </w:pP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Malvern, PA 19355</w:t>
            </w:r>
          </w:p>
        </w:tc>
        <w:tc>
          <w:tcPr>
            <w:tcW w:w="13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243,407,749</w:t>
            </w: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7.99</w:t>
            </w:r>
          </w:p>
        </w:tc>
      </w:tr>
      <w:tr>
        <w:trPr>
          <w:trHeight w:val="218"/>
        </w:trPr>
        <w:tc>
          <w:tcPr>
            <w:tcW w:w="4320" w:type="dxa"/>
            <w:vAlign w:val="bottom"/>
          </w:tcPr>
          <w:p>
            <w:pPr>
              <w:ind w:left="20"/>
              <w:spacing w:after="0" w:line="218"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4540" w:type="dxa"/>
            <w:vAlign w:val="bottom"/>
          </w:tcPr>
          <w:p>
            <w:pPr>
              <w:jc w:val="right"/>
              <w:ind w:right="19"/>
              <w:spacing w:after="0"/>
              <w:rPr>
                <w:sz w:val="20"/>
                <w:szCs w:val="20"/>
                <w:color w:val="auto"/>
              </w:rPr>
            </w:pPr>
            <w:r>
              <w:rPr>
                <w:rFonts w:ascii="Arial" w:cs="Arial" w:eastAsia="Arial" w:hAnsi="Arial"/>
                <w:sz w:val="16"/>
                <w:szCs w:val="16"/>
                <w:color w:val="auto"/>
              </w:rPr>
              <w:t>55 East 52nd Street</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4320" w:type="dxa"/>
            <w:vAlign w:val="bottom"/>
            <w:tcBorders>
              <w:bottom w:val="single" w:sz="8" w:color="454545"/>
            </w:tcBorders>
          </w:tcPr>
          <w:p>
            <w:pPr>
              <w:spacing w:after="0"/>
              <w:rPr>
                <w:sz w:val="18"/>
                <w:szCs w:val="18"/>
                <w:color w:val="auto"/>
              </w:rPr>
            </w:pPr>
          </w:p>
        </w:tc>
        <w:tc>
          <w:tcPr>
            <w:tcW w:w="4540" w:type="dxa"/>
            <w:vAlign w:val="bottom"/>
            <w:tcBorders>
              <w:bottom w:val="single" w:sz="8" w:color="454545"/>
            </w:tcBorders>
          </w:tcPr>
          <w:p>
            <w:pPr>
              <w:jc w:val="right"/>
              <w:ind w:right="19"/>
              <w:spacing w:after="0"/>
              <w:rPr>
                <w:sz w:val="20"/>
                <w:szCs w:val="20"/>
                <w:color w:val="auto"/>
              </w:rPr>
            </w:pPr>
            <w:r>
              <w:rPr>
                <w:rFonts w:ascii="Arial" w:cs="Arial" w:eastAsia="Arial" w:hAnsi="Arial"/>
                <w:sz w:val="16"/>
                <w:szCs w:val="16"/>
                <w:color w:val="auto"/>
              </w:rPr>
              <w:t>New York, NY 10055</w:t>
            </w:r>
          </w:p>
        </w:tc>
        <w:tc>
          <w:tcPr>
            <w:tcW w:w="138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192,569,871</w:t>
            </w:r>
          </w:p>
        </w:tc>
        <w:tc>
          <w:tcPr>
            <w:tcW w:w="100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6.30</w:t>
            </w:r>
          </w:p>
        </w:tc>
      </w:tr>
    </w:tbl>
    <w:p>
      <w:pPr>
        <w:spacing w:after="0" w:line="102" w:lineRule="exact"/>
        <w:rPr>
          <w:sz w:val="20"/>
          <w:szCs w:val="20"/>
          <w:color w:val="auto"/>
        </w:rPr>
      </w:pPr>
    </w:p>
    <w:p>
      <w:pPr>
        <w:ind w:left="200" w:right="120" w:hanging="192"/>
        <w:spacing w:after="0" w:line="229" w:lineRule="auto"/>
        <w:tabs>
          <w:tab w:leader="none" w:pos="200" w:val="left"/>
        </w:tabs>
        <w:numPr>
          <w:ilvl w:val="0"/>
          <w:numId w:val="251"/>
        </w:numPr>
        <w:rPr>
          <w:rFonts w:ascii="Arial" w:cs="Arial" w:eastAsia="Arial" w:hAnsi="Arial"/>
          <w:sz w:val="15"/>
          <w:szCs w:val="15"/>
          <w:color w:val="auto"/>
          <w:vertAlign w:val="superscript"/>
        </w:rPr>
      </w:pPr>
      <w:r>
        <w:rPr>
          <w:rFonts w:ascii="Arial" w:cs="Arial" w:eastAsia="Arial" w:hAnsi="Arial"/>
          <w:sz w:val="12"/>
          <w:szCs w:val="12"/>
          <w:color w:val="auto"/>
        </w:rPr>
        <w:t>The Vanguard Group owns the above holdings in its capacity as an investment advisor in accordance with SEC Rule 13d-1(b)(1)(ii)(E). According to the Schedule 13G dated February 8, 2021, filed with the SEC, in the aggregate, Vanguard (including the affiliated entities identified in the Schedule 13G) has sole dispositive power over 229,975,845 shares, shared dispositive power over</w:t>
      </w:r>
    </w:p>
    <w:p>
      <w:pPr>
        <w:ind w:left="200"/>
        <w:spacing w:after="0"/>
        <w:rPr>
          <w:sz w:val="20"/>
          <w:szCs w:val="20"/>
          <w:color w:val="auto"/>
        </w:rPr>
      </w:pPr>
      <w:r>
        <w:rPr>
          <w:rFonts w:ascii="Arial" w:cs="Arial" w:eastAsia="Arial" w:hAnsi="Arial"/>
          <w:sz w:val="13"/>
          <w:szCs w:val="13"/>
          <w:color w:val="auto"/>
        </w:rPr>
        <w:t>13,431,904 shares, sole voting power over 0 shares and shared voting power over 4,928,003 shares of our common stock.</w:t>
      </w:r>
    </w:p>
    <w:p>
      <w:pPr>
        <w:ind w:left="200" w:right="20" w:hanging="192"/>
        <w:spacing w:after="0" w:line="223" w:lineRule="auto"/>
        <w:tabs>
          <w:tab w:leader="none" w:pos="200" w:val="left"/>
        </w:tabs>
        <w:numPr>
          <w:ilvl w:val="0"/>
          <w:numId w:val="252"/>
        </w:numPr>
        <w:rPr>
          <w:rFonts w:ascii="Arial" w:cs="Arial" w:eastAsia="Arial" w:hAnsi="Arial"/>
          <w:sz w:val="16"/>
          <w:szCs w:val="16"/>
          <w:color w:val="auto"/>
          <w:vertAlign w:val="superscript"/>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January 29, 2021, filed with the SEC, in the aggregate, BlackRock (including the affiliated entities identified in the Schedule 13G) has sole dispositive power over 192,569,871 shares and sole voting power over 166,686,505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507365</wp:posOffset>
            </wp:positionV>
            <wp:extent cx="2743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83  </w:t>
      </w:r>
      <w:r>
        <w:rPr>
          <w:sz w:val="1"/>
          <w:szCs w:val="1"/>
          <w:color w:val="auto"/>
        </w:rPr>
        <w:drawing>
          <wp:inline distT="0" distB="0" distL="0" distR="0">
            <wp:extent cx="2203450" cy="154305"/>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APPROVAL OF AMENDED AND RESTATED LONG-TERM INCENTIVE PLAN EFFECTIVE MAY 18, 2021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2660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4A75"/>
        </w:rPr>
        <w:t>Proposal 3: Approval of Amended and Restated Long-Term Incentive Plan effective May 18, 2021</w:t>
      </w:r>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are seeking approval of our Amended and Restated Long-Term Incentive Plan (the “2021 Plan”), to renew the term of the 2018 Plan by four years, to a term date of May 31, 2025, and to authorize approximately 29 million additional shares, bringing the total number of shares authorized under the Plan to 85 million shares (which is unchanged from the shareholder-approved 2018 Plan). During our annual shareholder outreach program and discussion of our equity compensation practices, our shareholders indicated a preference for more frequent requests for approval of a smaller quantity of shares, as opposed to requesting larger quantities less frequently. As a result, the Compensation &amp; Management Development Committee and the Board considered this feedback in determining the number of shares to request for authorization under the 2021 Plan.</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2021 Plan would also continue to incorporate our compensation program for non-employee directors, with certain established retainers (both cash and equity) and certain limitations on future changes to those retainers (which are unchanged from the shareholder-approved 2018 Plan).</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w:t>
      </w:r>
      <w:r>
        <w:rPr>
          <w:rFonts w:ascii="Arial" w:cs="Arial" w:eastAsia="Arial" w:hAnsi="Arial"/>
          <w:sz w:val="16"/>
          <w:szCs w:val="16"/>
          <w:color w:val="074A75"/>
        </w:rPr>
        <w:t>| APPROVAL OF AMENDED AND RESTATED LONG-TERM INCENTIVE PLAN EFFECTIVE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spacing w:after="0" w:line="244" w:lineRule="auto"/>
        <w:rPr>
          <w:sz w:val="20"/>
          <w:szCs w:val="20"/>
          <w:color w:val="auto"/>
        </w:rPr>
      </w:pPr>
      <w:r>
        <w:rPr>
          <w:rFonts w:ascii="Arial" w:cs="Arial" w:eastAsia="Arial" w:hAnsi="Arial"/>
          <w:sz w:val="29"/>
          <w:szCs w:val="29"/>
          <w:color w:val="074A75"/>
        </w:rPr>
        <w:t>Proposal 3: Approval of Amended and Restated Long-Term Incentive Plan effective May 18, 2021</w:t>
      </w:r>
    </w:p>
    <w:p>
      <w:pPr>
        <w:sectPr>
          <w:pgSz w:w="11900" w:h="16838" w:orient="portrait"/>
          <w:cols w:equalWidth="0" w:num="1">
            <w:col w:w="11220"/>
          </w:cols>
          <w:pgMar w:left="320" w:top="171" w:right="3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JPMorgan Chase’s Long-Term Incentive Plan was last approved by shareholders on May 15, 2018 (the “2018 Plan”). On March 16, 2021, the Compensation &amp; Management Development Committee (“CMDC”) adopted, subject to shareholder approval, the Amended and Restated JPMorgan Chase Long-Term Incentive Plan (the “2021 Plan”). The 2021 Plan would supersede the 2018 Plan and apply to awards granted on or after May 18, 2021.</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submitting this proposal to our shareholders in response to feedback we received about our equity compensation practices during our annual shareholder outreach program. Our shareholders indicated a preference for more frequent requests for approval of a smaller quantity of shares, as opposed to requesting larger quantities less frequently. As a result, the CMDC and the Board considered this feedback in determining the number of shares to request for authorization under the 2021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primary purpose of the 2021 Plan is to:</w:t>
      </w:r>
    </w:p>
    <w:p>
      <w:pPr>
        <w:spacing w:after="0" w:line="139" w:lineRule="exact"/>
        <w:rPr>
          <w:sz w:val="20"/>
          <w:szCs w:val="20"/>
          <w:color w:val="auto"/>
        </w:rPr>
      </w:pPr>
    </w:p>
    <w:p>
      <w:pPr>
        <w:ind w:left="200" w:right="20" w:hanging="192"/>
        <w:spacing w:after="0" w:line="261" w:lineRule="auto"/>
        <w:tabs>
          <w:tab w:leader="none" w:pos="204" w:val="left"/>
        </w:tabs>
        <w:numPr>
          <w:ilvl w:val="0"/>
          <w:numId w:val="253"/>
        </w:numPr>
        <w:rPr>
          <w:rFonts w:ascii="Arial" w:cs="Arial" w:eastAsia="Arial" w:hAnsi="Arial"/>
          <w:sz w:val="18"/>
          <w:szCs w:val="18"/>
          <w:color w:val="074A75"/>
        </w:rPr>
      </w:pPr>
      <w:r>
        <w:rPr>
          <w:rFonts w:ascii="Arial" w:cs="Arial" w:eastAsia="Arial" w:hAnsi="Arial"/>
          <w:sz w:val="18"/>
          <w:szCs w:val="18"/>
          <w:color w:val="auto"/>
        </w:rPr>
        <w:t>Renew the term of the 2018 Plan by four years, to a term date of May 31, 2025;</w:t>
      </w:r>
    </w:p>
    <w:p>
      <w:pPr>
        <w:spacing w:after="0" w:line="89" w:lineRule="exact"/>
        <w:rPr>
          <w:rFonts w:ascii="Arial" w:cs="Arial" w:eastAsia="Arial" w:hAnsi="Arial"/>
          <w:sz w:val="18"/>
          <w:szCs w:val="18"/>
          <w:color w:val="074A75"/>
        </w:rPr>
      </w:pPr>
    </w:p>
    <w:p>
      <w:pPr>
        <w:ind w:left="200" w:right="100" w:hanging="192"/>
        <w:spacing w:after="0" w:line="256" w:lineRule="auto"/>
        <w:tabs>
          <w:tab w:leader="none" w:pos="204" w:val="left"/>
        </w:tabs>
        <w:numPr>
          <w:ilvl w:val="0"/>
          <w:numId w:val="253"/>
        </w:numPr>
        <w:rPr>
          <w:rFonts w:ascii="Arial" w:cs="Arial" w:eastAsia="Arial" w:hAnsi="Arial"/>
          <w:sz w:val="18"/>
          <w:szCs w:val="18"/>
          <w:color w:val="074A75"/>
        </w:rPr>
      </w:pPr>
      <w:r>
        <w:rPr>
          <w:rFonts w:ascii="Arial" w:cs="Arial" w:eastAsia="Arial" w:hAnsi="Arial"/>
          <w:sz w:val="18"/>
          <w:szCs w:val="18"/>
          <w:color w:val="auto"/>
        </w:rPr>
        <w:t>Authorize an additional 29 million shares, bringing the total number of authorized shares to 85 million, which is unchanged from those approved by shareholders under the 2018 Plan; and</w:t>
      </w:r>
    </w:p>
    <w:p>
      <w:pPr>
        <w:spacing w:after="0" w:line="93" w:lineRule="exact"/>
        <w:rPr>
          <w:rFonts w:ascii="Arial" w:cs="Arial" w:eastAsia="Arial" w:hAnsi="Arial"/>
          <w:sz w:val="18"/>
          <w:szCs w:val="18"/>
          <w:color w:val="074A75"/>
        </w:rPr>
      </w:pPr>
    </w:p>
    <w:p>
      <w:pPr>
        <w:ind w:left="200" w:right="640" w:hanging="192"/>
        <w:spacing w:after="0" w:line="256" w:lineRule="auto"/>
        <w:tabs>
          <w:tab w:leader="none" w:pos="204" w:val="left"/>
        </w:tabs>
        <w:numPr>
          <w:ilvl w:val="0"/>
          <w:numId w:val="253"/>
        </w:numPr>
        <w:rPr>
          <w:rFonts w:ascii="Arial" w:cs="Arial" w:eastAsia="Arial" w:hAnsi="Arial"/>
          <w:sz w:val="18"/>
          <w:szCs w:val="18"/>
          <w:color w:val="074A75"/>
        </w:rPr>
      </w:pPr>
      <w:r>
        <w:rPr>
          <w:rFonts w:ascii="Arial" w:cs="Arial" w:eastAsia="Arial" w:hAnsi="Arial"/>
          <w:sz w:val="18"/>
          <w:szCs w:val="18"/>
          <w:color w:val="auto"/>
        </w:rPr>
        <w:t>Continue to incorporate our non-employee director compensation program (unchanged from the 2018 Plan), including:</w:t>
      </w:r>
    </w:p>
    <w:p>
      <w:pPr>
        <w:spacing w:after="0" w:line="93" w:lineRule="exact"/>
        <w:rPr>
          <w:rFonts w:ascii="Arial" w:cs="Arial" w:eastAsia="Arial" w:hAnsi="Arial"/>
          <w:sz w:val="18"/>
          <w:szCs w:val="18"/>
          <w:color w:val="074A75"/>
        </w:rPr>
      </w:pPr>
    </w:p>
    <w:p>
      <w:pPr>
        <w:ind w:left="460" w:right="20" w:hanging="194"/>
        <w:spacing w:after="0" w:line="252" w:lineRule="auto"/>
        <w:rPr>
          <w:rFonts w:ascii="Arial" w:cs="Arial" w:eastAsia="Arial" w:hAnsi="Arial"/>
          <w:sz w:val="18"/>
          <w:szCs w:val="18"/>
          <w:color w:val="074A75"/>
        </w:rPr>
      </w:pPr>
      <w:r>
        <w:rPr>
          <w:rFonts w:ascii="Arial" w:cs="Arial" w:eastAsia="Arial" w:hAnsi="Arial"/>
          <w:sz w:val="18"/>
          <w:szCs w:val="18"/>
          <w:color w:val="auto"/>
        </w:rPr>
        <w:t>– Annual cash retainer of $100,000 and, if the non-employee director is on the Board at the time when annual performance year equity awards are granted, an annual grant of deferred stock units valued at $250,000. The Board is authorized in its discretion to increase the cash retainer and/or the equity award by a combined total of up to $25,000, to decrease them, or to change their form; and</w:t>
      </w:r>
    </w:p>
    <w:p>
      <w:pPr>
        <w:spacing w:after="0" w:line="98" w:lineRule="exact"/>
        <w:rPr>
          <w:rFonts w:ascii="Arial" w:cs="Arial" w:eastAsia="Arial" w:hAnsi="Arial"/>
          <w:sz w:val="18"/>
          <w:szCs w:val="18"/>
          <w:color w:val="074A75"/>
        </w:rPr>
      </w:pPr>
    </w:p>
    <w:p>
      <w:pPr>
        <w:ind w:left="460" w:right="100" w:hanging="194"/>
        <w:spacing w:after="0" w:line="251" w:lineRule="auto"/>
        <w:rPr>
          <w:rFonts w:ascii="Arial" w:cs="Arial" w:eastAsia="Arial" w:hAnsi="Arial"/>
          <w:sz w:val="18"/>
          <w:szCs w:val="18"/>
          <w:color w:val="074A75"/>
        </w:rPr>
      </w:pPr>
      <w:r>
        <w:rPr>
          <w:rFonts w:ascii="Arial" w:cs="Arial" w:eastAsia="Arial" w:hAnsi="Arial"/>
          <w:sz w:val="18"/>
          <w:szCs w:val="18"/>
          <w:color w:val="auto"/>
        </w:rPr>
        <w:t>– Designated role cash retainers of: (i) $30,000 for serving as the Lead Independent Director; (ii) $25,000 for chairing the JPMorgan Chase Bank, N.A. (“Bank”) board, Audit Committee or Risk Committee; and (iii) $15,000 for chairing any other principal standing committee or for serving on any of the Bank board, Audit Committee or Risk Committee. The Board is authorized in its discretion to increase any of these retainers by up to $5,000, to decrease them, or to change their form.</w:t>
      </w:r>
    </w:p>
    <w:p>
      <w:pPr>
        <w:spacing w:after="0" w:line="20" w:lineRule="exact"/>
        <w:rPr>
          <w:sz w:val="20"/>
          <w:szCs w:val="20"/>
          <w:color w:val="auto"/>
        </w:rPr>
      </w:pPr>
      <w:r>
        <w:rPr>
          <w:sz w:val="20"/>
          <w:szCs w:val="20"/>
          <w:color w:val="auto"/>
        </w:rPr>
        <w:br w:type="column"/>
      </w:r>
    </w:p>
    <w:p>
      <w:pPr>
        <w:ind w:right="420"/>
        <w:spacing w:after="0" w:line="261" w:lineRule="auto"/>
        <w:rPr>
          <w:sz w:val="20"/>
          <w:szCs w:val="20"/>
          <w:color w:val="auto"/>
        </w:rPr>
      </w:pPr>
      <w:r>
        <w:rPr>
          <w:rFonts w:ascii="Arial" w:cs="Arial" w:eastAsia="Arial" w:hAnsi="Arial"/>
          <w:sz w:val="18"/>
          <w:szCs w:val="18"/>
          <w:b w:val="1"/>
          <w:bCs w:val="1"/>
          <w:color w:val="auto"/>
        </w:rPr>
        <w:t>The 2021 Plan maintains many of the governance practices and features of the 2018 Plan, including:</w:t>
      </w:r>
    </w:p>
    <w:p>
      <w:pPr>
        <w:spacing w:after="0" w:line="90" w:lineRule="exact"/>
        <w:rPr>
          <w:sz w:val="20"/>
          <w:szCs w:val="20"/>
          <w:color w:val="auto"/>
        </w:rPr>
      </w:pPr>
    </w:p>
    <w:p>
      <w:pPr>
        <w:ind w:left="200" w:right="660" w:hanging="196"/>
        <w:spacing w:after="0" w:line="261" w:lineRule="auto"/>
        <w:tabs>
          <w:tab w:leader="none" w:pos="204" w:val="left"/>
        </w:tabs>
        <w:numPr>
          <w:ilvl w:val="0"/>
          <w:numId w:val="254"/>
        </w:numPr>
        <w:rPr>
          <w:rFonts w:ascii="Arial" w:cs="Arial" w:eastAsia="Arial" w:hAnsi="Arial"/>
          <w:sz w:val="18"/>
          <w:szCs w:val="18"/>
          <w:color w:val="074A75"/>
        </w:rPr>
      </w:pPr>
      <w:r>
        <w:rPr>
          <w:rFonts w:ascii="Arial" w:cs="Arial" w:eastAsia="Arial" w:hAnsi="Arial"/>
          <w:sz w:val="18"/>
          <w:szCs w:val="18"/>
          <w:color w:val="auto"/>
        </w:rPr>
        <w:t>The exclusion of our stock option/stock appreciation rights (“SARs”) recycling feature;</w:t>
      </w:r>
    </w:p>
    <w:p>
      <w:pPr>
        <w:spacing w:after="0" w:line="89" w:lineRule="exact"/>
        <w:rPr>
          <w:rFonts w:ascii="Arial" w:cs="Arial" w:eastAsia="Arial" w:hAnsi="Arial"/>
          <w:sz w:val="18"/>
          <w:szCs w:val="18"/>
          <w:color w:val="074A75"/>
        </w:rPr>
      </w:pPr>
    </w:p>
    <w:p>
      <w:pPr>
        <w:ind w:left="200" w:right="160" w:hanging="196"/>
        <w:spacing w:after="0" w:line="256" w:lineRule="auto"/>
        <w:tabs>
          <w:tab w:leader="none" w:pos="204" w:val="left"/>
        </w:tabs>
        <w:numPr>
          <w:ilvl w:val="0"/>
          <w:numId w:val="254"/>
        </w:numPr>
        <w:rPr>
          <w:rFonts w:ascii="Arial" w:cs="Arial" w:eastAsia="Arial" w:hAnsi="Arial"/>
          <w:sz w:val="18"/>
          <w:szCs w:val="18"/>
          <w:color w:val="074A75"/>
        </w:rPr>
      </w:pPr>
      <w:r>
        <w:rPr>
          <w:rFonts w:ascii="Arial" w:cs="Arial" w:eastAsia="Arial" w:hAnsi="Arial"/>
          <w:sz w:val="18"/>
          <w:szCs w:val="18"/>
          <w:color w:val="auto"/>
        </w:rPr>
        <w:t>The inclusion of a one year minimum vesting requirement on the 5% of shares that are exempt from the minimum three year vesting;</w:t>
      </w:r>
    </w:p>
    <w:p>
      <w:pPr>
        <w:spacing w:after="0" w:line="93" w:lineRule="exact"/>
        <w:rPr>
          <w:rFonts w:ascii="Arial" w:cs="Arial" w:eastAsia="Arial" w:hAnsi="Arial"/>
          <w:sz w:val="18"/>
          <w:szCs w:val="18"/>
          <w:color w:val="074A75"/>
        </w:rPr>
      </w:pPr>
    </w:p>
    <w:p>
      <w:pPr>
        <w:ind w:left="200" w:right="320" w:hanging="196"/>
        <w:spacing w:after="0" w:line="256" w:lineRule="auto"/>
        <w:tabs>
          <w:tab w:leader="none" w:pos="204" w:val="left"/>
        </w:tabs>
        <w:numPr>
          <w:ilvl w:val="0"/>
          <w:numId w:val="254"/>
        </w:numPr>
        <w:rPr>
          <w:rFonts w:ascii="Arial" w:cs="Arial" w:eastAsia="Arial" w:hAnsi="Arial"/>
          <w:sz w:val="18"/>
          <w:szCs w:val="18"/>
          <w:color w:val="074A75"/>
        </w:rPr>
      </w:pPr>
      <w:r>
        <w:rPr>
          <w:rFonts w:ascii="Arial" w:cs="Arial" w:eastAsia="Arial" w:hAnsi="Arial"/>
          <w:sz w:val="18"/>
          <w:szCs w:val="18"/>
          <w:color w:val="auto"/>
        </w:rPr>
        <w:t>The reduction of the maximum number of shares that can be granted as Incentive Stock Options from 20 million to 7 million; and</w:t>
      </w:r>
    </w:p>
    <w:p>
      <w:pPr>
        <w:spacing w:after="0" w:line="93" w:lineRule="exact"/>
        <w:rPr>
          <w:rFonts w:ascii="Arial" w:cs="Arial" w:eastAsia="Arial" w:hAnsi="Arial"/>
          <w:sz w:val="18"/>
          <w:szCs w:val="18"/>
          <w:color w:val="074A75"/>
        </w:rPr>
      </w:pPr>
    </w:p>
    <w:p>
      <w:pPr>
        <w:ind w:left="200" w:hanging="196"/>
        <w:spacing w:after="0"/>
        <w:tabs>
          <w:tab w:leader="none" w:pos="200" w:val="left"/>
        </w:tabs>
        <w:numPr>
          <w:ilvl w:val="0"/>
          <w:numId w:val="254"/>
        </w:numPr>
        <w:rPr>
          <w:rFonts w:ascii="Arial" w:cs="Arial" w:eastAsia="Arial" w:hAnsi="Arial"/>
          <w:sz w:val="18"/>
          <w:szCs w:val="18"/>
          <w:color w:val="074A75"/>
        </w:rPr>
      </w:pPr>
      <w:r>
        <w:rPr>
          <w:rFonts w:ascii="Arial" w:cs="Arial" w:eastAsia="Arial" w:hAnsi="Arial"/>
          <w:sz w:val="18"/>
          <w:szCs w:val="18"/>
          <w:color w:val="auto"/>
        </w:rPr>
        <w:t>The standard of review for actions under the 2021 Plan.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Why shareholders should approve the 2021 Plan</w:t>
      </w:r>
    </w:p>
    <w:p>
      <w:pPr>
        <w:spacing w:after="0" w:line="11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believe that voting in favor of the 2021 Plan is important, as a well-designed equity program serves to strengthen the alignment of employees’ long-term economic interests with those of shareholders while not causing unreasonable dilution to shareholders. Without shareholder approval, the Firm will lose a critical shareholder alignment feature of our compensation framework. The Firm is seeking shareholder approval one year before the 2022 expiration of the 2018 Plan to ensure that our compensation program continues to be aligned with the interests of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074A75"/>
        </w:rPr>
        <w:t>Summary of the 2021 Plan</w:t>
      </w:r>
    </w:p>
    <w:p>
      <w:pPr>
        <w:spacing w:after="0" w:line="11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following summary of the 2021 Plan sets forth its material terms. It is, however, a summary and is qualified in its entirety by reference to the complete text of the 2021 Plan, a copy of which is attached as an Appendix.</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Participation</w:t>
      </w:r>
    </w:p>
    <w:p>
      <w:pPr>
        <w:spacing w:after="0" w:line="1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2021 Plan is designed to encourage employees and non-employee members of the Board to acquire a proprietary and vested interest in the long-term growth and performance of JPMorgan Chase and its subsidiaries. The 2021 Plan also serves to attract and retain individuals of exceptional talent. All of our approximately 255,000 employees are eligible to participate in the 2021 Plan, as are our 9 non-employee Directors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860425</wp:posOffset>
            </wp:positionV>
            <wp:extent cx="27432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247" w:lineRule="exact"/>
        <w:rPr>
          <w:sz w:val="20"/>
          <w:szCs w:val="20"/>
          <w:color w:val="auto"/>
        </w:rPr>
      </w:pPr>
    </w:p>
    <w:p>
      <w:pPr>
        <w:sectPr>
          <w:pgSz w:w="11900" w:h="16838" w:orient="portrait"/>
          <w:cols w:equalWidth="0" w:num="2">
            <w:col w:w="5360" w:space="380"/>
            <w:col w:w="5480"/>
          </w:cols>
          <w:pgMar w:left="320" w:top="171" w:right="359" w:bottom="1440" w:gutter="0" w:footer="0" w:header="0"/>
          <w:type w:val="continuous"/>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85  </w:t>
      </w:r>
      <w:r>
        <w:rPr>
          <w:sz w:val="1"/>
          <w:szCs w:val="1"/>
          <w:color w:val="auto"/>
        </w:rPr>
        <w:drawing>
          <wp:inline distT="0" distB="0" distL="0" distR="0">
            <wp:extent cx="2203450" cy="154305"/>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APPROVAL OF AMENDED AND RESTATED LONG-TERM INCENTIVE PLAN EFFECTIVE MAY 18, 2021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Unless otherwise determined by the Board of Directors, the 2021 Plan is administered by the Compensation &amp; Management Development Committee of the Board. Subject to the provisions of the 2021 Plan, the CMDC has complete control over the administration of the 2021 Plan and has the authority in its sole discretion to:</w:t>
      </w:r>
    </w:p>
    <w:p>
      <w:pPr>
        <w:spacing w:after="0" w:line="100" w:lineRule="exact"/>
        <w:rPr>
          <w:sz w:val="20"/>
          <w:szCs w:val="20"/>
          <w:color w:val="auto"/>
        </w:rPr>
      </w:pPr>
    </w:p>
    <w:p>
      <w:pPr>
        <w:ind w:left="200" w:right="160" w:hanging="192"/>
        <w:spacing w:after="0" w:line="261" w:lineRule="auto"/>
        <w:tabs>
          <w:tab w:leader="none" w:pos="204" w:val="left"/>
        </w:tabs>
        <w:numPr>
          <w:ilvl w:val="0"/>
          <w:numId w:val="255"/>
        </w:numPr>
        <w:rPr>
          <w:rFonts w:ascii="Arial" w:cs="Arial" w:eastAsia="Arial" w:hAnsi="Arial"/>
          <w:sz w:val="18"/>
          <w:szCs w:val="18"/>
          <w:color w:val="074A75"/>
        </w:rPr>
      </w:pPr>
      <w:r>
        <w:rPr>
          <w:rFonts w:ascii="Arial" w:cs="Arial" w:eastAsia="Arial" w:hAnsi="Arial"/>
          <w:sz w:val="18"/>
          <w:szCs w:val="18"/>
          <w:color w:val="auto"/>
        </w:rPr>
        <w:t>Construe, interpret and implement the 2021 Plan and all award agreements;</w:t>
      </w:r>
    </w:p>
    <w:p>
      <w:pPr>
        <w:spacing w:after="0" w:line="89" w:lineRule="exact"/>
        <w:rPr>
          <w:rFonts w:ascii="Arial" w:cs="Arial" w:eastAsia="Arial" w:hAnsi="Arial"/>
          <w:sz w:val="18"/>
          <w:szCs w:val="18"/>
          <w:color w:val="074A75"/>
        </w:rPr>
      </w:pPr>
    </w:p>
    <w:p>
      <w:pPr>
        <w:ind w:left="200" w:right="100" w:hanging="192"/>
        <w:spacing w:after="0" w:line="261" w:lineRule="auto"/>
        <w:tabs>
          <w:tab w:leader="none" w:pos="204" w:val="left"/>
        </w:tabs>
        <w:numPr>
          <w:ilvl w:val="0"/>
          <w:numId w:val="255"/>
        </w:numPr>
        <w:rPr>
          <w:rFonts w:ascii="Arial" w:cs="Arial" w:eastAsia="Arial" w:hAnsi="Arial"/>
          <w:sz w:val="18"/>
          <w:szCs w:val="18"/>
          <w:color w:val="074A75"/>
        </w:rPr>
      </w:pPr>
      <w:r>
        <w:rPr>
          <w:rFonts w:ascii="Arial" w:cs="Arial" w:eastAsia="Arial" w:hAnsi="Arial"/>
          <w:sz w:val="18"/>
          <w:szCs w:val="18"/>
          <w:color w:val="auto"/>
        </w:rPr>
        <w:t>Establish, amend and rescind any rules and regulations relating to the 2021 Plan;</w:t>
      </w:r>
    </w:p>
    <w:p>
      <w:pPr>
        <w:spacing w:after="0" w:line="89" w:lineRule="exact"/>
        <w:rPr>
          <w:rFonts w:ascii="Arial" w:cs="Arial" w:eastAsia="Arial" w:hAnsi="Arial"/>
          <w:sz w:val="18"/>
          <w:szCs w:val="18"/>
          <w:color w:val="074A75"/>
        </w:rPr>
      </w:pPr>
    </w:p>
    <w:p>
      <w:pPr>
        <w:ind w:left="200" w:hanging="192"/>
        <w:spacing w:after="0"/>
        <w:tabs>
          <w:tab w:leader="none" w:pos="200" w:val="left"/>
        </w:tabs>
        <w:numPr>
          <w:ilvl w:val="0"/>
          <w:numId w:val="255"/>
        </w:numPr>
        <w:rPr>
          <w:rFonts w:ascii="Arial" w:cs="Arial" w:eastAsia="Arial" w:hAnsi="Arial"/>
          <w:sz w:val="18"/>
          <w:szCs w:val="18"/>
          <w:color w:val="074A75"/>
        </w:rPr>
      </w:pPr>
      <w:r>
        <w:rPr>
          <w:rFonts w:ascii="Arial" w:cs="Arial" w:eastAsia="Arial" w:hAnsi="Arial"/>
          <w:sz w:val="18"/>
          <w:szCs w:val="18"/>
          <w:color w:val="auto"/>
        </w:rPr>
        <w:t>Grant awards under the 2021 Plan;</w:t>
      </w:r>
    </w:p>
    <w:p>
      <w:pPr>
        <w:spacing w:after="0" w:line="117" w:lineRule="exact"/>
        <w:rPr>
          <w:rFonts w:ascii="Arial" w:cs="Arial" w:eastAsia="Arial" w:hAnsi="Arial"/>
          <w:sz w:val="18"/>
          <w:szCs w:val="18"/>
          <w:color w:val="074A75"/>
        </w:rPr>
      </w:pPr>
    </w:p>
    <w:p>
      <w:pPr>
        <w:ind w:left="200" w:hanging="192"/>
        <w:spacing w:after="0" w:line="261" w:lineRule="auto"/>
        <w:tabs>
          <w:tab w:leader="none" w:pos="204" w:val="left"/>
        </w:tabs>
        <w:numPr>
          <w:ilvl w:val="0"/>
          <w:numId w:val="255"/>
        </w:numPr>
        <w:rPr>
          <w:rFonts w:ascii="Arial" w:cs="Arial" w:eastAsia="Arial" w:hAnsi="Arial"/>
          <w:sz w:val="18"/>
          <w:szCs w:val="18"/>
          <w:color w:val="074A75"/>
        </w:rPr>
      </w:pPr>
      <w:r>
        <w:rPr>
          <w:rFonts w:ascii="Arial" w:cs="Arial" w:eastAsia="Arial" w:hAnsi="Arial"/>
          <w:sz w:val="18"/>
          <w:szCs w:val="18"/>
          <w:color w:val="auto"/>
        </w:rPr>
        <w:t>Determine who shall receive awards, when such awards shall be made and the terms and provisions of award agreements;</w:t>
      </w:r>
    </w:p>
    <w:p>
      <w:pPr>
        <w:spacing w:after="0" w:line="89" w:lineRule="exact"/>
        <w:rPr>
          <w:rFonts w:ascii="Arial" w:cs="Arial" w:eastAsia="Arial" w:hAnsi="Arial"/>
          <w:sz w:val="18"/>
          <w:szCs w:val="18"/>
          <w:color w:val="074A75"/>
        </w:rPr>
      </w:pPr>
    </w:p>
    <w:p>
      <w:pPr>
        <w:ind w:left="200" w:right="740" w:hanging="192"/>
        <w:spacing w:after="0" w:line="291" w:lineRule="auto"/>
        <w:tabs>
          <w:tab w:leader="none" w:pos="204" w:val="left"/>
        </w:tabs>
        <w:numPr>
          <w:ilvl w:val="0"/>
          <w:numId w:val="255"/>
        </w:numPr>
        <w:rPr>
          <w:rFonts w:ascii="Arial" w:cs="Arial" w:eastAsia="Arial" w:hAnsi="Arial"/>
          <w:sz w:val="17"/>
          <w:szCs w:val="17"/>
          <w:color w:val="074A75"/>
        </w:rPr>
      </w:pPr>
      <w:r>
        <w:rPr>
          <w:rFonts w:ascii="Arial" w:cs="Arial" w:eastAsia="Arial" w:hAnsi="Arial"/>
          <w:sz w:val="17"/>
          <w:szCs w:val="17"/>
          <w:color w:val="auto"/>
        </w:rPr>
        <w:t>Establish plans supplemental to the 2021 Plan covering employees residing outside of the United States;</w:t>
      </w:r>
    </w:p>
    <w:p>
      <w:pPr>
        <w:spacing w:after="0" w:line="65" w:lineRule="exact"/>
        <w:rPr>
          <w:rFonts w:ascii="Arial" w:cs="Arial" w:eastAsia="Arial" w:hAnsi="Arial"/>
          <w:sz w:val="17"/>
          <w:szCs w:val="17"/>
          <w:color w:val="074A75"/>
        </w:rPr>
      </w:pPr>
    </w:p>
    <w:p>
      <w:pPr>
        <w:ind w:left="200" w:hanging="192"/>
        <w:spacing w:after="0" w:line="261" w:lineRule="auto"/>
        <w:tabs>
          <w:tab w:leader="none" w:pos="204" w:val="left"/>
        </w:tabs>
        <w:numPr>
          <w:ilvl w:val="0"/>
          <w:numId w:val="255"/>
        </w:numPr>
        <w:rPr>
          <w:rFonts w:ascii="Arial" w:cs="Arial" w:eastAsia="Arial" w:hAnsi="Arial"/>
          <w:sz w:val="18"/>
          <w:szCs w:val="18"/>
          <w:color w:val="074A75"/>
        </w:rPr>
      </w:pPr>
      <w:r>
        <w:rPr>
          <w:rFonts w:ascii="Arial" w:cs="Arial" w:eastAsia="Arial" w:hAnsi="Arial"/>
          <w:sz w:val="18"/>
          <w:szCs w:val="18"/>
          <w:color w:val="auto"/>
        </w:rPr>
        <w:t>Provide for mandatory or voluntary deferrals of awards under the 2021 Plan; and</w:t>
      </w:r>
    </w:p>
    <w:p>
      <w:pPr>
        <w:spacing w:after="0" w:line="89" w:lineRule="exact"/>
        <w:rPr>
          <w:rFonts w:ascii="Arial" w:cs="Arial" w:eastAsia="Arial" w:hAnsi="Arial"/>
          <w:sz w:val="18"/>
          <w:szCs w:val="18"/>
          <w:color w:val="074A75"/>
        </w:rPr>
      </w:pPr>
    </w:p>
    <w:p>
      <w:pPr>
        <w:jc w:val="both"/>
        <w:ind w:left="200" w:right="180" w:hanging="192"/>
        <w:spacing w:after="0" w:line="291" w:lineRule="auto"/>
        <w:tabs>
          <w:tab w:leader="none" w:pos="204" w:val="left"/>
        </w:tabs>
        <w:numPr>
          <w:ilvl w:val="0"/>
          <w:numId w:val="255"/>
        </w:numPr>
        <w:rPr>
          <w:rFonts w:ascii="Arial" w:cs="Arial" w:eastAsia="Arial" w:hAnsi="Arial"/>
          <w:sz w:val="17"/>
          <w:szCs w:val="17"/>
          <w:color w:val="074A75"/>
        </w:rPr>
      </w:pPr>
      <w:r>
        <w:rPr>
          <w:rFonts w:ascii="Arial" w:cs="Arial" w:eastAsia="Arial" w:hAnsi="Arial"/>
          <w:sz w:val="17"/>
          <w:szCs w:val="17"/>
          <w:color w:val="auto"/>
        </w:rPr>
        <w:t>Make all other determinations in its discretion that it may deem necessary or advisable for the administration of the 2021 Plan.</w:t>
      </w:r>
    </w:p>
    <w:p>
      <w:pPr>
        <w:spacing w:after="0" w:line="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CMDC may delegate to officers of JPMorgan Chase responsibility for awards to officers and employees of our Firm not subject to Section 16 of the Securities Exchange Act of 1934. The CMDC’s determinations in the administration of the 2021 Plan will be final, and the Board and the CMDC will have no liability for any action taken under the 2021 Plan in good faith (including any action taken relating to awards to our non-employee directors).</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Governance Committee is responsible for reviewing and making recommendations to the Board regarding awards to our non-employee directors.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this proposal is approved, a total of 85 million shares will be authorized for issuance under the 2021 Plan, including 56 million remaining shares from the 2018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forms of the awards that may be granted under the 2021 Plan are:</w:t>
      </w:r>
    </w:p>
    <w:p>
      <w:pPr>
        <w:spacing w:after="0" w:line="72" w:lineRule="exact"/>
        <w:rPr>
          <w:sz w:val="20"/>
          <w:szCs w:val="20"/>
          <w:color w:val="auto"/>
        </w:rPr>
      </w:pPr>
    </w:p>
    <w:p>
      <w:pPr>
        <w:ind w:left="200" w:hanging="192"/>
        <w:spacing w:after="0" w:line="254" w:lineRule="auto"/>
        <w:tabs>
          <w:tab w:leader="none" w:pos="204" w:val="left"/>
        </w:tabs>
        <w:numPr>
          <w:ilvl w:val="0"/>
          <w:numId w:val="256"/>
        </w:numPr>
        <w:rPr>
          <w:rFonts w:ascii="Arial" w:cs="Arial" w:eastAsia="Arial" w:hAnsi="Arial"/>
          <w:sz w:val="18"/>
          <w:szCs w:val="18"/>
          <w:color w:val="074A75"/>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May be awarded in the form of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or a nonqualified stock option. Stock options may not be exercisable later than 10 years after their date of grant. The CMDC will establish the option exercise price at the time the option is granted, provided that the exercise price may not be less than 100% of the fair market value of a share of common stock on the date of grant. The exercise price shall be paid in full at the time of such exercise, with the method and form of such payment determined by the CMDC from time to time.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196" w:right="100" w:hanging="196"/>
        <w:spacing w:after="0" w:line="251" w:lineRule="auto"/>
        <w:tabs>
          <w:tab w:leader="none" w:pos="200" w:val="left"/>
        </w:tabs>
        <w:numPr>
          <w:ilvl w:val="0"/>
          <w:numId w:val="257"/>
        </w:numPr>
        <w:rPr>
          <w:rFonts w:ascii="Arial" w:cs="Arial" w:eastAsia="Arial" w:hAnsi="Arial"/>
          <w:sz w:val="18"/>
          <w:szCs w:val="18"/>
          <w:color w:val="074A75"/>
        </w:rPr>
      </w:pPr>
      <w:r>
        <w:rPr>
          <w:rFonts w:ascii="Arial" w:cs="Arial" w:eastAsia="Arial" w:hAnsi="Arial"/>
          <w:sz w:val="18"/>
          <w:szCs w:val="18"/>
          <w:i w:val="1"/>
          <w:iCs w:val="1"/>
          <w:color w:val="auto"/>
        </w:rPr>
        <w:t>SARs</w:t>
      </w:r>
      <w:r>
        <w:rPr>
          <w:rFonts w:ascii="Arial" w:cs="Arial" w:eastAsia="Arial" w:hAnsi="Arial"/>
          <w:sz w:val="18"/>
          <w:szCs w:val="18"/>
          <w:color w:val="auto"/>
        </w:rPr>
        <w:t>. The CMDC may award SARs. Upon exercise, a SAR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entitles a participant to receive an amount equal to the positive difference between the fair market value of a share of common stock on the date the SAR is exercised and the per share exercise price of the SAR, multiplied by the number of shares of common stock with respect to which the SAR is exercised. SARs may not be exercisable later than 10 years after the date they are granted. The exercise price per share of common stock covered by a SAR is determined by the CMDC at the time each SAR is granted; provided, however, that the exercise price may not be less than 100% of the fair market value of a share of common stock on the date of grant. SARs may be granted independently of any award of stock options or in conjunction with all or any part of a stock options award, either at the same time the award of stock options is granted or at any later time during the term of such options. If a SAR is granted in tandem with a stock option, the exercise price of the SAR will not be less than 100% of the fair market value of a share of common stock on the date of grant. A SAR or applicable portion thereof allocated to a stock option shall terminate and no longer be exercisable upon the termination or exercise of any related stock option. The CMDC will determine at the date of grant whether the SAR shall be settled in cash, common stock or a combination of cash and common stock.</w:t>
      </w:r>
    </w:p>
    <w:p>
      <w:pPr>
        <w:spacing w:after="0" w:line="96" w:lineRule="exact"/>
        <w:rPr>
          <w:rFonts w:ascii="Arial" w:cs="Arial" w:eastAsia="Arial" w:hAnsi="Arial"/>
          <w:sz w:val="18"/>
          <w:szCs w:val="18"/>
          <w:color w:val="074A75"/>
        </w:rPr>
      </w:pPr>
    </w:p>
    <w:p>
      <w:pPr>
        <w:ind w:left="196" w:right="120" w:hanging="196"/>
        <w:spacing w:after="0" w:line="252" w:lineRule="auto"/>
        <w:tabs>
          <w:tab w:leader="none" w:pos="200" w:val="left"/>
        </w:tabs>
        <w:numPr>
          <w:ilvl w:val="0"/>
          <w:numId w:val="257"/>
        </w:numPr>
        <w:rPr>
          <w:rFonts w:ascii="Arial" w:cs="Arial" w:eastAsia="Arial" w:hAnsi="Arial"/>
          <w:sz w:val="18"/>
          <w:szCs w:val="18"/>
          <w:color w:val="074A75"/>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CMDC may grant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other awards that are valued in whole or in part by reference to, or otherwise based on the fair market value of common stock (“Other Stock-Based Awards”). Other Stock-Based Awards include, without limitation: (i) shares of common stock; (ii) shares of common stock subject to restrictions on transfer until the completion of a specified period of service, the occurrence of an event or the attainment of performance objectives (each as specified by the CMDC); (iii) shares of common stock issuable upon the completion of a specified period of service; (iv) restricted stock units distributed in the form of shares of common stock after the restrictions lapse; and (v) conditioning the right to an award upon the occurrence of an event or the attainment of one or more performance objectives. The CMDC shall determine at the time of grant whether Other Stock-Based Awards shall be settled in cash, common stock or a combination of cash and common stock.</w:t>
      </w:r>
    </w:p>
    <w:p>
      <w:pPr>
        <w:spacing w:after="0" w:line="85" w:lineRule="exact"/>
        <w:rPr>
          <w:rFonts w:ascii="Arial" w:cs="Arial" w:eastAsia="Arial" w:hAnsi="Arial"/>
          <w:sz w:val="18"/>
          <w:szCs w:val="18"/>
          <w:color w:val="074A75"/>
        </w:rPr>
      </w:pPr>
    </w:p>
    <w:p>
      <w:pPr>
        <w:ind w:left="196" w:right="180" w:hanging="196"/>
        <w:spacing w:after="0" w:line="254" w:lineRule="auto"/>
        <w:tabs>
          <w:tab w:leader="none" w:pos="200" w:val="left"/>
        </w:tabs>
        <w:numPr>
          <w:ilvl w:val="0"/>
          <w:numId w:val="257"/>
        </w:numPr>
        <w:rPr>
          <w:rFonts w:ascii="Arial" w:cs="Arial" w:eastAsia="Arial" w:hAnsi="Arial"/>
          <w:sz w:val="18"/>
          <w:szCs w:val="18"/>
          <w:color w:val="074A75"/>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2021 Plan provides that the CMDC</w:t>
      </w:r>
      <w:r>
        <w:rPr>
          <w:rFonts w:ascii="Arial" w:cs="Arial" w:eastAsia="Arial" w:hAnsi="Arial"/>
          <w:sz w:val="18"/>
          <w:szCs w:val="18"/>
          <w:i w:val="1"/>
          <w:iCs w:val="1"/>
          <w:color w:val="auto"/>
        </w:rPr>
        <w:t xml:space="preserve"> </w:t>
      </w:r>
      <w:r>
        <w:rPr>
          <w:rFonts w:ascii="Arial" w:cs="Arial" w:eastAsia="Arial" w:hAnsi="Arial"/>
          <w:sz w:val="18"/>
          <w:szCs w:val="18"/>
          <w:color w:val="auto"/>
        </w:rPr>
        <w:t>may specify performance criteria or standards with respect to an award based upon one or more of the following criteria: stock price, shareholder value added, earnings per share, income before or after taxes (including income before interest, taxes, depreciation and amortization), return on common equity including return on tangible common equity, revenue growth, efficiency ratio, expense management, return on investment, ratio of non-performing assets to performing assets, return on</w:t>
      </w:r>
    </w:p>
    <w:p>
      <w:pPr>
        <w:spacing w:after="0" w:line="740" w:lineRule="exact"/>
        <w:rPr>
          <w:sz w:val="20"/>
          <w:szCs w:val="20"/>
          <w:color w:val="auto"/>
        </w:rPr>
      </w:pPr>
    </w:p>
    <w:p>
      <w:pPr>
        <w:sectPr>
          <w:pgSz w:w="11900" w:h="16838" w:orient="portrait"/>
          <w:cols w:equalWidth="0" w:num="2">
            <w:col w:w="5360" w:space="384"/>
            <w:col w:w="5476"/>
          </w:cols>
          <w:pgMar w:left="320" w:top="171" w:right="35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w:t>
      </w:r>
      <w:r>
        <w:rPr>
          <w:rFonts w:ascii="Arial" w:cs="Arial" w:eastAsia="Arial" w:hAnsi="Arial"/>
          <w:sz w:val="16"/>
          <w:szCs w:val="16"/>
          <w:color w:val="074A75"/>
        </w:rPr>
        <w:t>| APPROVAL OF AMENDED AND RESTATED LONG-TERM INCENTIVE PLAN EFFECTIVE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9" w:lineRule="exact"/>
        <w:rPr>
          <w:sz w:val="20"/>
          <w:szCs w:val="20"/>
          <w:color w:val="auto"/>
        </w:rPr>
      </w:pPr>
    </w:p>
    <w:p>
      <w:pPr>
        <w:ind w:left="200" w:right="20"/>
        <w:spacing w:after="0" w:line="251" w:lineRule="auto"/>
        <w:rPr>
          <w:sz w:val="20"/>
          <w:szCs w:val="20"/>
          <w:color w:val="auto"/>
        </w:rPr>
      </w:pPr>
      <w:r>
        <w:rPr>
          <w:rFonts w:ascii="Arial" w:cs="Arial" w:eastAsia="Arial" w:hAnsi="Arial"/>
          <w:sz w:val="18"/>
          <w:szCs w:val="18"/>
          <w:color w:val="auto"/>
        </w:rPr>
        <w:t>assets, profitability or performance of identifiable business units, credit quality, or any other criteria as determined by the CMDC in its sole discretion. In addition, where relevant, the foregoing targets may be applied to JPMorgan Chase, one or more of its subsidiaries or one or more of JPMorgan Chase’s divisions or business units. The CMDC will determine whether, with respect to a performance period, the applicable performance goals have been met with respect to a given participant and, if they have, to ascertain the amount of the applicable performance award. The amount of the performance award actually paid to a given participant may be less than the amount determined by the applicable performance goal formula, at the discretion of the CMDC, and the amount determined by the CMDC for a performance period shall be paid to the participant at such time as determined by the CMDC in its sole discretion after the end of such performance period.</w:t>
      </w:r>
    </w:p>
    <w:p>
      <w:pPr>
        <w:spacing w:after="0" w:line="82" w:lineRule="exact"/>
        <w:rPr>
          <w:sz w:val="20"/>
          <w:szCs w:val="20"/>
          <w:color w:val="auto"/>
        </w:rPr>
      </w:pPr>
    </w:p>
    <w:p>
      <w:pPr>
        <w:ind w:left="200" w:hanging="192"/>
        <w:spacing w:after="0" w:line="253" w:lineRule="auto"/>
        <w:tabs>
          <w:tab w:leader="none" w:pos="204" w:val="left"/>
        </w:tabs>
        <w:numPr>
          <w:ilvl w:val="0"/>
          <w:numId w:val="258"/>
        </w:numPr>
        <w:rPr>
          <w:rFonts w:ascii="Arial" w:cs="Arial" w:eastAsia="Arial" w:hAnsi="Arial"/>
          <w:sz w:val="18"/>
          <w:szCs w:val="18"/>
          <w:color w:val="074A75"/>
        </w:rPr>
      </w:pPr>
      <w:r>
        <w:rPr>
          <w:rFonts w:ascii="Arial" w:cs="Arial" w:eastAsia="Arial" w:hAnsi="Arial"/>
          <w:sz w:val="18"/>
          <w:szCs w:val="18"/>
          <w:i w:val="1"/>
          <w:iCs w:val="1"/>
          <w:color w:val="auto"/>
        </w:rPr>
        <w:t xml:space="preserve">Dividends/Dividend Equivalents. </w:t>
      </w:r>
      <w:r>
        <w:rPr>
          <w:rFonts w:ascii="Arial" w:cs="Arial" w:eastAsia="Arial" w:hAnsi="Arial"/>
          <w:sz w:val="18"/>
          <w:szCs w:val="18"/>
          <w:color w:val="auto"/>
        </w:rPr>
        <w:t>The terms and conditions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Awards of restricted stock and restricted stock units may provide the participant with dividends or dividend equivalents payable prior to vesting; and awards of Other Stock-Based Awards of restricted stock may provide for voting rights prior to vesting. Notwithstanding the foregoing, with respect to awards of restricted stock and restricted stock units specifically designated in the award agreement as performance-based, dividends or dividend equivalents shall be accumulated and shall be paid to the participants only in an amount based on the number of shares, if any, that vest under the terms of the award.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Compensation to non-employee directors under the 2021 Plan includes:</w:t>
      </w:r>
    </w:p>
    <w:p>
      <w:pPr>
        <w:spacing w:after="0" w:line="72" w:lineRule="exact"/>
        <w:rPr>
          <w:sz w:val="20"/>
          <w:szCs w:val="20"/>
          <w:color w:val="auto"/>
        </w:rPr>
      </w:pPr>
    </w:p>
    <w:p>
      <w:pPr>
        <w:ind w:left="200" w:right="120" w:hanging="192"/>
        <w:spacing w:after="0" w:line="254" w:lineRule="auto"/>
        <w:tabs>
          <w:tab w:leader="none" w:pos="204" w:val="left"/>
        </w:tabs>
        <w:numPr>
          <w:ilvl w:val="0"/>
          <w:numId w:val="259"/>
        </w:numPr>
        <w:rPr>
          <w:rFonts w:ascii="Arial" w:cs="Arial" w:eastAsia="Arial" w:hAnsi="Arial"/>
          <w:sz w:val="18"/>
          <w:szCs w:val="18"/>
          <w:color w:val="074A75"/>
        </w:rPr>
      </w:pPr>
      <w:r>
        <w:rPr>
          <w:rFonts w:ascii="Arial" w:cs="Arial" w:eastAsia="Arial" w:hAnsi="Arial"/>
          <w:sz w:val="18"/>
          <w:szCs w:val="18"/>
          <w:i w:val="1"/>
          <w:iCs w:val="1"/>
          <w:color w:val="auto"/>
        </w:rPr>
        <w:t xml:space="preserve">Annual cash retainer and equity award. </w:t>
      </w:r>
      <w:r>
        <w:rPr>
          <w:rFonts w:ascii="Arial" w:cs="Arial" w:eastAsia="Arial" w:hAnsi="Arial"/>
          <w:sz w:val="18"/>
          <w:szCs w:val="18"/>
          <w:color w:val="auto"/>
        </w:rPr>
        <w:t>For each calendar year</w:t>
      </w:r>
      <w:r>
        <w:rPr>
          <w:rFonts w:ascii="Arial" w:cs="Arial" w:eastAsia="Arial" w:hAnsi="Arial"/>
          <w:sz w:val="18"/>
          <w:szCs w:val="18"/>
          <w:i w:val="1"/>
          <w:iCs w:val="1"/>
          <w:color w:val="auto"/>
        </w:rPr>
        <w:t xml:space="preserve"> </w:t>
      </w:r>
      <w:r>
        <w:rPr>
          <w:rFonts w:ascii="Arial" w:cs="Arial" w:eastAsia="Arial" w:hAnsi="Arial"/>
          <w:sz w:val="18"/>
          <w:szCs w:val="18"/>
          <w:color w:val="auto"/>
        </w:rPr>
        <w:t>for service on the Board, each Director shall receive a cash retainer of $100,000 and, if the Director is on the Board at the time when annual performance year equity awards are granted, an annual grant of deferred stock units valued at $250,000. During the 2021 Plan term, the Board is authorized in its discretion to increase the cash retainer and/or the equity award by a combined total of up to $25,000, to decrease them, or to change their form.</w:t>
      </w:r>
    </w:p>
    <w:p>
      <w:pPr>
        <w:spacing w:after="0" w:line="98" w:lineRule="exact"/>
        <w:rPr>
          <w:rFonts w:ascii="Arial" w:cs="Arial" w:eastAsia="Arial" w:hAnsi="Arial"/>
          <w:sz w:val="18"/>
          <w:szCs w:val="18"/>
          <w:color w:val="074A75"/>
        </w:rPr>
      </w:pPr>
    </w:p>
    <w:p>
      <w:pPr>
        <w:ind w:left="200" w:right="60" w:hanging="192"/>
        <w:spacing w:after="0" w:line="251" w:lineRule="auto"/>
        <w:tabs>
          <w:tab w:leader="none" w:pos="204" w:val="left"/>
        </w:tabs>
        <w:numPr>
          <w:ilvl w:val="0"/>
          <w:numId w:val="259"/>
        </w:numPr>
        <w:rPr>
          <w:rFonts w:ascii="Arial" w:cs="Arial" w:eastAsia="Arial" w:hAnsi="Arial"/>
          <w:sz w:val="18"/>
          <w:szCs w:val="18"/>
          <w:color w:val="074A75"/>
        </w:rPr>
      </w:pPr>
      <w:r>
        <w:rPr>
          <w:rFonts w:ascii="Arial" w:cs="Arial" w:eastAsia="Arial" w:hAnsi="Arial"/>
          <w:sz w:val="18"/>
          <w:szCs w:val="18"/>
          <w:color w:val="auto"/>
        </w:rPr>
        <w:t>Designated role retainers. For each calendar year, each Director who serves in the following designated roles shall receive an annual cash retainer of: (i) $30,000 for serving as the Lead Independent Director; (ii) $25,000 for chairing the Bank board, Audit Committee or Risk Committee; and (iii) $15,000 for chairing any other principal standing committee and for serving on any of the Bank board, Audit Committee or Risk Committee. During the 2021 Plan term, the Board is authorized in its discretion to increase any designated role retainers described in (i), (ii), and (iii) above by up to $5,000, to decrease any of them, or to change their form.</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left="200" w:right="240" w:hanging="196"/>
        <w:spacing w:after="0" w:line="258" w:lineRule="auto"/>
        <w:tabs>
          <w:tab w:leader="none" w:pos="204" w:val="left"/>
        </w:tabs>
        <w:numPr>
          <w:ilvl w:val="0"/>
          <w:numId w:val="260"/>
        </w:numPr>
        <w:rPr>
          <w:rFonts w:ascii="Arial" w:cs="Arial" w:eastAsia="Arial" w:hAnsi="Arial"/>
          <w:sz w:val="18"/>
          <w:szCs w:val="18"/>
          <w:color w:val="074A75"/>
        </w:rPr>
      </w:pPr>
      <w:r>
        <w:rPr>
          <w:rFonts w:ascii="Arial" w:cs="Arial" w:eastAsia="Arial" w:hAnsi="Arial"/>
          <w:sz w:val="18"/>
          <w:szCs w:val="18"/>
          <w:i w:val="1"/>
          <w:iCs w:val="1"/>
          <w:color w:val="auto"/>
        </w:rPr>
        <w:t xml:space="preserve">Additional fees or retainers. </w:t>
      </w:r>
      <w:r>
        <w:rPr>
          <w:rFonts w:ascii="Arial" w:cs="Arial" w:eastAsia="Arial" w:hAnsi="Arial"/>
          <w:sz w:val="18"/>
          <w:szCs w:val="18"/>
          <w:color w:val="auto"/>
        </w:rPr>
        <w:t>The Board may at any time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any Director with a retainer or other fee in addition to that provided for the aforementioned, including for service on a specific purpose committee or for any other special service, in each case determined in the discretion of the Board.</w:t>
      </w:r>
    </w:p>
    <w:p>
      <w:pPr>
        <w:spacing w:after="0" w:line="75" w:lineRule="exact"/>
        <w:rPr>
          <w:rFonts w:ascii="Arial" w:cs="Arial" w:eastAsia="Arial" w:hAnsi="Arial"/>
          <w:sz w:val="18"/>
          <w:szCs w:val="18"/>
          <w:color w:val="074A75"/>
        </w:rPr>
      </w:pPr>
    </w:p>
    <w:p>
      <w:pPr>
        <w:ind w:left="200" w:right="100" w:hanging="196"/>
        <w:spacing w:after="0" w:line="258" w:lineRule="auto"/>
        <w:tabs>
          <w:tab w:leader="none" w:pos="204" w:val="left"/>
        </w:tabs>
        <w:numPr>
          <w:ilvl w:val="0"/>
          <w:numId w:val="260"/>
        </w:numPr>
        <w:rPr>
          <w:rFonts w:ascii="Arial" w:cs="Arial" w:eastAsia="Arial" w:hAnsi="Arial"/>
          <w:sz w:val="18"/>
          <w:szCs w:val="18"/>
          <w:color w:val="074A75"/>
        </w:rPr>
      </w:pPr>
      <w:r>
        <w:rPr>
          <w:rFonts w:ascii="Arial" w:cs="Arial" w:eastAsia="Arial" w:hAnsi="Arial"/>
          <w:sz w:val="18"/>
          <w:szCs w:val="18"/>
          <w:i w:val="1"/>
          <w:iCs w:val="1"/>
          <w:color w:val="auto"/>
        </w:rPr>
        <w:t xml:space="preserve">Form of Director compensation. </w:t>
      </w:r>
      <w:r>
        <w:rPr>
          <w:rFonts w:ascii="Arial" w:cs="Arial" w:eastAsia="Arial" w:hAnsi="Arial"/>
          <w:sz w:val="18"/>
          <w:szCs w:val="18"/>
          <w:color w:val="auto"/>
        </w:rPr>
        <w:t>Any retainer or fee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be payable in the form of cash, an Other Stock-Based Award or any combination, as determined in the discretion of the Board, and shall have such terms and conditions as the Board may specify.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periods</w:t>
      </w:r>
    </w:p>
    <w:p>
      <w:pPr>
        <w:spacing w:after="0" w:line="13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Other than awards to Directors, awards settled in shares of common stock under the 2021 Plan have a minimum vesting/exercise schedule of ratably over three years, except that the CMDC may grant awards of up to 5% of shares authorized under the 2021 Plan with a shorter vesting or exercise period (but not less than a one year period). However, these minimum vesting and exercise periods do not apply to awards that vest or become exercisable earlier due to (i) circumstances such as death, retirement or involuntary termination of employment, (ii) the achievement of performance objectives over a period of at least one year, (iii) standard vest date occurring within 10 days of the grant date anniversary or (iv) if the Firm determines for regulatory or other considerations to provide an equity award in excess of that which would have been awarded to the individual under the cash equity policy in effect for the performance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Board of Directors may amend, suspend or terminate the 2021 Plan or any portion thereof at any time without shareholder approval, except to the extent otherwise required by the Securities Exchange Act of 1934 or New York Stock Exchange listing requirements. Notwithstanding the foregoing, except in the case of an adjustment in connection with a capital structure change (as described below under “Adjustments”), any amendment by the Board of Directors shall be conditioned on shareholder consent if it increases (i) the number of shares authorized for grant under the 2021 Plan, (ii) the number of shares authorized for grant to individual participants under any form of award, or (iii) if such amendment eliminates restrictions applicable to the reduction of the exercise price of an option or SAR, or the surrender of an option and SAR in consideration for a new award with a lower exercise price.</w:t>
      </w:r>
    </w:p>
    <w:p>
      <w:pPr>
        <w:spacing w:after="0" w:line="1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 awards may be made under the 2021 Plan after May 31, 2025, or after the date the Board terminates the 2021 Plan, if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1009015</wp:posOffset>
            </wp:positionV>
            <wp:extent cx="2743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74"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87  </w:t>
      </w:r>
      <w:r>
        <w:rPr>
          <w:sz w:val="1"/>
          <w:szCs w:val="1"/>
          <w:color w:val="auto"/>
        </w:rPr>
        <w:drawing>
          <wp:inline distT="0" distB="0" distL="0" distR="0">
            <wp:extent cx="2203450" cy="154305"/>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APPROVAL OF AMENDED AND RESTATED LONG-TERM INCENTIVE PLAN EFFECTIVE MAY 18, 2021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event there is a change in the outstanding shares of common stock by reason of any stock dividend or split, recapitalization, issuance of a new class of common stock, merger, consolidation, spin-off, combination or exchange of shares or other similar corporate change, or any distributions to shareholders of common stock other than regular cash dividends, the CMDC will make such substitution or adjustment, if any, as it deems equitable, as to the number or kind of shares of common stock or other securities issued or reserved for issuance pursuant to the 2021 Plan, including, but not limited to, adjustments to the number of shares of common stock in the aggregate with respect to which awards may be granted under the 2021 Plan or the number of awards granted to any participant) and to make appropriate adjustments (including the number of shares and the exercise price) to any outstanding awards.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following discussion summarizes the Federal income tax consequences to participants who may receive awards under the 2021 Plan and to JPMorgan Chase arising out of the granting of such awards. The discussion is based upon interpretations of the Internal Revenue Code in effect as of March 2021 and regulations promulgated thereunder as of such date.</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discussion is not intended to, and does not, provide or supplement tax advice to recipients of awards, and participants are advised to consult with their own personal independent tax advisors with respect to the specific tax consequences that, in light of their particular circumstances, might arise in connection with their receipt of awards under the 2021 Plan, including, but not limited to, any state, local or foreign tax consequences and the effect, if any, of gift, estate and inheritance taxes.</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Nonqualified Stock Option/Stock Appreciation Rights. </w:t>
      </w:r>
      <w:r>
        <w:rPr>
          <w:rFonts w:ascii="Arial" w:cs="Arial" w:eastAsia="Arial" w:hAnsi="Arial"/>
          <w:sz w:val="18"/>
          <w:szCs w:val="18"/>
          <w:color w:val="auto"/>
        </w:rPr>
        <w:t>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 nonqualified stock option or SAR, a participant will not be in receipt of taxable income. Upon exercise of either a nonqualified stock option or a SAR, a participant will be in receipt of ordinary income in an amount equal to the excess of the fair market value of the acquired shares of common stock (and/or cash) over the exercise price, and will be subject to FICA (Social Security and Medicare) tax in respect of such amounts. Gain or loss upon a subsequent sale of any common stock would be taxed to the participant as long- or short-term capital gain or loss depending on the holding period.</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be in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upon the grant or exercise of an incentive stock option (“ISO”). Upon the exercise of an ISO, the amount by which the fair market value of the stock received on exercise exceeds the exercise price is generally a tax preference adjustment for the purpose of the alternative minimum tax. If the participant holds the shares acquired on the exercise of an ISO for the requisite ISO holding period set forth in the Internal Revenue Code, the participant generally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will recognize a long-term capital gain or loss upon their subsequent sale or exchange measured by the difference between the sale price and the exercise price of the ISO. If a participant does not hold the shares acquired on the exercise of an ISO for the requisite holding period, the participant may be in receipt of ordinary income based upon a formula set forth in the Internal Revenue Code, generally the lesser of (i) the difference between the fair market value of the common stock on the date of exercise of the ISO over the exercise price of the ISO and (ii) the amount realized upon the disposition of the common stock acquired by the ISO over the exercise price of the ISO. To the extent that the amount realized on such sale or exchange exceeds the fair market value of the common stock on the date of the ISO exercise, the participant will generally recognize capital gains.</w:t>
      </w:r>
    </w:p>
    <w:p>
      <w:pPr>
        <w:spacing w:after="0" w:line="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income tax consequences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Stock-Based Awards will depend on how such awards are structured. In the case of the grant of a restricted stock unit (whether time-vested or subject to achievement of performance goals), a participant will not be in receipt of taxable income. On delivery, a participant will be in receipt of ordinary income in an amount equal to the fair market value of the acquired shares of common stock (and/or cash). The participant will be subject to FICA (Social Security and Medicare) tax at the time any portion of a restricted stock unit is deemed vested for tax purposes. The fair market value of any acquired shares (if any) on the delivery date will be the participant’s tax basis for purposes of determining any subsequent gain or loss from the sale of the shares, and the participant’s holding period with respect to the shares will begin at the delivery date.</w:t>
      </w:r>
    </w:p>
    <w:p>
      <w:pPr>
        <w:spacing w:after="0" w:line="8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Deduction</w:t>
      </w:r>
      <w:r>
        <w:rPr>
          <w:rFonts w:ascii="Arial" w:cs="Arial" w:eastAsia="Arial" w:hAnsi="Arial"/>
          <w:sz w:val="18"/>
          <w:szCs w:val="18"/>
          <w:color w:val="auto"/>
        </w:rPr>
        <w:t>. Generally, JPMorgan Chase will be entitled to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equal to the amount recognized as ordinary income (including on the exercise of a stock option or SAR or on delivery pursuant to a restricted stock unit). However, we will generally not be entitled to a tax deduction with respect to any amount that represents compensation in excess of $1 million paid to covered employees (other than awards pursuant to contracts entered into prior to the repeal of the exemption for qualified performance-based compensation under Section 162(m) of the Code that may remain eligible for such exemption). For this purpose, a “covered employee” means our chief executive officer, our chief financial officer and our three highest compensated employees other than the chief executive officer and the chief financial officer (based on compensation reported to our shareholders), and any individual who was previously a covered employee at any time on or after January 1, 2017. For the avoidance of doubt, we will not be entitled to any tax deduction with respect to an ISO, if the participant holds the shares acquired on the exercise of an ISO for the requisite ISO holding period.</w:t>
      </w:r>
    </w:p>
    <w:p>
      <w:pPr>
        <w:spacing w:after="0" w:line="1174"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88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w:t>
      </w:r>
      <w:r>
        <w:rPr>
          <w:rFonts w:ascii="Arial" w:cs="Arial" w:eastAsia="Arial" w:hAnsi="Arial"/>
          <w:sz w:val="16"/>
          <w:szCs w:val="16"/>
          <w:color w:val="074A75"/>
        </w:rPr>
        <w:t>| APPROVAL OF AMENDED AND RESTATED LONG-TERM INCENTIVE PLAN EFFECTIVE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7"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074A75"/>
        </w:rPr>
        <w:t>Our equity compensation program promotes shareholder interests</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our long-term incentive compensation program serves a fundamental role in motivating our employees to deliver sustained shareholder value by driving individual, line of business and Firmwide results.</w:t>
      </w:r>
    </w:p>
    <w:p>
      <w:pPr>
        <w:spacing w:after="0" w:line="9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addition, our equity program was designed to attract and retain top talent, foster a shared success culture and be consistent with best practices, as set forth below:</w:t>
      </w:r>
    </w:p>
    <w:p>
      <w:pPr>
        <w:spacing w:after="0" w:line="94" w:lineRule="exact"/>
        <w:rPr>
          <w:sz w:val="20"/>
          <w:szCs w:val="20"/>
          <w:color w:val="auto"/>
        </w:rPr>
      </w:pPr>
    </w:p>
    <w:p>
      <w:pPr>
        <w:ind w:left="200" w:right="80" w:hanging="192"/>
        <w:spacing w:after="0" w:line="254"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Strong share holding requirements – Operating Committee members are required to retain significant portions of net shares received from awards, which increases their share ownership over the long term</w:t>
      </w:r>
    </w:p>
    <w:p>
      <w:pPr>
        <w:spacing w:after="0" w:line="95" w:lineRule="exact"/>
        <w:rPr>
          <w:rFonts w:ascii="Arial" w:cs="Arial" w:eastAsia="Arial" w:hAnsi="Arial"/>
          <w:sz w:val="18"/>
          <w:szCs w:val="18"/>
          <w:color w:val="074A75"/>
        </w:rPr>
      </w:pPr>
    </w:p>
    <w:p>
      <w:pPr>
        <w:ind w:left="200" w:right="40" w:hanging="192"/>
        <w:spacing w:after="0" w:line="253"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Prudent evaluation of the use of SARs – Since 2014 the CMDC has eliminated the use of SARs from our broad based annual compensation program, resulting in less dilution to shareholders; however, the CMDC retains the discretion to award SARs in the future</w:t>
      </w:r>
    </w:p>
    <w:p>
      <w:pPr>
        <w:spacing w:after="0" w:line="97" w:lineRule="exact"/>
        <w:rPr>
          <w:rFonts w:ascii="Arial" w:cs="Arial" w:eastAsia="Arial" w:hAnsi="Arial"/>
          <w:sz w:val="18"/>
          <w:szCs w:val="18"/>
          <w:color w:val="074A75"/>
        </w:rPr>
      </w:pPr>
    </w:p>
    <w:p>
      <w:pPr>
        <w:ind w:left="200" w:right="340" w:hanging="192"/>
        <w:spacing w:after="0" w:line="261"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Multi-year vesting – Equity awards generally cannot vest any sooner than three years (ratably) from the grant date</w:t>
      </w:r>
    </w:p>
    <w:p>
      <w:pPr>
        <w:spacing w:after="0" w:line="89" w:lineRule="exact"/>
        <w:rPr>
          <w:rFonts w:ascii="Arial" w:cs="Arial" w:eastAsia="Arial" w:hAnsi="Arial"/>
          <w:sz w:val="18"/>
          <w:szCs w:val="18"/>
          <w:color w:val="074A75"/>
        </w:rPr>
      </w:pPr>
    </w:p>
    <w:p>
      <w:pPr>
        <w:ind w:left="200" w:right="100" w:hanging="192"/>
        <w:spacing w:after="0" w:line="254" w:lineRule="auto"/>
        <w:tabs>
          <w:tab w:leader="none" w:pos="190" w:val="left"/>
        </w:tabs>
        <w:numPr>
          <w:ilvl w:val="0"/>
          <w:numId w:val="261"/>
        </w:numPr>
        <w:rPr>
          <w:rFonts w:ascii="Arial" w:cs="Arial" w:eastAsia="Arial" w:hAnsi="Arial"/>
          <w:sz w:val="18"/>
          <w:szCs w:val="18"/>
          <w:color w:val="205A85"/>
        </w:rPr>
      </w:pPr>
      <w:r>
        <w:rPr>
          <w:rFonts w:ascii="Arial" w:cs="Arial" w:eastAsia="Arial" w:hAnsi="Arial"/>
          <w:sz w:val="18"/>
          <w:szCs w:val="18"/>
          <w:color w:val="auto"/>
        </w:rPr>
        <w:t>Anti-hedging/Anti-pledging policy – All employees are prohibited from hedging or pledging unvested RSUs, PSUs, unexercised options or SARs; Operating Committee members and directors may not hedge or pledge any shares</w:t>
      </w:r>
    </w:p>
    <w:p>
      <w:pPr>
        <w:spacing w:after="0" w:line="95" w:lineRule="exact"/>
        <w:rPr>
          <w:rFonts w:ascii="Arial" w:cs="Arial" w:eastAsia="Arial" w:hAnsi="Arial"/>
          <w:sz w:val="18"/>
          <w:szCs w:val="18"/>
          <w:color w:val="205A85"/>
        </w:rPr>
      </w:pPr>
    </w:p>
    <w:p>
      <w:pPr>
        <w:ind w:left="200" w:right="240" w:hanging="192"/>
        <w:spacing w:after="0" w:line="261"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Award limits – The 2021 Plan contains limits on the number of shares that may be granted to any individual employee</w:t>
      </w:r>
    </w:p>
    <w:p>
      <w:pPr>
        <w:spacing w:after="0" w:line="89" w:lineRule="exact"/>
        <w:rPr>
          <w:rFonts w:ascii="Arial" w:cs="Arial" w:eastAsia="Arial" w:hAnsi="Arial"/>
          <w:sz w:val="18"/>
          <w:szCs w:val="18"/>
          <w:color w:val="074A75"/>
        </w:rPr>
      </w:pPr>
    </w:p>
    <w:p>
      <w:pPr>
        <w:ind w:left="200" w:hanging="192"/>
        <w:spacing w:after="0" w:line="256"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Non-employee director pay limits – The 2021 Plan contains limits on the number of shares that may be granted to any individual non-employee director in a year</w:t>
      </w:r>
    </w:p>
    <w:p>
      <w:pPr>
        <w:spacing w:after="0" w:line="93" w:lineRule="exact"/>
        <w:rPr>
          <w:rFonts w:ascii="Arial" w:cs="Arial" w:eastAsia="Arial" w:hAnsi="Arial"/>
          <w:sz w:val="18"/>
          <w:szCs w:val="18"/>
          <w:color w:val="074A75"/>
        </w:rPr>
      </w:pPr>
    </w:p>
    <w:p>
      <w:pPr>
        <w:ind w:left="200" w:right="180" w:hanging="192"/>
        <w:spacing w:after="0" w:line="256"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No dividends paid on unearned performance share units – The terms of our 2021 Plan prohibit the payment of dividends on unearned PSUs</w:t>
      </w:r>
    </w:p>
    <w:p>
      <w:pPr>
        <w:spacing w:after="0" w:line="93" w:lineRule="exact"/>
        <w:rPr>
          <w:rFonts w:ascii="Arial" w:cs="Arial" w:eastAsia="Arial" w:hAnsi="Arial"/>
          <w:sz w:val="18"/>
          <w:szCs w:val="18"/>
          <w:color w:val="074A75"/>
        </w:rPr>
      </w:pPr>
    </w:p>
    <w:p>
      <w:pPr>
        <w:jc w:val="both"/>
        <w:ind w:left="200" w:hanging="192"/>
        <w:spacing w:after="0" w:line="256" w:lineRule="auto"/>
        <w:tabs>
          <w:tab w:leader="none" w:pos="204" w:val="left"/>
        </w:tabs>
        <w:numPr>
          <w:ilvl w:val="0"/>
          <w:numId w:val="261"/>
        </w:numPr>
        <w:rPr>
          <w:rFonts w:ascii="Arial" w:cs="Arial" w:eastAsia="Arial" w:hAnsi="Arial"/>
          <w:sz w:val="18"/>
          <w:szCs w:val="18"/>
          <w:color w:val="205A85"/>
        </w:rPr>
      </w:pPr>
      <w:r>
        <w:rPr>
          <w:rFonts w:ascii="Arial" w:cs="Arial" w:eastAsia="Arial" w:hAnsi="Arial"/>
          <w:sz w:val="18"/>
          <w:szCs w:val="18"/>
          <w:color w:val="auto"/>
        </w:rPr>
        <w:t>No stock option/SAR reloads – Consistent with best practice, the 2021 Plan does not provide for the automatic reload of options or SARs</w:t>
      </w:r>
    </w:p>
    <w:p>
      <w:pPr>
        <w:spacing w:after="0" w:line="93" w:lineRule="exact"/>
        <w:rPr>
          <w:rFonts w:ascii="Arial" w:cs="Arial" w:eastAsia="Arial" w:hAnsi="Arial"/>
          <w:sz w:val="18"/>
          <w:szCs w:val="18"/>
          <w:color w:val="205A85"/>
        </w:rPr>
      </w:pPr>
    </w:p>
    <w:p>
      <w:pPr>
        <w:ind w:left="200" w:right="300" w:hanging="192"/>
        <w:spacing w:after="0" w:line="261"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No repricing on stock option/SAR – We expressly prohibit the repricing of both stock options and SARs</w:t>
      </w:r>
    </w:p>
    <w:p>
      <w:pPr>
        <w:spacing w:after="0" w:line="89" w:lineRule="exact"/>
        <w:rPr>
          <w:rFonts w:ascii="Arial" w:cs="Arial" w:eastAsia="Arial" w:hAnsi="Arial"/>
          <w:sz w:val="18"/>
          <w:szCs w:val="18"/>
          <w:color w:val="074A75"/>
        </w:rPr>
      </w:pPr>
    </w:p>
    <w:p>
      <w:pPr>
        <w:ind w:left="200" w:right="20" w:hanging="192"/>
        <w:spacing w:after="0" w:line="256" w:lineRule="auto"/>
        <w:tabs>
          <w:tab w:leader="none" w:pos="204" w:val="left"/>
        </w:tabs>
        <w:numPr>
          <w:ilvl w:val="0"/>
          <w:numId w:val="261"/>
        </w:numPr>
        <w:rPr>
          <w:rFonts w:ascii="Arial" w:cs="Arial" w:eastAsia="Arial" w:hAnsi="Arial"/>
          <w:sz w:val="18"/>
          <w:szCs w:val="18"/>
          <w:color w:val="074A75"/>
        </w:rPr>
      </w:pPr>
      <w:r>
        <w:rPr>
          <w:rFonts w:ascii="Arial" w:cs="Arial" w:eastAsia="Arial" w:hAnsi="Arial"/>
          <w:sz w:val="18"/>
          <w:szCs w:val="18"/>
          <w:color w:val="auto"/>
        </w:rPr>
        <w:t>No golden parachute agreements – We do not provide additional payments or equity acceleration as a result of a change-in-control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680"/>
        <w:spacing w:after="0" w:line="246" w:lineRule="auto"/>
        <w:rPr>
          <w:sz w:val="20"/>
          <w:szCs w:val="20"/>
          <w:color w:val="auto"/>
        </w:rPr>
      </w:pPr>
      <w:r>
        <w:rPr>
          <w:rFonts w:ascii="Arial" w:cs="Arial" w:eastAsia="Arial" w:hAnsi="Arial"/>
          <w:sz w:val="20"/>
          <w:szCs w:val="20"/>
          <w:color w:val="074A75"/>
        </w:rPr>
        <w:t>Our equity compensation program reinforces individual accountability</w:t>
      </w:r>
    </w:p>
    <w:p>
      <w:pPr>
        <w:spacing w:after="0" w:line="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compensation program, including the 2021 Plan, is designed to hold individuals accountable, when appropriate, for material actions or items that negatively impact business performance in current or future years. The Firm has policies and procedures that enable it to take prompt and proportionate actions with respect to accountable individuals, including:</w:t>
      </w:r>
    </w:p>
    <w:p>
      <w:pPr>
        <w:spacing w:after="0" w:line="100" w:lineRule="exact"/>
        <w:rPr>
          <w:sz w:val="20"/>
          <w:szCs w:val="20"/>
          <w:color w:val="auto"/>
        </w:rPr>
      </w:pPr>
    </w:p>
    <w:p>
      <w:pPr>
        <w:ind w:left="260" w:hanging="256"/>
        <w:spacing w:after="0"/>
        <w:tabs>
          <w:tab w:leader="none" w:pos="2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Reduce or altogether eliminate annual incentive compensation;</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Cancel unvested awards (in full or in part);</w:t>
      </w:r>
    </w:p>
    <w:p>
      <w:pPr>
        <w:spacing w:after="0" w:line="117" w:lineRule="exact"/>
        <w:rPr>
          <w:rFonts w:ascii="Arial" w:cs="Arial" w:eastAsia="Arial" w:hAnsi="Arial"/>
          <w:sz w:val="18"/>
          <w:szCs w:val="18"/>
          <w:color w:val="auto"/>
        </w:rPr>
      </w:pPr>
    </w:p>
    <w:p>
      <w:pPr>
        <w:ind w:left="260" w:right="540" w:hanging="256"/>
        <w:spacing w:after="0" w:line="261" w:lineRule="auto"/>
        <w:tabs>
          <w:tab w:leader="none" w:pos="25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Clawback/Recover previously paid incentive compensation (cash and/or equity);</w:t>
      </w:r>
    </w:p>
    <w:p>
      <w:pPr>
        <w:spacing w:after="0" w:line="89" w:lineRule="exact"/>
        <w:rPr>
          <w:rFonts w:ascii="Arial" w:cs="Arial" w:eastAsia="Arial" w:hAnsi="Arial"/>
          <w:sz w:val="18"/>
          <w:szCs w:val="18"/>
          <w:color w:val="auto"/>
        </w:rPr>
      </w:pPr>
    </w:p>
    <w:p>
      <w:pPr>
        <w:ind w:left="260" w:right="480" w:hanging="256"/>
        <w:spacing w:after="0" w:line="261" w:lineRule="auto"/>
        <w:tabs>
          <w:tab w:leader="none" w:pos="25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Demotion, negative performance ration or other appropriate employment actions; and</w:t>
      </w:r>
    </w:p>
    <w:p>
      <w:pPr>
        <w:spacing w:after="0" w:line="89" w:lineRule="exact"/>
        <w:rPr>
          <w:rFonts w:ascii="Arial" w:cs="Arial" w:eastAsia="Arial" w:hAnsi="Arial"/>
          <w:sz w:val="18"/>
          <w:szCs w:val="18"/>
          <w:color w:val="auto"/>
        </w:rPr>
      </w:pPr>
    </w:p>
    <w:p>
      <w:pPr>
        <w:ind w:left="260" w:hanging="256"/>
        <w:spacing w:after="0"/>
        <w:tabs>
          <w:tab w:leader="none" w:pos="2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additional information about our control forums and how they promote accountability, please see “Risk, Controls and Conduct Review Process” and “Holding Individuals Accountable” on page 51 of this proxy statement.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Clawback and recovery provisions</w:t>
      </w:r>
    </w:p>
    <w:p>
      <w:pPr>
        <w:spacing w:after="0" w:line="11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equity incentive awards are intended and expected to vest according to their terms, the Firm's strong recovery provisions permit recovery of incentive compensation awards in appropriate circumstances.</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table provides a summary of the extensive clawback provisions that apply to all employees, including our Operating Committee members.</w:t>
      </w:r>
    </w:p>
    <w:p>
      <w:pPr>
        <w:spacing w:after="0" w:line="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Summary of Cancellation &amp; Clawbacks</w:t>
      </w:r>
    </w:p>
    <w:p>
      <w:pPr>
        <w:spacing w:after="0" w:line="174" w:lineRule="exact"/>
        <w:rPr>
          <w:sz w:val="20"/>
          <w:szCs w:val="20"/>
          <w:color w:val="auto"/>
        </w:rPr>
      </w:pPr>
    </w:p>
    <w:p>
      <w:pPr>
        <w:ind w:left="20"/>
        <w:spacing w:after="0"/>
        <w:tabs>
          <w:tab w:leader="none" w:pos="3840" w:val="left"/>
          <w:tab w:leader="none" w:pos="4580" w:val="left"/>
        </w:tabs>
        <w:rPr>
          <w:sz w:val="20"/>
          <w:szCs w:val="20"/>
          <w:color w:val="auto"/>
        </w:rPr>
      </w:pPr>
      <w:r>
        <w:rPr>
          <w:rFonts w:ascii="Arial" w:cs="Arial" w:eastAsia="Arial" w:hAnsi="Arial"/>
          <w:sz w:val="16"/>
          <w:szCs w:val="16"/>
          <w:color w:val="074A75"/>
        </w:rPr>
        <w:t>Trigger</w:t>
      </w:r>
      <w:r>
        <w:rPr>
          <w:sz w:val="20"/>
          <w:szCs w:val="20"/>
          <w:color w:val="auto"/>
        </w:rPr>
        <w:tab/>
      </w:r>
      <w:r>
        <w:rPr>
          <w:rFonts w:ascii="Arial" w:cs="Arial" w:eastAsia="Arial" w:hAnsi="Arial"/>
          <w:sz w:val="16"/>
          <w:szCs w:val="16"/>
          <w:color w:val="074A75"/>
        </w:rPr>
        <w:t>Vested</w:t>
        <w:tab/>
        <w:t>Unvested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4118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Restatement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Misconduct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Risk-related</w:t>
      </w:r>
      <w:r>
        <w:rPr>
          <w:rFonts w:ascii="Arial" w:cs="Arial" w:eastAsia="Arial" w:hAnsi="Arial"/>
          <w:sz w:val="21"/>
          <w:szCs w:val="21"/>
          <w:color w:val="auto"/>
          <w:vertAlign w:val="superscript"/>
        </w:rPr>
        <w:t>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Protection-based</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34118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98" w:lineRule="exact"/>
        <w:rPr>
          <w:sz w:val="20"/>
          <w:szCs w:val="20"/>
          <w:color w:val="auto"/>
        </w:rPr>
      </w:pPr>
    </w:p>
    <w:p>
      <w:pPr>
        <w:ind w:left="200" w:right="520" w:hanging="196"/>
        <w:spacing w:after="0" w:line="223" w:lineRule="auto"/>
        <w:tabs>
          <w:tab w:leader="none" w:pos="200" w:val="left"/>
        </w:tabs>
        <w:numPr>
          <w:ilvl w:val="0"/>
          <w:numId w:val="263"/>
        </w:numPr>
        <w:rPr>
          <w:rFonts w:ascii="Arial" w:cs="Arial" w:eastAsia="Arial" w:hAnsi="Arial"/>
          <w:sz w:val="16"/>
          <w:szCs w:val="16"/>
          <w:color w:val="auto"/>
          <w:vertAlign w:val="superscript"/>
        </w:rPr>
      </w:pPr>
      <w:r>
        <w:rPr>
          <w:rFonts w:ascii="Arial" w:cs="Arial" w:eastAsia="Arial" w:hAnsi="Arial"/>
          <w:sz w:val="13"/>
          <w:szCs w:val="13"/>
          <w:color w:val="auto"/>
        </w:rPr>
        <w:t>Certain risk-related and protection-based clawback provisions apply only to Operating Committee members and Designated Employees. See page 52 for more details on 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267335</wp:posOffset>
            </wp:positionV>
            <wp:extent cx="2743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89  </w:t>
      </w:r>
      <w:r>
        <w:rPr>
          <w:sz w:val="1"/>
          <w:szCs w:val="1"/>
          <w:color w:val="auto"/>
        </w:rPr>
        <w:drawing>
          <wp:inline distT="0" distB="0" distL="0" distR="0">
            <wp:extent cx="2203450" cy="154305"/>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074A75"/>
        </w:rPr>
        <w:t xml:space="preserve">APPROVAL OF AMENDED AND RESTATED LONG-TERM INCENTIVE PLAN EFFECTIVE MAY 18, 2021 </w:t>
      </w:r>
      <w:r>
        <w:rPr>
          <w:rFonts w:ascii="Arial" w:cs="Arial" w:eastAsia="Arial" w:hAnsi="Arial"/>
          <w:sz w:val="16"/>
          <w:szCs w:val="16"/>
          <w:b w:val="1"/>
          <w:bCs w:val="1"/>
          <w:color w:val="074A75"/>
        </w:rPr>
        <w: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074A75"/>
        </w:rPr>
        <w:t>Key data about our grant practices</w:t>
      </w:r>
    </w:p>
    <w:p>
      <w:pPr>
        <w:spacing w:after="0" w:line="1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historically demonstrated prudence in our use of shares for equity compensation, and have steadily reduced both our annual share usage (“Burn Rate”) and potential dilution levels under the Long-Term Incentive Plan in recent years. Furthermore, the Firm has demonstrated the value to shareholders of a disciplined compensation approach with one of the lowest compensation expense ratios amongst our primary financial services peers. For a description of our primary financial services peers, please see “Evaluating Market Practices” on page 45 of this proxy statement.</w:t>
      </w:r>
    </w:p>
    <w:p>
      <w:pPr>
        <w:spacing w:after="0" w:line="235"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b w:val="1"/>
          <w:bCs w:val="1"/>
          <w:color w:val="auto"/>
        </w:rPr>
        <w:t>Historical Burn Rate</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7"/>
          <w:szCs w:val="17"/>
          <w:b w:val="1"/>
          <w:bCs w:val="1"/>
          <w:color w:val="auto"/>
        </w:rPr>
        <w:t>Historical Total Potential Dilution</w:t>
      </w:r>
      <w:r>
        <w:rPr>
          <w:rFonts w:ascii="Arial" w:cs="Arial" w:eastAsia="Arial" w:hAnsi="Arial"/>
          <w:sz w:val="22"/>
          <w:szCs w:val="22"/>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6223635" cy="13716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22363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hanging="192"/>
        <w:spacing w:after="0"/>
        <w:tabs>
          <w:tab w:leader="none" w:pos="200" w:val="left"/>
        </w:tabs>
        <w:numPr>
          <w:ilvl w:val="0"/>
          <w:numId w:val="264"/>
        </w:numPr>
        <w:rPr>
          <w:rFonts w:ascii="Arial" w:cs="Arial" w:eastAsia="Arial" w:hAnsi="Arial"/>
          <w:sz w:val="16"/>
          <w:szCs w:val="16"/>
          <w:color w:val="auto"/>
          <w:vertAlign w:val="superscript"/>
        </w:rPr>
      </w:pPr>
      <w:r>
        <w:rPr>
          <w:rFonts w:ascii="Arial" w:cs="Arial" w:eastAsia="Arial" w:hAnsi="Arial"/>
          <w:sz w:val="13"/>
          <w:szCs w:val="13"/>
          <w:color w:val="auto"/>
        </w:rPr>
        <w:t>Burn Rate reflects the number of shares (including RSUs, PSUs and SARs) granted to employees and directors in a calendar year divided by the weighted average diluted shares outstanding.</w:t>
      </w:r>
    </w:p>
    <w:p>
      <w:pPr>
        <w:spacing w:after="0" w:line="1" w:lineRule="exact"/>
        <w:rPr>
          <w:sz w:val="20"/>
          <w:szCs w:val="20"/>
          <w:color w:val="auto"/>
        </w:rPr>
      </w:pPr>
    </w:p>
    <w:p>
      <w:pPr>
        <w:ind w:left="200" w:right="380" w:hanging="192"/>
        <w:spacing w:after="0" w:line="216" w:lineRule="auto"/>
        <w:tabs>
          <w:tab w:leader="none" w:pos="200" w:val="left"/>
        </w:tabs>
        <w:numPr>
          <w:ilvl w:val="0"/>
          <w:numId w:val="265"/>
        </w:numPr>
        <w:rPr>
          <w:rFonts w:ascii="Arial" w:cs="Arial" w:eastAsia="Arial" w:hAnsi="Arial"/>
          <w:sz w:val="16"/>
          <w:szCs w:val="16"/>
          <w:color w:val="auto"/>
          <w:vertAlign w:val="superscript"/>
        </w:rPr>
      </w:pPr>
      <w:r>
        <w:rPr>
          <w:rFonts w:ascii="Arial" w:cs="Arial" w:eastAsia="Arial" w:hAnsi="Arial"/>
          <w:sz w:val="13"/>
          <w:szCs w:val="13"/>
          <w:color w:val="auto"/>
        </w:rPr>
        <w:t>Total Potential Dilution reflects the number of employee and director shares outstanding (including RSUs, PSUs and SARs) plus the shares remaining in the LTIP pool divided by the number of common shares outstanding at year-end.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Compensation Expense Ratio</w:t>
      </w:r>
      <w:r>
        <w:rPr>
          <w:rFonts w:ascii="Arial" w:cs="Arial" w:eastAsia="Arial" w:hAnsi="Arial"/>
          <w:sz w:val="23"/>
          <w:szCs w:val="23"/>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5537835" cy="161163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53783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right="500" w:hanging="192"/>
        <w:spacing w:after="0" w:line="216" w:lineRule="auto"/>
        <w:tabs>
          <w:tab w:leader="none" w:pos="200" w:val="left"/>
        </w:tabs>
        <w:numPr>
          <w:ilvl w:val="0"/>
          <w:numId w:val="266"/>
        </w:numPr>
        <w:rPr>
          <w:rFonts w:ascii="Arial" w:cs="Arial" w:eastAsia="Arial" w:hAnsi="Arial"/>
          <w:sz w:val="16"/>
          <w:szCs w:val="16"/>
          <w:color w:val="auto"/>
          <w:vertAlign w:val="superscript"/>
        </w:rPr>
      </w:pPr>
      <w:r>
        <w:rPr>
          <w:rFonts w:ascii="Arial" w:cs="Arial" w:eastAsia="Arial" w:hAnsi="Arial"/>
          <w:sz w:val="13"/>
          <w:szCs w:val="13"/>
          <w:color w:val="auto"/>
        </w:rPr>
        <w:t>Compensation Expense Ratio reflects Compensation &amp; Benefits expenses divided by total net revenue for each company. JPMC revenue reflects results on a managed basis, please refer to Additional notes, Note 1, on page 114 for the definition of a managed basis. Source: Form 10-K filings.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3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exhibit below provides additional information regarding the number of RSUs, PSUs, and Options/SARs outstanding, as well as the number of shares available for grant under the 2018 Plan, as of February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74930</wp:posOffset>
            </wp:positionV>
            <wp:extent cx="51435" cy="5657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1435" cy="56578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74930</wp:posOffset>
            </wp:positionV>
            <wp:extent cx="51435" cy="5657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1435" cy="56578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74930</wp:posOffset>
            </wp:positionV>
            <wp:extent cx="51435" cy="5657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1435" cy="56578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20" w:type="dxa"/>
            <w:vAlign w:val="bottom"/>
            <w:tcBorders>
              <w:bottom w:val="single" w:sz="8" w:color="074A75"/>
            </w:tcBorders>
            <w:vMerge w:val="restart"/>
            <w:shd w:val="clear" w:color="auto" w:fill="074A75"/>
          </w:tcPr>
          <w:p>
            <w:pPr>
              <w:jc w:val="center"/>
              <w:spacing w:after="0"/>
              <w:rPr>
                <w:sz w:val="20"/>
                <w:szCs w:val="20"/>
                <w:color w:val="auto"/>
              </w:rPr>
            </w:pPr>
            <w:r>
              <w:rPr>
                <w:rFonts w:ascii="Arial" w:cs="Arial" w:eastAsia="Arial" w:hAnsi="Arial"/>
                <w:sz w:val="16"/>
                <w:szCs w:val="16"/>
                <w:color w:val="FFFFFF"/>
                <w:w w:val="99"/>
              </w:rPr>
              <w:t>Number of</w:t>
            </w:r>
          </w:p>
        </w:tc>
        <w:tc>
          <w:tcPr>
            <w:tcW w:w="2140" w:type="dxa"/>
            <w:vAlign w:val="bottom"/>
            <w:tcBorders>
              <w:bottom w:val="single" w:sz="8" w:color="074A75"/>
            </w:tcBorders>
            <w:shd w:val="clear" w:color="auto" w:fill="074A75"/>
          </w:tcPr>
          <w:p>
            <w:pPr>
              <w:spacing w:after="0"/>
              <w:rPr>
                <w:sz w:val="20"/>
                <w:szCs w:val="20"/>
                <w:color w:val="auto"/>
              </w:rPr>
            </w:pPr>
          </w:p>
        </w:tc>
        <w:tc>
          <w:tcPr>
            <w:tcW w:w="2040" w:type="dxa"/>
            <w:vAlign w:val="bottom"/>
            <w:tcBorders>
              <w:bottom w:val="single" w:sz="8" w:color="074A75"/>
            </w:tcBorders>
            <w:shd w:val="clear" w:color="auto" w:fill="074A75"/>
          </w:tcPr>
          <w:p>
            <w:pPr>
              <w:jc w:val="center"/>
              <w:spacing w:after="0"/>
              <w:rPr>
                <w:sz w:val="20"/>
                <w:szCs w:val="20"/>
                <w:color w:val="auto"/>
              </w:rPr>
            </w:pPr>
            <w:r>
              <w:rPr>
                <w:rFonts w:ascii="Arial" w:cs="Arial" w:eastAsia="Arial" w:hAnsi="Arial"/>
                <w:sz w:val="16"/>
                <w:szCs w:val="16"/>
                <w:color w:val="FFFFFF"/>
              </w:rPr>
              <w:t>Options/SARs</w:t>
            </w:r>
          </w:p>
        </w:tc>
        <w:tc>
          <w:tcPr>
            <w:tcW w:w="2200" w:type="dxa"/>
            <w:vAlign w:val="bottom"/>
            <w:tcBorders>
              <w:bottom w:val="single" w:sz="8" w:color="074A75"/>
            </w:tcBorders>
            <w:shd w:val="clear" w:color="auto" w:fill="074A75"/>
          </w:tcPr>
          <w:p>
            <w:pPr>
              <w:spacing w:after="0"/>
              <w:rPr>
                <w:sz w:val="20"/>
                <w:szCs w:val="20"/>
                <w:color w:val="auto"/>
              </w:rPr>
            </w:pPr>
          </w:p>
        </w:tc>
        <w:tc>
          <w:tcPr>
            <w:tcW w:w="460" w:type="dxa"/>
            <w:vAlign w:val="bottom"/>
            <w:tcBorders>
              <w:bottom w:val="single" w:sz="8" w:color="074A75"/>
            </w:tcBorders>
            <w:shd w:val="clear" w:color="auto" w:fill="074A75"/>
          </w:tcPr>
          <w:p>
            <w:pPr>
              <w:spacing w:after="0"/>
              <w:rPr>
                <w:sz w:val="20"/>
                <w:szCs w:val="20"/>
                <w:color w:val="auto"/>
              </w:rPr>
            </w:pPr>
          </w:p>
        </w:tc>
        <w:tc>
          <w:tcPr>
            <w:tcW w:w="60" w:type="dxa"/>
            <w:vAlign w:val="bottom"/>
            <w:tcBorders>
              <w:bottom w:val="single" w:sz="8" w:color="074A75"/>
            </w:tcBorders>
            <w:shd w:val="clear" w:color="auto" w:fill="074A75"/>
          </w:tcPr>
          <w:p>
            <w:pPr>
              <w:spacing w:after="0"/>
              <w:rPr>
                <w:sz w:val="20"/>
                <w:szCs w:val="20"/>
                <w:color w:val="auto"/>
              </w:rPr>
            </w:pPr>
          </w:p>
        </w:tc>
        <w:tc>
          <w:tcPr>
            <w:tcW w:w="40" w:type="dxa"/>
            <w:vAlign w:val="bottom"/>
            <w:tcBorders>
              <w:bottom w:val="single" w:sz="8" w:color="074A75"/>
            </w:tcBorders>
            <w:shd w:val="clear" w:color="auto" w:fill="074A75"/>
          </w:tcPr>
          <w:p>
            <w:pPr>
              <w:spacing w:after="0"/>
              <w:rPr>
                <w:sz w:val="20"/>
                <w:szCs w:val="20"/>
                <w:color w:val="auto"/>
              </w:rPr>
            </w:pPr>
          </w:p>
        </w:tc>
        <w:tc>
          <w:tcPr>
            <w:tcW w:w="500" w:type="dxa"/>
            <w:vAlign w:val="bottom"/>
            <w:tcBorders>
              <w:bottom w:val="single" w:sz="8" w:color="074A75"/>
            </w:tcBorders>
            <w:gridSpan w:val="2"/>
            <w:vMerge w:val="restart"/>
            <w:shd w:val="clear" w:color="auto" w:fill="074A75"/>
          </w:tcPr>
          <w:p>
            <w:pPr>
              <w:jc w:val="center"/>
              <w:spacing w:after="0"/>
              <w:rPr>
                <w:sz w:val="20"/>
                <w:szCs w:val="20"/>
                <w:color w:val="auto"/>
              </w:rPr>
            </w:pPr>
            <w:r>
              <w:rPr>
                <w:rFonts w:ascii="Arial" w:cs="Arial" w:eastAsia="Arial" w:hAnsi="Arial"/>
                <w:sz w:val="16"/>
                <w:szCs w:val="16"/>
                <w:color w:val="FFFFFF"/>
                <w:w w:val="98"/>
                <w:shd w:val="clear" w:color="auto" w:fill="074A75"/>
              </w:rPr>
              <w:t>Shares</w:t>
            </w:r>
          </w:p>
        </w:tc>
        <w:tc>
          <w:tcPr>
            <w:tcW w:w="100" w:type="dxa"/>
            <w:vAlign w:val="bottom"/>
            <w:tcBorders>
              <w:bottom w:val="single" w:sz="8" w:color="074A75"/>
            </w:tcBorders>
            <w:shd w:val="clear" w:color="auto" w:fill="074A75"/>
          </w:tcPr>
          <w:p>
            <w:pPr>
              <w:spacing w:after="0"/>
              <w:rPr>
                <w:sz w:val="20"/>
                <w:szCs w:val="20"/>
                <w:color w:val="auto"/>
              </w:rPr>
            </w:pPr>
          </w:p>
        </w:tc>
        <w:tc>
          <w:tcPr>
            <w:tcW w:w="360" w:type="dxa"/>
            <w:vAlign w:val="bottom"/>
            <w:tcBorders>
              <w:bottom w:val="single" w:sz="8" w:color="074A75"/>
            </w:tcBorders>
            <w:shd w:val="clear" w:color="auto" w:fill="074A75"/>
          </w:tcPr>
          <w:p>
            <w:pPr>
              <w:spacing w:after="0"/>
              <w:rPr>
                <w:sz w:val="20"/>
                <w:szCs w:val="20"/>
                <w:color w:val="auto"/>
              </w:rPr>
            </w:pPr>
          </w:p>
        </w:tc>
        <w:tc>
          <w:tcPr>
            <w:tcW w:w="1720" w:type="dxa"/>
            <w:vAlign w:val="bottom"/>
            <w:tcBorders>
              <w:bottom w:val="single" w:sz="8" w:color="074A75"/>
            </w:tcBorders>
            <w:vMerge w:val="restart"/>
            <w:shd w:val="clear" w:color="auto" w:fill="074A75"/>
          </w:tcPr>
          <w:p>
            <w:pPr>
              <w:jc w:val="center"/>
              <w:ind w:left="59"/>
              <w:spacing w:after="0"/>
              <w:rPr>
                <w:sz w:val="20"/>
                <w:szCs w:val="20"/>
                <w:color w:val="auto"/>
              </w:rPr>
            </w:pPr>
            <w:r>
              <w:rPr>
                <w:rFonts w:ascii="Arial" w:cs="Arial" w:eastAsia="Arial" w:hAnsi="Arial"/>
                <w:sz w:val="16"/>
                <w:szCs w:val="16"/>
                <w:color w:val="FFFFFF"/>
              </w:rPr>
              <w:t>Common Shares</w:t>
            </w:r>
          </w:p>
        </w:tc>
        <w:tc>
          <w:tcPr>
            <w:tcW w:w="0" w:type="dxa"/>
            <w:vAlign w:val="bottom"/>
          </w:tcPr>
          <w:p>
            <w:pPr>
              <w:spacing w:after="0"/>
              <w:rPr>
                <w:sz w:val="1"/>
                <w:szCs w:val="1"/>
                <w:color w:val="auto"/>
              </w:rPr>
            </w:pPr>
          </w:p>
        </w:tc>
      </w:tr>
      <w:tr>
        <w:trPr>
          <w:trHeight w:val="95"/>
        </w:trPr>
        <w:tc>
          <w:tcPr>
            <w:tcW w:w="1620" w:type="dxa"/>
            <w:vAlign w:val="bottom"/>
            <w:vMerge w:val="continue"/>
            <w:shd w:val="clear" w:color="auto" w:fill="074A75"/>
          </w:tcPr>
          <w:p>
            <w:pPr>
              <w:spacing w:after="0"/>
              <w:rPr>
                <w:sz w:val="8"/>
                <w:szCs w:val="8"/>
                <w:color w:val="auto"/>
              </w:rPr>
            </w:pPr>
          </w:p>
        </w:tc>
        <w:tc>
          <w:tcPr>
            <w:tcW w:w="2140" w:type="dxa"/>
            <w:vAlign w:val="bottom"/>
            <w:shd w:val="clear" w:color="auto" w:fill="EEEFEF"/>
          </w:tcPr>
          <w:p>
            <w:pPr>
              <w:spacing w:after="0"/>
              <w:rPr>
                <w:sz w:val="8"/>
                <w:szCs w:val="8"/>
                <w:color w:val="auto"/>
              </w:rPr>
            </w:pPr>
          </w:p>
        </w:tc>
        <w:tc>
          <w:tcPr>
            <w:tcW w:w="2040" w:type="dxa"/>
            <w:vAlign w:val="bottom"/>
            <w:shd w:val="clear" w:color="auto" w:fill="EEEFEF"/>
          </w:tcPr>
          <w:p>
            <w:pPr>
              <w:spacing w:after="0"/>
              <w:rPr>
                <w:sz w:val="8"/>
                <w:szCs w:val="8"/>
                <w:color w:val="auto"/>
              </w:rPr>
            </w:pPr>
          </w:p>
        </w:tc>
        <w:tc>
          <w:tcPr>
            <w:tcW w:w="220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Weighted-average</w:t>
            </w:r>
          </w:p>
        </w:tc>
        <w:tc>
          <w:tcPr>
            <w:tcW w:w="460" w:type="dxa"/>
            <w:vAlign w:val="bottom"/>
            <w:shd w:val="clear" w:color="auto" w:fill="074A75"/>
          </w:tcPr>
          <w:p>
            <w:pPr>
              <w:spacing w:after="0"/>
              <w:rPr>
                <w:sz w:val="8"/>
                <w:szCs w:val="8"/>
                <w:color w:val="auto"/>
              </w:rPr>
            </w:pPr>
          </w:p>
        </w:tc>
        <w:tc>
          <w:tcPr>
            <w:tcW w:w="60" w:type="dxa"/>
            <w:vAlign w:val="bottom"/>
            <w:shd w:val="clear" w:color="auto" w:fill="074A75"/>
          </w:tcPr>
          <w:p>
            <w:pPr>
              <w:spacing w:after="0"/>
              <w:rPr>
                <w:sz w:val="8"/>
                <w:szCs w:val="8"/>
                <w:color w:val="auto"/>
              </w:rPr>
            </w:pPr>
          </w:p>
        </w:tc>
        <w:tc>
          <w:tcPr>
            <w:tcW w:w="40" w:type="dxa"/>
            <w:vAlign w:val="bottom"/>
            <w:shd w:val="clear" w:color="auto" w:fill="074A75"/>
          </w:tcPr>
          <w:p>
            <w:pPr>
              <w:spacing w:after="0"/>
              <w:rPr>
                <w:sz w:val="8"/>
                <w:szCs w:val="8"/>
                <w:color w:val="auto"/>
              </w:rPr>
            </w:pPr>
          </w:p>
        </w:tc>
        <w:tc>
          <w:tcPr>
            <w:tcW w:w="500" w:type="dxa"/>
            <w:vAlign w:val="bottom"/>
            <w:gridSpan w:val="2"/>
            <w:vMerge w:val="continue"/>
            <w:shd w:val="clear" w:color="auto" w:fill="074A75"/>
          </w:tcPr>
          <w:p>
            <w:pPr>
              <w:spacing w:after="0"/>
              <w:rPr>
                <w:sz w:val="8"/>
                <w:szCs w:val="8"/>
                <w:color w:val="auto"/>
              </w:rPr>
            </w:pPr>
          </w:p>
        </w:tc>
        <w:tc>
          <w:tcPr>
            <w:tcW w:w="100" w:type="dxa"/>
            <w:vAlign w:val="bottom"/>
            <w:shd w:val="clear" w:color="auto" w:fill="074A75"/>
          </w:tcPr>
          <w:p>
            <w:pPr>
              <w:spacing w:after="0"/>
              <w:rPr>
                <w:sz w:val="8"/>
                <w:szCs w:val="8"/>
                <w:color w:val="auto"/>
              </w:rPr>
            </w:pPr>
          </w:p>
        </w:tc>
        <w:tc>
          <w:tcPr>
            <w:tcW w:w="360" w:type="dxa"/>
            <w:vAlign w:val="bottom"/>
            <w:shd w:val="clear" w:color="auto" w:fill="074A75"/>
          </w:tcPr>
          <w:p>
            <w:pPr>
              <w:spacing w:after="0"/>
              <w:rPr>
                <w:sz w:val="8"/>
                <w:szCs w:val="8"/>
                <w:color w:val="auto"/>
              </w:rPr>
            </w:pPr>
          </w:p>
        </w:tc>
        <w:tc>
          <w:tcPr>
            <w:tcW w:w="1720" w:type="dxa"/>
            <w:vAlign w:val="bottom"/>
            <w:vMerge w:val="continue"/>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620" w:type="dxa"/>
            <w:vAlign w:val="bottom"/>
            <w:vMerge w:val="restart"/>
            <w:shd w:val="clear" w:color="auto" w:fill="074A75"/>
          </w:tcPr>
          <w:p>
            <w:pPr>
              <w:jc w:val="center"/>
              <w:spacing w:after="0" w:line="175" w:lineRule="exact"/>
              <w:rPr>
                <w:sz w:val="20"/>
                <w:szCs w:val="20"/>
                <w:color w:val="auto"/>
              </w:rPr>
            </w:pPr>
            <w:r>
              <w:rPr>
                <w:rFonts w:ascii="Arial" w:cs="Arial" w:eastAsia="Arial" w:hAnsi="Arial"/>
                <w:sz w:val="16"/>
                <w:szCs w:val="16"/>
                <w:color w:val="FFFFFF"/>
                <w:w w:val="99"/>
              </w:rPr>
              <w:t>RSUs and PSUs</w:t>
            </w:r>
          </w:p>
        </w:tc>
        <w:tc>
          <w:tcPr>
            <w:tcW w:w="2140" w:type="dxa"/>
            <w:vAlign w:val="bottom"/>
            <w:vMerge w:val="restart"/>
            <w:shd w:val="clear" w:color="auto" w:fill="EEEFEF"/>
          </w:tcPr>
          <w:p>
            <w:pPr>
              <w:jc w:val="center"/>
              <w:spacing w:after="0" w:line="175" w:lineRule="exact"/>
              <w:rPr>
                <w:sz w:val="20"/>
                <w:szCs w:val="20"/>
                <w:color w:val="auto"/>
              </w:rPr>
            </w:pPr>
            <w:r>
              <w:rPr>
                <w:rFonts w:ascii="Arial" w:cs="Arial" w:eastAsia="Arial" w:hAnsi="Arial"/>
                <w:sz w:val="16"/>
                <w:szCs w:val="16"/>
                <w:color w:val="auto"/>
              </w:rPr>
              <w:t>Number of Awards</w:t>
            </w:r>
          </w:p>
        </w:tc>
        <w:tc>
          <w:tcPr>
            <w:tcW w:w="2040" w:type="dxa"/>
            <w:vAlign w:val="bottom"/>
            <w:vMerge w:val="restart"/>
            <w:shd w:val="clear" w:color="auto" w:fill="EEEFEF"/>
          </w:tcPr>
          <w:p>
            <w:pPr>
              <w:jc w:val="center"/>
              <w:spacing w:after="0" w:line="175" w:lineRule="exact"/>
              <w:rPr>
                <w:sz w:val="20"/>
                <w:szCs w:val="20"/>
                <w:color w:val="auto"/>
              </w:rPr>
            </w:pPr>
            <w:r>
              <w:rPr>
                <w:rFonts w:ascii="Arial" w:cs="Arial" w:eastAsia="Arial" w:hAnsi="Arial"/>
                <w:sz w:val="16"/>
                <w:szCs w:val="16"/>
                <w:color w:val="auto"/>
              </w:rPr>
              <w:t>Weighted-average</w:t>
            </w:r>
          </w:p>
        </w:tc>
        <w:tc>
          <w:tcPr>
            <w:tcW w:w="2200" w:type="dxa"/>
            <w:vAlign w:val="bottom"/>
            <w:vMerge w:val="continue"/>
            <w:shd w:val="clear" w:color="auto" w:fill="EEEFEF"/>
          </w:tcPr>
          <w:p>
            <w:pPr>
              <w:spacing w:after="0"/>
              <w:rPr>
                <w:sz w:val="8"/>
                <w:szCs w:val="8"/>
                <w:color w:val="auto"/>
              </w:rPr>
            </w:pPr>
          </w:p>
        </w:tc>
        <w:tc>
          <w:tcPr>
            <w:tcW w:w="460" w:type="dxa"/>
            <w:vAlign w:val="bottom"/>
            <w:shd w:val="clear" w:color="auto" w:fill="074A75"/>
          </w:tcPr>
          <w:p>
            <w:pPr>
              <w:spacing w:after="0"/>
              <w:rPr>
                <w:sz w:val="8"/>
                <w:szCs w:val="8"/>
                <w:color w:val="auto"/>
              </w:rPr>
            </w:pPr>
          </w:p>
        </w:tc>
        <w:tc>
          <w:tcPr>
            <w:tcW w:w="700" w:type="dxa"/>
            <w:vAlign w:val="bottom"/>
            <w:gridSpan w:val="5"/>
            <w:vMerge w:val="restart"/>
            <w:shd w:val="clear" w:color="auto" w:fill="074A75"/>
          </w:tcPr>
          <w:p>
            <w:pPr>
              <w:jc w:val="center"/>
              <w:spacing w:after="0" w:line="175" w:lineRule="exact"/>
              <w:rPr>
                <w:sz w:val="20"/>
                <w:szCs w:val="20"/>
                <w:color w:val="auto"/>
              </w:rPr>
            </w:pPr>
            <w:r>
              <w:rPr>
                <w:rFonts w:ascii="Arial" w:cs="Arial" w:eastAsia="Arial" w:hAnsi="Arial"/>
                <w:sz w:val="16"/>
                <w:szCs w:val="16"/>
                <w:color w:val="FFFFFF"/>
                <w:w w:val="99"/>
                <w:shd w:val="clear" w:color="auto" w:fill="074A75"/>
              </w:rPr>
              <w:t>remaining</w:t>
            </w:r>
          </w:p>
        </w:tc>
        <w:tc>
          <w:tcPr>
            <w:tcW w:w="360" w:type="dxa"/>
            <w:vAlign w:val="bottom"/>
            <w:shd w:val="clear" w:color="auto" w:fill="074A75"/>
          </w:tcPr>
          <w:p>
            <w:pPr>
              <w:spacing w:after="0"/>
              <w:rPr>
                <w:sz w:val="8"/>
                <w:szCs w:val="8"/>
                <w:color w:val="auto"/>
              </w:rPr>
            </w:pPr>
          </w:p>
        </w:tc>
        <w:tc>
          <w:tcPr>
            <w:tcW w:w="1720" w:type="dxa"/>
            <w:vAlign w:val="bottom"/>
            <w:vMerge w:val="continue"/>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shd w:val="clear" w:color="auto" w:fill="074A75"/>
          </w:tcPr>
          <w:p>
            <w:pPr>
              <w:spacing w:after="0"/>
              <w:rPr>
                <w:sz w:val="6"/>
                <w:szCs w:val="6"/>
                <w:color w:val="auto"/>
              </w:rPr>
            </w:pPr>
          </w:p>
        </w:tc>
        <w:tc>
          <w:tcPr>
            <w:tcW w:w="2140" w:type="dxa"/>
            <w:vAlign w:val="bottom"/>
            <w:vMerge w:val="continue"/>
            <w:shd w:val="clear" w:color="auto" w:fill="EEEFEF"/>
          </w:tcPr>
          <w:p>
            <w:pPr>
              <w:spacing w:after="0"/>
              <w:rPr>
                <w:sz w:val="6"/>
                <w:szCs w:val="6"/>
                <w:color w:val="auto"/>
              </w:rPr>
            </w:pPr>
          </w:p>
        </w:tc>
        <w:tc>
          <w:tcPr>
            <w:tcW w:w="2040" w:type="dxa"/>
            <w:vAlign w:val="bottom"/>
            <w:vMerge w:val="continue"/>
            <w:shd w:val="clear" w:color="auto" w:fill="EEEFEF"/>
          </w:tcPr>
          <w:p>
            <w:pPr>
              <w:spacing w:after="0"/>
              <w:rPr>
                <w:sz w:val="6"/>
                <w:szCs w:val="6"/>
                <w:color w:val="auto"/>
              </w:rPr>
            </w:pPr>
          </w:p>
        </w:tc>
        <w:tc>
          <w:tcPr>
            <w:tcW w:w="220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remaining contractual</w:t>
            </w:r>
          </w:p>
        </w:tc>
        <w:tc>
          <w:tcPr>
            <w:tcW w:w="460" w:type="dxa"/>
            <w:vAlign w:val="bottom"/>
            <w:shd w:val="clear" w:color="auto" w:fill="074A75"/>
          </w:tcPr>
          <w:p>
            <w:pPr>
              <w:spacing w:after="0"/>
              <w:rPr>
                <w:sz w:val="6"/>
                <w:szCs w:val="6"/>
                <w:color w:val="auto"/>
              </w:rPr>
            </w:pPr>
          </w:p>
        </w:tc>
        <w:tc>
          <w:tcPr>
            <w:tcW w:w="700" w:type="dxa"/>
            <w:vAlign w:val="bottom"/>
            <w:gridSpan w:val="5"/>
            <w:vMerge w:val="continue"/>
            <w:shd w:val="clear" w:color="auto" w:fill="074A75"/>
          </w:tcPr>
          <w:p>
            <w:pPr>
              <w:spacing w:after="0"/>
              <w:rPr>
                <w:sz w:val="6"/>
                <w:szCs w:val="6"/>
                <w:color w:val="auto"/>
              </w:rPr>
            </w:pPr>
          </w:p>
        </w:tc>
        <w:tc>
          <w:tcPr>
            <w:tcW w:w="360" w:type="dxa"/>
            <w:vAlign w:val="bottom"/>
            <w:shd w:val="clear" w:color="auto" w:fill="074A75"/>
          </w:tcPr>
          <w:p>
            <w:pPr>
              <w:spacing w:after="0"/>
              <w:rPr>
                <w:sz w:val="6"/>
                <w:szCs w:val="6"/>
                <w:color w:val="auto"/>
              </w:rPr>
            </w:pPr>
          </w:p>
        </w:tc>
        <w:tc>
          <w:tcPr>
            <w:tcW w:w="1720" w:type="dxa"/>
            <w:vAlign w:val="bottom"/>
            <w:vMerge w:val="restart"/>
            <w:shd w:val="clear" w:color="auto" w:fill="074A75"/>
          </w:tcPr>
          <w:p>
            <w:pPr>
              <w:jc w:val="center"/>
              <w:ind w:left="59"/>
              <w:spacing w:after="0"/>
              <w:rPr>
                <w:sz w:val="20"/>
                <w:szCs w:val="20"/>
                <w:color w:val="auto"/>
              </w:rPr>
            </w:pPr>
            <w:r>
              <w:rPr>
                <w:rFonts w:ascii="Arial" w:cs="Arial" w:eastAsia="Arial" w:hAnsi="Arial"/>
                <w:sz w:val="16"/>
                <w:szCs w:val="16"/>
                <w:color w:val="FFFFFF"/>
                <w:w w:val="99"/>
              </w:rPr>
              <w:t>Outstanding</w:t>
            </w:r>
          </w:p>
        </w:tc>
        <w:tc>
          <w:tcPr>
            <w:tcW w:w="0" w:type="dxa"/>
            <w:vAlign w:val="bottom"/>
          </w:tcPr>
          <w:p>
            <w:pPr>
              <w:spacing w:after="0"/>
              <w:rPr>
                <w:sz w:val="1"/>
                <w:szCs w:val="1"/>
                <w:color w:val="auto"/>
              </w:rPr>
            </w:pPr>
          </w:p>
        </w:tc>
      </w:tr>
      <w:tr>
        <w:trPr>
          <w:trHeight w:val="115"/>
        </w:trPr>
        <w:tc>
          <w:tcPr>
            <w:tcW w:w="1620" w:type="dxa"/>
            <w:vAlign w:val="bottom"/>
            <w:vMerge w:val="restart"/>
            <w:shd w:val="clear" w:color="auto" w:fill="074A75"/>
          </w:tcPr>
          <w:p>
            <w:pPr>
              <w:jc w:val="center"/>
              <w:spacing w:after="0"/>
              <w:rPr>
                <w:sz w:val="20"/>
                <w:szCs w:val="20"/>
                <w:color w:val="auto"/>
              </w:rPr>
            </w:pPr>
            <w:r>
              <w:rPr>
                <w:rFonts w:ascii="Arial" w:cs="Arial" w:eastAsia="Arial" w:hAnsi="Arial"/>
                <w:sz w:val="16"/>
                <w:szCs w:val="16"/>
                <w:color w:val="FFFFFF"/>
                <w:w w:val="99"/>
              </w:rPr>
              <w:t>Outstanding</w:t>
            </w:r>
          </w:p>
        </w:tc>
        <w:tc>
          <w:tcPr>
            <w:tcW w:w="21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Outstanding</w:t>
            </w:r>
          </w:p>
        </w:tc>
        <w:tc>
          <w:tcPr>
            <w:tcW w:w="2040" w:type="dxa"/>
            <w:vAlign w:val="bottom"/>
            <w:vMerge w:val="restart"/>
            <w:shd w:val="clear" w:color="auto" w:fill="EEEFEF"/>
          </w:tcPr>
          <w:p>
            <w:pPr>
              <w:jc w:val="center"/>
              <w:spacing w:after="0"/>
              <w:rPr>
                <w:sz w:val="20"/>
                <w:szCs w:val="20"/>
                <w:color w:val="auto"/>
              </w:rPr>
            </w:pPr>
            <w:r>
              <w:rPr>
                <w:rFonts w:ascii="Arial" w:cs="Arial" w:eastAsia="Arial" w:hAnsi="Arial"/>
                <w:sz w:val="16"/>
                <w:szCs w:val="16"/>
                <w:color w:val="auto"/>
              </w:rPr>
              <w:t>exercise price</w:t>
            </w:r>
          </w:p>
        </w:tc>
        <w:tc>
          <w:tcPr>
            <w:tcW w:w="2200" w:type="dxa"/>
            <w:vAlign w:val="bottom"/>
            <w:vMerge w:val="continue"/>
            <w:shd w:val="clear" w:color="auto" w:fill="EEEFEF"/>
          </w:tcPr>
          <w:p>
            <w:pPr>
              <w:spacing w:after="0"/>
              <w:rPr>
                <w:sz w:val="10"/>
                <w:szCs w:val="10"/>
                <w:color w:val="auto"/>
              </w:rPr>
            </w:pPr>
          </w:p>
        </w:tc>
        <w:tc>
          <w:tcPr>
            <w:tcW w:w="460" w:type="dxa"/>
            <w:vAlign w:val="bottom"/>
            <w:shd w:val="clear" w:color="auto" w:fill="074A75"/>
          </w:tcPr>
          <w:p>
            <w:pPr>
              <w:spacing w:after="0"/>
              <w:rPr>
                <w:sz w:val="10"/>
                <w:szCs w:val="10"/>
                <w:color w:val="auto"/>
              </w:rPr>
            </w:pPr>
          </w:p>
        </w:tc>
        <w:tc>
          <w:tcPr>
            <w:tcW w:w="60" w:type="dxa"/>
            <w:vAlign w:val="bottom"/>
            <w:shd w:val="clear" w:color="auto" w:fill="074A75"/>
          </w:tcPr>
          <w:p>
            <w:pPr>
              <w:spacing w:after="0"/>
              <w:rPr>
                <w:sz w:val="10"/>
                <w:szCs w:val="10"/>
                <w:color w:val="auto"/>
              </w:rPr>
            </w:pPr>
          </w:p>
        </w:tc>
        <w:tc>
          <w:tcPr>
            <w:tcW w:w="500" w:type="dxa"/>
            <w:vAlign w:val="bottom"/>
            <w:gridSpan w:val="2"/>
            <w:vMerge w:val="restart"/>
            <w:shd w:val="clear" w:color="auto" w:fill="074A75"/>
          </w:tcPr>
          <w:p>
            <w:pPr>
              <w:ind w:left="20"/>
              <w:spacing w:after="0"/>
              <w:rPr>
                <w:sz w:val="20"/>
                <w:szCs w:val="20"/>
                <w:color w:val="auto"/>
              </w:rPr>
            </w:pPr>
            <w:r>
              <w:rPr>
                <w:rFonts w:ascii="Arial" w:cs="Arial" w:eastAsia="Arial" w:hAnsi="Arial"/>
                <w:sz w:val="16"/>
                <w:szCs w:val="16"/>
                <w:color w:val="FFFFFF"/>
                <w:w w:val="93"/>
                <w:shd w:val="clear" w:color="auto" w:fill="074A75"/>
              </w:rPr>
              <w:t>in Plan</w:t>
            </w:r>
          </w:p>
        </w:tc>
        <w:tc>
          <w:tcPr>
            <w:tcW w:w="500" w:type="dxa"/>
            <w:vAlign w:val="bottom"/>
            <w:gridSpan w:val="3"/>
            <w:vMerge w:val="restart"/>
            <w:shd w:val="clear" w:color="auto" w:fill="074A75"/>
          </w:tcPr>
          <w:p>
            <w:pPr>
              <w:jc w:val="right"/>
              <w:ind w:right="440"/>
              <w:spacing w:after="0"/>
              <w:rPr>
                <w:sz w:val="20"/>
                <w:szCs w:val="20"/>
                <w:color w:val="auto"/>
              </w:rPr>
            </w:pPr>
            <w:r>
              <w:rPr>
                <w:rFonts w:ascii="Arial" w:cs="Arial" w:eastAsia="Arial" w:hAnsi="Arial"/>
                <w:sz w:val="9"/>
                <w:szCs w:val="9"/>
                <w:color w:val="FFFFFF"/>
                <w:w w:val="78"/>
              </w:rPr>
              <w:t>4</w:t>
            </w:r>
          </w:p>
        </w:tc>
        <w:tc>
          <w:tcPr>
            <w:tcW w:w="1720" w:type="dxa"/>
            <w:vAlign w:val="bottom"/>
            <w:vMerge w:val="continue"/>
            <w:shd w:val="clear" w:color="auto" w:fill="074A75"/>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20" w:type="dxa"/>
            <w:vAlign w:val="bottom"/>
            <w:vMerge w:val="continue"/>
            <w:shd w:val="clear" w:color="auto" w:fill="074A75"/>
          </w:tcPr>
          <w:p>
            <w:pPr>
              <w:spacing w:after="0"/>
              <w:rPr>
                <w:sz w:val="6"/>
                <w:szCs w:val="6"/>
                <w:color w:val="auto"/>
              </w:rPr>
            </w:pPr>
          </w:p>
        </w:tc>
        <w:tc>
          <w:tcPr>
            <w:tcW w:w="2140" w:type="dxa"/>
            <w:vAlign w:val="bottom"/>
            <w:vMerge w:val="continue"/>
            <w:shd w:val="clear" w:color="auto" w:fill="EEEFEF"/>
          </w:tcPr>
          <w:p>
            <w:pPr>
              <w:spacing w:after="0"/>
              <w:rPr>
                <w:sz w:val="6"/>
                <w:szCs w:val="6"/>
                <w:color w:val="auto"/>
              </w:rPr>
            </w:pPr>
          </w:p>
        </w:tc>
        <w:tc>
          <w:tcPr>
            <w:tcW w:w="2040" w:type="dxa"/>
            <w:vAlign w:val="bottom"/>
            <w:vMerge w:val="continue"/>
            <w:shd w:val="clear" w:color="auto" w:fill="EEEFEF"/>
          </w:tcPr>
          <w:p>
            <w:pPr>
              <w:spacing w:after="0"/>
              <w:rPr>
                <w:sz w:val="6"/>
                <w:szCs w:val="6"/>
                <w:color w:val="auto"/>
              </w:rPr>
            </w:pPr>
          </w:p>
        </w:tc>
        <w:tc>
          <w:tcPr>
            <w:tcW w:w="2200" w:type="dxa"/>
            <w:vAlign w:val="bottom"/>
            <w:vMerge w:val="continue"/>
            <w:shd w:val="clear" w:color="auto" w:fill="EEEFEF"/>
          </w:tcPr>
          <w:p>
            <w:pPr>
              <w:spacing w:after="0"/>
              <w:rPr>
                <w:sz w:val="6"/>
                <w:szCs w:val="6"/>
                <w:color w:val="auto"/>
              </w:rPr>
            </w:pPr>
          </w:p>
        </w:tc>
        <w:tc>
          <w:tcPr>
            <w:tcW w:w="460" w:type="dxa"/>
            <w:vAlign w:val="bottom"/>
            <w:shd w:val="clear" w:color="auto" w:fill="074A75"/>
          </w:tcPr>
          <w:p>
            <w:pPr>
              <w:spacing w:after="0"/>
              <w:rPr>
                <w:sz w:val="6"/>
                <w:szCs w:val="6"/>
                <w:color w:val="auto"/>
              </w:rPr>
            </w:pPr>
          </w:p>
        </w:tc>
        <w:tc>
          <w:tcPr>
            <w:tcW w:w="60" w:type="dxa"/>
            <w:vAlign w:val="bottom"/>
            <w:shd w:val="clear" w:color="auto" w:fill="074A75"/>
          </w:tcPr>
          <w:p>
            <w:pPr>
              <w:spacing w:after="0"/>
              <w:rPr>
                <w:sz w:val="6"/>
                <w:szCs w:val="6"/>
                <w:color w:val="auto"/>
              </w:rPr>
            </w:pPr>
          </w:p>
        </w:tc>
        <w:tc>
          <w:tcPr>
            <w:tcW w:w="500" w:type="dxa"/>
            <w:vAlign w:val="bottom"/>
            <w:gridSpan w:val="2"/>
            <w:vMerge w:val="continue"/>
            <w:shd w:val="clear" w:color="auto" w:fill="074A75"/>
          </w:tcPr>
          <w:p>
            <w:pPr>
              <w:spacing w:after="0"/>
              <w:rPr>
                <w:sz w:val="6"/>
                <w:szCs w:val="6"/>
                <w:color w:val="auto"/>
              </w:rPr>
            </w:pPr>
          </w:p>
        </w:tc>
        <w:tc>
          <w:tcPr>
            <w:tcW w:w="500" w:type="dxa"/>
            <w:vAlign w:val="bottom"/>
            <w:gridSpan w:val="3"/>
            <w:vMerge w:val="continue"/>
            <w:shd w:val="clear" w:color="auto" w:fill="074A75"/>
          </w:tcPr>
          <w:p>
            <w:pPr>
              <w:spacing w:after="0"/>
              <w:rPr>
                <w:sz w:val="6"/>
                <w:szCs w:val="6"/>
                <w:color w:val="auto"/>
              </w:rPr>
            </w:pPr>
          </w:p>
        </w:tc>
        <w:tc>
          <w:tcPr>
            <w:tcW w:w="1720" w:type="dxa"/>
            <w:vAlign w:val="bottom"/>
            <w:shd w:val="clear" w:color="auto" w:fill="074A75"/>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620" w:type="dxa"/>
            <w:vAlign w:val="bottom"/>
            <w:shd w:val="clear" w:color="auto" w:fill="074A75"/>
          </w:tcPr>
          <w:p>
            <w:pPr>
              <w:spacing w:after="0"/>
              <w:rPr>
                <w:sz w:val="15"/>
                <w:szCs w:val="15"/>
                <w:color w:val="auto"/>
              </w:rPr>
            </w:pPr>
          </w:p>
        </w:tc>
        <w:tc>
          <w:tcPr>
            <w:tcW w:w="2140" w:type="dxa"/>
            <w:vAlign w:val="bottom"/>
            <w:shd w:val="clear" w:color="auto" w:fill="EEEFEF"/>
          </w:tcPr>
          <w:p>
            <w:pPr>
              <w:spacing w:after="0"/>
              <w:rPr>
                <w:sz w:val="15"/>
                <w:szCs w:val="15"/>
                <w:color w:val="auto"/>
              </w:rPr>
            </w:pPr>
          </w:p>
        </w:tc>
        <w:tc>
          <w:tcPr>
            <w:tcW w:w="2040" w:type="dxa"/>
            <w:vAlign w:val="bottom"/>
            <w:shd w:val="clear" w:color="auto" w:fill="EEEFEF"/>
          </w:tcPr>
          <w:p>
            <w:pPr>
              <w:spacing w:after="0"/>
              <w:rPr>
                <w:sz w:val="15"/>
                <w:szCs w:val="15"/>
                <w:color w:val="auto"/>
              </w:rPr>
            </w:pPr>
          </w:p>
        </w:tc>
        <w:tc>
          <w:tcPr>
            <w:tcW w:w="2200" w:type="dxa"/>
            <w:vAlign w:val="bottom"/>
            <w:shd w:val="clear" w:color="auto" w:fill="EEEFEF"/>
          </w:tcPr>
          <w:p>
            <w:pPr>
              <w:jc w:val="center"/>
              <w:spacing w:after="0" w:line="175" w:lineRule="exact"/>
              <w:rPr>
                <w:sz w:val="20"/>
                <w:szCs w:val="20"/>
                <w:color w:val="auto"/>
              </w:rPr>
            </w:pPr>
            <w:r>
              <w:rPr>
                <w:rFonts w:ascii="Arial" w:cs="Arial" w:eastAsia="Arial" w:hAnsi="Arial"/>
                <w:sz w:val="16"/>
                <w:szCs w:val="16"/>
                <w:color w:val="auto"/>
              </w:rPr>
              <w:t>life (in years)</w:t>
            </w:r>
          </w:p>
        </w:tc>
        <w:tc>
          <w:tcPr>
            <w:tcW w:w="460" w:type="dxa"/>
            <w:vAlign w:val="bottom"/>
            <w:shd w:val="clear" w:color="auto" w:fill="074A75"/>
          </w:tcPr>
          <w:p>
            <w:pPr>
              <w:spacing w:after="0"/>
              <w:rPr>
                <w:sz w:val="15"/>
                <w:szCs w:val="15"/>
                <w:color w:val="auto"/>
              </w:rPr>
            </w:pPr>
          </w:p>
        </w:tc>
        <w:tc>
          <w:tcPr>
            <w:tcW w:w="60" w:type="dxa"/>
            <w:vAlign w:val="bottom"/>
            <w:shd w:val="clear" w:color="auto" w:fill="074A75"/>
          </w:tcPr>
          <w:p>
            <w:pPr>
              <w:spacing w:after="0"/>
              <w:rPr>
                <w:sz w:val="15"/>
                <w:szCs w:val="15"/>
                <w:color w:val="auto"/>
              </w:rPr>
            </w:pPr>
          </w:p>
        </w:tc>
        <w:tc>
          <w:tcPr>
            <w:tcW w:w="40" w:type="dxa"/>
            <w:vAlign w:val="bottom"/>
            <w:shd w:val="clear" w:color="auto" w:fill="074A75"/>
          </w:tcPr>
          <w:p>
            <w:pPr>
              <w:spacing w:after="0"/>
              <w:rPr>
                <w:sz w:val="15"/>
                <w:szCs w:val="15"/>
                <w:color w:val="auto"/>
              </w:rPr>
            </w:pPr>
          </w:p>
        </w:tc>
        <w:tc>
          <w:tcPr>
            <w:tcW w:w="460" w:type="dxa"/>
            <w:vAlign w:val="bottom"/>
            <w:shd w:val="clear" w:color="auto" w:fill="074A75"/>
          </w:tcPr>
          <w:p>
            <w:pPr>
              <w:spacing w:after="0"/>
              <w:rPr>
                <w:sz w:val="15"/>
                <w:szCs w:val="15"/>
                <w:color w:val="auto"/>
              </w:rPr>
            </w:pPr>
          </w:p>
        </w:tc>
        <w:tc>
          <w:tcPr>
            <w:tcW w:w="40" w:type="dxa"/>
            <w:vAlign w:val="bottom"/>
            <w:shd w:val="clear" w:color="auto" w:fill="074A75"/>
          </w:tcPr>
          <w:p>
            <w:pPr>
              <w:spacing w:after="0"/>
              <w:rPr>
                <w:sz w:val="15"/>
                <w:szCs w:val="15"/>
                <w:color w:val="auto"/>
              </w:rPr>
            </w:pPr>
          </w:p>
        </w:tc>
        <w:tc>
          <w:tcPr>
            <w:tcW w:w="100" w:type="dxa"/>
            <w:vAlign w:val="bottom"/>
            <w:shd w:val="clear" w:color="auto" w:fill="074A75"/>
          </w:tcPr>
          <w:p>
            <w:pPr>
              <w:spacing w:after="0"/>
              <w:rPr>
                <w:sz w:val="15"/>
                <w:szCs w:val="15"/>
                <w:color w:val="auto"/>
              </w:rPr>
            </w:pPr>
          </w:p>
        </w:tc>
        <w:tc>
          <w:tcPr>
            <w:tcW w:w="360" w:type="dxa"/>
            <w:vAlign w:val="bottom"/>
            <w:shd w:val="clear" w:color="auto" w:fill="074A75"/>
          </w:tcPr>
          <w:p>
            <w:pPr>
              <w:spacing w:after="0"/>
              <w:rPr>
                <w:sz w:val="15"/>
                <w:szCs w:val="15"/>
                <w:color w:val="auto"/>
              </w:rPr>
            </w:pPr>
          </w:p>
        </w:tc>
        <w:tc>
          <w:tcPr>
            <w:tcW w:w="1720" w:type="dxa"/>
            <w:vAlign w:val="bottom"/>
            <w:shd w:val="clear" w:color="auto" w:fill="074A75"/>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20" w:type="dxa"/>
            <w:vAlign w:val="bottom"/>
          </w:tcPr>
          <w:p>
            <w:pPr>
              <w:jc w:val="center"/>
              <w:spacing w:after="0"/>
              <w:rPr>
                <w:sz w:val="20"/>
                <w:szCs w:val="20"/>
                <w:color w:val="auto"/>
              </w:rPr>
            </w:pPr>
            <w:r>
              <w:rPr>
                <w:rFonts w:ascii="Arial" w:cs="Arial" w:eastAsia="Arial" w:hAnsi="Arial"/>
                <w:sz w:val="16"/>
                <w:szCs w:val="16"/>
                <w:color w:val="auto"/>
              </w:rPr>
              <w:t>47,366,985</w:t>
            </w:r>
          </w:p>
        </w:tc>
        <w:tc>
          <w:tcPr>
            <w:tcW w:w="2140" w:type="dxa"/>
            <w:vAlign w:val="bottom"/>
          </w:tcPr>
          <w:p>
            <w:pPr>
              <w:jc w:val="center"/>
              <w:spacing w:after="0"/>
              <w:rPr>
                <w:sz w:val="20"/>
                <w:szCs w:val="20"/>
                <w:color w:val="auto"/>
              </w:rPr>
            </w:pPr>
            <w:r>
              <w:rPr>
                <w:rFonts w:ascii="Arial" w:cs="Arial" w:eastAsia="Arial" w:hAnsi="Arial"/>
                <w:sz w:val="16"/>
                <w:szCs w:val="16"/>
                <w:color w:val="auto"/>
              </w:rPr>
              <w:t>2,597,844</w:t>
            </w:r>
          </w:p>
        </w:tc>
        <w:tc>
          <w:tcPr>
            <w:tcW w:w="2040" w:type="dxa"/>
            <w:vAlign w:val="bottom"/>
          </w:tcPr>
          <w:p>
            <w:pPr>
              <w:jc w:val="center"/>
              <w:spacing w:after="0"/>
              <w:rPr>
                <w:sz w:val="20"/>
                <w:szCs w:val="20"/>
                <w:color w:val="auto"/>
              </w:rPr>
            </w:pPr>
            <w:r>
              <w:rPr>
                <w:rFonts w:ascii="Arial" w:cs="Arial" w:eastAsia="Arial" w:hAnsi="Arial"/>
                <w:sz w:val="16"/>
                <w:szCs w:val="16"/>
                <w:color w:val="auto"/>
                <w:w w:val="98"/>
              </w:rPr>
              <w:t>$41.16</w:t>
            </w:r>
          </w:p>
        </w:tc>
        <w:tc>
          <w:tcPr>
            <w:tcW w:w="2200" w:type="dxa"/>
            <w:vAlign w:val="bottom"/>
          </w:tcPr>
          <w:p>
            <w:pPr>
              <w:jc w:val="center"/>
              <w:spacing w:after="0"/>
              <w:rPr>
                <w:sz w:val="20"/>
                <w:szCs w:val="20"/>
                <w:color w:val="auto"/>
              </w:rPr>
            </w:pPr>
            <w:r>
              <w:rPr>
                <w:rFonts w:ascii="Arial" w:cs="Arial" w:eastAsia="Arial" w:hAnsi="Arial"/>
                <w:sz w:val="16"/>
                <w:szCs w:val="16"/>
                <w:color w:val="auto"/>
              </w:rPr>
              <w:t>1.39</w:t>
            </w:r>
          </w:p>
        </w:tc>
        <w:tc>
          <w:tcPr>
            <w:tcW w:w="1520" w:type="dxa"/>
            <w:vAlign w:val="bottom"/>
            <w:gridSpan w:val="7"/>
          </w:tcPr>
          <w:p>
            <w:pPr>
              <w:jc w:val="center"/>
              <w:ind w:left="19"/>
              <w:spacing w:after="0"/>
              <w:rPr>
                <w:sz w:val="20"/>
                <w:szCs w:val="20"/>
                <w:color w:val="auto"/>
              </w:rPr>
            </w:pPr>
            <w:r>
              <w:rPr>
                <w:rFonts w:ascii="Arial" w:cs="Arial" w:eastAsia="Arial" w:hAnsi="Arial"/>
                <w:sz w:val="16"/>
                <w:szCs w:val="16"/>
                <w:color w:val="auto"/>
              </w:rPr>
              <w:t>55,741,486</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99"/>
              </w:rPr>
              <w:t>3,041,063,538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192"/>
        <w:spacing w:after="0"/>
        <w:tabs>
          <w:tab w:leader="none" w:pos="200" w:val="left"/>
        </w:tabs>
        <w:numPr>
          <w:ilvl w:val="0"/>
          <w:numId w:val="267"/>
        </w:numPr>
        <w:rPr>
          <w:rFonts w:ascii="Arial" w:cs="Arial" w:eastAsia="Arial" w:hAnsi="Arial"/>
          <w:sz w:val="16"/>
          <w:szCs w:val="16"/>
          <w:color w:val="auto"/>
          <w:vertAlign w:val="superscript"/>
        </w:rPr>
      </w:pPr>
      <w:r>
        <w:rPr>
          <w:rFonts w:ascii="Arial" w:cs="Arial" w:eastAsia="Arial" w:hAnsi="Arial"/>
          <w:sz w:val="13"/>
          <w:szCs w:val="13"/>
          <w:color w:val="auto"/>
        </w:rPr>
        <w:t>Represents shares available for future issuance under the shareholder-approved 2018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our common stock on March 25, 2021, on the New York Stock Exchange was $152.55.</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EXECUTIVE COMPENSATION </w:t>
      </w:r>
      <w:r>
        <w:rPr>
          <w:rFonts w:ascii="Arial" w:cs="Arial" w:eastAsia="Arial" w:hAnsi="Arial"/>
          <w:sz w:val="16"/>
          <w:szCs w:val="16"/>
          <w:color w:val="074A75"/>
        </w:rPr>
        <w:t>| APPROVAL OF AMENDED AND RESTATED LONG-TERM INCENTIVE PLAN EFFECTIVE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2021 Plan Awards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Awards granted under the 2021 Plan will be determined in the CMDC’s discretion. As of the date of this proxy statement, the CMDC has not determined future awards or who might receive them. As a result, the benefits that will be awarded or paid under the 2021 Plan are not currently determinable.</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awards granted for the 2020 performance year would not have changed if the 2021 Plan had been in place and are set forth in the following table, as of February 28,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074A75"/>
              </w:rPr>
              <w:t>Name and Position</w:t>
            </w:r>
          </w:p>
        </w:tc>
        <w:tc>
          <w:tcPr>
            <w:tcW w:w="2800" w:type="dxa"/>
            <w:vAlign w:val="bottom"/>
            <w:tcBorders>
              <w:bottom w:val="single" w:sz="8" w:color="454545"/>
            </w:tcBorders>
          </w:tcPr>
          <w:p>
            <w:pPr>
              <w:jc w:val="right"/>
              <w:ind w:right="139"/>
              <w:spacing w:after="0"/>
              <w:rPr>
                <w:sz w:val="20"/>
                <w:szCs w:val="20"/>
                <w:color w:val="auto"/>
              </w:rPr>
            </w:pPr>
            <w:r>
              <w:rPr>
                <w:rFonts w:ascii="Arial" w:cs="Arial" w:eastAsia="Arial" w:hAnsi="Arial"/>
                <w:sz w:val="16"/>
                <w:szCs w:val="16"/>
                <w:color w:val="074A75"/>
              </w:rPr>
              <w:t>Number of Units</w:t>
            </w:r>
            <w:r>
              <w:rPr>
                <w:rFonts w:ascii="Arial" w:cs="Arial" w:eastAsia="Arial" w:hAnsi="Arial"/>
                <w:sz w:val="21"/>
                <w:szCs w:val="21"/>
                <w:color w:val="074A75"/>
                <w:vertAlign w:val="superscript"/>
              </w:rPr>
              <w:t>1</w:t>
            </w:r>
          </w:p>
        </w:tc>
        <w:tc>
          <w:tcPr>
            <w:tcW w:w="560" w:type="dxa"/>
            <w:vAlign w:val="bottom"/>
            <w:tcBorders>
              <w:bottom w:val="single" w:sz="8" w:color="454545"/>
            </w:tcBorders>
          </w:tcPr>
          <w:p>
            <w:pPr>
              <w:spacing w:after="0"/>
              <w:rPr>
                <w:sz w:val="21"/>
                <w:szCs w:val="21"/>
                <w:color w:val="auto"/>
              </w:rPr>
            </w:pPr>
          </w:p>
        </w:tc>
        <w:tc>
          <w:tcPr>
            <w:tcW w:w="13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074A75"/>
              </w:rPr>
              <w:t>Dollar Value</w:t>
            </w:r>
          </w:p>
        </w:tc>
      </w:tr>
      <w:tr>
        <w:trPr>
          <w:trHeight w:val="217"/>
        </w:trPr>
        <w:tc>
          <w:tcPr>
            <w:tcW w:w="6520" w:type="dxa"/>
            <w:vAlign w:val="bottom"/>
          </w:tcPr>
          <w:p>
            <w:pPr>
              <w:ind w:left="20"/>
              <w:spacing w:after="0"/>
              <w:rPr>
                <w:sz w:val="20"/>
                <w:szCs w:val="20"/>
                <w:color w:val="auto"/>
              </w:rPr>
            </w:pPr>
            <w:r>
              <w:rPr>
                <w:rFonts w:ascii="Arial" w:cs="Arial" w:eastAsia="Arial" w:hAnsi="Arial"/>
                <w:sz w:val="16"/>
                <w:szCs w:val="16"/>
                <w:color w:val="auto"/>
              </w:rPr>
              <w:t>James Dimon, Chairman and CEO</w:t>
            </w:r>
          </w:p>
        </w:tc>
        <w:tc>
          <w:tcPr>
            <w:tcW w:w="2800" w:type="dxa"/>
            <w:vAlign w:val="bottom"/>
          </w:tcPr>
          <w:p>
            <w:pPr>
              <w:jc w:val="right"/>
              <w:ind w:right="199"/>
              <w:spacing w:after="0"/>
              <w:rPr>
                <w:sz w:val="20"/>
                <w:szCs w:val="20"/>
                <w:color w:val="auto"/>
              </w:rPr>
            </w:pPr>
            <w:r>
              <w:rPr>
                <w:rFonts w:ascii="Arial" w:cs="Arial" w:eastAsia="Arial" w:hAnsi="Arial"/>
                <w:sz w:val="16"/>
                <w:szCs w:val="16"/>
                <w:color w:val="auto"/>
              </w:rPr>
              <w:t>179,521</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25,000,000</w:t>
            </w: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color w:val="auto"/>
              </w:rPr>
              <w:t>Daniel Pinto, Co-President and Co-Chief Operating Officer; CEO CIB</w:t>
            </w:r>
          </w:p>
        </w:tc>
        <w:tc>
          <w:tcPr>
            <w:tcW w:w="2800" w:type="dxa"/>
            <w:vAlign w:val="bottom"/>
          </w:tcPr>
          <w:p>
            <w:pPr>
              <w:jc w:val="right"/>
              <w:ind w:right="199"/>
              <w:spacing w:after="0"/>
              <w:rPr>
                <w:sz w:val="20"/>
                <w:szCs w:val="20"/>
                <w:color w:val="auto"/>
              </w:rPr>
            </w:pPr>
            <w:r>
              <w:rPr>
                <w:rFonts w:ascii="Arial" w:cs="Arial" w:eastAsia="Arial" w:hAnsi="Arial"/>
                <w:sz w:val="16"/>
                <w:szCs w:val="16"/>
                <w:color w:val="auto"/>
              </w:rPr>
              <w:t>138,974</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16,259,710</w:t>
            </w: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color w:val="auto"/>
              </w:rPr>
              <w:t>Gordon Smith, Co-President and Co-Chief Operating Officer; CEO CCB</w:t>
            </w:r>
          </w:p>
        </w:tc>
        <w:tc>
          <w:tcPr>
            <w:tcW w:w="2800" w:type="dxa"/>
            <w:vAlign w:val="bottom"/>
          </w:tcPr>
          <w:p>
            <w:pPr>
              <w:jc w:val="right"/>
              <w:ind w:right="199"/>
              <w:spacing w:after="0"/>
              <w:rPr>
                <w:sz w:val="20"/>
                <w:szCs w:val="20"/>
                <w:color w:val="auto"/>
              </w:rPr>
            </w:pPr>
            <w:r>
              <w:rPr>
                <w:rFonts w:ascii="Arial" w:cs="Arial" w:eastAsia="Arial" w:hAnsi="Arial"/>
                <w:sz w:val="16"/>
                <w:szCs w:val="16"/>
                <w:color w:val="auto"/>
              </w:rPr>
              <w:t>93,710</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13,050,000</w:t>
            </w: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color w:val="auto"/>
              </w:rPr>
              <w:t>Mary Callahan Erdoes, CEO AWM</w:t>
            </w:r>
          </w:p>
        </w:tc>
        <w:tc>
          <w:tcPr>
            <w:tcW w:w="2800" w:type="dxa"/>
            <w:vAlign w:val="bottom"/>
          </w:tcPr>
          <w:p>
            <w:pPr>
              <w:jc w:val="right"/>
              <w:ind w:right="199"/>
              <w:spacing w:after="0"/>
              <w:rPr>
                <w:sz w:val="20"/>
                <w:szCs w:val="20"/>
                <w:color w:val="auto"/>
              </w:rPr>
            </w:pPr>
            <w:r>
              <w:rPr>
                <w:rFonts w:ascii="Arial" w:cs="Arial" w:eastAsia="Arial" w:hAnsi="Arial"/>
                <w:sz w:val="16"/>
                <w:szCs w:val="16"/>
                <w:color w:val="auto"/>
              </w:rPr>
              <w:t>87,248</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12,150,000</w:t>
            </w:r>
          </w:p>
        </w:tc>
      </w:tr>
      <w:tr>
        <w:trPr>
          <w:trHeight w:val="256"/>
        </w:trPr>
        <w:tc>
          <w:tcPr>
            <w:tcW w:w="6520" w:type="dxa"/>
            <w:vAlign w:val="bottom"/>
            <w:tcBorders>
              <w:bottom w:val="single" w:sz="8" w:color="454545"/>
            </w:tcBorders>
          </w:tcPr>
          <w:p>
            <w:pPr>
              <w:ind w:left="20"/>
              <w:spacing w:after="0"/>
              <w:rPr>
                <w:sz w:val="20"/>
                <w:szCs w:val="20"/>
                <w:color w:val="auto"/>
              </w:rPr>
            </w:pPr>
            <w:r>
              <w:rPr>
                <w:rFonts w:ascii="Arial" w:cs="Arial" w:eastAsia="Arial" w:hAnsi="Arial"/>
                <w:sz w:val="16"/>
                <w:szCs w:val="16"/>
                <w:color w:val="auto"/>
              </w:rPr>
              <w:t>Jennifer Piepszak, CFO</w:t>
            </w:r>
          </w:p>
        </w:tc>
        <w:tc>
          <w:tcPr>
            <w:tcW w:w="2800" w:type="dxa"/>
            <w:vAlign w:val="bottom"/>
            <w:tcBorders>
              <w:bottom w:val="single" w:sz="8" w:color="454545"/>
            </w:tcBorders>
          </w:tcPr>
          <w:p>
            <w:pPr>
              <w:jc w:val="right"/>
              <w:ind w:right="199"/>
              <w:spacing w:after="0"/>
              <w:rPr>
                <w:sz w:val="20"/>
                <w:szCs w:val="20"/>
                <w:color w:val="auto"/>
              </w:rPr>
            </w:pPr>
            <w:r>
              <w:rPr>
                <w:rFonts w:ascii="Arial" w:cs="Arial" w:eastAsia="Arial" w:hAnsi="Arial"/>
                <w:sz w:val="16"/>
                <w:szCs w:val="16"/>
                <w:color w:val="auto"/>
              </w:rPr>
              <w:t>48,472</w:t>
            </w:r>
          </w:p>
        </w:tc>
        <w:tc>
          <w:tcPr>
            <w:tcW w:w="560" w:type="dxa"/>
            <w:vAlign w:val="bottom"/>
            <w:tcBorders>
              <w:bottom w:val="single" w:sz="8" w:color="454545"/>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454545"/>
            </w:tcBorders>
          </w:tcPr>
          <w:p>
            <w:pPr>
              <w:jc w:val="right"/>
              <w:spacing w:after="0"/>
              <w:rPr>
                <w:sz w:val="20"/>
                <w:szCs w:val="20"/>
                <w:color w:val="auto"/>
              </w:rPr>
            </w:pPr>
            <w:r>
              <w:rPr>
                <w:rFonts w:ascii="Arial" w:cs="Arial" w:eastAsia="Arial" w:hAnsi="Arial"/>
                <w:sz w:val="16"/>
                <w:szCs w:val="16"/>
                <w:color w:val="auto"/>
              </w:rPr>
              <w:t>6,750,000</w:t>
            </w:r>
          </w:p>
        </w:tc>
      </w:tr>
      <w:tr>
        <w:trPr>
          <w:trHeight w:val="224"/>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Current executive officers as a group (including NEOs)</w:t>
            </w:r>
          </w:p>
        </w:tc>
        <w:tc>
          <w:tcPr>
            <w:tcW w:w="2800" w:type="dxa"/>
            <w:vAlign w:val="bottom"/>
          </w:tcPr>
          <w:p>
            <w:pPr>
              <w:jc w:val="right"/>
              <w:ind w:right="199"/>
              <w:spacing w:after="0"/>
              <w:rPr>
                <w:sz w:val="20"/>
                <w:szCs w:val="20"/>
                <w:color w:val="auto"/>
              </w:rPr>
            </w:pPr>
            <w:r>
              <w:rPr>
                <w:rFonts w:ascii="Arial" w:cs="Arial" w:eastAsia="Arial" w:hAnsi="Arial"/>
                <w:sz w:val="16"/>
                <w:szCs w:val="16"/>
                <w:b w:val="1"/>
                <w:bCs w:val="1"/>
                <w:color w:val="auto"/>
              </w:rPr>
              <w:t>840,049</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113,889,710</w:t>
            </w:r>
          </w:p>
        </w:tc>
      </w:tr>
      <w:tr>
        <w:trPr>
          <w:trHeight w:val="339"/>
        </w:trPr>
        <w:tc>
          <w:tcPr>
            <w:tcW w:w="6520" w:type="dxa"/>
            <w:vAlign w:val="bottom"/>
          </w:tcPr>
          <w:p>
            <w:pPr>
              <w:ind w:left="20"/>
              <w:spacing w:after="0"/>
              <w:rPr>
                <w:sz w:val="20"/>
                <w:szCs w:val="20"/>
                <w:color w:val="auto"/>
              </w:rPr>
            </w:pPr>
            <w:r>
              <w:rPr>
                <w:rFonts w:ascii="Arial" w:cs="Arial" w:eastAsia="Arial" w:hAnsi="Arial"/>
                <w:sz w:val="18"/>
                <w:szCs w:val="18"/>
                <w:color w:val="auto"/>
              </w:rPr>
              <w:t>Current non-employee directors as a group</w:t>
            </w:r>
            <w:r>
              <w:rPr>
                <w:rFonts w:ascii="Arial" w:cs="Arial" w:eastAsia="Arial" w:hAnsi="Arial"/>
                <w:sz w:val="23"/>
                <w:szCs w:val="23"/>
                <w:color w:val="auto"/>
                <w:vertAlign w:val="superscript"/>
              </w:rPr>
              <w:t>2</w:t>
            </w:r>
          </w:p>
        </w:tc>
        <w:tc>
          <w:tcPr>
            <w:tcW w:w="2800" w:type="dxa"/>
            <w:vAlign w:val="bottom"/>
          </w:tcPr>
          <w:p>
            <w:pPr>
              <w:jc w:val="right"/>
              <w:ind w:right="199"/>
              <w:spacing w:after="0"/>
              <w:rPr>
                <w:sz w:val="20"/>
                <w:szCs w:val="20"/>
                <w:color w:val="auto"/>
              </w:rPr>
            </w:pPr>
            <w:r>
              <w:rPr>
                <w:rFonts w:ascii="Arial" w:cs="Arial" w:eastAsia="Arial" w:hAnsi="Arial"/>
                <w:sz w:val="16"/>
                <w:szCs w:val="16"/>
                <w:b w:val="1"/>
                <w:bCs w:val="1"/>
                <w:color w:val="auto"/>
              </w:rPr>
              <w:t>16,157</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2,250,000</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Employees other than current executive officers as a group</w:t>
            </w:r>
          </w:p>
        </w:tc>
        <w:tc>
          <w:tcPr>
            <w:tcW w:w="2800" w:type="dxa"/>
            <w:vAlign w:val="bottom"/>
          </w:tcPr>
          <w:p>
            <w:pPr>
              <w:jc w:val="right"/>
              <w:ind w:right="199"/>
              <w:spacing w:after="0"/>
              <w:rPr>
                <w:sz w:val="20"/>
                <w:szCs w:val="20"/>
                <w:color w:val="auto"/>
              </w:rPr>
            </w:pPr>
            <w:r>
              <w:rPr>
                <w:rFonts w:ascii="Arial" w:cs="Arial" w:eastAsia="Arial" w:hAnsi="Arial"/>
                <w:sz w:val="16"/>
                <w:szCs w:val="16"/>
                <w:b w:val="1"/>
                <w:bCs w:val="1"/>
                <w:color w:val="auto"/>
              </w:rPr>
              <w:t>17,003,944</w:t>
            </w:r>
          </w:p>
        </w:tc>
        <w:tc>
          <w:tcPr>
            <w:tcW w:w="56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2,335,459,645</w:t>
            </w:r>
          </w:p>
        </w:tc>
      </w:tr>
    </w:tbl>
    <w:p>
      <w:pPr>
        <w:spacing w:after="0" w:line="122" w:lineRule="exact"/>
        <w:rPr>
          <w:sz w:val="20"/>
          <w:szCs w:val="20"/>
          <w:color w:val="auto"/>
        </w:rPr>
      </w:pPr>
    </w:p>
    <w:p>
      <w:pPr>
        <w:ind w:left="200" w:right="20" w:hanging="192"/>
        <w:spacing w:after="0" w:line="229" w:lineRule="auto"/>
        <w:tabs>
          <w:tab w:leader="none" w:pos="200" w:val="left"/>
        </w:tabs>
        <w:numPr>
          <w:ilvl w:val="0"/>
          <w:numId w:val="268"/>
        </w:numPr>
        <w:rPr>
          <w:rFonts w:ascii="Arial" w:cs="Arial" w:eastAsia="Arial" w:hAnsi="Arial"/>
          <w:sz w:val="15"/>
          <w:szCs w:val="15"/>
          <w:color w:val="auto"/>
          <w:vertAlign w:val="superscript"/>
        </w:rPr>
      </w:pPr>
      <w:r>
        <w:rPr>
          <w:rFonts w:ascii="Arial" w:cs="Arial" w:eastAsia="Arial" w:hAnsi="Arial"/>
          <w:sz w:val="12"/>
          <w:szCs w:val="12"/>
          <w:color w:val="auto"/>
        </w:rPr>
        <w:t>For participants other than non-employee directors, includes RSUs and PSUs granted in 2021 for 2020 performance. For the purposes of determining the number of RSUs and PSUs granted to Mr. Pinto, the Firm established a grant date fair value per unit that takes into account that these awards do not carry the right to dividends or dividend equivalents prior to vesting, in accordance with local</w:t>
      </w:r>
    </w:p>
    <w:p>
      <w:pPr>
        <w:ind w:left="200"/>
        <w:spacing w:after="0"/>
        <w:rPr>
          <w:sz w:val="20"/>
          <w:szCs w:val="20"/>
          <w:color w:val="auto"/>
        </w:rPr>
      </w:pPr>
      <w:r>
        <w:rPr>
          <w:rFonts w:ascii="Arial" w:cs="Arial" w:eastAsia="Arial" w:hAnsi="Arial"/>
          <w:sz w:val="13"/>
          <w:szCs w:val="13"/>
          <w:color w:val="auto"/>
        </w:rPr>
        <w:t>regulations.</w:t>
      </w:r>
    </w:p>
    <w:p>
      <w:pPr>
        <w:ind w:left="200" w:hanging="192"/>
        <w:spacing w:after="0" w:line="198" w:lineRule="auto"/>
        <w:tabs>
          <w:tab w:leader="none" w:pos="200" w:val="left"/>
        </w:tabs>
        <w:numPr>
          <w:ilvl w:val="0"/>
          <w:numId w:val="269"/>
        </w:numPr>
        <w:rPr>
          <w:rFonts w:ascii="Arial" w:cs="Arial" w:eastAsia="Arial" w:hAnsi="Arial"/>
          <w:sz w:val="16"/>
          <w:szCs w:val="16"/>
          <w:color w:val="auto"/>
          <w:vertAlign w:val="superscript"/>
        </w:rPr>
      </w:pPr>
      <w:r>
        <w:rPr>
          <w:rFonts w:ascii="Arial" w:cs="Arial" w:eastAsia="Arial" w:hAnsi="Arial"/>
          <w:sz w:val="13"/>
          <w:szCs w:val="13"/>
          <w:color w:val="auto"/>
        </w:rPr>
        <w:t>Non-employee directors, who were on the Board at the time when annual performance year equity awards are granted, were each awarded $250,000 in deferred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713105</wp:posOffset>
            </wp:positionV>
            <wp:extent cx="2743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91  </w:t>
      </w:r>
      <w:r>
        <w:rPr>
          <w:sz w:val="1"/>
          <w:szCs w:val="1"/>
          <w:color w:val="auto"/>
        </w:rPr>
        <w:drawing>
          <wp:inline distT="0" distB="0" distL="0" distR="0">
            <wp:extent cx="2203450" cy="154305"/>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color w:val="074A7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9"/>
          <w:szCs w:val="29"/>
          <w:color w:val="074A75"/>
        </w:rPr>
        <w:t>Proposal 4: Ratification of independent registered public accounting firm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auto"/>
              </w:rPr>
              <w:t>The Audit Committee has appointed PwC as the Firm’s</w:t>
            </w:r>
          </w:p>
        </w:tc>
        <w:tc>
          <w:tcPr>
            <w:tcW w:w="5340" w:type="dxa"/>
            <w:vAlign w:val="bottom"/>
            <w:vMerge w:val="restart"/>
            <w:shd w:val="clear" w:color="auto" w:fill="074A75"/>
          </w:tcPr>
          <w:p>
            <w:pPr>
              <w:ind w:left="200"/>
              <w:spacing w:after="0"/>
              <w:rPr>
                <w:sz w:val="20"/>
                <w:szCs w:val="20"/>
                <w:color w:val="auto"/>
              </w:rPr>
            </w:pPr>
            <w:r>
              <w:rPr>
                <w:rFonts w:ascii="Arial" w:cs="Arial" w:eastAsia="Arial" w:hAnsi="Arial"/>
                <w:sz w:val="20"/>
                <w:szCs w:val="20"/>
                <w:b w:val="1"/>
                <w:bCs w:val="1"/>
                <w:color w:val="FFFFFF"/>
              </w:rPr>
              <w:t>RECOMMENDATION:</w:t>
            </w:r>
          </w:p>
        </w:tc>
        <w:tc>
          <w:tcPr>
            <w:tcW w:w="0" w:type="dxa"/>
            <w:vAlign w:val="bottom"/>
          </w:tcPr>
          <w:p>
            <w:pPr>
              <w:spacing w:after="0"/>
              <w:rPr>
                <w:sz w:val="1"/>
                <w:szCs w:val="1"/>
                <w:color w:val="auto"/>
              </w:rPr>
            </w:pPr>
          </w:p>
        </w:tc>
      </w:tr>
      <w:tr>
        <w:trPr>
          <w:trHeight w:val="95"/>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independent registered public accounting firm for the year</w:t>
            </w:r>
          </w:p>
        </w:tc>
        <w:tc>
          <w:tcPr>
            <w:tcW w:w="5340" w:type="dxa"/>
            <w:vAlign w:val="bottom"/>
            <w:vMerge w:val="continue"/>
            <w:shd w:val="clear" w:color="auto" w:fill="074A75"/>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900" w:type="dxa"/>
            <w:vAlign w:val="bottom"/>
            <w:vMerge w:val="continue"/>
          </w:tcPr>
          <w:p>
            <w:pPr>
              <w:spacing w:after="0"/>
              <w:rPr>
                <w:sz w:val="10"/>
                <w:szCs w:val="10"/>
                <w:color w:val="auto"/>
              </w:rPr>
            </w:pPr>
          </w:p>
        </w:tc>
        <w:tc>
          <w:tcPr>
            <w:tcW w:w="5340" w:type="dxa"/>
            <w:vAlign w:val="bottom"/>
            <w:vMerge w:val="restart"/>
            <w:shd w:val="clear" w:color="auto" w:fill="074A75"/>
          </w:tcPr>
          <w:p>
            <w:pPr>
              <w:ind w:left="20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ratification of PwC</w:t>
            </w:r>
          </w:p>
        </w:tc>
        <w:tc>
          <w:tcPr>
            <w:tcW w:w="0" w:type="dxa"/>
            <w:vAlign w:val="bottom"/>
          </w:tcPr>
          <w:p>
            <w:pPr>
              <w:spacing w:after="0"/>
              <w:rPr>
                <w:sz w:val="1"/>
                <w:szCs w:val="1"/>
                <w:color w:val="auto"/>
              </w:rPr>
            </w:pPr>
          </w:p>
        </w:tc>
      </w:tr>
      <w:tr>
        <w:trPr>
          <w:trHeight w:val="14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ending December 31, 2021.</w:t>
            </w:r>
          </w:p>
        </w:tc>
        <w:tc>
          <w:tcPr>
            <w:tcW w:w="5340" w:type="dxa"/>
            <w:vAlign w:val="bottom"/>
            <w:vMerge w:val="continue"/>
            <w:shd w:val="clear" w:color="auto" w:fill="074A75"/>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5900" w:type="dxa"/>
            <w:vAlign w:val="bottom"/>
            <w:vMerge w:val="continue"/>
          </w:tcPr>
          <w:p>
            <w:pPr>
              <w:spacing w:after="0"/>
              <w:rPr>
                <w:sz w:val="9"/>
                <w:szCs w:val="9"/>
                <w:color w:val="auto"/>
              </w:rPr>
            </w:pPr>
          </w:p>
        </w:tc>
        <w:tc>
          <w:tcPr>
            <w:tcW w:w="5340" w:type="dxa"/>
            <w:vAlign w:val="bottom"/>
            <w:tcBorders>
              <w:bottom w:val="single" w:sz="8" w:color="074A75"/>
            </w:tcBorders>
            <w:shd w:val="clear" w:color="auto" w:fill="074A75"/>
          </w:tcPr>
          <w:p>
            <w:pPr>
              <w:spacing w:after="0"/>
              <w:rPr>
                <w:sz w:val="9"/>
                <w:szCs w:val="9"/>
                <w:color w:val="auto"/>
              </w:rPr>
            </w:pPr>
          </w:p>
        </w:tc>
        <w:tc>
          <w:tcPr>
            <w:tcW w:w="0" w:type="dxa"/>
            <w:vAlign w:val="bottom"/>
          </w:tcPr>
          <w:p>
            <w:pPr>
              <w:spacing w:after="0"/>
              <w:rPr>
                <w:sz w:val="1"/>
                <w:szCs w:val="1"/>
                <w:color w:val="auto"/>
              </w:rPr>
            </w:pPr>
          </w:p>
        </w:tc>
      </w:tr>
      <w:tr>
        <w:trPr>
          <w:trHeight w:val="1404"/>
        </w:trPr>
        <w:tc>
          <w:tcPr>
            <w:tcW w:w="5900" w:type="dxa"/>
            <w:vAlign w:val="bottom"/>
            <w:tcBorders>
              <w:bottom w:val="single" w:sz="8" w:color="074A75"/>
            </w:tcBorders>
          </w:tcPr>
          <w:p>
            <w:pPr>
              <w:spacing w:after="0"/>
              <w:rPr>
                <w:sz w:val="24"/>
                <w:szCs w:val="24"/>
                <w:color w:val="auto"/>
              </w:rPr>
            </w:pPr>
          </w:p>
        </w:tc>
        <w:tc>
          <w:tcPr>
            <w:tcW w:w="5340" w:type="dxa"/>
            <w:vAlign w:val="bottom"/>
            <w:tcBorders>
              <w:bottom w:val="single" w:sz="8" w:color="074A75"/>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-1233805</wp:posOffset>
            </wp:positionV>
            <wp:extent cx="137160" cy="13716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4163695</wp:posOffset>
            </wp:positionH>
            <wp:positionV relativeFrom="paragraph">
              <wp:posOffset>-1010920</wp:posOffset>
            </wp:positionV>
            <wp:extent cx="26479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color w:val="074A75"/>
        </w:rPr>
        <w:t>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the appointment, retention,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evaluation and oversight of the Firm’s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public accounting firm. It is also responsible for assisting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in its oversight of the Firm’s Internal Audit function and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responsibilities to assure that there is an effective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controls in place reasonably designed to safeguard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and income of the Firm, assure the integrity of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maintain compliance with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ethical standards and with laws and regulations. The Report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on these matters can be found on pages 96-97.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PwC as the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to audit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of JPMorgan Chase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for the year ending December 31, 2021. A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be presented to our shareholders at the annual meeting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them to ratify PwC’s appointment. For more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this resolution, see page 94. If the shareholders do not ratify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PwC, the Audit Committee will consider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another independent registered public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271780</wp:posOffset>
            </wp:positionV>
            <wp:extent cx="2743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93  </w:t>
      </w:r>
      <w:r>
        <w:rPr>
          <w:sz w:val="1"/>
          <w:szCs w:val="1"/>
          <w:color w:val="auto"/>
        </w:rPr>
        <w:drawing>
          <wp:inline distT="0" distB="0" distL="0" distR="0">
            <wp:extent cx="2203450" cy="154305"/>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RATIFICATION OF INDEPENDENT REGISTERED PUBLIC ACCOUNTING FIRM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color w:val="074A75"/>
        </w:rPr>
        <w:t>Proposal 4 — Ratification of independent registered public accounting firm</w:t>
      </w:r>
    </w:p>
    <w:p>
      <w:pPr>
        <w:sectPr>
          <w:pgSz w:w="11900" w:h="16838" w:orient="portrait"/>
          <w:cols w:equalWidth="0" w:num="1">
            <w:col w:w="11220"/>
          </w:cols>
          <w:pgMar w:left="320" w:top="171" w:right="359" w:bottom="1440" w:gutter="0" w:footer="0" w:header="0"/>
        </w:sectPr>
      </w:pPr>
    </w:p>
    <w:p>
      <w:pPr>
        <w:spacing w:after="0" w:line="11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074A75"/>
        </w:rPr>
        <w:t>Engagement of independent registered public accounting firm</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9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2021.</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For information on the factors reviewed by the Audit Committee, see the Audit Committee Report on pages 96-97.</w:t>
      </w:r>
    </w:p>
    <w:p>
      <w:pPr>
        <w:spacing w:after="0" w:line="9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86" w:lineRule="exact"/>
        <w:rPr>
          <w:sz w:val="20"/>
          <w:szCs w:val="20"/>
          <w:color w:val="auto"/>
        </w:rPr>
      </w:pPr>
    </w:p>
    <w:p>
      <w:pPr>
        <w:ind w:left="200" w:right="20" w:hanging="192"/>
        <w:spacing w:after="0" w:line="254"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 high quality of their audit work and accounting advice, as a result of their institutional knowledge of our businesses, global operations, key risks, accounting policies, financial systems and internal control framework;</w:t>
      </w:r>
    </w:p>
    <w:p>
      <w:pPr>
        <w:spacing w:after="0" w:line="55" w:lineRule="exact"/>
        <w:rPr>
          <w:rFonts w:ascii="Arial" w:cs="Arial" w:eastAsia="Arial" w:hAnsi="Arial"/>
          <w:sz w:val="18"/>
          <w:szCs w:val="18"/>
          <w:color w:val="074A75"/>
        </w:rPr>
      </w:pPr>
    </w:p>
    <w:p>
      <w:pPr>
        <w:ind w:left="200" w:right="100" w:hanging="192"/>
        <w:spacing w:after="0" w:line="256"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their audit efficiency and effectiveness, which results in a lower fee structure due to their history and familiarity with our businesses;</w:t>
      </w:r>
    </w:p>
    <w:p>
      <w:pPr>
        <w:spacing w:after="0" w:line="66" w:lineRule="exact"/>
        <w:rPr>
          <w:rFonts w:ascii="Arial" w:cs="Arial" w:eastAsia="Arial" w:hAnsi="Arial"/>
          <w:sz w:val="18"/>
          <w:szCs w:val="18"/>
          <w:color w:val="074A75"/>
        </w:rPr>
      </w:pPr>
    </w:p>
    <w:p>
      <w:pPr>
        <w:ind w:left="200" w:right="240" w:hanging="192"/>
        <w:spacing w:after="0" w:line="291" w:lineRule="auto"/>
        <w:tabs>
          <w:tab w:leader="none" w:pos="204" w:val="left"/>
        </w:tabs>
        <w:numPr>
          <w:ilvl w:val="0"/>
          <w:numId w:val="270"/>
        </w:numPr>
        <w:rPr>
          <w:rFonts w:ascii="Arial" w:cs="Arial" w:eastAsia="Arial" w:hAnsi="Arial"/>
          <w:sz w:val="17"/>
          <w:szCs w:val="17"/>
          <w:color w:val="074A75"/>
        </w:rPr>
      </w:pPr>
      <w:r>
        <w:rPr>
          <w:rFonts w:ascii="Arial" w:cs="Arial" w:eastAsia="Arial" w:hAnsi="Arial"/>
          <w:sz w:val="17"/>
          <w:szCs w:val="17"/>
          <w:color w:val="auto"/>
        </w:rPr>
        <w:t>the time and expense that would be avoided by management and staff in order to onboard a new auditor; and</w:t>
      </w:r>
    </w:p>
    <w:p>
      <w:pPr>
        <w:spacing w:after="0" w:line="25" w:lineRule="exact"/>
        <w:rPr>
          <w:rFonts w:ascii="Arial" w:cs="Arial" w:eastAsia="Arial" w:hAnsi="Arial"/>
          <w:sz w:val="17"/>
          <w:szCs w:val="17"/>
          <w:color w:val="074A75"/>
        </w:rPr>
      </w:pPr>
    </w:p>
    <w:p>
      <w:pPr>
        <w:ind w:left="200" w:right="260" w:hanging="192"/>
        <w:spacing w:after="0" w:line="261" w:lineRule="auto"/>
        <w:tabs>
          <w:tab w:leader="none" w:pos="204" w:val="left"/>
        </w:tabs>
        <w:numPr>
          <w:ilvl w:val="0"/>
          <w:numId w:val="270"/>
        </w:numPr>
        <w:rPr>
          <w:rFonts w:ascii="Arial" w:cs="Arial" w:eastAsia="Arial" w:hAnsi="Arial"/>
          <w:sz w:val="18"/>
          <w:szCs w:val="18"/>
          <w:color w:val="074A75"/>
        </w:rPr>
      </w:pPr>
      <w:r>
        <w:rPr>
          <w:rFonts w:ascii="Arial" w:cs="Arial" w:eastAsia="Arial" w:hAnsi="Arial"/>
          <w:sz w:val="18"/>
          <w:szCs w:val="18"/>
          <w:color w:val="auto"/>
        </w:rPr>
        <w:t>their commitment to maintaining their independence from the Firm.</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74A75"/>
        </w:rPr>
        <w:t>Board oversight of PwC</w:t>
      </w:r>
    </w:p>
    <w:p>
      <w:pPr>
        <w:spacing w:after="0" w:line="11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Audit Committee held six private sessions with PwC during 2020.</w:t>
      </w:r>
    </w:p>
    <w:p>
      <w:pPr>
        <w:spacing w:after="0" w:line="9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to use PwC only for audit and audit-related services, and tax services in certain circumstances. For more information see Audit Committee Approval Policies and Procedures on page 95.</w:t>
      </w:r>
    </w:p>
    <w:p>
      <w:pPr>
        <w:spacing w:after="0" w:line="9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Director of Tax or CFO or Controller of a LOB or Corporate function for a period of two years following his or her termination of employment with PwC.</w:t>
      </w:r>
    </w:p>
    <w:p>
      <w:pPr>
        <w:spacing w:after="0" w:line="10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accordance with SEC rules and PwC policies, audit partners are subject to rotation requirements to limit the number of consecutive years of service an individual partner may provide audit services to our Firm. The lead audit partner and quality review partner may provide services to our Firm for a maximum of five consecutive years. As a result of the rotation requirements, a new lead audit partner was selected to commence with the 2021 audit engagement. The Audit Committee was directly involved in the selection of the new lead audit partner.</w:t>
      </w:r>
    </w:p>
    <w:p>
      <w:pPr>
        <w:spacing w:after="0" w:line="1843" w:lineRule="exact"/>
        <w:rPr>
          <w:sz w:val="20"/>
          <w:szCs w:val="20"/>
          <w:color w:val="auto"/>
        </w:rPr>
      </w:pPr>
    </w:p>
    <w:p>
      <w:pPr>
        <w:sectPr>
          <w:pgSz w:w="11900" w:h="16838" w:orient="portrait"/>
          <w:cols w:equalWidth="0" w:num="2">
            <w:col w:w="5300" w:space="440"/>
            <w:col w:w="5480"/>
          </w:cols>
          <w:pgMar w:left="320" w:top="171" w:right="359" w:bottom="1440" w:gutter="0" w:footer="0" w:header="0"/>
          <w:type w:val="continuous"/>
        </w:sectPr>
      </w:pP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74A75"/>
        </w:rPr>
        <w:t>Fees paid to PricewaterhouseCoopers LLP</w:t>
      </w:r>
    </w:p>
    <w:p>
      <w:pPr>
        <w:spacing w:after="0" w:line="11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Audit Committee is responsible for negotiating the terms and fees associated with the Firm’s retention of PwC, including the annual integrated audit of the Firm’s Consolidated Financial Statements.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2020 and 2019,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ind w:left="20"/>
              <w:spacing w:after="0"/>
              <w:rPr>
                <w:sz w:val="20"/>
                <w:szCs w:val="20"/>
                <w:color w:val="auto"/>
              </w:rPr>
            </w:pPr>
            <w:r>
              <w:rPr>
                <w:rFonts w:ascii="Arial" w:cs="Arial" w:eastAsia="Arial" w:hAnsi="Arial"/>
                <w:sz w:val="16"/>
                <w:szCs w:val="16"/>
                <w:color w:val="074A75"/>
              </w:rPr>
              <w:t>Year ended December 31,</w:t>
            </w: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074A75"/>
              </w:rPr>
              <w:t xml:space="preserve">2019 </w:t>
            </w:r>
            <w:r>
              <w:rPr>
                <w:rFonts w:ascii="Arial" w:cs="Arial" w:eastAsia="Arial" w:hAnsi="Arial"/>
                <w:sz w:val="21"/>
                <w:szCs w:val="21"/>
                <w:color w:val="074A75"/>
                <w:vertAlign w:val="superscript"/>
              </w:rPr>
              <w:t>1</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074A75"/>
            </w:tcBorders>
          </w:tcPr>
          <w:p>
            <w:pPr>
              <w:ind w:left="20"/>
              <w:spacing w:after="0"/>
              <w:rPr>
                <w:sz w:val="20"/>
                <w:szCs w:val="20"/>
                <w:color w:val="auto"/>
              </w:rPr>
            </w:pPr>
            <w:r>
              <w:rPr>
                <w:rFonts w:ascii="Arial" w:cs="Arial" w:eastAsia="Arial" w:hAnsi="Arial"/>
                <w:sz w:val="16"/>
                <w:szCs w:val="16"/>
                <w:color w:val="074A75"/>
              </w:rPr>
              <w:t>($ in millions)</w:t>
            </w:r>
          </w:p>
        </w:tc>
        <w:tc>
          <w:tcPr>
            <w:tcW w:w="1180" w:type="dxa"/>
            <w:vAlign w:val="bottom"/>
            <w:tcBorders>
              <w:bottom w:val="single" w:sz="8" w:color="074A75"/>
            </w:tcBorders>
          </w:tcPr>
          <w:p>
            <w:pPr>
              <w:spacing w:after="0"/>
              <w:rPr>
                <w:sz w:val="18"/>
                <w:szCs w:val="18"/>
                <w:color w:val="auto"/>
              </w:rPr>
            </w:pPr>
          </w:p>
        </w:tc>
        <w:tc>
          <w:tcPr>
            <w:tcW w:w="520" w:type="dxa"/>
            <w:vAlign w:val="bottom"/>
            <w:tcBorders>
              <w:bottom w:val="single" w:sz="8" w:color="074A75"/>
            </w:tcBorders>
          </w:tcPr>
          <w:p>
            <w:pPr>
              <w:jc w:val="right"/>
              <w:spacing w:after="0"/>
              <w:rPr>
                <w:sz w:val="20"/>
                <w:szCs w:val="20"/>
                <w:color w:val="auto"/>
              </w:rPr>
            </w:pPr>
            <w:r>
              <w:rPr>
                <w:rFonts w:ascii="Arial" w:cs="Arial" w:eastAsia="Arial" w:hAnsi="Arial"/>
                <w:sz w:val="16"/>
                <w:szCs w:val="16"/>
                <w:color w:val="074A75"/>
              </w:rPr>
              <w:t>2020</w:t>
            </w:r>
          </w:p>
        </w:tc>
        <w:tc>
          <w:tcPr>
            <w:tcW w:w="180" w:type="dxa"/>
            <w:vAlign w:val="bottom"/>
            <w:tcBorders>
              <w:bottom w:val="single" w:sz="8" w:color="074A75"/>
            </w:tcBorders>
          </w:tcPr>
          <w:p>
            <w:pPr>
              <w:spacing w:after="0"/>
              <w:rPr>
                <w:sz w:val="18"/>
                <w:szCs w:val="18"/>
                <w:color w:val="auto"/>
              </w:rPr>
            </w:pPr>
          </w:p>
        </w:tc>
        <w:tc>
          <w:tcPr>
            <w:tcW w:w="540" w:type="dxa"/>
            <w:vAlign w:val="bottom"/>
            <w:tcBorders>
              <w:bottom w:val="single" w:sz="8" w:color="074A7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0"/>
              <w:spacing w:after="0"/>
              <w:rPr>
                <w:sz w:val="20"/>
                <w:szCs w:val="20"/>
                <w:color w:val="auto"/>
              </w:rPr>
            </w:pPr>
            <w:r>
              <w:rPr>
                <w:rFonts w:ascii="Arial" w:cs="Arial" w:eastAsia="Arial" w:hAnsi="Arial"/>
                <w:sz w:val="14"/>
                <w:szCs w:val="14"/>
                <w:color w:val="auto"/>
              </w:rPr>
              <w:t>Audit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4"/>
                <w:szCs w:val="14"/>
                <w:color w:val="auto"/>
              </w:rPr>
              <w:t>Audit-related</w:t>
            </w: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22"/>
        </w:trPr>
        <w:tc>
          <w:tcPr>
            <w:tcW w:w="2900" w:type="dxa"/>
            <w:vAlign w:val="bottom"/>
            <w:tcBorders>
              <w:bottom w:val="single" w:sz="8" w:color="074A75"/>
            </w:tcBorders>
          </w:tcPr>
          <w:p>
            <w:pPr>
              <w:ind w:left="20"/>
              <w:spacing w:after="0"/>
              <w:rPr>
                <w:sz w:val="20"/>
                <w:szCs w:val="20"/>
                <w:color w:val="auto"/>
              </w:rPr>
            </w:pPr>
            <w:r>
              <w:rPr>
                <w:rFonts w:ascii="Arial" w:cs="Arial" w:eastAsia="Arial" w:hAnsi="Arial"/>
                <w:sz w:val="14"/>
                <w:szCs w:val="14"/>
                <w:color w:val="auto"/>
              </w:rPr>
              <w:t>Tax</w:t>
            </w:r>
          </w:p>
        </w:tc>
        <w:tc>
          <w:tcPr>
            <w:tcW w:w="1180" w:type="dxa"/>
            <w:vAlign w:val="bottom"/>
            <w:tcBorders>
              <w:bottom w:val="single" w:sz="8" w:color="074A75"/>
            </w:tcBorders>
          </w:tcPr>
          <w:p>
            <w:pPr>
              <w:spacing w:after="0"/>
              <w:rPr>
                <w:sz w:val="19"/>
                <w:szCs w:val="19"/>
                <w:color w:val="auto"/>
              </w:rPr>
            </w:pPr>
          </w:p>
        </w:tc>
        <w:tc>
          <w:tcPr>
            <w:tcW w:w="520" w:type="dxa"/>
            <w:vAlign w:val="bottom"/>
            <w:tcBorders>
              <w:bottom w:val="single" w:sz="8" w:color="074A75"/>
            </w:tcBorders>
          </w:tcPr>
          <w:p>
            <w:pPr>
              <w:jc w:val="right"/>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074A75"/>
            </w:tcBorders>
          </w:tcPr>
          <w:p>
            <w:pPr>
              <w:spacing w:after="0"/>
              <w:rPr>
                <w:sz w:val="19"/>
                <w:szCs w:val="19"/>
                <w:color w:val="auto"/>
              </w:rPr>
            </w:pPr>
          </w:p>
        </w:tc>
        <w:tc>
          <w:tcPr>
            <w:tcW w:w="540" w:type="dxa"/>
            <w:vAlign w:val="bottom"/>
            <w:tcBorders>
              <w:bottom w:val="single" w:sz="8" w:color="074A75"/>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9"/>
        </w:trPr>
        <w:tc>
          <w:tcPr>
            <w:tcW w:w="2900" w:type="dxa"/>
            <w:vAlign w:val="bottom"/>
            <w:tcBorders>
              <w:bottom w:val="single" w:sz="8" w:color="074A75"/>
            </w:tcBorders>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074A75"/>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074A75"/>
            </w:tcBorders>
          </w:tcPr>
          <w:p>
            <w:pPr>
              <w:jc w:val="right"/>
              <w:spacing w:after="0"/>
              <w:rPr>
                <w:sz w:val="20"/>
                <w:szCs w:val="20"/>
                <w:color w:val="auto"/>
              </w:rPr>
            </w:pPr>
            <w:r>
              <w:rPr>
                <w:rFonts w:ascii="Arial" w:cs="Arial" w:eastAsia="Arial" w:hAnsi="Arial"/>
                <w:sz w:val="14"/>
                <w:szCs w:val="14"/>
                <w:color w:val="auto"/>
              </w:rPr>
              <w:t>105.1</w:t>
            </w:r>
          </w:p>
        </w:tc>
        <w:tc>
          <w:tcPr>
            <w:tcW w:w="180" w:type="dxa"/>
            <w:vAlign w:val="bottom"/>
            <w:tcBorders>
              <w:bottom w:val="single" w:sz="8" w:color="074A75"/>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74A75"/>
            </w:tcBorders>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0" w:hanging="52"/>
        <w:spacing w:after="0"/>
        <w:tabs>
          <w:tab w:leader="none" w:pos="60" w:val="left"/>
        </w:tabs>
        <w:numPr>
          <w:ilvl w:val="0"/>
          <w:numId w:val="271"/>
        </w:numPr>
        <w:rPr>
          <w:rFonts w:ascii="Arial" w:cs="Arial" w:eastAsia="Arial" w:hAnsi="Arial"/>
          <w:sz w:val="7"/>
          <w:szCs w:val="7"/>
          <w:color w:val="auto"/>
        </w:rPr>
      </w:pPr>
      <w:r>
        <w:rPr>
          <w:rFonts w:ascii="Arial" w:cs="Arial" w:eastAsia="Arial" w:hAnsi="Arial"/>
          <w:sz w:val="13"/>
          <w:szCs w:val="13"/>
          <w:color w:val="auto"/>
        </w:rPr>
        <w:t>Prior-period amounts have been revised to conform with the current presentation.</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 Chase but are not consolidated with the Firm.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years ended December 31, 2020 and 2019, fees for the annual integrated audit of the Firm’s Consolidated Financial Statements and of the Firm’s internal control over financial reporting, and quarterly reviews of the Firm’s Consolidated Financial Statements, were $40.3 million and $40.2 million, respectively. Fees for services related to statutory/subsidiary audits, attestation reports required by statute or regulation, and comfort letters and consents related to SEC filings and other similar filings with non-U.S. authorities were $34.8 million and $35.6 million, respectively.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39"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and servicing activities; reviews related to investment and lending processes, and technology systems; and due diligence reviews related to acquisitions and divestitures. These services are normally provided in connection with the recurring audit engagement.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Fees for the years ended December 31, 2020 and 2019, for tax compliance and tax return preparation services were $2.5 million and $2.6 million, respectively. Fees for other tax services, including tax advisory and consultation on tax matters, were $0.2 million and $0.6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074A75"/>
        </w:rPr>
        <w:t>Audit Committee approval policies and procedures</w:t>
      </w:r>
    </w:p>
    <w:p>
      <w:pPr>
        <w:spacing w:after="0" w:line="11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Audit Committee’s policies and procedures require the Audit Committee to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pre-approval requirement may be waived.</w:t>
      </w:r>
    </w:p>
    <w:p>
      <w:pPr>
        <w:spacing w:after="0" w:line="1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Pre-approved services to be performed by PwC with estimated costs in excess of $250,000 are approved by the Chair of the Audit Committee; and pre-approved services with estimated costs less than or equal to $ 250,000 are delegated to the Firmwide Controller’s office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422275</wp:posOffset>
            </wp:positionV>
            <wp:extent cx="27432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95  </w:t>
      </w:r>
      <w:r>
        <w:rPr>
          <w:sz w:val="1"/>
          <w:szCs w:val="1"/>
          <w:color w:val="auto"/>
        </w:rPr>
        <w:drawing>
          <wp:inline distT="0" distB="0" distL="0" distR="0">
            <wp:extent cx="2203450" cy="154305"/>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074A75"/>
        </w:rPr>
        <w:t xml:space="preserve">AUDIT COMMITTEE REPORT </w:t>
      </w:r>
      <w:r>
        <w:rPr>
          <w:rFonts w:ascii="Arial" w:cs="Arial" w:eastAsia="Arial" w:hAnsi="Arial"/>
          <w:sz w:val="16"/>
          <w:szCs w:val="16"/>
          <w:b w:val="1"/>
          <w:bCs w:val="1"/>
          <w:color w:val="074A75"/>
        </w:rPr>
        <w:t>|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074A75"/>
        </w:rPr>
        <w:t>Audit Committee report</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of the Board of Directors of JPMorgan Chase is comprised of three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95.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074A75"/>
        </w:rPr>
        <w:t>Assessment of PwC</w:t>
      </w:r>
    </w:p>
    <w:p>
      <w:pPr>
        <w:spacing w:after="0" w:line="110" w:lineRule="exact"/>
        <w:rPr>
          <w:sz w:val="20"/>
          <w:szCs w:val="20"/>
          <w:color w:val="auto"/>
        </w:rPr>
      </w:pPr>
    </w:p>
    <w:p>
      <w:pPr>
        <w:ind w:right="640"/>
        <w:spacing w:after="0" w:line="254"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96" w:lineRule="exact"/>
        <w:rPr>
          <w:sz w:val="20"/>
          <w:szCs w:val="20"/>
          <w:color w:val="auto"/>
        </w:rPr>
      </w:pPr>
    </w:p>
    <w:p>
      <w:pPr>
        <w:ind w:left="200" w:right="200" w:hanging="196"/>
        <w:spacing w:after="0" w:line="249" w:lineRule="auto"/>
        <w:tabs>
          <w:tab w:leader="none" w:pos="204" w:val="left"/>
        </w:tabs>
        <w:numPr>
          <w:ilvl w:val="0"/>
          <w:numId w:val="272"/>
        </w:numPr>
        <w:rPr>
          <w:rFonts w:ascii="Arial" w:cs="Arial" w:eastAsia="Arial" w:hAnsi="Arial"/>
          <w:sz w:val="18"/>
          <w:szCs w:val="18"/>
          <w:color w:val="074A75"/>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 w:lineRule="exact"/>
        <w:rPr>
          <w:sz w:val="20"/>
          <w:szCs w:val="20"/>
          <w:color w:val="auto"/>
        </w:rPr>
      </w:pPr>
    </w:p>
    <w:p>
      <w:pPr>
        <w:sectPr>
          <w:pgSz w:w="11900" w:h="16838" w:orient="portrait"/>
          <w:cols w:equalWidth="0" w:num="2">
            <w:col w:w="5340" w:space="400"/>
            <w:col w:w="5480"/>
          </w:cols>
          <w:pgMar w:left="320" w:top="171"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Charter</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jpmorganchase.com/about/governance/board-committees/audit-committee, under the heading “Audit Committee” located under Board Committees, which is in the Governance section of the Who We Are tab.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103" w:lineRule="exact"/>
        <w:rPr>
          <w:sz w:val="20"/>
          <w:szCs w:val="20"/>
          <w:color w:val="auto"/>
        </w:rPr>
      </w:pPr>
    </w:p>
    <w:p>
      <w:pPr>
        <w:ind w:left="200" w:right="20" w:hanging="192"/>
        <w:spacing w:after="0" w:line="261" w:lineRule="auto"/>
        <w:tabs>
          <w:tab w:leader="none" w:pos="197" w:val="left"/>
        </w:tabs>
        <w:numPr>
          <w:ilvl w:val="0"/>
          <w:numId w:val="273"/>
        </w:numPr>
        <w:rPr>
          <w:rFonts w:ascii="Arial" w:cs="Arial" w:eastAsia="Arial" w:hAnsi="Arial"/>
          <w:sz w:val="16"/>
          <w:szCs w:val="16"/>
          <w:color w:val="074A75"/>
        </w:rPr>
      </w:pPr>
      <w:r>
        <w:rPr>
          <w:rFonts w:ascii="Arial" w:cs="Arial" w:eastAsia="Arial" w:hAnsi="Arial"/>
          <w:sz w:val="18"/>
          <w:szCs w:val="18"/>
          <w:color w:val="auto"/>
        </w:rPr>
        <w:t>the independent registered public accounting firm’s qualifications and independence,</w:t>
      </w:r>
    </w:p>
    <w:p>
      <w:pPr>
        <w:spacing w:after="0" w:line="89" w:lineRule="exact"/>
        <w:rPr>
          <w:rFonts w:ascii="Arial" w:cs="Arial" w:eastAsia="Arial" w:hAnsi="Arial"/>
          <w:sz w:val="16"/>
          <w:szCs w:val="16"/>
          <w:color w:val="074A75"/>
        </w:rPr>
      </w:pPr>
    </w:p>
    <w:p>
      <w:pPr>
        <w:ind w:left="200" w:right="400" w:hanging="192"/>
        <w:spacing w:after="0" w:line="261" w:lineRule="auto"/>
        <w:tabs>
          <w:tab w:leader="none" w:pos="197" w:val="left"/>
        </w:tabs>
        <w:numPr>
          <w:ilvl w:val="0"/>
          <w:numId w:val="273"/>
        </w:numPr>
        <w:rPr>
          <w:rFonts w:ascii="Arial" w:cs="Arial" w:eastAsia="Arial" w:hAnsi="Arial"/>
          <w:sz w:val="16"/>
          <w:szCs w:val="16"/>
          <w:color w:val="074A75"/>
        </w:rPr>
      </w:pPr>
      <w:r>
        <w:rPr>
          <w:rFonts w:ascii="Arial" w:cs="Arial" w:eastAsia="Arial" w:hAnsi="Arial"/>
          <w:sz w:val="18"/>
          <w:szCs w:val="18"/>
          <w:color w:val="auto"/>
        </w:rPr>
        <w:t>the performance of the Firm's internal audit function and the independent registered public accounting firm, and</w:t>
      </w:r>
    </w:p>
    <w:p>
      <w:pPr>
        <w:spacing w:after="0" w:line="89" w:lineRule="exact"/>
        <w:rPr>
          <w:rFonts w:ascii="Arial" w:cs="Arial" w:eastAsia="Arial" w:hAnsi="Arial"/>
          <w:sz w:val="16"/>
          <w:szCs w:val="16"/>
          <w:color w:val="074A75"/>
        </w:rPr>
      </w:pPr>
    </w:p>
    <w:p>
      <w:pPr>
        <w:ind w:left="200" w:right="60" w:hanging="192"/>
        <w:spacing w:after="0" w:line="252" w:lineRule="auto"/>
        <w:tabs>
          <w:tab w:leader="none" w:pos="197" w:val="left"/>
        </w:tabs>
        <w:numPr>
          <w:ilvl w:val="0"/>
          <w:numId w:val="273"/>
        </w:numPr>
        <w:rPr>
          <w:rFonts w:ascii="Arial" w:cs="Arial" w:eastAsia="Arial" w:hAnsi="Arial"/>
          <w:sz w:val="16"/>
          <w:szCs w:val="16"/>
          <w:color w:val="074A75"/>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074A75"/>
        </w:rPr>
        <w:t>Audit communications and fees</w:t>
      </w:r>
    </w:p>
    <w:p>
      <w:pPr>
        <w:spacing w:after="0" w:line="11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discussed with PwC the matters required to be discussed by Public Company Accounting Oversight Board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including PwC’s overall audit scope and audit approach as set forth in the terms of their engagement letter; PwC’s 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ind w:left="196" w:right="360" w:hanging="196"/>
        <w:spacing w:after="0" w:line="256"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53" w:lineRule="exact"/>
        <w:rPr>
          <w:rFonts w:ascii="Arial" w:cs="Arial" w:eastAsia="Arial" w:hAnsi="Arial"/>
          <w:sz w:val="18"/>
          <w:szCs w:val="18"/>
          <w:color w:val="074A75"/>
        </w:rPr>
      </w:pPr>
    </w:p>
    <w:p>
      <w:pPr>
        <w:ind w:left="196" w:right="160" w:hanging="196"/>
        <w:spacing w:after="0" w:line="253"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70" w:lineRule="exact"/>
        <w:rPr>
          <w:rFonts w:ascii="Arial" w:cs="Arial" w:eastAsia="Arial" w:hAnsi="Arial"/>
          <w:sz w:val="18"/>
          <w:szCs w:val="18"/>
          <w:color w:val="074A75"/>
        </w:rPr>
      </w:pPr>
    </w:p>
    <w:p>
      <w:pPr>
        <w:ind w:left="196" w:right="160" w:hanging="196"/>
        <w:spacing w:after="0" w:line="254"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PwC’s demonstrated capability, expertise and efficiency in which it handles the breadth and complexity of the Firm’s global operations, including the use of technology, specialists, and subject matter experts;</w:t>
      </w:r>
    </w:p>
    <w:p>
      <w:pPr>
        <w:spacing w:after="0" w:line="55" w:lineRule="exact"/>
        <w:rPr>
          <w:rFonts w:ascii="Arial" w:cs="Arial" w:eastAsia="Arial" w:hAnsi="Arial"/>
          <w:sz w:val="18"/>
          <w:szCs w:val="18"/>
          <w:color w:val="074A75"/>
        </w:rPr>
      </w:pPr>
    </w:p>
    <w:p>
      <w:pPr>
        <w:ind w:left="196" w:right="140" w:hanging="196"/>
        <w:spacing w:after="0" w:line="252"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58" w:lineRule="exact"/>
        <w:rPr>
          <w:rFonts w:ascii="Arial" w:cs="Arial" w:eastAsia="Arial" w:hAnsi="Arial"/>
          <w:sz w:val="18"/>
          <w:szCs w:val="18"/>
          <w:color w:val="074A75"/>
        </w:rPr>
      </w:pPr>
    </w:p>
    <w:p>
      <w:pPr>
        <w:ind w:left="196" w:right="240" w:hanging="196"/>
        <w:spacing w:after="0" w:line="254"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68" w:lineRule="exact"/>
        <w:rPr>
          <w:rFonts w:ascii="Arial" w:cs="Arial" w:eastAsia="Arial" w:hAnsi="Arial"/>
          <w:sz w:val="18"/>
          <w:szCs w:val="18"/>
          <w:color w:val="074A75"/>
        </w:rPr>
      </w:pPr>
    </w:p>
    <w:p>
      <w:pPr>
        <w:ind w:left="196" w:right="160" w:hanging="196"/>
        <w:spacing w:after="0" w:line="256"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53" w:lineRule="exact"/>
        <w:rPr>
          <w:rFonts w:ascii="Arial" w:cs="Arial" w:eastAsia="Arial" w:hAnsi="Arial"/>
          <w:sz w:val="18"/>
          <w:szCs w:val="18"/>
          <w:color w:val="074A75"/>
        </w:rPr>
      </w:pPr>
    </w:p>
    <w:p>
      <w:pPr>
        <w:ind w:left="196" w:hanging="196"/>
        <w:spacing w:after="0"/>
        <w:tabs>
          <w:tab w:leader="none" w:pos="196"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PwC’s tenure as the Firm’s independent auditor;</w:t>
      </w:r>
    </w:p>
    <w:p>
      <w:pPr>
        <w:spacing w:after="0" w:line="76" w:lineRule="exact"/>
        <w:rPr>
          <w:rFonts w:ascii="Arial" w:cs="Arial" w:eastAsia="Arial" w:hAnsi="Arial"/>
          <w:sz w:val="18"/>
          <w:szCs w:val="18"/>
          <w:color w:val="074A75"/>
        </w:rPr>
      </w:pPr>
    </w:p>
    <w:p>
      <w:pPr>
        <w:jc w:val="both"/>
        <w:ind w:left="196" w:right="340" w:hanging="196"/>
        <w:spacing w:after="0" w:line="256"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66" w:lineRule="exact"/>
        <w:rPr>
          <w:rFonts w:ascii="Arial" w:cs="Arial" w:eastAsia="Arial" w:hAnsi="Arial"/>
          <w:sz w:val="18"/>
          <w:szCs w:val="18"/>
          <w:color w:val="074A75"/>
        </w:rPr>
      </w:pPr>
    </w:p>
    <w:p>
      <w:pPr>
        <w:ind w:left="196" w:right="320" w:hanging="196"/>
        <w:spacing w:after="0" w:line="254" w:lineRule="auto"/>
        <w:tabs>
          <w:tab w:leader="none" w:pos="200" w:val="left"/>
        </w:tabs>
        <w:numPr>
          <w:ilvl w:val="0"/>
          <w:numId w:val="274"/>
        </w:numPr>
        <w:rPr>
          <w:rFonts w:ascii="Arial" w:cs="Arial" w:eastAsia="Arial" w:hAnsi="Arial"/>
          <w:sz w:val="18"/>
          <w:szCs w:val="18"/>
          <w:color w:val="074A75"/>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734" w:lineRule="exact"/>
        <w:rPr>
          <w:sz w:val="20"/>
          <w:szCs w:val="20"/>
          <w:color w:val="auto"/>
        </w:rPr>
      </w:pPr>
    </w:p>
    <w:p>
      <w:pPr>
        <w:sectPr>
          <w:pgSz w:w="11900" w:h="16838" w:orient="portrait"/>
          <w:cols w:equalWidth="0" w:num="2">
            <w:col w:w="5360" w:space="384"/>
            <w:col w:w="5476"/>
          </w:cols>
          <w:pgMar w:left="320" w:top="171" w:right="359" w:bottom="1440" w:gutter="0" w:footer="0" w:header="0"/>
          <w:type w:val="continuous"/>
        </w:sectPr>
      </w:pP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 xml:space="preserve">AUDIT MATTERS | </w:t>
      </w:r>
      <w:r>
        <w:rPr>
          <w:rFonts w:ascii="Arial" w:cs="Arial" w:eastAsia="Arial" w:hAnsi="Arial"/>
          <w:sz w:val="16"/>
          <w:szCs w:val="16"/>
          <w:color w:val="074A75"/>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Audit Committees Concerning Independence, </w:t>
      </w:r>
      <w:r>
        <w:rPr>
          <w:rFonts w:ascii="Arial" w:cs="Arial" w:eastAsia="Arial" w:hAnsi="Arial"/>
          <w:sz w:val="17"/>
          <w:szCs w:val="17"/>
          <w:color w:val="auto"/>
        </w:rPr>
        <w:t>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8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2021, subject to shareholder ratification.</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10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and also holds private sessions with the General Auditor and with PwC without members of</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9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2020 Annual Report on Form 10-K, as filed with the SEC.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15,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 (Chair)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Michael A. Neal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Phebe N. Novakovic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383540</wp:posOffset>
            </wp:positionV>
            <wp:extent cx="27432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97  </w:t>
      </w:r>
      <w:r>
        <w:rPr>
          <w:sz w:val="1"/>
          <w:szCs w:val="1"/>
          <w:color w:val="auto"/>
        </w:rPr>
        <w:drawing>
          <wp:inline distT="0" distB="0" distL="0" distR="0">
            <wp:extent cx="2203450" cy="154305"/>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43"/>
          <w:szCs w:val="43"/>
          <w:color w:val="074A75"/>
        </w:rPr>
        <w:t>Shareholder proposals</w:t>
      </w:r>
      <w:r>
        <w:rPr>
          <w:rFonts w:ascii="Arial" w:cs="Arial" w:eastAsia="Arial" w:hAnsi="Arial"/>
          <w:sz w:val="56"/>
          <w:szCs w:val="56"/>
          <w:color w:val="074A75"/>
          <w:vertAlign w:val="superscript"/>
        </w:rPr>
        <w:t>1</w:t>
      </w:r>
      <w:r>
        <w:rPr>
          <w:rFonts w:ascii="Arial" w:cs="Arial" w:eastAsia="Arial" w:hAnsi="Arial"/>
          <w:sz w:val="43"/>
          <w:szCs w:val="43"/>
          <w:color w:val="074A7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215265</wp:posOffset>
            </wp:positionV>
            <wp:extent cx="34118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5740" w:type="dxa"/>
        <w:tblCellMar>
          <w:top w:w="0" w:type="dxa"/>
          <w:left w:w="0" w:type="dxa"/>
          <w:bottom w:w="0" w:type="dxa"/>
          <w:right w:w="0" w:type="dxa"/>
        </w:tblCellMar>
      </w:tblPr>
      <w:tr>
        <w:trPr>
          <w:trHeight w:val="259"/>
        </w:trPr>
        <w:tc>
          <w:tcPr>
            <w:tcW w:w="4380" w:type="dxa"/>
            <w:vAlign w:val="bottom"/>
          </w:tcPr>
          <w:p>
            <w:pPr>
              <w:ind w:left="20"/>
              <w:spacing w:after="0"/>
              <w:rPr>
                <w:rFonts w:ascii="Arial" w:cs="Arial" w:eastAsia="Arial" w:hAnsi="Arial"/>
                <w:sz w:val="22"/>
                <w:szCs w:val="22"/>
                <w:color w:val="074A75"/>
              </w:rPr>
            </w:pPr>
            <w:hyperlink w:anchor="page105">
              <w:r>
                <w:rPr>
                  <w:rFonts w:ascii="Arial" w:cs="Arial" w:eastAsia="Arial" w:hAnsi="Arial"/>
                  <w:sz w:val="22"/>
                  <w:szCs w:val="22"/>
                  <w:color w:val="074A75"/>
                </w:rPr>
                <w:t>PROPOSAL 5:</w:t>
              </w:r>
            </w:hyperlink>
          </w:p>
        </w:tc>
        <w:tc>
          <w:tcPr>
            <w:tcW w:w="1000" w:type="dxa"/>
            <w:vAlign w:val="bottom"/>
          </w:tcPr>
          <w:p>
            <w:pPr>
              <w:spacing w:after="0"/>
              <w:rPr>
                <w:sz w:val="22"/>
                <w:szCs w:val="22"/>
                <w:color w:val="auto"/>
              </w:rPr>
            </w:pPr>
          </w:p>
        </w:tc>
      </w:tr>
      <w:tr>
        <w:trPr>
          <w:trHeight w:val="364"/>
        </w:trPr>
        <w:tc>
          <w:tcPr>
            <w:tcW w:w="4380" w:type="dxa"/>
            <w:vAlign w:val="bottom"/>
          </w:tcPr>
          <w:p>
            <w:pPr>
              <w:ind w:left="20"/>
              <w:spacing w:after="0"/>
              <w:rPr>
                <w:rFonts w:ascii="Arial" w:cs="Arial" w:eastAsia="Arial" w:hAnsi="Arial"/>
                <w:sz w:val="22"/>
                <w:szCs w:val="22"/>
                <w:color w:val="074A75"/>
              </w:rPr>
            </w:pPr>
            <w:hyperlink w:anchor="page105">
              <w:r>
                <w:rPr>
                  <w:rFonts w:ascii="Arial" w:cs="Arial" w:eastAsia="Arial" w:hAnsi="Arial"/>
                  <w:sz w:val="22"/>
                  <w:szCs w:val="22"/>
                  <w:color w:val="074A75"/>
                </w:rPr>
                <w:t>Improve shareholder written consent</w:t>
              </w:r>
            </w:hyperlink>
          </w:p>
        </w:tc>
        <w:tc>
          <w:tcPr>
            <w:tcW w:w="1000" w:type="dxa"/>
            <w:vAlign w:val="bottom"/>
          </w:tcPr>
          <w:p>
            <w:pPr>
              <w:jc w:val="right"/>
              <w:spacing w:after="0"/>
              <w:rPr>
                <w:rFonts w:ascii="Arial" w:cs="Arial" w:eastAsia="Arial" w:hAnsi="Arial"/>
                <w:sz w:val="22"/>
                <w:szCs w:val="22"/>
                <w:color w:val="074A75"/>
              </w:rPr>
            </w:pPr>
            <w:hyperlink w:anchor="page105">
              <w:r>
                <w:rPr>
                  <w:rFonts w:ascii="Arial" w:cs="Arial" w:eastAsia="Arial" w:hAnsi="Arial"/>
                  <w:sz w:val="22"/>
                  <w:szCs w:val="22"/>
                  <w:color w:val="074A75"/>
                </w:rPr>
                <w:t>99</w:t>
              </w:r>
            </w:hyperlink>
          </w:p>
        </w:tc>
      </w:tr>
      <w:tr>
        <w:trPr>
          <w:trHeight w:val="179"/>
        </w:trPr>
        <w:tc>
          <w:tcPr>
            <w:tcW w:w="4380" w:type="dxa"/>
            <w:vAlign w:val="bottom"/>
            <w:tcBorders>
              <w:bottom w:val="single" w:sz="8" w:color="074A75"/>
            </w:tcBorders>
          </w:tcPr>
          <w:p>
            <w:pPr>
              <w:spacing w:after="0"/>
              <w:rPr>
                <w:sz w:val="15"/>
                <w:szCs w:val="15"/>
                <w:color w:val="auto"/>
              </w:rPr>
            </w:pPr>
          </w:p>
        </w:tc>
        <w:tc>
          <w:tcPr>
            <w:tcW w:w="1000" w:type="dxa"/>
            <w:vAlign w:val="bottom"/>
            <w:tcBorders>
              <w:bottom w:val="single" w:sz="8" w:color="074A75"/>
            </w:tcBorders>
          </w:tcPr>
          <w:p>
            <w:pPr>
              <w:spacing w:after="0"/>
              <w:rPr>
                <w:sz w:val="15"/>
                <w:szCs w:val="15"/>
                <w:color w:val="auto"/>
              </w:rPr>
            </w:pPr>
          </w:p>
        </w:tc>
      </w:tr>
      <w:tr>
        <w:trPr>
          <w:trHeight w:val="435"/>
        </w:trPr>
        <w:tc>
          <w:tcPr>
            <w:tcW w:w="4380" w:type="dxa"/>
            <w:vAlign w:val="bottom"/>
          </w:tcPr>
          <w:p>
            <w:pPr>
              <w:ind w:left="20"/>
              <w:spacing w:after="0"/>
              <w:rPr>
                <w:rFonts w:ascii="Arial" w:cs="Arial" w:eastAsia="Arial" w:hAnsi="Arial"/>
                <w:sz w:val="22"/>
                <w:szCs w:val="22"/>
                <w:color w:val="074A75"/>
              </w:rPr>
            </w:pPr>
            <w:hyperlink w:anchor="page107">
              <w:r>
                <w:rPr>
                  <w:rFonts w:ascii="Arial" w:cs="Arial" w:eastAsia="Arial" w:hAnsi="Arial"/>
                  <w:sz w:val="22"/>
                  <w:szCs w:val="22"/>
                  <w:color w:val="074A75"/>
                </w:rPr>
                <w:t>PROPOSAL 6:</w:t>
              </w:r>
            </w:hyperlink>
          </w:p>
        </w:tc>
        <w:tc>
          <w:tcPr>
            <w:tcW w:w="1000" w:type="dxa"/>
            <w:vAlign w:val="bottom"/>
          </w:tcPr>
          <w:p>
            <w:pPr>
              <w:spacing w:after="0"/>
              <w:rPr>
                <w:sz w:val="24"/>
                <w:szCs w:val="24"/>
                <w:color w:val="auto"/>
              </w:rPr>
            </w:pPr>
          </w:p>
        </w:tc>
      </w:tr>
      <w:tr>
        <w:trPr>
          <w:trHeight w:val="365"/>
        </w:trPr>
        <w:tc>
          <w:tcPr>
            <w:tcW w:w="4380" w:type="dxa"/>
            <w:vAlign w:val="bottom"/>
          </w:tcPr>
          <w:p>
            <w:pPr>
              <w:ind w:left="20"/>
              <w:spacing w:after="0"/>
              <w:rPr>
                <w:rFonts w:ascii="Arial" w:cs="Arial" w:eastAsia="Arial" w:hAnsi="Arial"/>
                <w:sz w:val="22"/>
                <w:szCs w:val="22"/>
                <w:color w:val="074A75"/>
              </w:rPr>
            </w:pPr>
            <w:hyperlink w:anchor="page107">
              <w:r>
                <w:rPr>
                  <w:rFonts w:ascii="Arial" w:cs="Arial" w:eastAsia="Arial" w:hAnsi="Arial"/>
                  <w:sz w:val="22"/>
                  <w:szCs w:val="22"/>
                  <w:color w:val="074A75"/>
                </w:rPr>
                <w:t>Racial equity audit and report</w:t>
              </w:r>
            </w:hyperlink>
          </w:p>
        </w:tc>
        <w:tc>
          <w:tcPr>
            <w:tcW w:w="1000" w:type="dxa"/>
            <w:vAlign w:val="bottom"/>
          </w:tcPr>
          <w:p>
            <w:pPr>
              <w:jc w:val="right"/>
              <w:spacing w:after="0"/>
              <w:rPr>
                <w:rFonts w:ascii="Arial" w:cs="Arial" w:eastAsia="Arial" w:hAnsi="Arial"/>
                <w:sz w:val="22"/>
                <w:szCs w:val="22"/>
                <w:color w:val="074A75"/>
              </w:rPr>
            </w:pPr>
            <w:hyperlink w:anchor="page107">
              <w:r>
                <w:rPr>
                  <w:rFonts w:ascii="Arial" w:cs="Arial" w:eastAsia="Arial" w:hAnsi="Arial"/>
                  <w:sz w:val="22"/>
                  <w:szCs w:val="22"/>
                  <w:color w:val="074A75"/>
                </w:rPr>
                <w:t>101</w:t>
              </w:r>
            </w:hyperlink>
          </w:p>
        </w:tc>
      </w:tr>
      <w:tr>
        <w:trPr>
          <w:trHeight w:val="179"/>
        </w:trPr>
        <w:tc>
          <w:tcPr>
            <w:tcW w:w="4380" w:type="dxa"/>
            <w:vAlign w:val="bottom"/>
            <w:tcBorders>
              <w:bottom w:val="single" w:sz="8" w:color="074A75"/>
            </w:tcBorders>
          </w:tcPr>
          <w:p>
            <w:pPr>
              <w:spacing w:after="0"/>
              <w:rPr>
                <w:sz w:val="15"/>
                <w:szCs w:val="15"/>
                <w:color w:val="auto"/>
              </w:rPr>
            </w:pPr>
          </w:p>
        </w:tc>
        <w:tc>
          <w:tcPr>
            <w:tcW w:w="1000" w:type="dxa"/>
            <w:vAlign w:val="bottom"/>
            <w:tcBorders>
              <w:bottom w:val="single" w:sz="8" w:color="074A75"/>
            </w:tcBorders>
          </w:tcPr>
          <w:p>
            <w:pPr>
              <w:spacing w:after="0"/>
              <w:rPr>
                <w:sz w:val="15"/>
                <w:szCs w:val="15"/>
                <w:color w:val="auto"/>
              </w:rPr>
            </w:pPr>
          </w:p>
        </w:tc>
      </w:tr>
      <w:tr>
        <w:trPr>
          <w:trHeight w:val="436"/>
        </w:trPr>
        <w:tc>
          <w:tcPr>
            <w:tcW w:w="4380" w:type="dxa"/>
            <w:vAlign w:val="bottom"/>
          </w:tcPr>
          <w:p>
            <w:pPr>
              <w:ind w:left="20"/>
              <w:spacing w:after="0"/>
              <w:rPr>
                <w:rFonts w:ascii="Arial" w:cs="Arial" w:eastAsia="Arial" w:hAnsi="Arial"/>
                <w:sz w:val="22"/>
                <w:szCs w:val="22"/>
                <w:color w:val="074A75"/>
              </w:rPr>
            </w:pPr>
            <w:hyperlink w:anchor="page109">
              <w:r>
                <w:rPr>
                  <w:rFonts w:ascii="Arial" w:cs="Arial" w:eastAsia="Arial" w:hAnsi="Arial"/>
                  <w:sz w:val="22"/>
                  <w:szCs w:val="22"/>
                  <w:color w:val="074A75"/>
                </w:rPr>
                <w:t>PROPOSAL 7:</w:t>
              </w:r>
            </w:hyperlink>
          </w:p>
        </w:tc>
        <w:tc>
          <w:tcPr>
            <w:tcW w:w="1000" w:type="dxa"/>
            <w:vAlign w:val="bottom"/>
          </w:tcPr>
          <w:p>
            <w:pPr>
              <w:spacing w:after="0"/>
              <w:rPr>
                <w:sz w:val="24"/>
                <w:szCs w:val="24"/>
                <w:color w:val="auto"/>
              </w:rPr>
            </w:pPr>
          </w:p>
        </w:tc>
      </w:tr>
      <w:tr>
        <w:trPr>
          <w:trHeight w:val="365"/>
        </w:trPr>
        <w:tc>
          <w:tcPr>
            <w:tcW w:w="4380" w:type="dxa"/>
            <w:vAlign w:val="bottom"/>
          </w:tcPr>
          <w:p>
            <w:pPr>
              <w:ind w:left="20"/>
              <w:spacing w:after="0"/>
              <w:rPr>
                <w:rFonts w:ascii="Arial" w:cs="Arial" w:eastAsia="Arial" w:hAnsi="Arial"/>
                <w:sz w:val="22"/>
                <w:szCs w:val="22"/>
                <w:color w:val="074A75"/>
              </w:rPr>
            </w:pPr>
            <w:hyperlink w:anchor="page109">
              <w:r>
                <w:rPr>
                  <w:rFonts w:ascii="Arial" w:cs="Arial" w:eastAsia="Arial" w:hAnsi="Arial"/>
                  <w:sz w:val="22"/>
                  <w:szCs w:val="22"/>
                  <w:color w:val="074A75"/>
                </w:rPr>
                <w:t>Independent board chairman</w:t>
              </w:r>
            </w:hyperlink>
          </w:p>
        </w:tc>
        <w:tc>
          <w:tcPr>
            <w:tcW w:w="1000" w:type="dxa"/>
            <w:vAlign w:val="bottom"/>
          </w:tcPr>
          <w:p>
            <w:pPr>
              <w:jc w:val="right"/>
              <w:spacing w:after="0"/>
              <w:rPr>
                <w:rFonts w:ascii="Arial" w:cs="Arial" w:eastAsia="Arial" w:hAnsi="Arial"/>
                <w:sz w:val="22"/>
                <w:szCs w:val="22"/>
                <w:color w:val="074A75"/>
              </w:rPr>
            </w:pPr>
            <w:hyperlink w:anchor="page109">
              <w:r>
                <w:rPr>
                  <w:rFonts w:ascii="Arial" w:cs="Arial" w:eastAsia="Arial" w:hAnsi="Arial"/>
                  <w:sz w:val="22"/>
                  <w:szCs w:val="22"/>
                  <w:color w:val="074A75"/>
                </w:rPr>
                <w:t>103</w:t>
              </w:r>
            </w:hyperlink>
          </w:p>
        </w:tc>
      </w:tr>
      <w:tr>
        <w:trPr>
          <w:trHeight w:val="179"/>
        </w:trPr>
        <w:tc>
          <w:tcPr>
            <w:tcW w:w="4380" w:type="dxa"/>
            <w:vAlign w:val="bottom"/>
            <w:tcBorders>
              <w:bottom w:val="single" w:sz="8" w:color="074A75"/>
            </w:tcBorders>
          </w:tcPr>
          <w:p>
            <w:pPr>
              <w:spacing w:after="0"/>
              <w:rPr>
                <w:sz w:val="15"/>
                <w:szCs w:val="15"/>
                <w:color w:val="auto"/>
              </w:rPr>
            </w:pPr>
          </w:p>
        </w:tc>
        <w:tc>
          <w:tcPr>
            <w:tcW w:w="1000" w:type="dxa"/>
            <w:vAlign w:val="bottom"/>
            <w:tcBorders>
              <w:bottom w:val="single" w:sz="8" w:color="074A75"/>
            </w:tcBorders>
          </w:tcPr>
          <w:p>
            <w:pPr>
              <w:spacing w:after="0"/>
              <w:rPr>
                <w:sz w:val="15"/>
                <w:szCs w:val="15"/>
                <w:color w:val="auto"/>
              </w:rPr>
            </w:pPr>
          </w:p>
        </w:tc>
      </w:tr>
      <w:tr>
        <w:trPr>
          <w:trHeight w:val="436"/>
        </w:trPr>
        <w:tc>
          <w:tcPr>
            <w:tcW w:w="4380" w:type="dxa"/>
            <w:vAlign w:val="bottom"/>
          </w:tcPr>
          <w:p>
            <w:pPr>
              <w:ind w:left="20"/>
              <w:spacing w:after="0"/>
              <w:rPr>
                <w:rFonts w:ascii="Arial" w:cs="Arial" w:eastAsia="Arial" w:hAnsi="Arial"/>
                <w:sz w:val="22"/>
                <w:szCs w:val="22"/>
                <w:color w:val="074A75"/>
              </w:rPr>
            </w:pPr>
            <w:hyperlink w:anchor="page111">
              <w:r>
                <w:rPr>
                  <w:rFonts w:ascii="Arial" w:cs="Arial" w:eastAsia="Arial" w:hAnsi="Arial"/>
                  <w:sz w:val="22"/>
                  <w:szCs w:val="22"/>
                  <w:color w:val="074A75"/>
                </w:rPr>
                <w:t>PROPOSAL 8:</w:t>
              </w:r>
            </w:hyperlink>
          </w:p>
        </w:tc>
        <w:tc>
          <w:tcPr>
            <w:tcW w:w="1000" w:type="dxa"/>
            <w:vAlign w:val="bottom"/>
          </w:tcPr>
          <w:p>
            <w:pPr>
              <w:spacing w:after="0"/>
              <w:rPr>
                <w:sz w:val="24"/>
                <w:szCs w:val="24"/>
                <w:color w:val="auto"/>
              </w:rPr>
            </w:pPr>
          </w:p>
        </w:tc>
      </w:tr>
      <w:tr>
        <w:trPr>
          <w:trHeight w:val="362"/>
        </w:trPr>
        <w:tc>
          <w:tcPr>
            <w:tcW w:w="4380" w:type="dxa"/>
            <w:vAlign w:val="bottom"/>
          </w:tcPr>
          <w:p>
            <w:pPr>
              <w:ind w:left="20"/>
              <w:spacing w:after="0"/>
              <w:rPr>
                <w:rFonts w:ascii="Arial" w:cs="Arial" w:eastAsia="Arial" w:hAnsi="Arial"/>
                <w:sz w:val="22"/>
                <w:szCs w:val="22"/>
                <w:color w:val="074A75"/>
              </w:rPr>
            </w:pPr>
            <w:hyperlink w:anchor="page111">
              <w:r>
                <w:rPr>
                  <w:rFonts w:ascii="Arial" w:cs="Arial" w:eastAsia="Arial" w:hAnsi="Arial"/>
                  <w:sz w:val="22"/>
                  <w:szCs w:val="22"/>
                  <w:color w:val="074A75"/>
                </w:rPr>
                <w:t>Political and electioneering expenditure</w:t>
              </w:r>
            </w:hyperlink>
          </w:p>
        </w:tc>
        <w:tc>
          <w:tcPr>
            <w:tcW w:w="1000" w:type="dxa"/>
            <w:vAlign w:val="bottom"/>
          </w:tcPr>
          <w:p>
            <w:pPr>
              <w:spacing w:after="0"/>
              <w:rPr>
                <w:sz w:val="24"/>
                <w:szCs w:val="24"/>
                <w:color w:val="auto"/>
              </w:rPr>
            </w:pPr>
          </w:p>
        </w:tc>
      </w:tr>
      <w:tr>
        <w:trPr>
          <w:trHeight w:val="259"/>
        </w:trPr>
        <w:tc>
          <w:tcPr>
            <w:tcW w:w="4380" w:type="dxa"/>
            <w:vAlign w:val="bottom"/>
          </w:tcPr>
          <w:p>
            <w:pPr>
              <w:ind w:left="20"/>
              <w:spacing w:after="0"/>
              <w:rPr>
                <w:rFonts w:ascii="Arial" w:cs="Arial" w:eastAsia="Arial" w:hAnsi="Arial"/>
                <w:sz w:val="22"/>
                <w:szCs w:val="22"/>
                <w:color w:val="074A75"/>
              </w:rPr>
            </w:pPr>
            <w:hyperlink w:anchor="page111">
              <w:r>
                <w:rPr>
                  <w:rFonts w:ascii="Arial" w:cs="Arial" w:eastAsia="Arial" w:hAnsi="Arial"/>
                  <w:sz w:val="22"/>
                  <w:szCs w:val="22"/>
                  <w:color w:val="074A75"/>
                </w:rPr>
                <w:t>congruency report</w:t>
              </w:r>
            </w:hyperlink>
          </w:p>
        </w:tc>
        <w:tc>
          <w:tcPr>
            <w:tcW w:w="1000" w:type="dxa"/>
            <w:vAlign w:val="bottom"/>
          </w:tcPr>
          <w:p>
            <w:pPr>
              <w:jc w:val="right"/>
              <w:spacing w:after="0"/>
              <w:rPr>
                <w:rFonts w:ascii="Arial" w:cs="Arial" w:eastAsia="Arial" w:hAnsi="Arial"/>
                <w:sz w:val="22"/>
                <w:szCs w:val="22"/>
                <w:color w:val="074A75"/>
              </w:rPr>
            </w:pPr>
            <w:hyperlink w:anchor="page111">
              <w:r>
                <w:rPr>
                  <w:rFonts w:ascii="Arial" w:cs="Arial" w:eastAsia="Arial" w:hAnsi="Arial"/>
                  <w:sz w:val="22"/>
                  <w:szCs w:val="22"/>
                  <w:color w:val="074A75"/>
                </w:rPr>
                <w:t>105</w:t>
              </w:r>
            </w:hyperlink>
          </w:p>
        </w:tc>
      </w:tr>
      <w:tr>
        <w:trPr>
          <w:trHeight w:val="179"/>
        </w:trPr>
        <w:tc>
          <w:tcPr>
            <w:tcW w:w="4380" w:type="dxa"/>
            <w:vAlign w:val="bottom"/>
            <w:tcBorders>
              <w:bottom w:val="single" w:sz="8" w:color="074A75"/>
            </w:tcBorders>
          </w:tcPr>
          <w:p>
            <w:pPr>
              <w:spacing w:after="0"/>
              <w:rPr>
                <w:sz w:val="15"/>
                <w:szCs w:val="15"/>
                <w:color w:val="auto"/>
              </w:rPr>
            </w:pPr>
          </w:p>
        </w:tc>
        <w:tc>
          <w:tcPr>
            <w:tcW w:w="1000" w:type="dxa"/>
            <w:vAlign w:val="bottom"/>
            <w:tcBorders>
              <w:bottom w:val="single" w:sz="8" w:color="074A75"/>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368300</wp:posOffset>
            </wp:positionV>
            <wp:extent cx="3402965" cy="5740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029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320"/>
        <w:spacing w:after="0"/>
        <w:rPr>
          <w:sz w:val="20"/>
          <w:szCs w:val="20"/>
          <w:color w:val="auto"/>
        </w:rPr>
      </w:pPr>
      <w:r>
        <w:rPr>
          <w:rFonts w:ascii="Arial" w:cs="Arial" w:eastAsia="Arial" w:hAnsi="Arial"/>
          <w:sz w:val="20"/>
          <w:szCs w:val="20"/>
          <w:b w:val="1"/>
          <w:bCs w:val="1"/>
          <w:color w:val="FFFFFF"/>
        </w:rPr>
        <w:t>RECOMMENDATION:</w:t>
      </w:r>
    </w:p>
    <w:p>
      <w:pPr>
        <w:spacing w:after="0" w:line="40" w:lineRule="exact"/>
        <w:rPr>
          <w:sz w:val="20"/>
          <w:szCs w:val="20"/>
          <w:color w:val="auto"/>
        </w:rPr>
      </w:pPr>
    </w:p>
    <w:p>
      <w:pPr>
        <w:jc w:val="right"/>
        <w:ind w:right="120"/>
        <w:spacing w:after="0"/>
        <w:rPr>
          <w:sz w:val="20"/>
          <w:szCs w:val="20"/>
          <w:color w:val="auto"/>
        </w:rPr>
      </w:pPr>
      <w:r>
        <w:rPr>
          <w:rFonts w:ascii="Arial" w:cs="Arial" w:eastAsia="Arial" w:hAnsi="Arial"/>
          <w:sz w:val="20"/>
          <w:szCs w:val="20"/>
          <w:b w:val="1"/>
          <w:bCs w:val="1"/>
          <w:color w:val="FFFFFF"/>
        </w:rPr>
        <w:t>Vote AGAINST shareholder proposals, if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right="5940" w:hanging="192"/>
        <w:spacing w:after="0" w:line="223" w:lineRule="auto"/>
        <w:tabs>
          <w:tab w:leader="none" w:pos="222" w:val="left"/>
        </w:tabs>
        <w:numPr>
          <w:ilvl w:val="0"/>
          <w:numId w:val="275"/>
        </w:numPr>
        <w:rPr>
          <w:rFonts w:ascii="Arial" w:cs="Arial" w:eastAsia="Arial" w:hAnsi="Arial"/>
          <w:sz w:val="16"/>
          <w:szCs w:val="16"/>
          <w:color w:val="auto"/>
          <w:vertAlign w:val="superscript"/>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112.</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73"/>
              <w:spacing w:after="0"/>
              <w:rPr>
                <w:sz w:val="20"/>
                <w:szCs w:val="20"/>
                <w:color w:val="auto"/>
              </w:rPr>
            </w:pPr>
            <w:r>
              <w:rPr>
                <w:rFonts w:ascii="Arial" w:cs="Arial" w:eastAsia="Arial" w:hAnsi="Arial"/>
                <w:sz w:val="13"/>
                <w:szCs w:val="13"/>
                <w:b w:val="1"/>
                <w:bCs w:val="1"/>
                <w:color w:val="074A75"/>
              </w:rPr>
              <w:t>98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074A75"/>
        </w:rPr>
        <w:t>Proposal 5 — Improve shareholder written consent</w:t>
      </w:r>
    </w:p>
    <w:p>
      <w:pPr>
        <w:spacing w:after="0" w:line="21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9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Shareholders request that our board of directors take the steps necessary to enable 10% of shares to request a record date to initiate written consent.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Currently it takes the formal backing 27% of all shares that normally cast ballots at the annual meeting to do so little ask for a record date for written consent. Requiring the formal backing 27% of shares to do so little ask for a record date cuts shareholders off at the knees.</w:t>
      </w:r>
    </w:p>
    <w:p>
      <w:pPr>
        <w:spacing w:after="0" w:line="97"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Why would anyone use written consent when the same 27% of shares can call a special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Plus at a special meeting one does not need a 70%-vote.</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And any action taken by written consent would still need 70% supermajority approval from the shares that normally cast ballots at the annual meeting. This 70% vote requirement gives overwhelming supermajority protection to management status quo mentality in a rapidly changing business environment that will remain unchanged.</w:t>
      </w:r>
    </w:p>
    <w:p>
      <w:pPr>
        <w:spacing w:after="0" w:line="10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Enabling 10% of shares to apply for a record date for written consent makes sense because scores of companies do not even require 01% of stock ownership to do so little as request a record date.</w:t>
      </w:r>
    </w:p>
    <w:p>
      <w:pPr>
        <w:spacing w:after="0" w:line="9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Taking action by written consent is a means shareholders can use to raise important matters outside the normal annual meeting cycle like the election of a new director. For instance shareholders might determine that a poor performing director is in need of replacement.</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Lee Raymond was rejected by 338 million votes in 2020. These 338 million rejection votes were 40-times the rejection votes received by Ms. Linda Bammann.</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Now more than ever shareholders need a more viable option to take action outside of a shareholder meeting since online shareholder meetings are a shareholder engagement wasteland.</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the near universal use of online annual shareholder meetings, which can be only 10-minutes of stilted formalities, shareholders no longer have the right for engagement with other shareholders, management and directors at a shareholder meeting. Special shareholder meetings can now be online meetings which has an inferior format to even a free Zoom meeting.</w:t>
      </w:r>
    </w:p>
    <w:p>
      <w:pPr>
        <w:spacing w:after="0" w:line="10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Shareholders are also severely restricted in making their views known at online shareholder meetings because all challenging questions and comments can be screened out by management.</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example the Goodyear online shareholder meeting was spoiled by a trigger-happy management mute button that was used to quash constructive shareholder criticism. AT&amp;T, with 3000 institutional shareholders, would not even allow shareholders to speak at its online shareholder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00"/>
        <w:spacing w:after="0" w:line="254" w:lineRule="auto"/>
        <w:rPr>
          <w:sz w:val="20"/>
          <w:szCs w:val="20"/>
          <w:color w:val="auto"/>
        </w:rPr>
      </w:pPr>
      <w:r>
        <w:rPr>
          <w:rFonts w:ascii="Arial" w:cs="Arial" w:eastAsia="Arial" w:hAnsi="Arial"/>
          <w:sz w:val="18"/>
          <w:szCs w:val="18"/>
          <w:color w:val="auto"/>
        </w:rPr>
        <w:t>And even if management pledges to follow best practices in conducting an online shareholder meeting management can change abruptly when storm clouds appear due to subpar management performance.</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Now more than ever shareholders need a more viable option to take action outside of a shareholder meeting since online shareholder meetings are a shareholder engagement wasteland.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1765935" cy="3689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7659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Improve Shareholder Written Consent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5</w:t>
      </w:r>
    </w:p>
    <w:p>
      <w:pPr>
        <w:spacing w:after="0" w:line="110" w:lineRule="exact"/>
        <w:rPr>
          <w:sz w:val="20"/>
          <w:szCs w:val="20"/>
          <w:color w:val="auto"/>
        </w:rPr>
      </w:pPr>
    </w:p>
    <w:p>
      <w:pPr>
        <w:jc w:val="both"/>
        <w:ind w:right="1140"/>
        <w:spacing w:after="0" w:line="29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3411855" cy="216027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411855" cy="2160270"/>
                    </a:xfrm>
                    <a:prstGeom prst="rect">
                      <a:avLst/>
                    </a:prstGeom>
                    <a:noFill/>
                  </pic:spPr>
                </pic:pic>
              </a:graphicData>
            </a:graphic>
          </wp:anchor>
        </w:drawing>
      </w:r>
    </w:p>
    <w:p>
      <w:pPr>
        <w:spacing w:after="0" w:line="221" w:lineRule="exact"/>
        <w:rPr>
          <w:sz w:val="20"/>
          <w:szCs w:val="20"/>
          <w:color w:val="auto"/>
        </w:rPr>
      </w:pPr>
    </w:p>
    <w:p>
      <w:pPr>
        <w:ind w:left="300" w:right="320" w:hanging="201"/>
        <w:spacing w:after="0" w:line="261" w:lineRule="auto"/>
        <w:tabs>
          <w:tab w:leader="none" w:pos="304"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JPMorgan Chase already provides shareholders the ability to take action by written consent.</w:t>
      </w:r>
    </w:p>
    <w:p>
      <w:pPr>
        <w:spacing w:after="0" w:line="49" w:lineRule="exact"/>
        <w:rPr>
          <w:rFonts w:ascii="Arial" w:cs="Arial" w:eastAsia="Arial" w:hAnsi="Arial"/>
          <w:sz w:val="18"/>
          <w:szCs w:val="18"/>
          <w:color w:val="074A75"/>
        </w:rPr>
      </w:pPr>
    </w:p>
    <w:p>
      <w:pPr>
        <w:ind w:left="300" w:right="220" w:hanging="201"/>
        <w:spacing w:after="0" w:line="291" w:lineRule="auto"/>
        <w:tabs>
          <w:tab w:leader="none" w:pos="304" w:val="left"/>
        </w:tabs>
        <w:numPr>
          <w:ilvl w:val="0"/>
          <w:numId w:val="276"/>
        </w:numPr>
        <w:rPr>
          <w:rFonts w:ascii="Arial" w:cs="Arial" w:eastAsia="Arial" w:hAnsi="Arial"/>
          <w:sz w:val="17"/>
          <w:szCs w:val="17"/>
          <w:color w:val="074A75"/>
        </w:rPr>
      </w:pPr>
      <w:r>
        <w:rPr>
          <w:rFonts w:ascii="Arial" w:cs="Arial" w:eastAsia="Arial" w:hAnsi="Arial"/>
          <w:sz w:val="17"/>
          <w:szCs w:val="17"/>
          <w:color w:val="auto"/>
        </w:rPr>
        <w:t>Shareholders approved our existing written consent provisions with an overwhelming majority of 97% of votes cast in favor.</w:t>
      </w:r>
    </w:p>
    <w:p>
      <w:pPr>
        <w:spacing w:after="0" w:line="38" w:lineRule="exact"/>
        <w:rPr>
          <w:rFonts w:ascii="Arial" w:cs="Arial" w:eastAsia="Arial" w:hAnsi="Arial"/>
          <w:sz w:val="17"/>
          <w:szCs w:val="17"/>
          <w:color w:val="074A75"/>
        </w:rPr>
      </w:pPr>
    </w:p>
    <w:p>
      <w:pPr>
        <w:ind w:left="300" w:right="280" w:hanging="201"/>
        <w:spacing w:after="0" w:line="256" w:lineRule="auto"/>
        <w:tabs>
          <w:tab w:leader="none" w:pos="304"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Only 31% of S&amp;P 500 companies have any charter or bylaw provisions that provide shareholders the right to act by written consent.</w:t>
      </w:r>
    </w:p>
    <w:p>
      <w:pPr>
        <w:spacing w:after="0" w:line="53" w:lineRule="exact"/>
        <w:rPr>
          <w:rFonts w:ascii="Arial" w:cs="Arial" w:eastAsia="Arial" w:hAnsi="Arial"/>
          <w:sz w:val="18"/>
          <w:szCs w:val="18"/>
          <w:color w:val="074A75"/>
        </w:rPr>
      </w:pPr>
    </w:p>
    <w:p>
      <w:pPr>
        <w:ind w:left="300" w:right="280" w:hanging="201"/>
        <w:spacing w:after="0" w:line="254" w:lineRule="auto"/>
        <w:tabs>
          <w:tab w:leader="none" w:pos="304"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The current written consent provisions strike the right balance between protecting the interests of the Firm and all our shareholders, and avoiding a waste of resources to address narrowly supported interests.</w:t>
      </w:r>
    </w:p>
    <w:p>
      <w:pPr>
        <w:spacing w:after="0" w:line="55" w:lineRule="exact"/>
        <w:rPr>
          <w:rFonts w:ascii="Arial" w:cs="Arial" w:eastAsia="Arial" w:hAnsi="Arial"/>
          <w:sz w:val="18"/>
          <w:szCs w:val="18"/>
          <w:color w:val="074A75"/>
        </w:rPr>
      </w:pPr>
    </w:p>
    <w:p>
      <w:pPr>
        <w:ind w:left="300" w:right="440" w:hanging="201"/>
        <w:spacing w:after="0" w:line="261" w:lineRule="auto"/>
        <w:tabs>
          <w:tab w:leader="none" w:pos="304" w:val="left"/>
        </w:tabs>
        <w:numPr>
          <w:ilvl w:val="0"/>
          <w:numId w:val="276"/>
        </w:numPr>
        <w:rPr>
          <w:rFonts w:ascii="Arial" w:cs="Arial" w:eastAsia="Arial" w:hAnsi="Arial"/>
          <w:sz w:val="18"/>
          <w:szCs w:val="18"/>
          <w:color w:val="074A75"/>
        </w:rPr>
      </w:pPr>
      <w:r>
        <w:rPr>
          <w:rFonts w:ascii="Arial" w:cs="Arial" w:eastAsia="Arial" w:hAnsi="Arial"/>
          <w:sz w:val="18"/>
          <w:szCs w:val="18"/>
          <w:color w:val="auto"/>
        </w:rPr>
        <w:t>The Firm's approach to written consent is part of our overall strong governance practices.</w:t>
      </w:r>
    </w:p>
    <w:p>
      <w:pPr>
        <w:spacing w:after="0" w:line="25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JPMorgan Chase already provides for shareholder initiated written consent in our Certificate of Incorporation ("Written Consent Provisions"). Shareholders approved our existing Written Consent Provisions, including the ownership threshold required to seek action by written consent, by an overwhelming majority of 97% of votes cast in favor.</w:t>
      </w:r>
    </w:p>
    <w:p>
      <w:pPr>
        <w:spacing w:after="0" w:line="100"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color w:val="auto"/>
        </w:rPr>
        <w:t>The Firm’s Written Consent Provisions provide a shareholder a right only 31% of S&amp;P 500 companies provide. In addition, in the context of the Firm’s strong corporate governance practices, the Board believes that the existing Written Consent Provisions strike the right balance between enabling our shareholders to initiate corporate action and safeguarding against the substantial administrative and financial burden required to effect written consent solicitations that may only be relevant to narrow constituencies.</w:t>
      </w:r>
    </w:p>
    <w:p>
      <w:pPr>
        <w:spacing w:after="0" w:line="104"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Our strong corporate governance practices include the shareholder rights available under the Firm’s Certificate of Incorporation and By-Laws, and the Firm’s commitment to shareholder engagement.</w:t>
      </w:r>
    </w:p>
    <w:p>
      <w:pPr>
        <w:spacing w:after="0" w:line="1"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Under the Firm’s Certificate of Incorporation and By-Laws, shareholders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254635</wp:posOffset>
            </wp:positionV>
            <wp:extent cx="27432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99  </w:t>
      </w:r>
      <w:r>
        <w:rPr>
          <w:sz w:val="1"/>
          <w:szCs w:val="1"/>
          <w:color w:val="auto"/>
        </w:rPr>
        <w:drawing>
          <wp:inline distT="0" distB="0" distL="0" distR="0">
            <wp:extent cx="2203450" cy="154305"/>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proxy access, call a special meeting and annually elect directors by majority vote. More information about shareholder rights can be found on page 34 of this Proxy. The Firm’s corporate governance practices also allow shareholders to engage directly with our Board, hold the Board accountable and, if necessary, take action to support their interests. The Firm also actively engages with shareholders on a wide variety of topics throughout the year. Every year, the Firm conducts a comprehensive formal shareholder outreach program. In 2020, through this program, the Firm reached out to over 100 of the Firm's largest shareholders, together representing over 50% of the Firm's outstanding common stock. Also in 2020, senior management hosted approximately 40 investor meetings and presented at approximately 10 investor conferences as well as the Firm's 2020 Investor Day. More information about our shareholder engagement can be found on page 30 of this Proxy. In addition, our virtual annual meeting format provided shareholders with the opportunity to hear from and ask questions of the Board. More than 400 shareholders attended our virtual annual meeting in 2020, representing an increase of more than 800% from the previous annual meeting.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Contrary to the proposal's claim regarding a 27% threshold, the current Written Consent Provisions allow shareholders who own at least 20% of our outstanding shares of common stock and who satisfy the other requirements set forth in the Certificate of Incorporation to seek corporate action by written consent. Also contrary to the proposal's claim regarding a supermajority approval requirement, any action taken by written consent is decided by the vote of a simple majority of votes cast by the shareholders present and entitled to vote.</w:t>
      </w:r>
    </w:p>
    <w:p>
      <w:pPr>
        <w:spacing w:after="0" w:line="104"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The Firm already has Written Consent Provisions that strike the right balance between shareholder rights and appropriate safeguards and is committed to strong corporate governance practices that promote long-term shareholder value. The Board believes that this proposal is unnecessary and will not further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81280</wp:posOffset>
            </wp:positionV>
            <wp:extent cx="3060065" cy="42037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207"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-281940</wp:posOffset>
            </wp:positionV>
            <wp:extent cx="171450" cy="1714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07" w:name="page108"/>
    <w:bookmarkEnd w:id="10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74A75"/>
        </w:rPr>
        <w:t>Proposal 6 – Racial equity audit and report</w:t>
      </w:r>
    </w:p>
    <w:p>
      <w:pPr>
        <w:spacing w:after="0" w:line="21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CtW Investment Group has advised us that it intends to introduce the following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used to target communities of color and nonviolent protestors.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racial equity audit would help JPMorgan identify, prioritize,</w:t>
      </w:r>
    </w:p>
    <w:p>
      <w:pPr>
        <w:spacing w:after="0" w:line="9" w:lineRule="exact"/>
        <w:rPr>
          <w:sz w:val="20"/>
          <w:szCs w:val="20"/>
          <w:color w:val="auto"/>
        </w:rPr>
      </w:pPr>
    </w:p>
    <w:p>
      <w:pPr>
        <w:sectPr>
          <w:pgSz w:w="11900" w:h="16838" w:orient="portrait"/>
          <w:cols w:equalWidth="0" w:num="2">
            <w:col w:w="5020" w:space="720"/>
            <w:col w:w="5480"/>
          </w:cols>
          <w:pgMar w:left="320" w:top="171" w:right="359" w:bottom="1440" w:gutter="0" w:footer="0" w:header="0"/>
          <w:type w:val="continuous"/>
        </w:sectPr>
      </w:pPr>
    </w:p>
    <w:p>
      <w:pPr>
        <w:spacing w:after="0" w:line="250" w:lineRule="auto"/>
        <w:rPr>
          <w:sz w:val="20"/>
          <w:szCs w:val="20"/>
          <w:color w:val="auto"/>
        </w:rPr>
      </w:pPr>
      <w:r>
        <w:rPr>
          <w:rFonts w:ascii="Arial" w:cs="Arial" w:eastAsia="Arial" w:hAnsi="Arial"/>
          <w:sz w:val="18"/>
          <w:szCs w:val="18"/>
          <w:color w:val="auto"/>
        </w:rPr>
        <w:t>RESOLVED that shareholders of JPMorgan Chase &amp; Co. (“JPMorgan”) urge the Board of Directors to oversee a racial equity audit analyzing JPMorgan’s adverse impacts on nonwhite stakeholders and communities of color. Input from civil rights organizations, employees, and customers should be considered in determining the specific matters to be analyzed. A report on the audit, prepared at reasonable cost and omitting confidential or proprietary information, should be publicly disclosed on JPMorgan’s website.</w:t>
      </w:r>
    </w:p>
    <w:p>
      <w:pPr>
        <w:spacing w:after="0" w:line="20" w:lineRule="exact"/>
        <w:rPr>
          <w:sz w:val="20"/>
          <w:szCs w:val="20"/>
          <w:color w:val="auto"/>
        </w:rPr>
      </w:pPr>
      <w:r>
        <w:rPr>
          <w:sz w:val="20"/>
          <w:szCs w:val="20"/>
          <w:color w:val="auto"/>
        </w:rPr>
        <w:br w:type="column"/>
      </w:r>
    </w:p>
    <w:p>
      <w:pPr>
        <w:ind w:right="200"/>
        <w:spacing w:after="0" w:line="254" w:lineRule="auto"/>
        <w:rPr>
          <w:sz w:val="20"/>
          <w:szCs w:val="20"/>
          <w:color w:val="auto"/>
        </w:rPr>
      </w:pPr>
      <w:r>
        <w:rPr>
          <w:rFonts w:ascii="Arial" w:cs="Arial" w:eastAsia="Arial" w:hAnsi="Arial"/>
          <w:sz w:val="18"/>
          <w:szCs w:val="18"/>
          <w:color w:val="auto"/>
        </w:rPr>
        <w:t>remedy and avoid adverse impacts on nonwhite stakeholders and communities of color. We urge JPMorgan to assess its behavior through a racial equity lens in order to obtain a complete picture of how it contributes to, and could help dismantle, systemic racism.</w:t>
      </w:r>
    </w:p>
    <w:p>
      <w:pPr>
        <w:spacing w:after="0" w:line="78" w:lineRule="exact"/>
        <w:rPr>
          <w:sz w:val="20"/>
          <w:szCs w:val="20"/>
          <w:color w:val="auto"/>
        </w:rPr>
      </w:pPr>
    </w:p>
    <w:p>
      <w:pPr>
        <w:ind w:right="200" w:firstLine="4"/>
        <w:spacing w:after="0" w:line="239" w:lineRule="auto"/>
        <w:tabs>
          <w:tab w:leader="none" w:pos="115" w:val="left"/>
        </w:tabs>
        <w:numPr>
          <w:ilvl w:val="0"/>
          <w:numId w:val="277"/>
        </w:numPr>
        <w:rPr>
          <w:rFonts w:ascii="Arial" w:cs="Arial" w:eastAsia="Arial" w:hAnsi="Arial"/>
          <w:sz w:val="23"/>
          <w:szCs w:val="23"/>
          <w:color w:val="auto"/>
          <w:vertAlign w:val="superscript"/>
        </w:rPr>
      </w:pPr>
      <w:r>
        <w:rPr>
          <w:rFonts w:ascii="Arial" w:cs="Arial" w:eastAsia="Arial" w:hAnsi="Arial"/>
          <w:sz w:val="18"/>
          <w:szCs w:val="18"/>
          <w:color w:val="auto"/>
        </w:rPr>
        <w:t xml:space="preserve">Emily Flitter,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“This is what racism sounds like in the banking industry,” December 14, 2019, </w:t>
      </w:r>
      <w:r>
        <w:rPr>
          <w:rFonts w:ascii="Arial" w:cs="Arial" w:eastAsia="Arial" w:hAnsi="Arial"/>
          <w:sz w:val="18"/>
          <w:szCs w:val="18"/>
          <w:i w:val="1"/>
          <w:iCs w:val="1"/>
          <w:color w:val="auto"/>
        </w:rPr>
        <w:t>available at</w:t>
      </w:r>
      <w:r>
        <w:rPr>
          <w:rFonts w:ascii="Arial" w:cs="Arial" w:eastAsia="Arial" w:hAnsi="Arial"/>
          <w:sz w:val="18"/>
          <w:szCs w:val="18"/>
          <w:color w:val="auto"/>
        </w:rPr>
        <w:t xml:space="preserve"> https://www.nytimes.com/2019/12/11/business/jpmorgan-banking-racism.html.</w:t>
      </w:r>
    </w:p>
    <w:p>
      <w:pPr>
        <w:spacing w:after="0" w:line="105"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High-profile police killings of Black people—most recently George Floyd—have galvanized the movement for racial justice. That movement, together with the disproportionate impacts of the COVID-19 pandemic have focused the attention of the media, the public and policy makers on systemic racism, racialized violence and inequities in employment, health care, and the criminal justice system. In October 2020, JPMorgan committed $30 billion over five years to further racial equity.</w:t>
      </w:r>
    </w:p>
    <w:p>
      <w:pPr>
        <w:spacing w:after="0" w:line="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JPMorgan has a conflicted history when it comes to addressing racial injustice within the communities it serves. The company has faced several lawsuits related to discriminatory lending practices against communities of color, including a federal lawsuit that settled for $55 million related to mortgage discrimination. JPMorgan has closed numerous branches in majority-Black communities, reducing its number of branches to 22.8% from 2010 to 2018. A widely publicized 2019 </w:t>
      </w:r>
      <w:r>
        <w:rPr>
          <w:rFonts w:ascii="Arial" w:cs="Arial" w:eastAsia="Arial" w:hAnsi="Arial"/>
          <w:sz w:val="18"/>
          <w:szCs w:val="18"/>
          <w:i w:val="1"/>
          <w:iCs w:val="1"/>
          <w:color w:val="auto"/>
        </w:rPr>
        <w:t>New York Times</w:t>
      </w:r>
      <w:r>
        <w:rPr>
          <w:rFonts w:ascii="Arial" w:cs="Arial" w:eastAsia="Arial" w:hAnsi="Arial"/>
          <w:sz w:val="18"/>
          <w:szCs w:val="18"/>
          <w:color w:val="auto"/>
        </w:rPr>
        <w:t xml:space="preserve"> article documented JPMorgan’s overt discriminatory practices against both its clients and employees, including the belittling of a Black client as “somebody who is coming from Section 8.”</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More recently, by the end of the first round of the Paycheck Protection Program (“PPP”), 70% of the loans issued by JPMorgan, the nation’s largest PPP issuer, went to majority white congressional districts.</w:t>
      </w:r>
    </w:p>
    <w:p>
      <w:pPr>
        <w:spacing w:after="0" w:line="10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 also faces several lawsuits from Black and Hispanic employees alleging they were assigned poorer, less profitable locations or lower income branches. In early 2020, a proposed class action was filed alleging JPMorgan had a “segregated employment policy” that placed Black personal bankers in lower income branches and offered them fewer promotional opportunities. That case has been stayed pending arbitration. The company also faces a pending suit related to claims made by a long-time Black secretary of being subject to repeated bullying and microaggressions by other JPMorgan employees.</w:t>
      </w:r>
    </w:p>
    <w:p>
      <w:pPr>
        <w:spacing w:after="0" w:line="10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JPMorgan’s charitable contributions are not fully aligned with its public statements. JPMorgan has contributed to police foundations in New York and New Orleans, which bypass normal procurement processes to buy equipment for police departments, including surveillance technology that has been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074A75"/>
        </w:rPr>
        <w:t>Board Response to Proposal 6</w:t>
      </w:r>
    </w:p>
    <w:p>
      <w:pPr>
        <w:spacing w:after="0" w:line="110" w:lineRule="exact"/>
        <w:rPr>
          <w:sz w:val="20"/>
          <w:szCs w:val="20"/>
          <w:color w:val="auto"/>
        </w:rPr>
      </w:pPr>
    </w:p>
    <w:p>
      <w:pPr>
        <w:jc w:val="both"/>
        <w:ind w:right="1140"/>
        <w:spacing w:after="0" w:line="29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3411855" cy="28892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11855" cy="2889250"/>
                    </a:xfrm>
                    <a:prstGeom prst="rect">
                      <a:avLst/>
                    </a:prstGeom>
                    <a:noFill/>
                  </pic:spPr>
                </pic:pic>
              </a:graphicData>
            </a:graphic>
          </wp:anchor>
        </w:drawing>
      </w:r>
    </w:p>
    <w:p>
      <w:pPr>
        <w:spacing w:after="0" w:line="154" w:lineRule="exact"/>
        <w:rPr>
          <w:sz w:val="20"/>
          <w:szCs w:val="20"/>
          <w:color w:val="auto"/>
        </w:rPr>
      </w:pPr>
    </w:p>
    <w:p>
      <w:pPr>
        <w:ind w:left="300" w:right="300" w:hanging="201"/>
        <w:spacing w:after="0" w:line="238" w:lineRule="auto"/>
        <w:tabs>
          <w:tab w:leader="none" w:pos="3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The Firm is committed to maintaining a culture of respect and inclusion and to advancing racial equity, and we have taken significant steps to combat systemic racism in the communities in which we are present.</w:t>
      </w:r>
    </w:p>
    <w:p>
      <w:pPr>
        <w:spacing w:after="0" w:line="96" w:lineRule="exact"/>
        <w:rPr>
          <w:rFonts w:ascii="Arial" w:cs="Arial" w:eastAsia="Arial" w:hAnsi="Arial"/>
          <w:sz w:val="18"/>
          <w:szCs w:val="18"/>
          <w:color w:val="074A75"/>
        </w:rPr>
      </w:pPr>
    </w:p>
    <w:p>
      <w:pPr>
        <w:ind w:left="300" w:right="420" w:hanging="201"/>
        <w:spacing w:after="0" w:line="238" w:lineRule="auto"/>
        <w:tabs>
          <w:tab w:leader="none" w:pos="3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In developing our commitments to advance racial equity, we considered the impact of our businesses, products and services on all our stakeholders, including our employees, customers and suppliers, and the communities in which we are present.</w:t>
      </w:r>
    </w:p>
    <w:p>
      <w:pPr>
        <w:spacing w:after="0" w:line="94" w:lineRule="exact"/>
        <w:rPr>
          <w:rFonts w:ascii="Arial" w:cs="Arial" w:eastAsia="Arial" w:hAnsi="Arial"/>
          <w:sz w:val="18"/>
          <w:szCs w:val="18"/>
          <w:color w:val="074A75"/>
        </w:rPr>
      </w:pPr>
    </w:p>
    <w:p>
      <w:pPr>
        <w:ind w:left="300" w:right="460" w:hanging="201"/>
        <w:spacing w:after="0" w:line="274" w:lineRule="auto"/>
        <w:tabs>
          <w:tab w:leader="none" w:pos="30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Our commitments include continued extensive engagement with stakeholders who are impacted by our activities.</w:t>
      </w:r>
    </w:p>
    <w:p>
      <w:pPr>
        <w:spacing w:after="0" w:line="66" w:lineRule="exact"/>
        <w:rPr>
          <w:rFonts w:ascii="Arial" w:cs="Arial" w:eastAsia="Arial" w:hAnsi="Arial"/>
          <w:sz w:val="17"/>
          <w:szCs w:val="17"/>
          <w:color w:val="auto"/>
        </w:rPr>
      </w:pPr>
    </w:p>
    <w:p>
      <w:pPr>
        <w:ind w:left="300" w:right="280" w:hanging="201"/>
        <w:spacing w:after="0" w:line="255" w:lineRule="auto"/>
        <w:tabs>
          <w:tab w:leader="none" w:pos="30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We have developed a formal accountability process which considers feedback from our partners at both the national and local level, and strengthens the way we incorporate diversity, equity and inclusion priorities and progress into year-end performance evaluations and compensation decisions.</w:t>
      </w:r>
    </w:p>
    <w:p>
      <w:pPr>
        <w:spacing w:after="0" w:line="82" w:lineRule="exact"/>
        <w:rPr>
          <w:rFonts w:ascii="Arial" w:cs="Arial" w:eastAsia="Arial" w:hAnsi="Arial"/>
          <w:sz w:val="17"/>
          <w:szCs w:val="17"/>
          <w:color w:val="auto"/>
        </w:rPr>
      </w:pPr>
    </w:p>
    <w:p>
      <w:pPr>
        <w:ind w:left="300" w:right="200" w:hanging="201"/>
        <w:spacing w:after="0"/>
        <w:tabs>
          <w:tab w:leader="none" w:pos="304" w:val="left"/>
        </w:tabs>
        <w:numPr>
          <w:ilvl w:val="0"/>
          <w:numId w:val="278"/>
        </w:numPr>
        <w:rPr>
          <w:rFonts w:ascii="Arial" w:cs="Arial" w:eastAsia="Arial" w:hAnsi="Arial"/>
          <w:sz w:val="18"/>
          <w:szCs w:val="18"/>
          <w:color w:val="074A75"/>
        </w:rPr>
      </w:pPr>
      <w:r>
        <w:rPr>
          <w:rFonts w:ascii="Arial" w:cs="Arial" w:eastAsia="Arial" w:hAnsi="Arial"/>
          <w:sz w:val="18"/>
          <w:szCs w:val="18"/>
          <w:color w:val="auto"/>
        </w:rPr>
        <w:t>We believe our Board provides effective oversight of culture and human capital management, in addition to our lending and charitable contributions practices.</w:t>
      </w:r>
    </w:p>
    <w:p>
      <w:pPr>
        <w:spacing w:after="0" w:line="28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Firm is committed to maintaining a culture of respect and inclusion and to advancing racial equity, and we have taken significant steps to combat systemic racism in the communities in which we work. Integrity, fairness and responsibility are foundational principles at JPMorgan Chase &amp; Co. We believe there is no place for racism, prejudice or discrimination within the Firm or elsewhere. Where we have challenges, or can improve, we seek to do better. We have made and continue to make substantial commitments to advance racial equity and combat systemic racism. These include:</w:t>
      </w:r>
    </w:p>
    <w:p>
      <w:pPr>
        <w:spacing w:after="0" w:line="103" w:lineRule="exact"/>
        <w:rPr>
          <w:sz w:val="20"/>
          <w:szCs w:val="20"/>
          <w:color w:val="auto"/>
        </w:rPr>
      </w:pPr>
    </w:p>
    <w:p>
      <w:pPr>
        <w:ind w:left="200" w:right="260" w:hanging="196"/>
        <w:spacing w:after="0" w:line="256" w:lineRule="auto"/>
        <w:tabs>
          <w:tab w:leader="none" w:pos="204" w:val="left"/>
        </w:tabs>
        <w:numPr>
          <w:ilvl w:val="0"/>
          <w:numId w:val="279"/>
        </w:numPr>
        <w:rPr>
          <w:rFonts w:ascii="Arial" w:cs="Arial" w:eastAsia="Arial" w:hAnsi="Arial"/>
          <w:sz w:val="18"/>
          <w:szCs w:val="18"/>
          <w:color w:val="074A75"/>
        </w:rPr>
      </w:pPr>
      <w:r>
        <w:rPr>
          <w:rFonts w:ascii="Arial" w:cs="Arial" w:eastAsia="Arial" w:hAnsi="Arial"/>
          <w:sz w:val="18"/>
          <w:szCs w:val="18"/>
          <w:color w:val="auto"/>
        </w:rPr>
        <w:t>Committing $30 billion through business, community and policy solutions to close the racial wealth divide, support employees and break down barriers of systemic racism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360045</wp:posOffset>
            </wp:positionV>
            <wp:extent cx="27432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101 </w:t>
      </w:r>
      <w:r>
        <w:rPr>
          <w:sz w:val="1"/>
          <w:szCs w:val="1"/>
          <w:color w:val="auto"/>
        </w:rPr>
        <w:drawing>
          <wp:inline distT="0" distB="0" distL="0" distR="0">
            <wp:extent cx="2203450" cy="154305"/>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79" w:lineRule="exact"/>
        <w:rPr>
          <w:sz w:val="20"/>
          <w:szCs w:val="20"/>
          <w:color w:val="auto"/>
        </w:rPr>
      </w:pPr>
    </w:p>
    <w:p>
      <w:pPr>
        <w:ind w:left="200" w:right="580"/>
        <w:spacing w:after="0" w:line="261" w:lineRule="auto"/>
        <w:rPr>
          <w:sz w:val="20"/>
          <w:szCs w:val="20"/>
          <w:color w:val="auto"/>
        </w:rPr>
      </w:pPr>
      <w:r>
        <w:rPr>
          <w:rFonts w:ascii="Arial" w:cs="Arial" w:eastAsia="Arial" w:hAnsi="Arial"/>
          <w:sz w:val="18"/>
          <w:szCs w:val="18"/>
          <w:color w:val="auto"/>
        </w:rPr>
        <w:t>more information, please see page 6 of this proxy and our website at jpmorganchase.com/impact/path-forward;</w:t>
      </w:r>
    </w:p>
    <w:p>
      <w:pPr>
        <w:spacing w:after="0" w:line="49" w:lineRule="exact"/>
        <w:rPr>
          <w:sz w:val="20"/>
          <w:szCs w:val="20"/>
          <w:color w:val="auto"/>
        </w:rPr>
      </w:pPr>
    </w:p>
    <w:p>
      <w:pPr>
        <w:ind w:left="200" w:right="360" w:hanging="192"/>
        <w:spacing w:after="0" w:line="229" w:lineRule="auto"/>
        <w:tabs>
          <w:tab w:leader="none" w:pos="204" w:val="left"/>
        </w:tabs>
        <w:numPr>
          <w:ilvl w:val="0"/>
          <w:numId w:val="280"/>
        </w:numPr>
        <w:rPr>
          <w:rFonts w:ascii="Arial" w:cs="Arial" w:eastAsia="Arial" w:hAnsi="Arial"/>
          <w:sz w:val="18"/>
          <w:szCs w:val="18"/>
          <w:color w:val="074A75"/>
        </w:rPr>
      </w:pPr>
      <w:r>
        <w:rPr>
          <w:rFonts w:ascii="Arial" w:cs="Arial" w:eastAsia="Arial" w:hAnsi="Arial"/>
          <w:sz w:val="18"/>
          <w:szCs w:val="18"/>
          <w:color w:val="auto"/>
        </w:rPr>
        <w:t>Increasing diversity, equity and inclusion and equality across leadership, underrepresented groups and at the Company, overall;</w:t>
      </w:r>
    </w:p>
    <w:p>
      <w:pPr>
        <w:spacing w:after="0" w:line="42" w:lineRule="exact"/>
        <w:rPr>
          <w:rFonts w:ascii="Arial" w:cs="Arial" w:eastAsia="Arial" w:hAnsi="Arial"/>
          <w:sz w:val="18"/>
          <w:szCs w:val="18"/>
          <w:color w:val="074A75"/>
        </w:rPr>
      </w:pPr>
    </w:p>
    <w:p>
      <w:pPr>
        <w:ind w:left="200" w:hanging="192"/>
        <w:spacing w:after="0" w:line="227" w:lineRule="auto"/>
        <w:tabs>
          <w:tab w:leader="none" w:pos="204" w:val="left"/>
        </w:tabs>
        <w:numPr>
          <w:ilvl w:val="0"/>
          <w:numId w:val="280"/>
        </w:numPr>
        <w:rPr>
          <w:rFonts w:ascii="Arial" w:cs="Arial" w:eastAsia="Arial" w:hAnsi="Arial"/>
          <w:sz w:val="18"/>
          <w:szCs w:val="18"/>
          <w:color w:val="074A75"/>
        </w:rPr>
      </w:pPr>
      <w:r>
        <w:rPr>
          <w:rFonts w:ascii="Arial" w:cs="Arial" w:eastAsia="Arial" w:hAnsi="Arial"/>
          <w:sz w:val="18"/>
          <w:szCs w:val="18"/>
          <w:color w:val="auto"/>
        </w:rPr>
        <w:t>Continuing investments in Advancing Black Pathways in an effort to strengthen the economic foundation of the Black community (for more information on Advancing Black Pathways, see page 60 of this proxy); and</w:t>
      </w:r>
    </w:p>
    <w:p>
      <w:pPr>
        <w:spacing w:after="0" w:line="40" w:lineRule="exact"/>
        <w:rPr>
          <w:rFonts w:ascii="Arial" w:cs="Arial" w:eastAsia="Arial" w:hAnsi="Arial"/>
          <w:sz w:val="18"/>
          <w:szCs w:val="18"/>
          <w:color w:val="074A75"/>
        </w:rPr>
      </w:pPr>
    </w:p>
    <w:p>
      <w:pPr>
        <w:ind w:left="200" w:right="240" w:hanging="192"/>
        <w:spacing w:after="0" w:line="235" w:lineRule="auto"/>
        <w:tabs>
          <w:tab w:leader="none" w:pos="204" w:val="left"/>
        </w:tabs>
        <w:numPr>
          <w:ilvl w:val="0"/>
          <w:numId w:val="280"/>
        </w:numPr>
        <w:rPr>
          <w:rFonts w:ascii="Arial" w:cs="Arial" w:eastAsia="Arial" w:hAnsi="Arial"/>
          <w:sz w:val="18"/>
          <w:szCs w:val="18"/>
          <w:color w:val="074A75"/>
        </w:rPr>
      </w:pPr>
      <w:r>
        <w:rPr>
          <w:rFonts w:ascii="Arial" w:cs="Arial" w:eastAsia="Arial" w:hAnsi="Arial"/>
          <w:sz w:val="18"/>
          <w:szCs w:val="18"/>
          <w:color w:val="auto"/>
        </w:rPr>
        <w:t>Building on the Firm's supplier diversity efforts by spending an additional $750 million with Black and Latinx suppliers.</w:t>
      </w:r>
    </w:p>
    <w:p>
      <w:pPr>
        <w:spacing w:after="0" w:line="5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In developing our commitments to advance racial equity, we considered the impact of our businesses, products and services on all our stakeholders, including our employees, customers and suppliers, and the communities in which we are present. We reviewed data and conducted an analysis of the Firm’s existing commitments and programs and additional actions the Firm could take to make meaningful advances in equity and inclusion for the Firm. In addition to our ongoing engagement with stakeholders, we solicited input and sought feedback from more than 65 external organizations, local community groups and philanthropic partners, as well as employees and customers to define priority areas of focus and goals.</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commitments include continued extensive engagement with stakeholders who are impacted by our activities, and we have developed a formal accountability process which considers feedback from our external partners at both the national and local level and regularly provides updates on progress. Through the Chase Advisory Panel program, our senior executives engage with national civil rights organizations and consumer policy groups to discuss issues related to the Firm’s products, policies, customer facing practices and communications, and public policy issues. On a local level, in each of the 25 cities we have targeted for our racial equity efforts, we engage community stakeholders, including a diverse set of nonprofits, advocacy organizations and local community groups, to understand local needs and develop recommendations that shape local investments. Through this effort, we expect to engage this year with nearly 300 national and local organizations. Regular meetings will provide transparency, as we report our progress, respond to feedback and remain accountable to our stakeholders to address the problems we set out to solve.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established an executive accountability framework, which strengthens the way JPMorgan Chase incorporates diversity, equity and inclusion priorities and progress into year-end performance evaluations and compensation decisions for members of the Operating Committee and their direct reports. It will also position the Firm to drive additional accountability to managers throughout the Firm. Additionally, we believe that transparency will enable all of our stakeholders to hold us accountable. Details about our commitments are available on our website jpmorganchase.com/impact/path-forward.</w:t>
      </w:r>
    </w:p>
    <w:p>
      <w:pPr>
        <w:spacing w:after="0" w:line="200" w:lineRule="exact"/>
        <w:rPr>
          <w:sz w:val="20"/>
          <w:szCs w:val="20"/>
          <w:color w:val="auto"/>
        </w:rPr>
      </w:pPr>
    </w:p>
    <w:p>
      <w:pPr>
        <w:spacing w:after="0" w:line="25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One example of how we are applying a racial equity lens is our hiring process. We are intentionally focused on hiring diverse talent and have launched initiatives focused on underrepresented ethnic groups, as well as women, people with disabilities, veterans and others. Through our Advancing Black Pathways initiative, we strive to increase representation of Black talent across the Firm and have committed to hiring more than 4,000 black students over five years for apprenticeships, internships and post-graduation roles.</w:t>
      </w:r>
    </w:p>
    <w:p>
      <w:pPr>
        <w:spacing w:after="0" w:line="9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believe our Board provides effective oversight of culture and human capital management, in addition to our lending and charitable contributions practices. It is deeply committed to advancing racial equity and has set expectations for achievement. The full Board provides rigorous oversight of our efforts and receives regular detailed updates on our progress, and the CMDC and PRC consider racial equity relevant to their respective oversight responsibilities.</w:t>
      </w:r>
    </w:p>
    <w:p>
      <w:pPr>
        <w:spacing w:after="0" w:line="9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believe we are taking appropriate action to address the issues raised in the proposal, particularly with respect to identifying, prioritizing, remedying and avoiding adverse impacts of our business, and we have embarked on an effective path forward. The work to advance racial equity is complex and we are determined to get it right. Conducting a racial equity audit at this point in time would not provide us with useful additional information. We believe our shareholders would be better served by the Firm’s vigilant focus on building on current momentum to maintain a culture of respect and inclusion and advance racial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71755</wp:posOffset>
            </wp:positionV>
            <wp:extent cx="3060065" cy="419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060065" cy="419735"/>
                    </a:xfrm>
                    <a:prstGeom prst="rect">
                      <a:avLst/>
                    </a:prstGeom>
                    <a:noFill/>
                  </pic:spPr>
                </pic:pic>
              </a:graphicData>
            </a:graphic>
          </wp:anchor>
        </w:drawing>
      </w:r>
    </w:p>
    <w:p>
      <w:pPr>
        <w:spacing w:after="0" w:line="192"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-281940</wp:posOffset>
            </wp:positionV>
            <wp:extent cx="171450" cy="1714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074A75"/>
        </w:rPr>
        <w:t>Proposal 7 – Independent board chairman</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John Chevedden, on behalf of Kenneth Steiner, has advised us that he intends to introduce the following resolution:</w:t>
      </w:r>
    </w:p>
    <w:p>
      <w:pPr>
        <w:spacing w:after="0" w:line="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Shareholders request that our Board of Directors adopt as policy, and amend the bylaws as necessary, to require the Chair of the Board of Directors, whenever possible, to be an independent member of the Board. This policy could be phased in for the next CEO transition.</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Board determines that a Chair is no longer independent, the Board shall select a new Chair who satisfies the requirements of the policy within a reasonable amount of time. Compliance with this policy is temporarily waived if in the unlikely event no independent director is available and willing to serve as Chair.</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proposal topic won 52% support at Boeing and 54% support at Baxter International in 2020. Boeing adopted this proposal topic in June 2020.</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roles of Chairman and CEO are fundamentally different and should be held by 2 directors, a CEO and a Chairman who is completely independent of the CEO and our company.</w:t>
      </w:r>
    </w:p>
    <w:p>
      <w:pPr>
        <w:spacing w:after="0" w:line="94" w:lineRule="exact"/>
        <w:rPr>
          <w:sz w:val="20"/>
          <w:szCs w:val="20"/>
          <w:color w:val="auto"/>
        </w:rPr>
      </w:pPr>
    </w:p>
    <w:p>
      <w:pPr>
        <w:ind w:left="200" w:hanging="192"/>
        <w:spacing w:after="0"/>
        <w:tabs>
          <w:tab w:leader="none" w:pos="200"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role of the CEO and management is to run the company.</w:t>
      </w:r>
    </w:p>
    <w:p>
      <w:pPr>
        <w:spacing w:after="0" w:line="76" w:lineRule="exact"/>
        <w:rPr>
          <w:rFonts w:ascii="Arial" w:cs="Arial" w:eastAsia="Arial" w:hAnsi="Arial"/>
          <w:sz w:val="18"/>
          <w:szCs w:val="18"/>
          <w:color w:val="074A75"/>
        </w:rPr>
      </w:pPr>
    </w:p>
    <w:p>
      <w:pPr>
        <w:ind w:left="200" w:right="460" w:hanging="192"/>
        <w:spacing w:after="0" w:line="261" w:lineRule="auto"/>
        <w:tabs>
          <w:tab w:leader="none" w:pos="2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 role of the Board of Directors is to provide independent oversight of management and the CEO.</w:t>
      </w:r>
    </w:p>
    <w:p>
      <w:pPr>
        <w:spacing w:after="0" w:line="62" w:lineRule="exact"/>
        <w:rPr>
          <w:rFonts w:ascii="Arial" w:cs="Arial" w:eastAsia="Arial" w:hAnsi="Arial"/>
          <w:sz w:val="18"/>
          <w:szCs w:val="18"/>
          <w:color w:val="074A75"/>
        </w:rPr>
      </w:pPr>
    </w:p>
    <w:p>
      <w:pPr>
        <w:ind w:left="200" w:right="560" w:hanging="192"/>
        <w:spacing w:after="0" w:line="261" w:lineRule="auto"/>
        <w:tabs>
          <w:tab w:leader="none" w:pos="204" w:val="left"/>
        </w:tabs>
        <w:numPr>
          <w:ilvl w:val="0"/>
          <w:numId w:val="281"/>
        </w:numPr>
        <w:rPr>
          <w:rFonts w:ascii="Arial" w:cs="Arial" w:eastAsia="Arial" w:hAnsi="Arial"/>
          <w:sz w:val="18"/>
          <w:szCs w:val="18"/>
          <w:color w:val="074A75"/>
        </w:rPr>
      </w:pPr>
      <w:r>
        <w:rPr>
          <w:rFonts w:ascii="Arial" w:cs="Arial" w:eastAsia="Arial" w:hAnsi="Arial"/>
          <w:sz w:val="18"/>
          <w:szCs w:val="18"/>
          <w:color w:val="auto"/>
        </w:rPr>
        <w:t>There is potential conflict of interest for a CEO to have the oversight role of Chairman.</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It is more important to have an independent Chairman of the Board since our 2020 Lead Director, Mr. Lee Raymond, at age 82, has 20-years long-tenure. Long-tenure in a director is the opposite of independence and independence can be the most important attribute for a director — especially a Lead Director. Plus Mr. Raymond serves on no other major Board of Directors to keep his skills up to date.</w:t>
      </w:r>
    </w:p>
    <w:p>
      <w:pPr>
        <w:spacing w:after="0" w:line="99"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color w:val="auto"/>
        </w:rPr>
        <w:t>Shareholders are becoming impatient with Mr. Raymond and he was rejected by more votes than any other director in 2020. Mr. Raymond was rejected by 3-times as many votes as Mr. James Dimon and 40-times as many votes as Ms. Linda Bammann.</w:t>
      </w:r>
    </w:p>
    <w:p>
      <w:pPr>
        <w:spacing w:after="0" w:line="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Lead Director has a risk management role. Mr. Raymond spent most of his long Exxon Mobil career covering up the enormous risk of climate change. Mr. Dimopn's [sic] role in selecting Mr. Raymond as Lead Director reflects poorly on Mr. Dimon and shows that Mr. Dimon's goal is to have a lap dog Lead Director as long as possible.</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proposal topic won our 41%-support at the 2020 JPM annual meeting. This was probably close to 51%-support from the shares that have access to independent proxy voting advice. Unfortunately most retail shareholders do not have access to independent proxy voting advice.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This 41%-support in 2020 was in spite of JPM management having its hand on the scale by forcing JPM shareholders to pay for lavish advertising against this proposal topic. Shareholders can check on EDGAR a week before the annual meeting to see if management repeats this frequent JPM hand-on-the scale practice in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Board Chairman — Proposal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1765935" cy="3689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7659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7</w:t>
      </w:r>
    </w:p>
    <w:p>
      <w:pPr>
        <w:spacing w:after="0" w:line="110" w:lineRule="exact"/>
        <w:rPr>
          <w:sz w:val="20"/>
          <w:szCs w:val="20"/>
          <w:color w:val="auto"/>
        </w:rPr>
      </w:pPr>
    </w:p>
    <w:p>
      <w:pPr>
        <w:jc w:val="both"/>
        <w:ind w:right="1140"/>
        <w:spacing w:after="0" w:line="291" w:lineRule="auto"/>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u w:val="single" w:color="auto"/>
          <w:color w:val="9E3124"/>
        </w:rPr>
        <w:t>AGAINST</w:t>
      </w:r>
      <w:r>
        <w:rPr>
          <w:rFonts w:ascii="Arial" w:cs="Arial" w:eastAsia="Arial" w:hAnsi="Arial"/>
          <w:sz w:val="17"/>
          <w:szCs w:val="17"/>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3411855" cy="18859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11855" cy="1885950"/>
                    </a:xfrm>
                    <a:prstGeom prst="rect">
                      <a:avLst/>
                    </a:prstGeom>
                    <a:noFill/>
                  </pic:spPr>
                </pic:pic>
              </a:graphicData>
            </a:graphic>
          </wp:anchor>
        </w:drawing>
      </w:r>
    </w:p>
    <w:p>
      <w:pPr>
        <w:spacing w:after="0" w:line="221" w:lineRule="exact"/>
        <w:rPr>
          <w:sz w:val="20"/>
          <w:szCs w:val="20"/>
          <w:color w:val="auto"/>
        </w:rPr>
      </w:pPr>
    </w:p>
    <w:p>
      <w:pPr>
        <w:ind w:left="300" w:right="480" w:hanging="201"/>
        <w:spacing w:after="0" w:line="278" w:lineRule="auto"/>
        <w:tabs>
          <w:tab w:leader="none" w:pos="304" w:val="left"/>
        </w:tabs>
        <w:numPr>
          <w:ilvl w:val="0"/>
          <w:numId w:val="282"/>
        </w:numPr>
        <w:rPr>
          <w:rFonts w:ascii="Arial" w:cs="Arial" w:eastAsia="Arial" w:hAnsi="Arial"/>
          <w:sz w:val="17"/>
          <w:szCs w:val="17"/>
          <w:color w:val="074A75"/>
        </w:rPr>
      </w:pPr>
      <w:r>
        <w:rPr>
          <w:rFonts w:ascii="Arial" w:cs="Arial" w:eastAsia="Arial" w:hAnsi="Arial"/>
          <w:sz w:val="17"/>
          <w:szCs w:val="17"/>
          <w:color w:val="auto"/>
        </w:rPr>
        <w:t>In exercising its fiduciary duty, the Board believes it is important to retain the flexibility to determine the leadership structure that will best serve shareholders' interests.</w:t>
      </w:r>
    </w:p>
    <w:p>
      <w:pPr>
        <w:spacing w:after="0" w:line="36" w:lineRule="exact"/>
        <w:rPr>
          <w:rFonts w:ascii="Arial" w:cs="Arial" w:eastAsia="Arial" w:hAnsi="Arial"/>
          <w:sz w:val="17"/>
          <w:szCs w:val="17"/>
          <w:color w:val="074A75"/>
        </w:rPr>
      </w:pPr>
    </w:p>
    <w:p>
      <w:pPr>
        <w:ind w:left="300" w:right="300" w:hanging="201"/>
        <w:spacing w:after="0" w:line="256" w:lineRule="auto"/>
        <w:tabs>
          <w:tab w:leader="none" w:pos="3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The combined Chairman and CEO role currently provides the Firm and the Board with strong leadership and continuity of expertise.</w:t>
      </w:r>
    </w:p>
    <w:p>
      <w:pPr>
        <w:spacing w:after="0" w:line="66" w:lineRule="exact"/>
        <w:rPr>
          <w:rFonts w:ascii="Arial" w:cs="Arial" w:eastAsia="Arial" w:hAnsi="Arial"/>
          <w:sz w:val="18"/>
          <w:szCs w:val="18"/>
          <w:color w:val="074A75"/>
        </w:rPr>
      </w:pPr>
    </w:p>
    <w:p>
      <w:pPr>
        <w:ind w:left="300" w:right="680" w:hanging="201"/>
        <w:spacing w:after="0" w:line="261" w:lineRule="auto"/>
        <w:tabs>
          <w:tab w:leader="none" w:pos="3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The Lead Independent Director provides an independent counterbalance to the Chairman.</w:t>
      </w:r>
    </w:p>
    <w:p>
      <w:pPr>
        <w:spacing w:after="0" w:line="49" w:lineRule="exact"/>
        <w:rPr>
          <w:rFonts w:ascii="Arial" w:cs="Arial" w:eastAsia="Arial" w:hAnsi="Arial"/>
          <w:sz w:val="18"/>
          <w:szCs w:val="18"/>
          <w:color w:val="074A75"/>
        </w:rPr>
      </w:pPr>
    </w:p>
    <w:p>
      <w:pPr>
        <w:ind w:left="300" w:hanging="201"/>
        <w:spacing w:after="0"/>
        <w:tabs>
          <w:tab w:leader="none" w:pos="300"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The Board annually reviews its leadership structure.</w:t>
      </w:r>
    </w:p>
    <w:p>
      <w:pPr>
        <w:spacing w:after="0" w:line="76" w:lineRule="exact"/>
        <w:rPr>
          <w:rFonts w:ascii="Arial" w:cs="Arial" w:eastAsia="Arial" w:hAnsi="Arial"/>
          <w:sz w:val="18"/>
          <w:szCs w:val="18"/>
          <w:color w:val="074A75"/>
        </w:rPr>
      </w:pPr>
    </w:p>
    <w:p>
      <w:pPr>
        <w:ind w:left="300" w:right="880" w:hanging="201"/>
        <w:spacing w:after="0" w:line="261" w:lineRule="auto"/>
        <w:tabs>
          <w:tab w:leader="none" w:pos="304" w:val="left"/>
        </w:tabs>
        <w:numPr>
          <w:ilvl w:val="0"/>
          <w:numId w:val="282"/>
        </w:numPr>
        <w:rPr>
          <w:rFonts w:ascii="Arial" w:cs="Arial" w:eastAsia="Arial" w:hAnsi="Arial"/>
          <w:sz w:val="18"/>
          <w:szCs w:val="18"/>
          <w:color w:val="074A75"/>
        </w:rPr>
      </w:pPr>
      <w:r>
        <w:rPr>
          <w:rFonts w:ascii="Arial" w:cs="Arial" w:eastAsia="Arial" w:hAnsi="Arial"/>
          <w:sz w:val="18"/>
          <w:szCs w:val="18"/>
          <w:color w:val="auto"/>
        </w:rPr>
        <w:t>The Board's leadership structure is consistent with the majority of top U.S. public companies.</w:t>
      </w:r>
    </w:p>
    <w:p>
      <w:pPr>
        <w:spacing w:after="0" w:line="252"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The Board believes its responsibilities to shareholders are best fulfilled by retaining flexibility to determine the right leadership structure for the circumstances. Any decision to separate the Chairman and CEO roles should not be mechanical; it should be contextual based on the composition of the Board, the individual serving as CEO and the needs and opportunities of the Firm. The Board has separated the Chairman and CEO positions in the past and will do so again if it believes that it is in the best interests of shareholders. The proposed policy would restrict the Board's discretion to use its experience, judgment, and ongoing shareholder feedback, to make the best-informed decision on its leadership structure.</w:t>
      </w:r>
    </w:p>
    <w:p>
      <w:pPr>
        <w:spacing w:after="0" w:line="1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Firm’s Corporate Governance Principles require that the independent directors annually determine whether the Chairman and CEO positions should be held by the same individual. If the independent directors conclude that an independent Chairman is in the best interests of our shareholders, they will appoint one. If they determine that the roles should be held by one person, they will appoint a Lead Independent Director, providing for strong independent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259715</wp:posOffset>
            </wp:positionV>
            <wp:extent cx="27432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103 </w:t>
      </w:r>
      <w:r>
        <w:rPr>
          <w:sz w:val="1"/>
          <w:szCs w:val="1"/>
          <w:color w:val="auto"/>
        </w:rPr>
        <w:drawing>
          <wp:inline distT="0" distB="0" distL="0" distR="0">
            <wp:extent cx="2203450" cy="154305"/>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Lead Independent Director provides an independent counterbalance to the Chairman by focusing on the Board's priorities and promoting open dialogue among the independent directors during and between Board meetings in executive sessions. The role is robust and includes the authority to call Board and independent director meetings and to approve Board agendas. The Lead Independent Director guides discussions regarding the Chairman and CEO's annual performance, compensation and discussions regarding CEO succession.</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March 2021, in the independent directors' annual review of Board leadership structure, they determined that a combined Chairman and CEO, with a robust Lead Independent Director role, continues to provide the Board with strong leadership and independent oversight of management and serves to protect shareholder interests. In making this determination, they considered the factors described on page 23, the Firm’s governance practices, which include executive sessions of independent directors as part of each regularly scheduled Board meeting, and the directors' frequent and open interactions with senior management including management presentations to the Board and its committees, Board dinners, annual senior leaders' meetings and informal sessions with members of the Operating Committee and other senior leaders.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connection with the determination of its leadership structure, the Board re-appointed Stephen B. Burke to serve as Lead Independent Director, taking into account his background and experience, including his in-depth knowledge of the Firm and its businesses, and strong interpersonal skills, demonstrated independent judgment and financial and operational track record as former CEO of NBCUniversal. These attributes allow Mr. Burke to act as a robust and independent counterbalance to the Chairman and CEO.</w:t>
      </w:r>
    </w:p>
    <w:p>
      <w:pPr>
        <w:spacing w:after="0" w:line="10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While we recognize there are different views, a majority of the Firm's shareholders supported the Board's ability to determine its leadership structure, as evidenced by repeated votes against proposals that would mandate a separation of the Chairman and CEO roles and eliminate Board discretion. Further, the Board’s position is consistent with the practices of other large companies. According to Shearman &amp; Sterling’s 2020 Corporate Governance &amp; Executive Compensation Survey, of the top 100 U.S. public companies, only 39 have a separate chairman and CEO, and even fewer, only 25 of those board chairs are independent. These statistics support the Board’s view that it should retain the flexibility to determine the leadership structure that will best serve the interests of the Firm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82550</wp:posOffset>
            </wp:positionV>
            <wp:extent cx="3060065" cy="42037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208"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-281940</wp:posOffset>
            </wp:positionV>
            <wp:extent cx="171450" cy="1714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00"/>
            <w:col w:w="5480"/>
          </w:cols>
          <w:pgMar w:left="320" w:top="171" w:right="359" w:bottom="1440" w:gutter="0" w:footer="0" w:header="0"/>
          <w:type w:val="continuous"/>
        </w:sect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074A75"/>
        </w:rPr>
        <w:t>Proposal 8 – Political and electioneering expenditure congruency report</w:t>
      </w:r>
    </w:p>
    <w:p>
      <w:pPr>
        <w:sectPr>
          <w:pgSz w:w="11900" w:h="16838" w:orient="portrait"/>
          <w:cols w:equalWidth="0" w:num="1">
            <w:col w:w="11220"/>
          </w:cols>
          <w:pgMar w:left="320" w:top="171" w:right="359" w:bottom="1440" w:gutter="0" w:footer="0" w:header="0"/>
        </w:sectPr>
      </w:pPr>
    </w:p>
    <w:p>
      <w:pPr>
        <w:spacing w:after="0" w:line="12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Rhia Ventures on behalf of Jonathan Weinstock has advised us that it intends to introduce the following resolution: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Public Responsibility Committee of our company’s Board of Directors reviews significant policies and practices regarding political contributions, major lobbying priorities and principal trade association memberships, including their continued relevance to our company’s public policy objectives. The Government Relations and Public Policy (GRPP) group of JP Morgan &amp; Co. (“JP Morgan”) directs our company’s political spending for both the corporate treasury and our political action committees (PACs).</w:t>
      </w:r>
    </w:p>
    <w:p>
      <w:pPr>
        <w:spacing w:after="0" w:line="9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However, some of JP Morgan's politically focused expenditures appear to undermine the company's values and interests.</w:t>
      </w:r>
    </w:p>
    <w:p>
      <w:pPr>
        <w:spacing w:after="0" w:line="9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JP Morgan has affirmed its support for the Paris Climate Accord and sponsors multiple operational and financial initiatives to support a transition to a lower-carbon economy. Our company has implemented exemplary LGBTQ workplace policies and is a recognized friend and ally to that community. Our Women on the Move initiative provides a platform for networking and career development at all levels of the company and is expanding credit and opportunity to female clients and customers as well. Management is working to expand supportive policies to working parents and their families.</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However, in contrast to these stated and implied values, JP Morgan has:</w:t>
      </w:r>
    </w:p>
    <w:p>
      <w:pPr>
        <w:spacing w:after="0" w:line="90" w:lineRule="exact"/>
        <w:rPr>
          <w:sz w:val="20"/>
          <w:szCs w:val="20"/>
          <w:color w:val="auto"/>
        </w:rPr>
      </w:pPr>
    </w:p>
    <w:p>
      <w:pPr>
        <w:ind w:left="200" w:right="60" w:hanging="192"/>
        <w:spacing w:after="0" w:line="261"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color w:val="auto"/>
        </w:rPr>
        <w:t>Repeatedly contributed to a 527 organization that has led efforts to prevent enforcement of the EPA's Clean Power Plan;</w:t>
      </w:r>
    </w:p>
    <w:p>
      <w:pPr>
        <w:spacing w:after="0" w:line="49" w:lineRule="exact"/>
        <w:rPr>
          <w:rFonts w:ascii="Arial" w:cs="Arial" w:eastAsia="Arial" w:hAnsi="Arial"/>
          <w:sz w:val="18"/>
          <w:szCs w:val="18"/>
          <w:color w:val="074A75"/>
        </w:rPr>
      </w:pPr>
    </w:p>
    <w:p>
      <w:pPr>
        <w:ind w:left="200" w:right="240" w:hanging="192"/>
        <w:spacing w:after="0" w:line="252"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color w:val="auto"/>
        </w:rPr>
        <w:t>Consistently made direct donations to candidates opposing LGBTQ equality, and given more than $185,000 in five recent election cycles (2010 — 2018) to a 527 organization that uses these donations to fund politicians who have attacked LGBTQ equality and also worked to undermine women's reproductive rights;</w:t>
      </w:r>
    </w:p>
    <w:p>
      <w:pPr>
        <w:spacing w:after="0" w:line="73" w:lineRule="exact"/>
        <w:rPr>
          <w:rFonts w:ascii="Arial" w:cs="Arial" w:eastAsia="Arial" w:hAnsi="Arial"/>
          <w:sz w:val="18"/>
          <w:szCs w:val="18"/>
          <w:color w:val="074A75"/>
        </w:rPr>
      </w:pPr>
    </w:p>
    <w:p>
      <w:pPr>
        <w:ind w:left="200" w:hanging="192"/>
        <w:spacing w:after="0" w:line="253" w:lineRule="auto"/>
        <w:tabs>
          <w:tab w:leader="none" w:pos="204" w:val="left"/>
        </w:tabs>
        <w:numPr>
          <w:ilvl w:val="0"/>
          <w:numId w:val="283"/>
        </w:numPr>
        <w:rPr>
          <w:rFonts w:ascii="Arial" w:cs="Arial" w:eastAsia="Arial" w:hAnsi="Arial"/>
          <w:sz w:val="18"/>
          <w:szCs w:val="18"/>
          <w:color w:val="074A75"/>
        </w:rPr>
      </w:pPr>
      <w:r>
        <w:rPr>
          <w:rFonts w:ascii="Arial" w:cs="Arial" w:eastAsia="Arial" w:hAnsi="Arial"/>
          <w:sz w:val="18"/>
          <w:szCs w:val="18"/>
          <w:color w:val="auto"/>
        </w:rPr>
        <w:t>Contributed over the last three election cycles (2016 — 2020) at least $2.8 million to anti-choice candidates and political committees from the corporate treasury and company-sponsored political action committees, according to an analysis conducted by the Sustainable Investments Institute.</w:t>
      </w:r>
    </w:p>
    <w:p>
      <w:pPr>
        <w:spacing w:after="0" w:line="9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GRPP does not provide transparent explanations as to why J.P. Morgan's politically focused expenditures appear to be misaligned with the company's values and interests.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Proponents believe that JP Morgan should establish policies and reporting systems that minimize risk to the firm's reputation and brand by addressing possible missteps in corporate electioneering and political spending that contrast with our company's stated and implied values.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Resolved:</w:t>
      </w:r>
    </w:p>
    <w:p>
      <w:pPr>
        <w:spacing w:after="0" w:line="117"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JP Morgan publish an annual report, at reasonable expense, analyzing the congruency of political and electioneering expenditures during the preceding year against publicly stated company values and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w:t>
      </w:r>
    </w:p>
    <w:p>
      <w:pPr>
        <w:spacing w:after="0" w:line="11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Proponents recommend that such report also contain management's analysis of risks to our company's brand, reputation, or shareholder value of expenditures in conflict with publicly stated company values. "Expenditures for electioneering communications" means spending, from the corporate treasury and from the PACs, directly or through a third party, at any time during the year, on printed, internet or broadcast communications, which are reasonably susceptible to interpretation as in support of or opposition to a specific candidate.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074A75"/>
        </w:rPr>
        <w:t>Board Response to Proposal 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9E3124"/>
        </w:rPr>
        <w:t>AGAINST</w:t>
      </w:r>
      <w:r>
        <w:rPr>
          <w:rFonts w:ascii="Arial" w:cs="Arial" w:eastAsia="Arial" w:hAnsi="Arial"/>
          <w:sz w:val="18"/>
          <w:szCs w:val="18"/>
          <w:b w:val="1"/>
          <w:bCs w:val="1"/>
          <w:color w:val="9E3124"/>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3411855" cy="213487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11855" cy="2134870"/>
                    </a:xfrm>
                    <a:prstGeom prst="rect">
                      <a:avLst/>
                    </a:prstGeom>
                    <a:noFill/>
                  </pic:spPr>
                </pic:pic>
              </a:graphicData>
            </a:graphic>
          </wp:anchor>
        </w:drawing>
      </w:r>
    </w:p>
    <w:p>
      <w:pPr>
        <w:spacing w:after="0" w:line="327" w:lineRule="exact"/>
        <w:rPr>
          <w:sz w:val="20"/>
          <w:szCs w:val="20"/>
          <w:color w:val="auto"/>
        </w:rPr>
      </w:pPr>
    </w:p>
    <w:p>
      <w:pPr>
        <w:ind w:left="300" w:right="240" w:hanging="201"/>
        <w:spacing w:after="0" w:line="256" w:lineRule="auto"/>
        <w:tabs>
          <w:tab w:leader="none" w:pos="304" w:val="left"/>
        </w:tabs>
        <w:numPr>
          <w:ilvl w:val="0"/>
          <w:numId w:val="284"/>
        </w:numPr>
        <w:rPr>
          <w:rFonts w:ascii="Arial" w:cs="Arial" w:eastAsia="Arial" w:hAnsi="Arial"/>
          <w:sz w:val="18"/>
          <w:szCs w:val="18"/>
          <w:color w:val="074A75"/>
        </w:rPr>
      </w:pPr>
      <w:r>
        <w:rPr>
          <w:rFonts w:ascii="Arial" w:cs="Arial" w:eastAsia="Arial" w:hAnsi="Arial"/>
          <w:sz w:val="18"/>
          <w:szCs w:val="18"/>
          <w:color w:val="auto"/>
        </w:rPr>
        <w:t>JPMorgan Chase has long been engaged in the political process, and believe it is in shareholders' best interest that we do so.</w:t>
      </w:r>
    </w:p>
    <w:p>
      <w:pPr>
        <w:spacing w:after="0" w:line="53" w:lineRule="exact"/>
        <w:rPr>
          <w:rFonts w:ascii="Arial" w:cs="Arial" w:eastAsia="Arial" w:hAnsi="Arial"/>
          <w:sz w:val="18"/>
          <w:szCs w:val="18"/>
          <w:color w:val="074A75"/>
        </w:rPr>
      </w:pPr>
    </w:p>
    <w:p>
      <w:pPr>
        <w:ind w:left="300" w:right="380" w:hanging="201"/>
        <w:spacing w:after="0" w:line="253" w:lineRule="auto"/>
        <w:tabs>
          <w:tab w:leader="none" w:pos="304" w:val="left"/>
        </w:tabs>
        <w:numPr>
          <w:ilvl w:val="0"/>
          <w:numId w:val="284"/>
        </w:numPr>
        <w:rPr>
          <w:rFonts w:ascii="Arial" w:cs="Arial" w:eastAsia="Arial" w:hAnsi="Arial"/>
          <w:sz w:val="18"/>
          <w:szCs w:val="18"/>
          <w:color w:val="074A75"/>
        </w:rPr>
      </w:pPr>
      <w:r>
        <w:rPr>
          <w:rFonts w:ascii="Arial" w:cs="Arial" w:eastAsia="Arial" w:hAnsi="Arial"/>
          <w:sz w:val="18"/>
          <w:szCs w:val="18"/>
          <w:color w:val="auto"/>
        </w:rPr>
        <w:t>Governance and transparency are important components of our approach. Our lobbying and political activities, as well as our governance and oversight practices, are described in detail on the Political Engagement and Public Policy Statement page of our website.</w:t>
      </w:r>
    </w:p>
    <w:p>
      <w:pPr>
        <w:spacing w:after="0" w:line="70" w:lineRule="exact"/>
        <w:rPr>
          <w:rFonts w:ascii="Arial" w:cs="Arial" w:eastAsia="Arial" w:hAnsi="Arial"/>
          <w:sz w:val="18"/>
          <w:szCs w:val="18"/>
          <w:color w:val="074A75"/>
        </w:rPr>
      </w:pPr>
    </w:p>
    <w:p>
      <w:pPr>
        <w:ind w:left="300" w:right="260" w:hanging="201"/>
        <w:spacing w:after="0" w:line="253" w:lineRule="auto"/>
        <w:tabs>
          <w:tab w:leader="none" w:pos="304" w:val="left"/>
        </w:tabs>
        <w:numPr>
          <w:ilvl w:val="0"/>
          <w:numId w:val="284"/>
        </w:numPr>
        <w:rPr>
          <w:rFonts w:ascii="Arial" w:cs="Arial" w:eastAsia="Arial" w:hAnsi="Arial"/>
          <w:sz w:val="18"/>
          <w:szCs w:val="18"/>
          <w:color w:val="074A75"/>
        </w:rPr>
      </w:pPr>
      <w:r>
        <w:rPr>
          <w:rFonts w:ascii="Arial" w:cs="Arial" w:eastAsia="Arial" w:hAnsi="Arial"/>
          <w:sz w:val="18"/>
          <w:szCs w:val="18"/>
          <w:color w:val="auto"/>
        </w:rPr>
        <w:t>The Firm has paused all giving from its PAC to evaluate our overall PAC mission, governance and giving strategies. We intend to maintain an employee political engagement program moving forward and will continue to provide detailed public disclosure about our activities and expenditures.</w:t>
      </w:r>
    </w:p>
    <w:p>
      <w:pPr>
        <w:spacing w:after="0" w:line="30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JPMC has long been engaged in the political process, and we believe it is in shareholders’ best interest that we do so. Because of the potential impact public policy can have on our businesses, employees, communities and customers, we believe it is important to engage with policymakers in order to advance and protect the long-term interests of the Firm.</w:t>
      </w:r>
    </w:p>
    <w:p>
      <w:pPr>
        <w:spacing w:after="0" w:line="10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Governance and transparency are important components of our approach. Our lobbying and political activities, as well as our governance and oversight practices, are described in detail on the Political Engagement and Public Policy Statement page of our website, which also includes our annual Political Engagement Reports and information about our trade association memberships and payments. Our policies prohibit the use of corporate funds to contribute to candidates, political party committees and PACs. The Firm does not use corporate funds to make independent political expenditures or electioneering communications, and restricts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252095</wp:posOffset>
            </wp:positionV>
            <wp:extent cx="27432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105 </w:t>
      </w:r>
      <w:r>
        <w:rPr>
          <w:sz w:val="1"/>
          <w:szCs w:val="1"/>
          <w:color w:val="auto"/>
        </w:rPr>
        <w:drawing>
          <wp:inline distT="0" distB="0" distL="0" distR="0">
            <wp:extent cx="2203450" cy="154305"/>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12" w:name="page113"/>
    <w:bookmarkEnd w:id="11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1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trade associations to which we belong from using our membership dues for any such election-related activity.</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Firm’s political engagement and public policy activities are managed by our global Government Relations and Public Policy team ("GRPP") which pre-approves and manages all Firm-sponsored political activity and expenditures, in accordance with the Firm’s Code of Conduct. The GRPP team reports to the Head of Corporate Responsibility who regularly reports to the PRC of the Board regarding the Firm’s political activity, expenditures and engagement. At least once per year, the PRC reviews the Firm's significant policies and practices regarding political contributions, major lobbying priorities and principal trade association memberships, including their continued relevance to the Firm's public policy objectives. This organization and leadership helps us focus the Firm’s political engagement efforts on those public policy issues most relevant to the long-term interests of the Firm and our clients and shareholders. Given our prudent policies and practices described above and in our Policy Statement, we received a “Trendsetter” ranking (scoring 90 percent or higher, with a score of over 97 percent) for political disclosure and accountability by the most recent Center for Political Accountability-Zicklin Index of Corporate Political Accountability and Disclosure, which ranks the political spending disclosure of S&amp;P 500 companies.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JPMorgan Chase PAC is funded entirely by voluntary contributions from eligible employees. They support candidates, parties and committees whose views on specific issues are consistent with the Firm’s priorities, prioritizing candidates that represent communities we serve, serve in leadership positions and demonstrate support for policies of importance to the Firm. Contributions are made on a bi-partisan basis and are not made to candidates running for U.S. president.</w:t>
      </w:r>
    </w:p>
    <w:p>
      <w:pPr>
        <w:spacing w:after="0" w:line="9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More recently, the violence at the U.S. Capitol on January 6, 2021 prompted us to pause all giving from the JPMorgan Chase PAC. This will give us an opportunity to evaluate our overall PAC mission, governance and giving strategies.</w:t>
      </w:r>
    </w:p>
    <w:p>
      <w:pPr>
        <w:spacing w:after="0" w:line="96"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We believe participation in the political process is essential and intend to maintain an employee political engagement program moving forward.</w:t>
      </w:r>
    </w:p>
    <w:p>
      <w:pPr>
        <w:spacing w:after="0" w:line="94"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We will continue to provide detailed public disclosure about our activities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74930</wp:posOffset>
            </wp:positionV>
            <wp:extent cx="3060065" cy="42037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060065" cy="420370"/>
                    </a:xfrm>
                    <a:prstGeom prst="rect">
                      <a:avLst/>
                    </a:prstGeom>
                    <a:noFill/>
                  </pic:spPr>
                </pic:pic>
              </a:graphicData>
            </a:graphic>
          </wp:anchor>
        </w:drawing>
      </w:r>
    </w:p>
    <w:p>
      <w:pPr>
        <w:spacing w:after="0" w:line="196" w:lineRule="exact"/>
        <w:rPr>
          <w:sz w:val="20"/>
          <w:szCs w:val="20"/>
          <w:color w:val="auto"/>
        </w:rPr>
      </w:pPr>
    </w:p>
    <w:p>
      <w:pPr>
        <w:ind w:left="660" w:right="520"/>
        <w:spacing w:after="0" w:line="287" w:lineRule="auto"/>
        <w:rPr>
          <w:sz w:val="20"/>
          <w:szCs w:val="20"/>
          <w:color w:val="auto"/>
        </w:rPr>
      </w:pPr>
      <w:r>
        <w:rPr>
          <w:rFonts w:ascii="Arial" w:cs="Arial" w:eastAsia="Arial" w:hAnsi="Arial"/>
          <w:sz w:val="18"/>
          <w:szCs w:val="18"/>
          <w:color w:val="FFFFFF"/>
        </w:rPr>
        <w:t xml:space="preserve">The Board of Directors recommends a vote </w:t>
      </w:r>
      <w:r>
        <w:rPr>
          <w:rFonts w:ascii="Arial" w:cs="Arial" w:eastAsia="Arial" w:hAnsi="Arial"/>
          <w:sz w:val="18"/>
          <w:szCs w:val="18"/>
          <w:b w:val="1"/>
          <w:bCs w:val="1"/>
          <w:color w:val="FFFFFF"/>
        </w:rPr>
        <w:t>AGAINST</w:t>
      </w:r>
      <w:r>
        <w:rPr>
          <w:rFonts w:ascii="Arial" w:cs="Arial" w:eastAsia="Arial" w:hAnsi="Arial"/>
          <w:sz w:val="18"/>
          <w:szCs w:val="18"/>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-281940</wp:posOffset>
            </wp:positionV>
            <wp:extent cx="171450" cy="1714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5320" w:space="420"/>
            <w:col w:w="5480"/>
          </w:cols>
          <w:pgMar w:left="320" w:top="171" w:right="359" w:bottom="1440" w:gutter="0" w:footer="0" w:header="0"/>
          <w:type w:val="continuous"/>
        </w:sect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13" w:name="page114"/>
    <w:bookmarkEnd w:id="11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Information about the annual shareholder meeting</w:t>
      </w:r>
    </w:p>
    <w:p>
      <w:pPr>
        <w:sectPr>
          <w:pgSz w:w="11900" w:h="16838" w:orient="portrait"/>
          <w:cols w:equalWidth="0" w:num="1">
            <w:col w:w="11220"/>
          </w:cols>
          <w:pgMar w:left="320" w:top="171"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074A75"/>
        </w:rPr>
        <w:t>General</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074A75"/>
        </w:rPr>
        <w:t>Why am I receiving these materials?</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19, 2021 (the “Record Date”). JPMorgan Chase is soliciting proxies for use at the annual meeting, including any postponements or adjournments.</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074A75"/>
        </w:rPr>
        <w:t>When and where is our annual meeting?</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will hold our annual meeting on Tuesday, May 18, 2021, at 10:00 a.m. Eastern Time.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annual meeting will be held in a virtual meeting format only. To participate in the virtual meeting, visit www.virtualshareholdermeeting.com/JPM2021 and enter the 16-digit control number included on your proxy card, voting instruction form or Notice you previously received.</w:t>
      </w:r>
    </w:p>
    <w:p>
      <w:pPr>
        <w:spacing w:after="0" w:line="9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you have any questions about accessing the virtual meeting website for the annual meeting, please contact the Office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Secretary by sending an email to corporate.secretary@jpmchase.com or calling (212) 270-6000 by May 14, 2021.</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If you encounter any technical difficulties with the virtual meeting during the log in or meeting time, please call the technical support number that will be posted on the virtual meeting log in page.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vote your shares prior to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74A75"/>
        </w:rPr>
        <w:t>What is included in our proxy materials?</w:t>
      </w:r>
    </w:p>
    <w:p>
      <w:pPr>
        <w:spacing w:after="0" w:line="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Our proxy materials, which are available on our website at jpmorganchase.com/ir/annual-report, include:</w:t>
      </w:r>
    </w:p>
    <w:p>
      <w:pPr>
        <w:spacing w:after="0" w:line="90" w:lineRule="exact"/>
        <w:rPr>
          <w:sz w:val="20"/>
          <w:szCs w:val="20"/>
          <w:color w:val="auto"/>
        </w:rPr>
      </w:pPr>
    </w:p>
    <w:p>
      <w:pPr>
        <w:ind w:left="200" w:hanging="196"/>
        <w:spacing w:after="0"/>
        <w:tabs>
          <w:tab w:leader="none" w:pos="200"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Our Notice of 2021 Annual Meeting of Shareholders;</w:t>
      </w:r>
    </w:p>
    <w:p>
      <w:pPr>
        <w:spacing w:after="0" w:line="117" w:lineRule="exact"/>
        <w:rPr>
          <w:rFonts w:ascii="Arial" w:cs="Arial" w:eastAsia="Arial" w:hAnsi="Arial"/>
          <w:sz w:val="18"/>
          <w:szCs w:val="18"/>
          <w:color w:val="074A75"/>
        </w:rPr>
      </w:pPr>
    </w:p>
    <w:p>
      <w:pPr>
        <w:ind w:left="200" w:hanging="196"/>
        <w:spacing w:after="0"/>
        <w:tabs>
          <w:tab w:leader="none" w:pos="200"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Our Proxy Statement; and</w:t>
      </w:r>
    </w:p>
    <w:p>
      <w:pPr>
        <w:spacing w:after="0" w:line="117" w:lineRule="exact"/>
        <w:rPr>
          <w:rFonts w:ascii="Arial" w:cs="Arial" w:eastAsia="Arial" w:hAnsi="Arial"/>
          <w:sz w:val="18"/>
          <w:szCs w:val="18"/>
          <w:color w:val="074A75"/>
        </w:rPr>
      </w:pPr>
    </w:p>
    <w:p>
      <w:pPr>
        <w:ind w:left="200" w:hanging="196"/>
        <w:spacing w:after="0"/>
        <w:tabs>
          <w:tab w:leader="none" w:pos="200" w:val="left"/>
        </w:tabs>
        <w:numPr>
          <w:ilvl w:val="0"/>
          <w:numId w:val="285"/>
        </w:numPr>
        <w:rPr>
          <w:rFonts w:ascii="Arial" w:cs="Arial" w:eastAsia="Arial" w:hAnsi="Arial"/>
          <w:sz w:val="18"/>
          <w:szCs w:val="18"/>
          <w:color w:val="074A75"/>
        </w:rPr>
      </w:pPr>
      <w:r>
        <w:rPr>
          <w:rFonts w:ascii="Arial" w:cs="Arial" w:eastAsia="Arial" w:hAnsi="Arial"/>
          <w:sz w:val="18"/>
          <w:szCs w:val="18"/>
          <w:color w:val="auto"/>
        </w:rPr>
        <w:t>Our 2020 Annual Report to Shareholders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 110.</w:t>
      </w:r>
    </w:p>
    <w:p>
      <w:pPr>
        <w:spacing w:after="0" w:line="868" w:lineRule="exact"/>
        <w:rPr>
          <w:sz w:val="20"/>
          <w:szCs w:val="20"/>
          <w:color w:val="auto"/>
        </w:rPr>
      </w:pPr>
    </w:p>
    <w:p>
      <w:pPr>
        <w:sectPr>
          <w:pgSz w:w="11900" w:h="16838" w:orient="portrait"/>
          <w:cols w:equalWidth="0" w:num="2">
            <w:col w:w="5320" w:space="420"/>
            <w:col w:w="5480"/>
          </w:cols>
          <w:pgMar w:left="320" w:top="171"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28"/>
          <w:szCs w:val="28"/>
          <w:color w:val="074A75"/>
        </w:rPr>
        <w:t>Attending and voting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074A75"/>
        </w:rPr>
        <w:t>Can I attend our annual meeting?</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virtually by following the procedures in this proxy statement.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How can I ask questions pertinent to meeting matters?</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Shareholders may submit questions either before the meeting, from May 3 to May 14, 2021, or during a portion of the meeting. If you wish to submit a question before the meeting, you may log into www.proxyvote.com using your 16-digit control number and follow the instructions to submit a question. Alternatively, if you wish to submit a question during the meeting, log into the virtual meeting platform at www.virtualshareholdermeeting.com/JPM2021 using the 16-digit control number and follow the instructions to submit a question.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Questions pertinent to meeting matters will be answered during the meeting, subject to time limitations. Rules of Conduct including procedures for shareholder questions will be posted on the virtual meeting platform.</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Who can vote at our annual meeting?</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the close of business on the Record Date, there were 3,032,108,169 shares of common stock outstanding, each of which entitles the holder to one vote for each matter to be voted 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618490</wp:posOffset>
            </wp:positionV>
            <wp:extent cx="27432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45" w:lineRule="exact"/>
        <w:rPr>
          <w:sz w:val="20"/>
          <w:szCs w:val="20"/>
          <w:color w:val="auto"/>
        </w:rPr>
      </w:pPr>
    </w:p>
    <w:p>
      <w:pPr>
        <w:sectPr>
          <w:pgSz w:w="11900" w:h="16838" w:orient="portrait"/>
          <w:cols w:equalWidth="0" w:num="2">
            <w:col w:w="5480" w:space="260"/>
            <w:col w:w="5480"/>
          </w:cols>
          <w:pgMar w:left="320" w:top="171" w:right="359" w:bottom="1440" w:gutter="0" w:footer="0" w:header="0"/>
          <w:type w:val="continuous"/>
        </w:sectPr>
      </w:pP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107 </w:t>
      </w:r>
      <w:r>
        <w:rPr>
          <w:sz w:val="1"/>
          <w:szCs w:val="1"/>
          <w:color w:val="auto"/>
        </w:rPr>
        <w:drawing>
          <wp:inline distT="0" distB="0" distL="0" distR="0">
            <wp:extent cx="2203450" cy="154305"/>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074A75"/>
        </w:rPr>
        <w:t>How do I vote?</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4020" w:type="dxa"/>
            <w:vAlign w:val="bottom"/>
          </w:tcPr>
          <w:p>
            <w:pPr>
              <w:ind w:left="1580"/>
              <w:spacing w:after="0"/>
              <w:rPr>
                <w:sz w:val="20"/>
                <w:szCs w:val="20"/>
                <w:color w:val="auto"/>
              </w:rPr>
            </w:pPr>
            <w:r>
              <w:rPr>
                <w:rFonts w:ascii="Arial" w:cs="Arial" w:eastAsia="Arial" w:hAnsi="Arial"/>
                <w:sz w:val="16"/>
                <w:szCs w:val="16"/>
                <w:color w:val="074A75"/>
              </w:rPr>
              <w:t>If you are a</w:t>
            </w:r>
          </w:p>
        </w:tc>
        <w:tc>
          <w:tcPr>
            <w:tcW w:w="3860" w:type="dxa"/>
            <w:vAlign w:val="bottom"/>
          </w:tcPr>
          <w:p>
            <w:pPr>
              <w:ind w:left="820"/>
              <w:spacing w:after="0"/>
              <w:rPr>
                <w:sz w:val="20"/>
                <w:szCs w:val="20"/>
                <w:color w:val="auto"/>
              </w:rPr>
            </w:pPr>
            <w:r>
              <w:rPr>
                <w:rFonts w:ascii="Arial" w:cs="Arial" w:eastAsia="Arial" w:hAnsi="Arial"/>
                <w:sz w:val="16"/>
                <w:szCs w:val="16"/>
                <w:color w:val="074A75"/>
              </w:rPr>
              <w:t>If you are a beneficial owner of</w:t>
            </w:r>
          </w:p>
        </w:tc>
      </w:tr>
      <w:tr>
        <w:trPr>
          <w:trHeight w:val="208"/>
        </w:trPr>
        <w:tc>
          <w:tcPr>
            <w:tcW w:w="3360" w:type="dxa"/>
            <w:vAlign w:val="bottom"/>
            <w:tcBorders>
              <w:bottom w:val="single" w:sz="8" w:color="454545"/>
            </w:tcBorders>
          </w:tcPr>
          <w:p>
            <w:pPr>
              <w:spacing w:after="0"/>
              <w:rPr>
                <w:sz w:val="18"/>
                <w:szCs w:val="18"/>
                <w:color w:val="auto"/>
              </w:rPr>
            </w:pPr>
          </w:p>
        </w:tc>
        <w:tc>
          <w:tcPr>
            <w:tcW w:w="4020" w:type="dxa"/>
            <w:vAlign w:val="bottom"/>
            <w:tcBorders>
              <w:bottom w:val="single" w:sz="8" w:color="454545"/>
            </w:tcBorders>
          </w:tcPr>
          <w:p>
            <w:pPr>
              <w:ind w:left="1220"/>
              <w:spacing w:after="0"/>
              <w:rPr>
                <w:sz w:val="20"/>
                <w:szCs w:val="20"/>
                <w:color w:val="auto"/>
              </w:rPr>
            </w:pPr>
            <w:r>
              <w:rPr>
                <w:rFonts w:ascii="Arial" w:cs="Arial" w:eastAsia="Arial" w:hAnsi="Arial"/>
                <w:sz w:val="16"/>
                <w:szCs w:val="16"/>
                <w:color w:val="074A75"/>
              </w:rPr>
              <w:t>shareholder of record</w:t>
            </w:r>
          </w:p>
        </w:tc>
        <w:tc>
          <w:tcPr>
            <w:tcW w:w="3860" w:type="dxa"/>
            <w:vAlign w:val="bottom"/>
            <w:tcBorders>
              <w:bottom w:val="single" w:sz="8" w:color="454545"/>
            </w:tcBorders>
          </w:tcPr>
          <w:p>
            <w:pPr>
              <w:ind w:left="960"/>
              <w:spacing w:after="0"/>
              <w:rPr>
                <w:sz w:val="20"/>
                <w:szCs w:val="20"/>
                <w:color w:val="auto"/>
              </w:rPr>
            </w:pPr>
            <w:r>
              <w:rPr>
                <w:rFonts w:ascii="Arial" w:cs="Arial" w:eastAsia="Arial" w:hAnsi="Arial"/>
                <w:sz w:val="16"/>
                <w:szCs w:val="16"/>
                <w:color w:val="074A75"/>
              </w:rPr>
              <w:t>shares held in street name</w:t>
            </w:r>
          </w:p>
        </w:tc>
      </w:tr>
      <w:tr>
        <w:trPr>
          <w:trHeight w:val="242"/>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Through the virtual meeting site during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Complete and submit a ballot online during the</w:t>
            </w:r>
          </w:p>
        </w:tc>
        <w:tc>
          <w:tcPr>
            <w:tcW w:w="3860" w:type="dxa"/>
            <w:vAlign w:val="bottom"/>
          </w:tcPr>
          <w:p>
            <w:pPr>
              <w:spacing w:after="0"/>
              <w:rPr>
                <w:sz w:val="20"/>
                <w:szCs w:val="20"/>
                <w:color w:val="auto"/>
              </w:rPr>
            </w:pPr>
            <w:r>
              <w:rPr>
                <w:rFonts w:ascii="Arial" w:cs="Arial" w:eastAsia="Arial" w:hAnsi="Arial"/>
                <w:sz w:val="18"/>
                <w:szCs w:val="18"/>
                <w:color w:val="auto"/>
              </w:rPr>
              <w:t>Complete and submit a ballot online during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the meeting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at www.virtualshareholdermeeting.com/</w:t>
            </w:r>
          </w:p>
        </w:tc>
        <w:tc>
          <w:tcPr>
            <w:tcW w:w="3860" w:type="dxa"/>
            <w:vAlign w:val="bottom"/>
          </w:tcPr>
          <w:p>
            <w:pPr>
              <w:spacing w:after="0"/>
              <w:rPr>
                <w:sz w:val="20"/>
                <w:szCs w:val="20"/>
                <w:color w:val="auto"/>
              </w:rPr>
            </w:pPr>
            <w:r>
              <w:rPr>
                <w:rFonts w:ascii="Arial" w:cs="Arial" w:eastAsia="Arial" w:hAnsi="Arial"/>
                <w:sz w:val="18"/>
                <w:szCs w:val="18"/>
                <w:color w:val="auto"/>
                <w:w w:val="99"/>
              </w:rPr>
              <w:t>meeting at www.virtualshareholdermeeting.com/</w:t>
            </w:r>
          </w:p>
        </w:tc>
      </w:tr>
      <w:tr>
        <w:trPr>
          <w:trHeight w:val="217"/>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JPM2021.</w:t>
            </w:r>
          </w:p>
        </w:tc>
        <w:tc>
          <w:tcPr>
            <w:tcW w:w="3860" w:type="dxa"/>
            <w:vAlign w:val="bottom"/>
          </w:tcPr>
          <w:p>
            <w:pPr>
              <w:spacing w:after="0"/>
              <w:rPr>
                <w:sz w:val="20"/>
                <w:szCs w:val="20"/>
                <w:color w:val="auto"/>
              </w:rPr>
            </w:pPr>
            <w:r>
              <w:rPr>
                <w:rFonts w:ascii="Arial" w:cs="Arial" w:eastAsia="Arial" w:hAnsi="Arial"/>
                <w:sz w:val="18"/>
                <w:szCs w:val="18"/>
                <w:color w:val="auto"/>
              </w:rPr>
              <w:t>JPM2021.</w:t>
            </w:r>
          </w:p>
        </w:tc>
      </w:tr>
      <w:tr>
        <w:trPr>
          <w:trHeight w:val="27"/>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3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Online (24 hours a day) — Use the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Go to www.proxyvote.com and follow the</w:t>
            </w:r>
          </w:p>
        </w:tc>
        <w:tc>
          <w:tcPr>
            <w:tcW w:w="3860" w:type="dxa"/>
            <w:vAlign w:val="bottom"/>
          </w:tcPr>
          <w:p>
            <w:pPr>
              <w:spacing w:after="0"/>
              <w:rPr>
                <w:sz w:val="20"/>
                <w:szCs w:val="20"/>
                <w:color w:val="auto"/>
              </w:rPr>
            </w:pPr>
            <w:r>
              <w:rPr>
                <w:rFonts w:ascii="Arial" w:cs="Arial" w:eastAsia="Arial" w:hAnsi="Arial"/>
                <w:sz w:val="18"/>
                <w:szCs w:val="18"/>
                <w:color w:val="auto"/>
              </w:rPr>
              <w:t>Go to www.proxyvote.com and follow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Internet to transmit your voting</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w:t>
            </w:r>
          </w:p>
        </w:tc>
        <w:tc>
          <w:tcPr>
            <w:tcW w:w="3860" w:type="dxa"/>
            <w:vAlign w:val="bottom"/>
          </w:tcPr>
          <w:p>
            <w:pPr>
              <w:spacing w:after="0"/>
              <w:rPr>
                <w:sz w:val="20"/>
                <w:szCs w:val="20"/>
                <w:color w:val="auto"/>
              </w:rPr>
            </w:pPr>
            <w:r>
              <w:rPr>
                <w:rFonts w:ascii="Arial" w:cs="Arial" w:eastAsia="Arial" w:hAnsi="Arial"/>
                <w:sz w:val="18"/>
                <w:szCs w:val="18"/>
                <w:color w:val="auto"/>
              </w:rPr>
              <w:t>instructions.</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instructions up until 11:59 P.M. Eastern</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17"/>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Time the day before the meeting date.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7"/>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3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Telephone (24 hours a day) — Use</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1-800-690-6903</w:t>
            </w:r>
          </w:p>
        </w:tc>
        <w:tc>
          <w:tcPr>
            <w:tcW w:w="3860" w:type="dxa"/>
            <w:vAlign w:val="bottom"/>
          </w:tcPr>
          <w:p>
            <w:pPr>
              <w:spacing w:after="0"/>
              <w:rPr>
                <w:sz w:val="20"/>
                <w:szCs w:val="20"/>
                <w:color w:val="auto"/>
              </w:rPr>
            </w:pPr>
            <w:r>
              <w:rPr>
                <w:rFonts w:ascii="Arial" w:cs="Arial" w:eastAsia="Arial" w:hAnsi="Arial"/>
                <w:sz w:val="18"/>
                <w:szCs w:val="18"/>
                <w:color w:val="auto"/>
              </w:rPr>
              <w:t>1-800-454-8683</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any touch-tone telephone to transmit</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 availability of voting by telephone may</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your voting instructions up until 11:59</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depend on the voting process of the</w:t>
            </w:r>
          </w:p>
        </w:tc>
      </w:tr>
      <w:tr>
        <w:trPr>
          <w:trHeight w:val="21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P.M. Eastern Time the day before the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organization that holds your shares.</w:t>
            </w:r>
          </w:p>
        </w:tc>
      </w:tr>
      <w:tr>
        <w:trPr>
          <w:trHeight w:val="217"/>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meeting date.</w:t>
            </w:r>
          </w:p>
        </w:tc>
        <w:tc>
          <w:tcPr>
            <w:tcW w:w="4020" w:type="dxa"/>
            <w:vAlign w:val="bottom"/>
            <w:tcBorders>
              <w:right w:val="single" w:sz="8" w:color="454545"/>
            </w:tcBorders>
          </w:tcPr>
          <w:p>
            <w:pPr>
              <w:spacing w:after="0"/>
              <w:rPr>
                <w:sz w:val="18"/>
                <w:szCs w:val="18"/>
                <w:color w:val="auto"/>
              </w:rPr>
            </w:pPr>
          </w:p>
        </w:tc>
        <w:tc>
          <w:tcPr>
            <w:tcW w:w="3860" w:type="dxa"/>
            <w:vAlign w:val="bottom"/>
          </w:tcPr>
          <w:p>
            <w:pPr>
              <w:spacing w:after="0"/>
              <w:rPr>
                <w:sz w:val="18"/>
                <w:szCs w:val="18"/>
                <w:color w:val="auto"/>
              </w:rPr>
            </w:pPr>
          </w:p>
        </w:tc>
      </w:tr>
      <w:tr>
        <w:trPr>
          <w:trHeight w:val="27"/>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r>
        <w:trPr>
          <w:trHeight w:val="236"/>
        </w:trPr>
        <w:tc>
          <w:tcPr>
            <w:tcW w:w="336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By Mail</w:t>
            </w: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a properly executed and dated proxy card</w:t>
            </w:r>
          </w:p>
        </w:tc>
        <w:tc>
          <w:tcPr>
            <w:tcW w:w="3860" w:type="dxa"/>
            <w:vAlign w:val="bottom"/>
          </w:tcPr>
          <w:p>
            <w:pPr>
              <w:spacing w:after="0"/>
              <w:rPr>
                <w:sz w:val="20"/>
                <w:szCs w:val="20"/>
                <w:color w:val="auto"/>
              </w:rPr>
            </w:pPr>
            <w:r>
              <w:rPr>
                <w:rFonts w:ascii="Arial" w:cs="Arial" w:eastAsia="Arial" w:hAnsi="Arial"/>
                <w:sz w:val="18"/>
                <w:szCs w:val="18"/>
                <w:color w:val="auto"/>
              </w:rPr>
              <w:t>Return a properly executed and dated voting</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in the pre-paid envelope we have provided or</w:t>
            </w:r>
          </w:p>
        </w:tc>
        <w:tc>
          <w:tcPr>
            <w:tcW w:w="3860" w:type="dxa"/>
            <w:vAlign w:val="bottom"/>
          </w:tcPr>
          <w:p>
            <w:pPr>
              <w:spacing w:after="0"/>
              <w:rPr>
                <w:sz w:val="20"/>
                <w:szCs w:val="20"/>
                <w:color w:val="auto"/>
              </w:rPr>
            </w:pPr>
            <w:r>
              <w:rPr>
                <w:rFonts w:ascii="Arial" w:cs="Arial" w:eastAsia="Arial" w:hAnsi="Arial"/>
                <w:sz w:val="18"/>
                <w:szCs w:val="18"/>
                <w:color w:val="auto"/>
              </w:rPr>
              <w:t>instruction form using the method(s) your bank,</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return it to JPMorgan Chase &amp; Co., c/o</w:t>
            </w:r>
          </w:p>
        </w:tc>
        <w:tc>
          <w:tcPr>
            <w:tcW w:w="3860" w:type="dxa"/>
            <w:vAlign w:val="bottom"/>
          </w:tcPr>
          <w:p>
            <w:pPr>
              <w:spacing w:after="0"/>
              <w:rPr>
                <w:sz w:val="20"/>
                <w:szCs w:val="20"/>
                <w:color w:val="auto"/>
              </w:rPr>
            </w:pPr>
            <w:r>
              <w:rPr>
                <w:rFonts w:ascii="Arial" w:cs="Arial" w:eastAsia="Arial" w:hAnsi="Arial"/>
                <w:sz w:val="18"/>
                <w:szCs w:val="18"/>
                <w:color w:val="auto"/>
              </w:rPr>
              <w:t>brokerage firm, broker-dealer or other similar</w:t>
            </w:r>
          </w:p>
        </w:tc>
      </w:tr>
      <w:tr>
        <w:trPr>
          <w:trHeight w:val="216"/>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Broadridge, 51 Mercedes Way, Edgewood, NY</w:t>
            </w:r>
          </w:p>
        </w:tc>
        <w:tc>
          <w:tcPr>
            <w:tcW w:w="3860" w:type="dxa"/>
            <w:vAlign w:val="bottom"/>
          </w:tcPr>
          <w:p>
            <w:pPr>
              <w:spacing w:after="0"/>
              <w:rPr>
                <w:sz w:val="20"/>
                <w:szCs w:val="20"/>
                <w:color w:val="auto"/>
              </w:rPr>
            </w:pPr>
            <w:r>
              <w:rPr>
                <w:rFonts w:ascii="Arial" w:cs="Arial" w:eastAsia="Arial" w:hAnsi="Arial"/>
                <w:sz w:val="18"/>
                <w:szCs w:val="18"/>
                <w:color w:val="auto"/>
              </w:rPr>
              <w:t>organizations make available.</w:t>
            </w:r>
          </w:p>
        </w:tc>
      </w:tr>
      <w:tr>
        <w:trPr>
          <w:trHeight w:val="217"/>
        </w:trPr>
        <w:tc>
          <w:tcPr>
            <w:tcW w:w="3360" w:type="dxa"/>
            <w:vAlign w:val="bottom"/>
            <w:tcBorders>
              <w:right w:val="single" w:sz="8" w:color="454545"/>
            </w:tcBorders>
          </w:tcPr>
          <w:p>
            <w:pPr>
              <w:spacing w:after="0"/>
              <w:rPr>
                <w:sz w:val="18"/>
                <w:szCs w:val="18"/>
                <w:color w:val="auto"/>
              </w:rPr>
            </w:pPr>
          </w:p>
        </w:tc>
        <w:tc>
          <w:tcPr>
            <w:tcW w:w="4020" w:type="dxa"/>
            <w:vAlign w:val="bottom"/>
            <w:tcBorders>
              <w:right w:val="single" w:sz="8" w:color="454545"/>
            </w:tcBorders>
          </w:tcPr>
          <w:p>
            <w:pPr>
              <w:ind w:left="20"/>
              <w:spacing w:after="0"/>
              <w:rPr>
                <w:sz w:val="20"/>
                <w:szCs w:val="20"/>
                <w:color w:val="auto"/>
              </w:rPr>
            </w:pPr>
            <w:r>
              <w:rPr>
                <w:rFonts w:ascii="Arial" w:cs="Arial" w:eastAsia="Arial" w:hAnsi="Arial"/>
                <w:sz w:val="18"/>
                <w:szCs w:val="18"/>
                <w:color w:val="auto"/>
              </w:rPr>
              <w:t>11717</w:t>
            </w:r>
          </w:p>
        </w:tc>
        <w:tc>
          <w:tcPr>
            <w:tcW w:w="3860" w:type="dxa"/>
            <w:vAlign w:val="bottom"/>
          </w:tcPr>
          <w:p>
            <w:pPr>
              <w:spacing w:after="0"/>
              <w:rPr>
                <w:sz w:val="18"/>
                <w:szCs w:val="18"/>
                <w:color w:val="auto"/>
              </w:rPr>
            </w:pPr>
          </w:p>
        </w:tc>
      </w:tr>
      <w:tr>
        <w:trPr>
          <w:trHeight w:val="27"/>
        </w:trPr>
        <w:tc>
          <w:tcPr>
            <w:tcW w:w="3360" w:type="dxa"/>
            <w:vAlign w:val="bottom"/>
            <w:tcBorders>
              <w:bottom w:val="single" w:sz="8" w:color="454545"/>
              <w:right w:val="single" w:sz="8" w:color="454545"/>
            </w:tcBorders>
          </w:tcPr>
          <w:p>
            <w:pPr>
              <w:spacing w:after="0"/>
              <w:rPr>
                <w:sz w:val="2"/>
                <w:szCs w:val="2"/>
                <w:color w:val="auto"/>
              </w:rPr>
            </w:pPr>
          </w:p>
        </w:tc>
        <w:tc>
          <w:tcPr>
            <w:tcW w:w="4020" w:type="dxa"/>
            <w:vAlign w:val="bottom"/>
            <w:tcBorders>
              <w:bottom w:val="single" w:sz="8" w:color="454545"/>
              <w:right w:val="single" w:sz="8" w:color="454545"/>
            </w:tcBorders>
          </w:tcPr>
          <w:p>
            <w:pPr>
              <w:spacing w:after="0"/>
              <w:rPr>
                <w:sz w:val="2"/>
                <w:szCs w:val="2"/>
                <w:color w:val="auto"/>
              </w:rPr>
            </w:pPr>
          </w:p>
        </w:tc>
        <w:tc>
          <w:tcPr>
            <w:tcW w:w="3860" w:type="dxa"/>
            <w:vAlign w:val="bottom"/>
            <w:tcBorders>
              <w:bottom w:val="single" w:sz="8" w:color="45454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074A75"/>
        </w:rPr>
        <w:t>Can I change my vote after I have voted?</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You can revoke your vote:</w:t>
      </w:r>
    </w:p>
    <w:p>
      <w:pPr>
        <w:spacing w:after="0" w:line="104" w:lineRule="exact"/>
        <w:rPr>
          <w:sz w:val="20"/>
          <w:szCs w:val="20"/>
          <w:color w:val="auto"/>
        </w:rPr>
      </w:pPr>
    </w:p>
    <w:p>
      <w:pPr>
        <w:ind w:left="200" w:hanging="192"/>
        <w:spacing w:after="0" w:line="237" w:lineRule="auto"/>
        <w:tabs>
          <w:tab w:leader="none" w:pos="204" w:val="left"/>
        </w:tabs>
        <w:numPr>
          <w:ilvl w:val="0"/>
          <w:numId w:val="286"/>
        </w:numPr>
        <w:rPr>
          <w:rFonts w:ascii="Arial" w:cs="Arial" w:eastAsia="Arial" w:hAnsi="Arial"/>
          <w:sz w:val="18"/>
          <w:szCs w:val="18"/>
          <w:color w:val="074A75"/>
        </w:rPr>
      </w:pPr>
      <w:r>
        <w:rPr>
          <w:rFonts w:ascii="Arial" w:cs="Arial" w:eastAsia="Arial" w:hAnsi="Arial"/>
          <w:sz w:val="18"/>
          <w:szCs w:val="18"/>
          <w:color w:val="auto"/>
        </w:rPr>
        <w:t>During the virtual meeting. If you attend the annual meeting at www.virtualshareholdermeeting.com/ JPM2021, you may revoke your proxy and change your vote by voting online during the meeting. Your attendance at the annual meeting will not automatically revoke your proxy unless you properly vote at the annual meeting.</w:t>
      </w:r>
    </w:p>
    <w:p>
      <w:pPr>
        <w:spacing w:after="0" w:line="96" w:lineRule="exact"/>
        <w:rPr>
          <w:rFonts w:ascii="Arial" w:cs="Arial" w:eastAsia="Arial" w:hAnsi="Arial"/>
          <w:sz w:val="18"/>
          <w:szCs w:val="18"/>
          <w:color w:val="074A75"/>
        </w:rPr>
      </w:pPr>
    </w:p>
    <w:p>
      <w:pPr>
        <w:ind w:left="200" w:right="40" w:hanging="192"/>
        <w:spacing w:after="0" w:line="238" w:lineRule="auto"/>
        <w:tabs>
          <w:tab w:leader="none" w:pos="204" w:val="left"/>
        </w:tabs>
        <w:numPr>
          <w:ilvl w:val="0"/>
          <w:numId w:val="286"/>
        </w:numPr>
        <w:rPr>
          <w:rFonts w:ascii="Arial" w:cs="Arial" w:eastAsia="Arial" w:hAnsi="Arial"/>
          <w:sz w:val="18"/>
          <w:szCs w:val="18"/>
          <w:color w:val="074A75"/>
        </w:rPr>
      </w:pPr>
      <w:r>
        <w:rPr>
          <w:rFonts w:ascii="Arial" w:cs="Arial" w:eastAsia="Arial" w:hAnsi="Arial"/>
          <w:sz w:val="18"/>
          <w:szCs w:val="18"/>
          <w:color w:val="auto"/>
        </w:rPr>
        <w:t>In writing. You may request that your prior proxy be revoked by delivering a written notice of revocation prior to the annual meeting via email to corporate.secretary@jpmchase.com or to the Office of the Secretary, JPMorgan Chase &amp; Co., 4 New York Plaza, New York, NY 10004-2413.</w:t>
      </w:r>
    </w:p>
    <w:p>
      <w:pPr>
        <w:spacing w:after="0" w:line="94" w:lineRule="exact"/>
        <w:rPr>
          <w:rFonts w:ascii="Arial" w:cs="Arial" w:eastAsia="Arial" w:hAnsi="Arial"/>
          <w:sz w:val="18"/>
          <w:szCs w:val="18"/>
          <w:color w:val="074A75"/>
        </w:rPr>
      </w:pPr>
    </w:p>
    <w:p>
      <w:pPr>
        <w:ind w:left="200" w:right="120" w:hanging="192"/>
        <w:spacing w:after="0" w:line="257" w:lineRule="auto"/>
        <w:tabs>
          <w:tab w:leader="none" w:pos="204" w:val="left"/>
        </w:tabs>
        <w:numPr>
          <w:ilvl w:val="0"/>
          <w:numId w:val="286"/>
        </w:numPr>
        <w:rPr>
          <w:rFonts w:ascii="Arial" w:cs="Arial" w:eastAsia="Arial" w:hAnsi="Arial"/>
          <w:sz w:val="17"/>
          <w:szCs w:val="17"/>
          <w:color w:val="074A75"/>
        </w:rPr>
      </w:pPr>
      <w:r>
        <w:rPr>
          <w:rFonts w:ascii="Arial" w:cs="Arial" w:eastAsia="Arial" w:hAnsi="Arial"/>
          <w:sz w:val="17"/>
          <w:szCs w:val="17"/>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80" w:lineRule="exact"/>
        <w:rPr>
          <w:rFonts w:ascii="Arial" w:cs="Arial" w:eastAsia="Arial" w:hAnsi="Arial"/>
          <w:sz w:val="17"/>
          <w:szCs w:val="17"/>
          <w:color w:val="074A75"/>
        </w:rPr>
      </w:pPr>
    </w:p>
    <w:p>
      <w:pPr>
        <w:ind w:left="200" w:right="200" w:hanging="192"/>
        <w:spacing w:after="0" w:line="238" w:lineRule="auto"/>
        <w:tabs>
          <w:tab w:leader="none" w:pos="204" w:val="left"/>
        </w:tabs>
        <w:numPr>
          <w:ilvl w:val="0"/>
          <w:numId w:val="286"/>
        </w:numPr>
        <w:rPr>
          <w:rFonts w:ascii="Arial" w:cs="Arial" w:eastAsia="Arial" w:hAnsi="Arial"/>
          <w:sz w:val="18"/>
          <w:szCs w:val="18"/>
          <w:color w:val="074A75"/>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96" w:lineRule="exact"/>
        <w:rPr>
          <w:rFonts w:ascii="Arial" w:cs="Arial" w:eastAsia="Arial" w:hAnsi="Arial"/>
          <w:sz w:val="18"/>
          <w:szCs w:val="18"/>
          <w:color w:val="074A75"/>
        </w:rPr>
      </w:pPr>
    </w:p>
    <w:p>
      <w:pPr>
        <w:ind w:left="200" w:hanging="192"/>
        <w:spacing w:after="0"/>
        <w:tabs>
          <w:tab w:leader="none" w:pos="204" w:val="left"/>
        </w:tabs>
        <w:numPr>
          <w:ilvl w:val="0"/>
          <w:numId w:val="286"/>
        </w:numPr>
        <w:rPr>
          <w:rFonts w:ascii="Arial" w:cs="Arial" w:eastAsia="Arial" w:hAnsi="Arial"/>
          <w:sz w:val="18"/>
          <w:szCs w:val="18"/>
          <w:color w:val="074A75"/>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your latest proxy card or voting instruction form received prior to the annual meeting will be counted.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074A75"/>
        </w:rPr>
        <w:t>How are shares voted?</w:t>
      </w:r>
    </w:p>
    <w:p>
      <w:pPr>
        <w:spacing w:after="0" w:line="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91" w:lineRule="exact"/>
        <w:rPr>
          <w:sz w:val="20"/>
          <w:szCs w:val="20"/>
          <w:color w:val="auto"/>
        </w:rPr>
      </w:pPr>
    </w:p>
    <w:p>
      <w:pPr>
        <w:ind w:right="400"/>
        <w:spacing w:after="0"/>
        <w:rPr>
          <w:sz w:val="20"/>
          <w:szCs w:val="20"/>
          <w:color w:val="auto"/>
        </w:rPr>
      </w:pPr>
      <w:r>
        <w:rPr>
          <w:rFonts w:ascii="Arial" w:cs="Arial" w:eastAsia="Arial" w:hAnsi="Arial"/>
          <w:sz w:val="20"/>
          <w:szCs w:val="20"/>
          <w:color w:val="074A75"/>
        </w:rPr>
        <w:t>How will my shares be voted if I do not give specific voting instructions?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 are a shareholder of record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return a proxy card, or if you sign, date and return a proxy card but do not give specific 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10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79"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w:t>
      </w:r>
    </w:p>
    <w:p>
      <w:pPr>
        <w:spacing w:after="0" w:line="358" w:lineRule="exact"/>
        <w:rPr>
          <w:sz w:val="20"/>
          <w:szCs w:val="20"/>
          <w:color w:val="auto"/>
        </w:rPr>
      </w:pPr>
    </w:p>
    <w:p>
      <w:pPr>
        <w:sectPr>
          <w:pgSz w:w="11900" w:h="16838" w:orient="portrait"/>
          <w:cols w:equalWidth="0" w:num="2">
            <w:col w:w="5320" w:space="420"/>
            <w:col w:w="5500"/>
          </w:cols>
          <w:pgMar w:left="320" w:top="171" w:right="339" w:bottom="1440" w:gutter="0" w:footer="0" w:header="0"/>
          <w:type w:val="continuous"/>
        </w:sectPr>
      </w:pP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108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71" w:right="33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p>
      <w:pPr>
        <w:spacing w:after="0" w:line="31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will depend on whether the proposal is considered “routine” or “non-routine”, as described below.</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074A75"/>
        </w:rPr>
        <w:t>Which proposals are considered “routine” or “non-routine”?</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 means your bank, brokerage firm, broker-dealer or other similar organization may not vote your shares without</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93" w:lineRule="exact"/>
        <w:rPr>
          <w:sz w:val="20"/>
          <w:szCs w:val="20"/>
          <w:color w:val="auto"/>
        </w:rPr>
      </w:pPr>
    </w:p>
    <w:p>
      <w:pPr>
        <w:ind w:right="440"/>
        <w:spacing w:after="0"/>
        <w:rPr>
          <w:sz w:val="20"/>
          <w:szCs w:val="20"/>
          <w:color w:val="auto"/>
        </w:rPr>
      </w:pPr>
      <w:r>
        <w:rPr>
          <w:rFonts w:ascii="Arial" w:cs="Arial" w:eastAsia="Arial" w:hAnsi="Arial"/>
          <w:sz w:val="20"/>
          <w:szCs w:val="20"/>
          <w:color w:val="074A75"/>
        </w:rPr>
        <w:t>What is the difference between holding shares as a shareholder of record and as a beneficial owner of shares held in street name?</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an account at a bank, brokerage firm, broker-dealer or other similar organization,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361" w:lineRule="exact"/>
        <w:rPr>
          <w:sz w:val="20"/>
          <w:szCs w:val="20"/>
          <w:color w:val="auto"/>
        </w:rPr>
      </w:pPr>
    </w:p>
    <w:p>
      <w:pPr>
        <w:sectPr>
          <w:pgSz w:w="11900" w:h="16838" w:orient="portrait"/>
          <w:cols w:equalWidth="0" w:num="2">
            <w:col w:w="5360" w:space="380"/>
            <w:col w:w="5500"/>
          </w:cols>
          <w:pgMar w:left="320" w:top="171" w:right="339" w:bottom="1440" w:gutter="0" w:footer="0" w:header="0"/>
          <w:type w:val="continuous"/>
        </w:sectPr>
      </w:pPr>
    </w:p>
    <w:p>
      <w:pPr>
        <w:spacing w:after="0"/>
        <w:rPr>
          <w:sz w:val="20"/>
          <w:szCs w:val="20"/>
          <w:color w:val="auto"/>
        </w:rPr>
      </w:pPr>
      <w:r>
        <w:rPr>
          <w:rFonts w:ascii="Arial" w:cs="Arial" w:eastAsia="Arial" w:hAnsi="Arial"/>
          <w:sz w:val="20"/>
          <w:szCs w:val="20"/>
          <w:color w:val="074A75"/>
        </w:rPr>
        <w:t>What is the voting requirement to approve each of the proposals?</w:t>
      </w:r>
    </w:p>
    <w:p>
      <w:pPr>
        <w:spacing w:after="0" w:line="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entitled to vote at the annual meeting, present at the meeting or represented by proxy, will constitute a quorum. Abstentions and broker non-votes are treated as present for quorum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074A75"/>
              </w:rPr>
              <w:t>Effect of</w:t>
            </w:r>
          </w:p>
        </w:tc>
        <w:tc>
          <w:tcPr>
            <w:tcW w:w="2160" w:type="dxa"/>
            <w:vAlign w:val="bottom"/>
          </w:tcPr>
          <w:p>
            <w:pPr>
              <w:jc w:val="center"/>
              <w:ind w:left="19"/>
              <w:spacing w:after="0"/>
              <w:rPr>
                <w:sz w:val="20"/>
                <w:szCs w:val="20"/>
                <w:color w:val="auto"/>
              </w:rPr>
            </w:pPr>
            <w:r>
              <w:rPr>
                <w:rFonts w:ascii="Arial" w:cs="Arial" w:eastAsia="Arial" w:hAnsi="Arial"/>
                <w:sz w:val="16"/>
                <w:szCs w:val="16"/>
                <w:color w:val="074A75"/>
              </w:rPr>
              <w:t>Effect of broker</w:t>
            </w:r>
          </w:p>
        </w:tc>
      </w:tr>
      <w:tr>
        <w:trPr>
          <w:trHeight w:val="217"/>
        </w:trPr>
        <w:tc>
          <w:tcPr>
            <w:tcW w:w="2360" w:type="dxa"/>
            <w:vAlign w:val="bottom"/>
          </w:tcPr>
          <w:p>
            <w:pPr>
              <w:ind w:left="20"/>
              <w:spacing w:after="0"/>
              <w:rPr>
                <w:sz w:val="20"/>
                <w:szCs w:val="20"/>
                <w:color w:val="auto"/>
              </w:rPr>
            </w:pPr>
            <w:r>
              <w:rPr>
                <w:rFonts w:ascii="Arial" w:cs="Arial" w:eastAsia="Arial" w:hAnsi="Arial"/>
                <w:sz w:val="16"/>
                <w:szCs w:val="16"/>
                <w:color w:val="074A75"/>
              </w:rPr>
              <w:t>Proposal</w:t>
            </w:r>
          </w:p>
        </w:tc>
        <w:tc>
          <w:tcPr>
            <w:tcW w:w="2340" w:type="dxa"/>
            <w:vAlign w:val="bottom"/>
          </w:tcPr>
          <w:p>
            <w:pPr>
              <w:ind w:left="820"/>
              <w:spacing w:after="0"/>
              <w:rPr>
                <w:sz w:val="20"/>
                <w:szCs w:val="20"/>
                <w:color w:val="auto"/>
              </w:rPr>
            </w:pPr>
            <w:r>
              <w:rPr>
                <w:rFonts w:ascii="Arial" w:cs="Arial" w:eastAsia="Arial" w:hAnsi="Arial"/>
                <w:sz w:val="16"/>
                <w:szCs w:val="16"/>
                <w:color w:val="074A75"/>
              </w:rPr>
              <w:t>Voting options</w:t>
            </w:r>
          </w:p>
        </w:tc>
        <w:tc>
          <w:tcPr>
            <w:tcW w:w="2340" w:type="dxa"/>
            <w:vAlign w:val="bottom"/>
          </w:tcPr>
          <w:p>
            <w:pPr>
              <w:ind w:left="520"/>
              <w:spacing w:after="0"/>
              <w:rPr>
                <w:sz w:val="20"/>
                <w:szCs w:val="20"/>
                <w:color w:val="auto"/>
              </w:rPr>
            </w:pPr>
            <w:r>
              <w:rPr>
                <w:rFonts w:ascii="Arial" w:cs="Arial" w:eastAsia="Arial" w:hAnsi="Arial"/>
                <w:sz w:val="16"/>
                <w:szCs w:val="16"/>
                <w:color w:val="074A75"/>
              </w:rPr>
              <w:t>Vote requirement</w:t>
            </w:r>
          </w:p>
        </w:tc>
        <w:tc>
          <w:tcPr>
            <w:tcW w:w="2040" w:type="dxa"/>
            <w:vAlign w:val="bottom"/>
          </w:tcPr>
          <w:p>
            <w:pPr>
              <w:jc w:val="center"/>
              <w:spacing w:after="0" w:line="217" w:lineRule="exact"/>
              <w:rPr>
                <w:sz w:val="20"/>
                <w:szCs w:val="20"/>
                <w:color w:val="auto"/>
              </w:rPr>
            </w:pPr>
            <w:r>
              <w:rPr>
                <w:rFonts w:ascii="Arial" w:cs="Arial" w:eastAsia="Arial" w:hAnsi="Arial"/>
                <w:sz w:val="16"/>
                <w:szCs w:val="16"/>
                <w:color w:val="074A75"/>
                <w:w w:val="98"/>
              </w:rPr>
              <w:t>abstentions</w:t>
            </w:r>
            <w:r>
              <w:rPr>
                <w:rFonts w:ascii="Arial" w:cs="Arial" w:eastAsia="Arial" w:hAnsi="Arial"/>
                <w:sz w:val="21"/>
                <w:szCs w:val="21"/>
                <w:color w:val="074A75"/>
                <w:w w:val="98"/>
                <w:vertAlign w:val="superscript"/>
              </w:rPr>
              <w:t>1</w:t>
            </w:r>
          </w:p>
        </w:tc>
        <w:tc>
          <w:tcPr>
            <w:tcW w:w="2160" w:type="dxa"/>
            <w:vAlign w:val="bottom"/>
          </w:tcPr>
          <w:p>
            <w:pPr>
              <w:jc w:val="center"/>
              <w:ind w:left="19"/>
              <w:spacing w:after="0" w:line="217" w:lineRule="exact"/>
              <w:rPr>
                <w:sz w:val="20"/>
                <w:szCs w:val="20"/>
                <w:color w:val="auto"/>
              </w:rPr>
            </w:pPr>
            <w:r>
              <w:rPr>
                <w:rFonts w:ascii="Arial" w:cs="Arial" w:eastAsia="Arial" w:hAnsi="Arial"/>
                <w:sz w:val="16"/>
                <w:szCs w:val="16"/>
                <w:color w:val="074A75"/>
                <w:w w:val="99"/>
              </w:rPr>
              <w:t>non-votes</w:t>
            </w:r>
            <w:r>
              <w:rPr>
                <w:rFonts w:ascii="Arial" w:cs="Arial" w:eastAsia="Arial" w:hAnsi="Arial"/>
                <w:sz w:val="21"/>
                <w:szCs w:val="21"/>
                <w:color w:val="074A75"/>
                <w:w w:val="99"/>
                <w:vertAlign w:val="superscript"/>
              </w:rPr>
              <w:t>2</w:t>
            </w:r>
          </w:p>
        </w:tc>
      </w:tr>
      <w:tr>
        <w:trPr>
          <w:trHeight w:val="216"/>
        </w:trPr>
        <w:tc>
          <w:tcPr>
            <w:tcW w:w="2360" w:type="dxa"/>
            <w:vAlign w:val="bottom"/>
            <w:shd w:val="clear" w:color="auto" w:fill="074A75"/>
          </w:tcPr>
          <w:p>
            <w:pPr>
              <w:ind w:left="20"/>
              <w:spacing w:after="0"/>
              <w:rPr>
                <w:sz w:val="20"/>
                <w:szCs w:val="20"/>
                <w:color w:val="auto"/>
              </w:rPr>
            </w:pPr>
            <w:r>
              <w:rPr>
                <w:rFonts w:ascii="Arial" w:cs="Arial" w:eastAsia="Arial" w:hAnsi="Arial"/>
                <w:sz w:val="14"/>
                <w:szCs w:val="14"/>
                <w:color w:val="FFFFFF"/>
              </w:rPr>
              <w:t>Corporate Governance:</w:t>
            </w:r>
          </w:p>
        </w:tc>
        <w:tc>
          <w:tcPr>
            <w:tcW w:w="2340" w:type="dxa"/>
            <w:vAlign w:val="bottom"/>
            <w:shd w:val="clear" w:color="auto" w:fill="074A75"/>
          </w:tcPr>
          <w:p>
            <w:pPr>
              <w:spacing w:after="0"/>
              <w:rPr>
                <w:sz w:val="18"/>
                <w:szCs w:val="18"/>
                <w:color w:val="auto"/>
              </w:rPr>
            </w:pPr>
          </w:p>
        </w:tc>
        <w:tc>
          <w:tcPr>
            <w:tcW w:w="2340" w:type="dxa"/>
            <w:vAlign w:val="bottom"/>
            <w:shd w:val="clear" w:color="auto" w:fill="074A75"/>
          </w:tcPr>
          <w:p>
            <w:pPr>
              <w:spacing w:after="0"/>
              <w:rPr>
                <w:sz w:val="18"/>
                <w:szCs w:val="18"/>
                <w:color w:val="auto"/>
              </w:rPr>
            </w:pPr>
          </w:p>
        </w:tc>
        <w:tc>
          <w:tcPr>
            <w:tcW w:w="2040" w:type="dxa"/>
            <w:vAlign w:val="bottom"/>
            <w:shd w:val="clear" w:color="auto" w:fill="074A75"/>
          </w:tcPr>
          <w:p>
            <w:pPr>
              <w:spacing w:after="0"/>
              <w:rPr>
                <w:sz w:val="18"/>
                <w:szCs w:val="18"/>
                <w:color w:val="auto"/>
              </w:rPr>
            </w:pPr>
          </w:p>
        </w:tc>
        <w:tc>
          <w:tcPr>
            <w:tcW w:w="2160" w:type="dxa"/>
            <w:vAlign w:val="bottom"/>
            <w:shd w:val="clear" w:color="auto" w:fill="074A75"/>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1">
            <w:col w:w="11240"/>
          </w:cols>
          <w:pgMar w:left="320" w:top="171"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Election of Directors</w:t>
      </w:r>
      <w:r>
        <w:rPr>
          <w:rFonts w:ascii="Arial" w:cs="Arial" w:eastAsia="Arial" w:hAnsi="Arial"/>
          <w:sz w:val="9"/>
          <w:szCs w:val="9"/>
          <w:color w:val="auto"/>
        </w:rPr>
        <w:t>3</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Executive Compensation: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Advisory Vote on Compensation</w:t>
      </w:r>
      <w:r>
        <w:rPr>
          <w:rFonts w:ascii="Arial" w:cs="Arial" w:eastAsia="Arial" w:hAnsi="Arial"/>
          <w:sz w:val="9"/>
          <w:szCs w:val="9"/>
          <w:color w:val="auto"/>
        </w:rPr>
        <w:t>4</w:t>
      </w:r>
    </w:p>
    <w:p>
      <w:pPr>
        <w:spacing w:after="0" w:line="217" w:lineRule="exact"/>
        <w:rPr>
          <w:sz w:val="20"/>
          <w:szCs w:val="20"/>
          <w:color w:val="auto"/>
        </w:rPr>
      </w:pPr>
    </w:p>
    <w:p>
      <w:pPr>
        <w:ind w:left="20" w:right="100"/>
        <w:spacing w:after="0" w:line="258" w:lineRule="auto"/>
        <w:rPr>
          <w:sz w:val="20"/>
          <w:szCs w:val="20"/>
          <w:color w:val="auto"/>
        </w:rPr>
      </w:pPr>
      <w:r>
        <w:rPr>
          <w:rFonts w:ascii="Arial" w:cs="Arial" w:eastAsia="Arial" w:hAnsi="Arial"/>
          <w:sz w:val="14"/>
          <w:szCs w:val="14"/>
          <w:color w:val="auto"/>
        </w:rPr>
        <w:t>– Approval of amended and restated Long-Term Incentive Plan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Audit Matters: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Ratification of Independent Auditor</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FFFFFF"/>
        </w:rPr>
        <w:t>Shareholder Proposals:</w:t>
      </w:r>
    </w:p>
    <w:p>
      <w:pPr>
        <w:spacing w:after="0" w:line="55" w:lineRule="exact"/>
        <w:rPr>
          <w:sz w:val="20"/>
          <w:szCs w:val="20"/>
          <w:color w:val="auto"/>
        </w:rPr>
      </w:pPr>
    </w:p>
    <w:p>
      <w:pPr>
        <w:ind w:left="20"/>
        <w:spacing w:after="0" w:line="258" w:lineRule="auto"/>
        <w:rPr>
          <w:sz w:val="20"/>
          <w:szCs w:val="20"/>
          <w:color w:val="auto"/>
        </w:rPr>
      </w:pPr>
      <w:r>
        <w:rPr>
          <w:rFonts w:ascii="Arial" w:cs="Arial" w:eastAsia="Arial" w:hAnsi="Arial"/>
          <w:sz w:val="14"/>
          <w:szCs w:val="14"/>
          <w:color w:val="auto"/>
        </w:rPr>
        <w:t>Voting requirements for each proposal are the same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 w:type="dxa"/>
            <w:vAlign w:val="bottom"/>
            <w:shd w:val="clear" w:color="auto" w:fill="454545"/>
          </w:tcPr>
          <w:p>
            <w:pPr>
              <w:spacing w:after="0"/>
              <w:rPr>
                <w:sz w:val="15"/>
                <w:szCs w:val="15"/>
                <w:color w:val="auto"/>
              </w:rPr>
            </w:pPr>
          </w:p>
        </w:tc>
        <w:tc>
          <w:tcPr>
            <w:tcW w:w="2100" w:type="dxa"/>
            <w:vAlign w:val="bottom"/>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shd w:val="clear" w:color="auto" w:fill="454545"/>
          </w:tcPr>
          <w:p>
            <w:pPr>
              <w:spacing w:after="0"/>
              <w:rPr>
                <w:sz w:val="15"/>
                <w:szCs w:val="15"/>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Majority of the votes cast FOR or</w:t>
            </w:r>
          </w:p>
        </w:tc>
        <w:tc>
          <w:tcPr>
            <w:tcW w:w="20" w:type="dxa"/>
            <w:vAlign w:val="bottom"/>
            <w:shd w:val="clear" w:color="auto" w:fill="454545"/>
          </w:tcPr>
          <w:p>
            <w:pPr>
              <w:spacing w:after="0"/>
              <w:rPr>
                <w:sz w:val="15"/>
                <w:szCs w:val="15"/>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No effect — not counted as a vote</w:t>
            </w:r>
          </w:p>
        </w:tc>
        <w:tc>
          <w:tcPr>
            <w:tcW w:w="20" w:type="dxa"/>
            <w:vAlign w:val="bottom"/>
            <w:shd w:val="clear" w:color="auto" w:fill="454545"/>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ind w:left="20"/>
              <w:spacing w:after="0"/>
              <w:rPr>
                <w:sz w:val="20"/>
                <w:szCs w:val="20"/>
                <w:color w:val="auto"/>
              </w:rPr>
            </w:pPr>
            <w:r>
              <w:rPr>
                <w:rFonts w:ascii="Arial" w:cs="Arial" w:eastAsia="Arial" w:hAnsi="Arial"/>
                <w:sz w:val="14"/>
                <w:szCs w:val="14"/>
                <w:color w:val="auto"/>
              </w:rPr>
              <w:t>(for each director nominee)</w:t>
            </w: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AGAINST (for each director</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cast</w:t>
            </w: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184"/>
        </w:trPr>
        <w:tc>
          <w:tcPr>
            <w:tcW w:w="20" w:type="dxa"/>
            <w:vAlign w:val="bottom"/>
            <w:shd w:val="clear" w:color="auto" w:fill="454545"/>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nominee)</w:t>
            </w:r>
          </w:p>
        </w:tc>
        <w:tc>
          <w:tcPr>
            <w:tcW w:w="20" w:type="dxa"/>
            <w:vAlign w:val="bottom"/>
            <w:shd w:val="clear" w:color="auto" w:fill="454545"/>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94"/>
        </w:trPr>
        <w:tc>
          <w:tcPr>
            <w:tcW w:w="20" w:type="dxa"/>
            <w:vAlign w:val="bottom"/>
            <w:shd w:val="clear" w:color="auto" w:fill="454545"/>
          </w:tcPr>
          <w:p>
            <w:pPr>
              <w:spacing w:after="0"/>
              <w:rPr>
                <w:sz w:val="16"/>
                <w:szCs w:val="16"/>
                <w:color w:val="auto"/>
              </w:rPr>
            </w:pPr>
          </w:p>
        </w:tc>
        <w:tc>
          <w:tcPr>
            <w:tcW w:w="210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22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454545"/>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06"/>
        </w:trPr>
        <w:tc>
          <w:tcPr>
            <w:tcW w:w="20" w:type="dxa"/>
            <w:vAlign w:val="bottom"/>
            <w:shd w:val="clear" w:color="auto" w:fill="454545"/>
          </w:tcPr>
          <w:p>
            <w:pPr>
              <w:spacing w:after="0"/>
              <w:rPr>
                <w:sz w:val="17"/>
                <w:szCs w:val="17"/>
                <w:color w:val="auto"/>
              </w:rPr>
            </w:pPr>
          </w:p>
        </w:tc>
        <w:tc>
          <w:tcPr>
            <w:tcW w:w="2100" w:type="dxa"/>
            <w:vAlign w:val="bottom"/>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shd w:val="clear" w:color="auto" w:fill="454545"/>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shd w:val="clear" w:color="auto" w:fill="454545"/>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shd w:val="clear" w:color="auto" w:fill="454545"/>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205"/>
        </w:trPr>
        <w:tc>
          <w:tcPr>
            <w:tcW w:w="20" w:type="dxa"/>
            <w:vAlign w:val="bottom"/>
            <w:tcBorders>
              <w:bottom w:val="single" w:sz="8" w:color="454545"/>
            </w:tcBorders>
            <w:shd w:val="clear" w:color="auto" w:fill="454545"/>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Borders>
              <w:bottom w:val="single" w:sz="8" w:color="454545"/>
            </w:tcBorders>
            <w:shd w:val="clear" w:color="auto" w:fill="454545"/>
          </w:tcPr>
          <w:p>
            <w:pPr>
              <w:spacing w:after="0"/>
              <w:rPr>
                <w:sz w:val="17"/>
                <w:szCs w:val="17"/>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tcBorders>
              <w:bottom w:val="single" w:sz="8" w:color="454545"/>
            </w:tcBorders>
            <w:shd w:val="clear" w:color="auto" w:fill="454545"/>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Borders>
              <w:bottom w:val="single" w:sz="8" w:color="454545"/>
            </w:tcBorders>
            <w:shd w:val="clear" w:color="auto" w:fill="454545"/>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N/A — the organization that</w:t>
            </w:r>
          </w:p>
        </w:tc>
        <w:tc>
          <w:tcPr>
            <w:tcW w:w="0" w:type="dxa"/>
            <w:vAlign w:val="bottom"/>
          </w:tcPr>
          <w:p>
            <w:pPr>
              <w:spacing w:after="0"/>
              <w:rPr>
                <w:sz w:val="1"/>
                <w:szCs w:val="1"/>
                <w:color w:val="auto"/>
              </w:rPr>
            </w:pPr>
          </w:p>
        </w:tc>
      </w:tr>
      <w:tr>
        <w:trPr>
          <w:trHeight w:val="194"/>
        </w:trPr>
        <w:tc>
          <w:tcPr>
            <w:tcW w:w="20" w:type="dxa"/>
            <w:vAlign w:val="bottom"/>
            <w:shd w:val="clear" w:color="auto" w:fill="454545"/>
          </w:tcPr>
          <w:p>
            <w:pPr>
              <w:spacing w:after="0"/>
              <w:rPr>
                <w:sz w:val="16"/>
                <w:szCs w:val="16"/>
                <w:color w:val="auto"/>
              </w:rPr>
            </w:pPr>
          </w:p>
        </w:tc>
        <w:tc>
          <w:tcPr>
            <w:tcW w:w="210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22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holds shares of beneficial</w:t>
            </w:r>
          </w:p>
        </w:tc>
        <w:tc>
          <w:tcPr>
            <w:tcW w:w="0" w:type="dxa"/>
            <w:vAlign w:val="bottom"/>
          </w:tcPr>
          <w:p>
            <w:pPr>
              <w:spacing w:after="0"/>
              <w:rPr>
                <w:sz w:val="1"/>
                <w:szCs w:val="1"/>
                <w:color w:val="auto"/>
              </w:rPr>
            </w:pPr>
          </w:p>
        </w:tc>
      </w:tr>
      <w:tr>
        <w:trPr>
          <w:trHeight w:val="162"/>
        </w:trPr>
        <w:tc>
          <w:tcPr>
            <w:tcW w:w="20" w:type="dxa"/>
            <w:vAlign w:val="bottom"/>
            <w:shd w:val="clear" w:color="auto" w:fill="454545"/>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owners may vote in their</w:t>
            </w:r>
          </w:p>
        </w:tc>
        <w:tc>
          <w:tcPr>
            <w:tcW w:w="0" w:type="dxa"/>
            <w:vAlign w:val="bottom"/>
          </w:tcPr>
          <w:p>
            <w:pPr>
              <w:spacing w:after="0"/>
              <w:rPr>
                <w:sz w:val="1"/>
                <w:szCs w:val="1"/>
                <w:color w:val="auto"/>
              </w:rPr>
            </w:pPr>
          </w:p>
        </w:tc>
      </w:tr>
      <w:tr>
        <w:trPr>
          <w:trHeight w:val="184"/>
        </w:trPr>
        <w:tc>
          <w:tcPr>
            <w:tcW w:w="20" w:type="dxa"/>
            <w:vAlign w:val="bottom"/>
            <w:shd w:val="clear" w:color="auto" w:fill="454545"/>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discretion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vMerge w:val="restart"/>
          </w:tcPr>
          <w:p>
            <w:pPr>
              <w:ind w:left="20"/>
              <w:spacing w:after="0"/>
              <w:rPr>
                <w:sz w:val="20"/>
                <w:szCs w:val="20"/>
                <w:color w:val="auto"/>
              </w:rPr>
            </w:pPr>
            <w:r>
              <w:rPr>
                <w:rFonts w:ascii="Arial" w:cs="Arial" w:eastAsia="Arial" w:hAnsi="Arial"/>
                <w:sz w:val="14"/>
                <w:szCs w:val="14"/>
                <w:color w:val="auto"/>
              </w:rPr>
              <w:t>FOR, AGAINST or ABSTAIN</w:t>
            </w:r>
          </w:p>
        </w:tc>
        <w:tc>
          <w:tcPr>
            <w:tcW w:w="20" w:type="dxa"/>
            <w:vAlign w:val="bottom"/>
          </w:tcPr>
          <w:p>
            <w:pPr>
              <w:spacing w:after="0"/>
              <w:rPr>
                <w:sz w:val="18"/>
                <w:szCs w:val="18"/>
                <w:color w:val="auto"/>
              </w:rPr>
            </w:pPr>
          </w:p>
        </w:tc>
        <w:tc>
          <w:tcPr>
            <w:tcW w:w="2180" w:type="dxa"/>
            <w:vAlign w:val="bottom"/>
            <w:vMerge w:val="restart"/>
          </w:tcPr>
          <w:p>
            <w:pPr>
              <w:ind w:left="20"/>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18"/>
                <w:szCs w:val="18"/>
                <w:color w:val="auto"/>
              </w:rPr>
            </w:pPr>
          </w:p>
        </w:tc>
        <w:tc>
          <w:tcPr>
            <w:tcW w:w="2220" w:type="dxa"/>
            <w:vAlign w:val="bottom"/>
            <w:vMerge w:val="restart"/>
          </w:tcPr>
          <w:p>
            <w:pPr>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18"/>
                <w:szCs w:val="1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18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2220" w:type="dxa"/>
            <w:vAlign w:val="bottom"/>
            <w:vMerge w:val="continue"/>
          </w:tcPr>
          <w:p>
            <w:pPr>
              <w:spacing w:after="0"/>
              <w:rPr>
                <w:sz w:val="16"/>
                <w:szCs w:val="16"/>
                <w:color w:val="auto"/>
              </w:rPr>
            </w:pPr>
          </w:p>
        </w:tc>
        <w:tc>
          <w:tcPr>
            <w:tcW w:w="20" w:type="dxa"/>
            <w:vAlign w:val="bottom"/>
            <w:shd w:val="clear" w:color="auto" w:fill="454545"/>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454545"/>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shd w:val="clear" w:color="auto" w:fill="454545"/>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shd w:val="clear" w:color="auto" w:fill="454545"/>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shd w:val="clear" w:color="auto" w:fill="454545"/>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shd w:val="clear" w:color="auto" w:fill="454545"/>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-1610995</wp:posOffset>
            </wp:positionV>
            <wp:extent cx="7132320" cy="1371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-967740</wp:posOffset>
            </wp:positionV>
            <wp:extent cx="7132320" cy="1371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-385445</wp:posOffset>
            </wp:positionV>
            <wp:extent cx="7132320" cy="38608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460" w:space="160"/>
            <w:col w:w="8620"/>
          </w:cols>
          <w:pgMar w:left="320" w:top="171" w:right="339" w:bottom="1440" w:gutter="0" w:footer="0" w:header="0"/>
          <w:type w:val="continuous"/>
        </w:sectPr>
      </w:pPr>
    </w:p>
    <w:p>
      <w:pPr>
        <w:ind w:left="200" w:hanging="192"/>
        <w:spacing w:after="0"/>
        <w:tabs>
          <w:tab w:leader="none" w:pos="200" w:val="left"/>
        </w:tabs>
        <w:numPr>
          <w:ilvl w:val="0"/>
          <w:numId w:val="288"/>
        </w:numPr>
        <w:rPr>
          <w:rFonts w:ascii="Arial" w:cs="Arial" w:eastAsia="Arial" w:hAnsi="Arial"/>
          <w:sz w:val="15"/>
          <w:szCs w:val="15"/>
          <w:color w:val="auto"/>
          <w:vertAlign w:val="superscript"/>
        </w:rPr>
      </w:pPr>
      <w:r>
        <w:rPr>
          <w:rFonts w:ascii="Arial" w:cs="Arial" w:eastAsia="Arial" w:hAnsi="Arial"/>
          <w:sz w:val="12"/>
          <w:szCs w:val="12"/>
          <w:color w:val="auto"/>
        </w:rPr>
        <w:t>For election of directors, abstentions have no effect because the required vote is determined as follows: votes FOR divided by the sum of votes FOR plus votes AGAINST. For all other proposals</w:t>
      </w:r>
    </w:p>
    <w:p>
      <w:pPr>
        <w:ind w:left="200" w:right="320"/>
        <w:spacing w:after="0" w:line="237" w:lineRule="auto"/>
        <w:rPr>
          <w:rFonts w:ascii="Arial" w:cs="Arial" w:eastAsia="Arial" w:hAnsi="Arial"/>
          <w:sz w:val="15"/>
          <w:szCs w:val="15"/>
          <w:color w:val="auto"/>
          <w:vertAlign w:val="superscript"/>
        </w:rPr>
      </w:pPr>
      <w:r>
        <w:rPr>
          <w:rFonts w:ascii="Arial" w:cs="Arial" w:eastAsia="Arial" w:hAnsi="Arial"/>
          <w:sz w:val="13"/>
          <w:szCs w:val="13"/>
          <w:color w:val="auto"/>
        </w:rPr>
        <w:t>(management and shareholder), abstentions are counted as a vote AGAINST the proposal because the required vote is determined as follows: votes FOR divided by the sum of votes FOR plus votes AGAINST plus votes ABSTAINING.</w:t>
      </w:r>
    </w:p>
    <w:p>
      <w:pPr>
        <w:spacing w:after="0" w:line="2" w:lineRule="exact"/>
        <w:rPr>
          <w:sz w:val="20"/>
          <w:szCs w:val="20"/>
          <w:color w:val="auto"/>
        </w:rPr>
      </w:pPr>
    </w:p>
    <w:p>
      <w:pPr>
        <w:ind w:left="200" w:right="260" w:hanging="192"/>
        <w:spacing w:after="0" w:line="213" w:lineRule="auto"/>
        <w:tabs>
          <w:tab w:leader="none" w:pos="200" w:val="left"/>
        </w:tabs>
        <w:numPr>
          <w:ilvl w:val="0"/>
          <w:numId w:val="289"/>
        </w:numPr>
        <w:rPr>
          <w:rFonts w:ascii="Arial" w:cs="Arial" w:eastAsia="Arial" w:hAnsi="Arial"/>
          <w:sz w:val="16"/>
          <w:szCs w:val="16"/>
          <w:color w:val="auto"/>
          <w:vertAlign w:val="superscript"/>
        </w:rPr>
      </w:pPr>
      <w:r>
        <w:rPr>
          <w:rFonts w:ascii="Arial" w:cs="Arial" w:eastAsia="Arial" w:hAnsi="Arial"/>
          <w:sz w:val="13"/>
          <w:szCs w:val="13"/>
          <w:color w:val="auto"/>
        </w:rPr>
        <w:t>For all proposals (management and shareholder) other than ratification of the independent auditor, broker non-votes have no effect because they are not considered shares entitled to vote on the proposal.</w:t>
      </w:r>
    </w:p>
    <w:p>
      <w:pPr>
        <w:spacing w:after="0" w:line="1" w:lineRule="exact"/>
        <w:rPr>
          <w:sz w:val="20"/>
          <w:szCs w:val="20"/>
          <w:color w:val="auto"/>
        </w:rPr>
      </w:pPr>
    </w:p>
    <w:p>
      <w:pPr>
        <w:ind w:left="200" w:right="160" w:hanging="192"/>
        <w:spacing w:after="0" w:line="229" w:lineRule="auto"/>
        <w:tabs>
          <w:tab w:leader="none" w:pos="200" w:val="left"/>
        </w:tabs>
        <w:numPr>
          <w:ilvl w:val="0"/>
          <w:numId w:val="290"/>
        </w:numPr>
        <w:rPr>
          <w:rFonts w:ascii="Arial" w:cs="Arial" w:eastAsia="Arial" w:hAnsi="Arial"/>
          <w:sz w:val="15"/>
          <w:szCs w:val="15"/>
          <w:color w:val="auto"/>
          <w:vertAlign w:val="superscript"/>
        </w:rPr>
      </w:pPr>
      <w:r>
        <w:rPr>
          <w:rFonts w:ascii="Arial" w:cs="Arial" w:eastAsia="Arial" w:hAnsi="Arial"/>
          <w:sz w:val="12"/>
          <w:szCs w:val="12"/>
          <w:color w:val="auto"/>
        </w:rPr>
        <w:t>If, in a non-contested election of directors, an incumbent nominee for director is not re-elected by a majority of votes cast, such nominee must tender their resignation, and the Board of Directors, through a process managed by the Governance Committee, will decide whether to accept the resignation at its next regular meeting. Unless the Board decides to reject the offer or to postpone the</w:t>
      </w:r>
    </w:p>
    <w:p>
      <w:pPr>
        <w:ind w:left="200"/>
        <w:spacing w:after="0"/>
        <w:rPr>
          <w:sz w:val="20"/>
          <w:szCs w:val="20"/>
          <w:color w:val="auto"/>
        </w:rPr>
      </w:pPr>
      <w:r>
        <w:rPr>
          <w:rFonts w:ascii="Arial" w:cs="Arial" w:eastAsia="Arial" w:hAnsi="Arial"/>
          <w:sz w:val="13"/>
          <w:szCs w:val="13"/>
          <w:color w:val="auto"/>
        </w:rPr>
        <w:t>effective date, the resignation shall become effective 45 days after the date of the election.</w:t>
      </w:r>
    </w:p>
    <w:p>
      <w:pPr>
        <w:ind w:left="200" w:hanging="192"/>
        <w:spacing w:after="0" w:line="198" w:lineRule="auto"/>
        <w:tabs>
          <w:tab w:leader="none" w:pos="200" w:val="left"/>
        </w:tabs>
        <w:numPr>
          <w:ilvl w:val="0"/>
          <w:numId w:val="291"/>
        </w:numPr>
        <w:rPr>
          <w:rFonts w:ascii="Arial" w:cs="Arial" w:eastAsia="Arial" w:hAnsi="Arial"/>
          <w:sz w:val="16"/>
          <w:szCs w:val="16"/>
          <w:color w:val="auto"/>
          <w:vertAlign w:val="superscript"/>
        </w:rPr>
      </w:pPr>
      <w:r>
        <w:rPr>
          <w:rFonts w:ascii="Arial" w:cs="Arial" w:eastAsia="Arial" w:hAnsi="Arial"/>
          <w:sz w:val="13"/>
          <w:szCs w:val="13"/>
          <w:color w:val="auto"/>
        </w:rPr>
        <w:t>The result of the advisory vote on compensation is not binding on the Board, whether or not the resolution is passed under the standard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327660</wp:posOffset>
            </wp:positionV>
            <wp:extent cx="27432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109 </w:t>
      </w:r>
      <w:r>
        <w:rPr>
          <w:sz w:val="1"/>
          <w:szCs w:val="1"/>
          <w:color w:val="auto"/>
        </w:rPr>
        <w:drawing>
          <wp:inline distT="0" distB="0" distL="0" distR="0">
            <wp:extent cx="2203450" cy="154305"/>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074A75"/>
        </w:rPr>
        <w:t>Is my vote confidential?</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074A75"/>
        </w:rPr>
        <w:t>Could other matters be decided at the 2021 annual meeting?</w:t>
      </w:r>
    </w:p>
    <w:p>
      <w:pPr>
        <w:spacing w:after="0" w:line="1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Chairman will declare such a proposal out of order, and it will be disregarded. If any other matters arise at the annual meeting that are properly presented at the meeting, the proxies will be voted at the discretion of the proxy holders.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074A75"/>
        </w:rPr>
        <w:t>Who is paying the costs of this proxy solicitation?</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JPMorgan Chase is paying the costs of the solicitation of proxies. JPMorgan 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$50,000 plus reimbursement of certain out-of-pocket expenses.</w:t>
      </w:r>
    </w:p>
    <w:p>
      <w:pPr>
        <w:spacing w:after="0" w:line="9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94" w:lineRule="exact"/>
        <w:rPr>
          <w:sz w:val="20"/>
          <w:szCs w:val="20"/>
          <w:color w:val="auto"/>
        </w:rPr>
      </w:pPr>
    </w:p>
    <w:p>
      <w:pPr>
        <w:ind w:left="200" w:right="760" w:hanging="196"/>
        <w:spacing w:after="0" w:line="261" w:lineRule="auto"/>
        <w:tabs>
          <w:tab w:leader="none" w:pos="204" w:val="left"/>
        </w:tabs>
        <w:numPr>
          <w:ilvl w:val="0"/>
          <w:numId w:val="292"/>
        </w:numPr>
        <w:rPr>
          <w:rFonts w:ascii="Arial" w:cs="Arial" w:eastAsia="Arial" w:hAnsi="Arial"/>
          <w:sz w:val="18"/>
          <w:szCs w:val="18"/>
          <w:color w:val="074A75"/>
        </w:rPr>
      </w:pPr>
      <w:r>
        <w:rPr>
          <w:rFonts w:ascii="Arial" w:cs="Arial" w:eastAsia="Arial" w:hAnsi="Arial"/>
          <w:sz w:val="18"/>
          <w:szCs w:val="18"/>
          <w:color w:val="auto"/>
        </w:rPr>
        <w:t>Forwarding the Notice of Internet Availability to beneficial owners;</w:t>
      </w:r>
    </w:p>
    <w:p>
      <w:pPr>
        <w:spacing w:after="0" w:line="89" w:lineRule="exact"/>
        <w:rPr>
          <w:rFonts w:ascii="Arial" w:cs="Arial" w:eastAsia="Arial" w:hAnsi="Arial"/>
          <w:sz w:val="18"/>
          <w:szCs w:val="18"/>
          <w:color w:val="074A75"/>
        </w:rPr>
      </w:pPr>
    </w:p>
    <w:p>
      <w:pPr>
        <w:ind w:left="200" w:right="240" w:hanging="196"/>
        <w:spacing w:after="0" w:line="261" w:lineRule="auto"/>
        <w:tabs>
          <w:tab w:leader="none" w:pos="204" w:val="left"/>
        </w:tabs>
        <w:numPr>
          <w:ilvl w:val="0"/>
          <w:numId w:val="292"/>
        </w:numPr>
        <w:rPr>
          <w:rFonts w:ascii="Arial" w:cs="Arial" w:eastAsia="Arial" w:hAnsi="Arial"/>
          <w:sz w:val="18"/>
          <w:szCs w:val="18"/>
          <w:color w:val="074A75"/>
        </w:rPr>
      </w:pPr>
      <w:r>
        <w:rPr>
          <w:rFonts w:ascii="Arial" w:cs="Arial" w:eastAsia="Arial" w:hAnsi="Arial"/>
          <w:sz w:val="18"/>
          <w:szCs w:val="18"/>
          <w:color w:val="auto"/>
        </w:rPr>
        <w:t>Forwarding printed proxy materials by mail to beneficial owners who specifically request them; and</w:t>
      </w:r>
    </w:p>
    <w:p>
      <w:pPr>
        <w:spacing w:after="0" w:line="89" w:lineRule="exact"/>
        <w:rPr>
          <w:rFonts w:ascii="Arial" w:cs="Arial" w:eastAsia="Arial" w:hAnsi="Arial"/>
          <w:sz w:val="18"/>
          <w:szCs w:val="18"/>
          <w:color w:val="074A75"/>
        </w:rPr>
      </w:pPr>
    </w:p>
    <w:p>
      <w:pPr>
        <w:ind w:left="200" w:hanging="196"/>
        <w:spacing w:after="0"/>
        <w:tabs>
          <w:tab w:leader="none" w:pos="200" w:val="left"/>
        </w:tabs>
        <w:numPr>
          <w:ilvl w:val="0"/>
          <w:numId w:val="292"/>
        </w:numPr>
        <w:rPr>
          <w:rFonts w:ascii="Arial" w:cs="Arial" w:eastAsia="Arial" w:hAnsi="Arial"/>
          <w:sz w:val="18"/>
          <w:szCs w:val="18"/>
          <w:color w:val="074A75"/>
        </w:rPr>
      </w:pPr>
      <w:r>
        <w:rPr>
          <w:rFonts w:ascii="Arial" w:cs="Arial" w:eastAsia="Arial" w:hAnsi="Arial"/>
          <w:sz w:val="18"/>
          <w:szCs w:val="18"/>
          <w:color w:val="auto"/>
        </w:rPr>
        <w:t>Obtaining beneficial owners’ voting instructions.</w:t>
      </w:r>
    </w:p>
    <w:p>
      <w:pPr>
        <w:spacing w:after="0" w:line="20" w:lineRule="exact"/>
        <w:rPr>
          <w:sz w:val="20"/>
          <w:szCs w:val="20"/>
          <w:color w:val="auto"/>
        </w:rPr>
      </w:pPr>
    </w:p>
    <w:p>
      <w:pPr>
        <w:sectPr>
          <w:pgSz w:w="11900" w:h="16838" w:orient="portrait"/>
          <w:cols w:equalWidth="0" w:num="2">
            <w:col w:w="5340" w:space="400"/>
            <w:col w:w="5480"/>
          </w:cols>
          <w:pgMar w:left="320" w:top="171" w:right="359" w:bottom="1440" w:gutter="0" w:footer="0" w:header="0"/>
          <w:type w:val="continuous"/>
        </w:sectPr>
      </w:pPr>
    </w:p>
    <w:p>
      <w:pPr>
        <w:spacing w:after="0"/>
        <w:rPr>
          <w:sz w:val="20"/>
          <w:szCs w:val="20"/>
          <w:color w:val="auto"/>
        </w:rPr>
      </w:pPr>
      <w:r>
        <w:rPr>
          <w:rFonts w:ascii="Arial" w:cs="Arial" w:eastAsia="Arial" w:hAnsi="Arial"/>
          <w:sz w:val="20"/>
          <w:szCs w:val="20"/>
          <w:color w:val="074A75"/>
        </w:rPr>
        <w:t>What happens if the meeting is postponed or adjourned?</w:t>
      </w:r>
    </w:p>
    <w:p>
      <w:pPr>
        <w:spacing w:after="0" w:line="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74A75"/>
        </w:rPr>
        <w:t>Who counts the votes cast at our annual meeting?</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Representatives of Broadridge Financial Solutions, Inc. will tabulate the votes cast at our annual meeting, and American Election Services, LLC will act as the independent inspector of election.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74A75"/>
        </w:rPr>
        <w:t>Where can I find the voting results of our annual meeting?</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074A75"/>
        </w:rPr>
        <w:t>How do I inspect the list of shareholders of record?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list of shareholders of record as of March 19, 2021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available for inspection during ordinary business hours at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offices at 383 Madison Avenue, New York, NY 10017-0001,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2021, to May 17, 2021. Please contact the Office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 by sending an email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corporate.secretary@jpmchase.com if you wish to inspect the list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annual meeting. To access the list during the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please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www.virtualshareholdermeeting.com/JPM2021.</w:t>
      </w:r>
    </w:p>
    <w:p>
      <w:pPr>
        <w:spacing w:after="0" w:line="200"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28"/>
          <w:szCs w:val="28"/>
          <w:color w:val="074A75"/>
        </w:rPr>
        <w:t>Information about paper and electronic delivery of proxy materials</w:t>
      </w:r>
    </w:p>
    <w:p>
      <w:pPr>
        <w:sectPr>
          <w:pgSz w:w="11900" w:h="16838" w:orient="portrait"/>
          <w:cols w:equalWidth="0" w:num="1">
            <w:col w:w="11220"/>
          </w:cols>
          <w:pgMar w:left="320" w:top="171" w:right="359" w:bottom="1440" w:gutter="0" w:footer="0" w:header="0"/>
          <w:type w:val="continuous"/>
        </w:sectPr>
      </w:pP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accordance with the Notice and Access rules, on or about April 7, 2021, we sent those current shareholders of record on March 19, 2021, the Record Date for the annual meeting, a Notice. The Notice contains instructions on how to access our proxy statement and annual report online. If you received a Notice, you will not receive a printed copy of the proxy materials in the mail.</w:t>
      </w:r>
    </w:p>
    <w:p>
      <w:pPr>
        <w:spacing w:after="0" w:line="10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Shareholders who do not receive the Notice will receive either by mail a paper, or by email an electronic, copy of our proxy statement and 2020 Annual Report to Shareholders, which will be sent on or about April 7, 2021.</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an additional proxy card?</w:t>
      </w:r>
    </w:p>
    <w:p>
      <w:pPr>
        <w:spacing w:after="0" w:line="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you hold your shares of common stock in street name, contact your account representative at the bank, brokerage firm, broker-dealer or similar organization through which you hold your shares.</w:t>
      </w:r>
    </w:p>
    <w:p>
      <w:pPr>
        <w:spacing w:after="0" w:line="834" w:lineRule="exact"/>
        <w:rPr>
          <w:sz w:val="20"/>
          <w:szCs w:val="20"/>
          <w:color w:val="auto"/>
        </w:rPr>
      </w:pPr>
    </w:p>
    <w:p>
      <w:pPr>
        <w:sectPr>
          <w:pgSz w:w="11900" w:h="16838" w:orient="portrait"/>
          <w:cols w:equalWidth="0" w:num="2">
            <w:col w:w="5320" w:space="420"/>
            <w:col w:w="5480"/>
          </w:cols>
          <w:pgMar w:left="320" w:top="171" w:right="359" w:bottom="1440" w:gutter="0" w:footer="0" w:header="0"/>
          <w:type w:val="continuous"/>
        </w:sectPr>
      </w:pP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74A75"/>
        </w:rPr>
        <w:t>How do I sign up for electronic delivery of proxy materials?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proxy statement and our 2020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 icsdelivery.com/jpm.</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87" w:lineRule="exact"/>
        <w:rPr>
          <w:sz w:val="20"/>
          <w:szCs w:val="20"/>
          <w:color w:val="auto"/>
        </w:rPr>
      </w:pPr>
    </w:p>
    <w:p>
      <w:pPr>
        <w:ind w:right="340"/>
        <w:spacing w:after="0" w:line="253" w:lineRule="auto"/>
        <w:rPr>
          <w:sz w:val="20"/>
          <w:szCs w:val="20"/>
          <w:color w:val="auto"/>
        </w:rPr>
      </w:pPr>
      <w:r>
        <w:rPr>
          <w:rFonts w:ascii="Arial" w:cs="Arial" w:eastAsia="Arial" w:hAnsi="Arial"/>
          <w:sz w:val="19"/>
          <w:szCs w:val="19"/>
          <w:color w:val="074A75"/>
        </w:rPr>
        <w:t>I share an address with another shareholder, and we received only one paper copy of the proxy materials. How can I obtain an additional copy of the proxy materials?</w:t>
      </w:r>
    </w:p>
    <w:p>
      <w:pPr>
        <w:ind w:right="120"/>
        <w:spacing w:after="0" w:line="252"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 statement and 2020 Annual Report, you may contact the Secretary via email at corporate.secretary@jpmchase.com, via mail at JPMorgan Chase</w:t>
      </w:r>
    </w:p>
    <w:p>
      <w:pPr>
        <w:spacing w:after="0" w:line="2" w:lineRule="exact"/>
        <w:rPr>
          <w:sz w:val="20"/>
          <w:szCs w:val="20"/>
          <w:color w:val="auto"/>
        </w:rPr>
      </w:pPr>
    </w:p>
    <w:p>
      <w:pPr>
        <w:ind w:right="320" w:firstLine="4"/>
        <w:spacing w:after="0" w:line="256" w:lineRule="auto"/>
        <w:tabs>
          <w:tab w:leader="none" w:pos="17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Co., Office of the Secretary, 4 New York Plaza, New York, NY 10004-2413, or by phone at 212-270-6000 and these documents will be delivered to you promptly upon receiving the request.</w:t>
      </w:r>
    </w:p>
    <w:p>
      <w:pPr>
        <w:spacing w:after="0" w:line="9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Alternatively, if you are receiving more than one copy of the proxy materials at a single address and would like to participate in “householding”, please contact Broadridge Financial Services at 1-866-540-7095. If you are a beneficial owner who holds shares in street name, contact your bank, brokerage firm, broker-dealer or similar organization to request information about householding.</w:t>
      </w:r>
    </w:p>
    <w:p>
      <w:pPr>
        <w:spacing w:after="0" w:line="100"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1012" w:lineRule="exact"/>
        <w:rPr>
          <w:sz w:val="20"/>
          <w:szCs w:val="20"/>
          <w:color w:val="auto"/>
        </w:rPr>
      </w:pPr>
    </w:p>
    <w:p>
      <w:pPr>
        <w:sectPr>
          <w:pgSz w:w="11900" w:h="16838" w:orient="portrait"/>
          <w:cols w:equalWidth="0" w:num="2">
            <w:col w:w="5380" w:space="360"/>
            <w:col w:w="5480"/>
          </w:cols>
          <w:pgMar w:left="320" w:top="171" w:right="35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color w:val="074A75"/>
        </w:rPr>
        <w:t>Other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074A75"/>
        </w:rPr>
        <w:t>How do I obtain more information about JPMorgan Chase?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Principles, Code of Conduct, Code of Ethics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Professionals, Business Principles, How We Do Business</w:t>
      </w:r>
    </w:p>
    <w:p>
      <w:pPr>
        <w:spacing w:after="0" w:line="9" w:lineRule="exact"/>
        <w:rPr>
          <w:sz w:val="20"/>
          <w:szCs w:val="20"/>
          <w:color w:val="auto"/>
        </w:rPr>
      </w:pPr>
    </w:p>
    <w:p>
      <w:pPr>
        <w:ind w:right="5980"/>
        <w:spacing w:after="0" w:line="250" w:lineRule="auto"/>
        <w:rPr>
          <w:sz w:val="20"/>
          <w:szCs w:val="20"/>
          <w:color w:val="auto"/>
        </w:rPr>
      </w:pPr>
      <w:r>
        <w:rPr>
          <w:rFonts w:ascii="Arial" w:cs="Arial" w:eastAsia="Arial" w:hAnsi="Arial"/>
          <w:sz w:val="18"/>
          <w:szCs w:val="18"/>
          <w:color w:val="auto"/>
        </w:rPr>
        <w:t>– The Report, the Political Engagement and Public Policy Statement, ESG Report, Corporate Responsibility Report, and the By-laws and charters of our principal standing Board committees are posted on our website at jpmorganchase.com. These documents will also be made available to any shareholder who requests</w:t>
      </w:r>
    </w:p>
    <w:p>
      <w:pPr>
        <w:spacing w:after="0" w:line="2" w:lineRule="exact"/>
        <w:rPr>
          <w:sz w:val="20"/>
          <w:szCs w:val="20"/>
          <w:color w:val="auto"/>
        </w:rPr>
      </w:pPr>
    </w:p>
    <w:p>
      <w:pPr>
        <w:ind w:right="6060"/>
        <w:spacing w:after="0" w:line="254" w:lineRule="auto"/>
        <w:rPr>
          <w:sz w:val="20"/>
          <w:szCs w:val="20"/>
          <w:color w:val="auto"/>
        </w:rPr>
      </w:pPr>
      <w:r>
        <w:rPr>
          <w:rFonts w:ascii="Arial" w:cs="Arial" w:eastAsia="Arial" w:hAnsi="Arial"/>
          <w:sz w:val="18"/>
          <w:szCs w:val="18"/>
          <w:color w:val="auto"/>
        </w:rPr>
        <w:t>them by writing to the Secretary at corporate.secretary@jpmchase.com, or JPMorgan Chase &amp; Co., Office of the Secretary, 4 New York Plaza, New York, NY 10004-2413.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Information that the Firm is required to disclose under Disclosure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Transparency Rule 7.2 (Corporate Governance Statements)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Financial Conduct Authority may be found in this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the headings “Corporate Governance” and “Audit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280670</wp:posOffset>
            </wp:positionV>
            <wp:extent cx="27432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111 </w:t>
      </w:r>
      <w:r>
        <w:rPr>
          <w:sz w:val="1"/>
          <w:szCs w:val="1"/>
          <w:color w:val="auto"/>
        </w:rPr>
        <w:drawing>
          <wp:inline distT="0" distB="0" distL="0" distR="0">
            <wp:extent cx="2203450" cy="154305"/>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SHAREHOLDER PROPOSALS AND NOMINATIONS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ind w:right="1160"/>
        <w:spacing w:after="0" w:line="262" w:lineRule="auto"/>
        <w:rPr>
          <w:sz w:val="20"/>
          <w:szCs w:val="20"/>
          <w:color w:val="auto"/>
        </w:rPr>
      </w:pPr>
      <w:r>
        <w:rPr>
          <w:rFonts w:ascii="Arial" w:cs="Arial" w:eastAsia="Arial" w:hAnsi="Arial"/>
          <w:sz w:val="43"/>
          <w:szCs w:val="43"/>
          <w:color w:val="074A75"/>
        </w:rPr>
        <w:t>Shareholder proposals and nominations for the 2022 annual meeting</w:t>
      </w:r>
    </w:p>
    <w:p>
      <w:pPr>
        <w:sectPr>
          <w:pgSz w:w="11900" w:h="16838" w:orient="portrait"/>
          <w:cols w:equalWidth="0" w:num="1">
            <w:col w:w="11220"/>
          </w:cols>
          <w:pgMar w:left="320" w:top="171" w:right="35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right="80"/>
        <w:spacing w:after="0"/>
        <w:rPr>
          <w:sz w:val="20"/>
          <w:szCs w:val="20"/>
          <w:color w:val="auto"/>
        </w:rPr>
      </w:pPr>
      <w:r>
        <w:rPr>
          <w:rFonts w:ascii="Arial" w:cs="Arial" w:eastAsia="Arial" w:hAnsi="Arial"/>
          <w:sz w:val="20"/>
          <w:szCs w:val="20"/>
          <w:color w:val="074A75"/>
        </w:rPr>
        <w:t>How do I submit a proposal for inclusion at the 2022 Annual Meeting of Shareholders?</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For a shareholder proposal to be included in the proxy materials and be distributed by us in connection with our 2022 Annual Meeting of Shareholders, the proposal must be received by the Secretary of JPMorgan Chase no later than December 8, 2021. Such proposals must comply with all requirements of Rule 14a-8 promulgated by the Securities and Exchange Commission.</w:t>
      </w:r>
    </w:p>
    <w:p>
      <w:pPr>
        <w:spacing w:after="0" w:line="97" w:lineRule="exact"/>
        <w:rPr>
          <w:sz w:val="20"/>
          <w:szCs w:val="20"/>
          <w:color w:val="auto"/>
        </w:rPr>
      </w:pPr>
    </w:p>
    <w:p>
      <w:pPr>
        <w:ind w:right="700"/>
        <w:spacing w:after="0"/>
        <w:rPr>
          <w:sz w:val="20"/>
          <w:szCs w:val="20"/>
          <w:color w:val="auto"/>
        </w:rPr>
      </w:pPr>
      <w:r>
        <w:rPr>
          <w:rFonts w:ascii="Arial" w:cs="Arial" w:eastAsia="Arial" w:hAnsi="Arial"/>
          <w:sz w:val="20"/>
          <w:szCs w:val="20"/>
          <w:color w:val="074A75"/>
        </w:rPr>
        <w:t>How can I submit nominees for inclusion in the proxy materials for the 2022 Annual Meeting?</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shareholder is seeking to have one or more nominees included in the Firm’s 2022 proxy statement, the notice required by the Firm’s By-laws must be received by the Secretary of JPMorgan Chase not later than December 8, 2021, and not earlier than November 8, 2021.</w:t>
      </w:r>
    </w:p>
    <w:p>
      <w:pPr>
        <w:spacing w:after="0" w:line="94" w:lineRule="exact"/>
        <w:rPr>
          <w:sz w:val="20"/>
          <w:szCs w:val="20"/>
          <w:color w:val="auto"/>
        </w:rPr>
      </w:pPr>
    </w:p>
    <w:p>
      <w:pPr>
        <w:ind w:right="580"/>
        <w:spacing w:after="0"/>
        <w:rPr>
          <w:sz w:val="20"/>
          <w:szCs w:val="20"/>
          <w:color w:val="auto"/>
        </w:rPr>
      </w:pPr>
      <w:r>
        <w:rPr>
          <w:rFonts w:ascii="Arial" w:cs="Arial" w:eastAsia="Arial" w:hAnsi="Arial"/>
          <w:sz w:val="20"/>
          <w:szCs w:val="20"/>
          <w:color w:val="074A75"/>
        </w:rPr>
        <w:t>How can I submit proposals (including nominations for election of director) at our 2022 Annual Meeting of Shareholders, that are not to be included in the proxy materials?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that are not included in JPMorgan Chase’s proxy statement for that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Under our By-laws, nominations for director or other business proposals to be addressed at our next annual meeting may be made by a shareholder who is entitled to vote and complies with other applicable requirements set forth in the Firm's By-laws. The notice must contain the information required by the Firm's By-laws and must be received by the Secretary of JPMorgan Chase not later than the close of business on February 17, 2022, and not earlier than January 18, 2022.</w:t>
      </w:r>
    </w:p>
    <w:p>
      <w:pPr>
        <w:spacing w:after="0" w:line="9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nominee or proposal included in the proxy statement.</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074A75"/>
        </w:rPr>
        <w:t>How can I obtain a copy of JPMorgan Chase’s By-laws?</w:t>
      </w:r>
    </w:p>
    <w:p>
      <w:pPr>
        <w:spacing w:after="0" w:line="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Copies of our By-laws are available on our website at: jpmorganchase.com/about/governance or may be obtained from the Secretary.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074A75"/>
        </w:rPr>
        <w:t>Where should a shareholder send his or her proposals?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Shareholder proposals (including nominees for director pursuant to the Firm’s proxy access By-laws) should be emailed to the Office of the Secretary at corporate.secretary@jpmchase.com; a copy may be mailed to the Secretary at JPMorgan Chase &amp; Co., Office of the Secretary, 4 New York Plaza, New York, NY 10004-2413.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John H. Tribolati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382" w:lineRule="exact"/>
        <w:rPr>
          <w:sz w:val="20"/>
          <w:szCs w:val="20"/>
          <w:color w:val="auto"/>
        </w:rPr>
      </w:pPr>
    </w:p>
    <w:p>
      <w:pPr>
        <w:sectPr>
          <w:pgSz w:w="11900" w:h="16838" w:orient="portrait"/>
          <w:cols w:equalWidth="0" w:num="2">
            <w:col w:w="5320" w:space="420"/>
            <w:col w:w="5480"/>
          </w:cols>
          <w:pgMar w:left="320" w:top="171" w:right="3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43"/>
          <w:szCs w:val="43"/>
          <w:color w:val="074A75"/>
        </w:rPr>
        <w:t>Notes on non-GAAP financial measures</w:t>
      </w:r>
    </w:p>
    <w:p>
      <w:pPr>
        <w:spacing w:after="0" w:line="114" w:lineRule="exact"/>
        <w:rPr>
          <w:sz w:val="20"/>
          <w:szCs w:val="20"/>
          <w:color w:val="auto"/>
        </w:rPr>
      </w:pPr>
    </w:p>
    <w:p>
      <w:pPr>
        <w:ind w:left="340" w:right="260" w:hanging="332"/>
        <w:spacing w:after="0" w:line="265" w:lineRule="auto"/>
        <w:tabs>
          <w:tab w:leader="none" w:pos="34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TCE, ROTCE and TBVPS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w:t>
      </w:r>
    </w:p>
    <w:p>
      <w:pPr>
        <w:ind w:left="340" w:right="120"/>
        <w:spacing w:after="0" w:line="256" w:lineRule="auto"/>
        <w:rPr>
          <w:rFonts w:ascii="Arial" w:cs="Arial" w:eastAsia="Arial" w:hAnsi="Arial"/>
          <w:sz w:val="17"/>
          <w:szCs w:val="17"/>
          <w:color w:val="auto"/>
        </w:rPr>
      </w:pPr>
      <w:r>
        <w:rPr>
          <w:rFonts w:ascii="Arial" w:cs="Arial" w:eastAsia="Arial" w:hAnsi="Arial"/>
          <w:sz w:val="18"/>
          <w:szCs w:val="18"/>
          <w:color w:val="auto"/>
        </w:rPr>
        <w:t>TBVPS represents the Firm’s TCE at period-end divided by common shares at period-end. TCE, ROTCE and TBVPS are utilized by the Firm, as well as investors and analysts, in assessing the Firm’s use of equity. The following tables provide reconciliations and calculations of these measures for the periods presented.</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074A75"/>
        </w:rPr>
        <w:t>Non-GAAP reconciliations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left="437"/>
              <w:spacing w:after="0"/>
              <w:rPr>
                <w:sz w:val="20"/>
                <w:szCs w:val="20"/>
                <w:color w:val="auto"/>
              </w:rPr>
            </w:pPr>
            <w:r>
              <w:rPr>
                <w:rFonts w:ascii="Arial" w:cs="Arial" w:eastAsia="Arial" w:hAnsi="Arial"/>
                <w:sz w:val="13"/>
                <w:szCs w:val="13"/>
                <w:color w:val="auto"/>
                <w:w w:val="94"/>
              </w:rPr>
              <w:t>Average</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1720" w:type="dxa"/>
            <w:vAlign w:val="bottom"/>
            <w:tcBorders>
              <w:bottom w:val="single" w:sz="8" w:color="074A75"/>
            </w:tcBorders>
            <w:gridSpan w:val="3"/>
          </w:tcPr>
          <w:p>
            <w:pPr>
              <w:spacing w:after="0"/>
              <w:rPr>
                <w:sz w:val="2"/>
                <w:szCs w:val="2"/>
                <w:color w:val="auto"/>
              </w:rPr>
            </w:pPr>
          </w:p>
        </w:tc>
        <w:tc>
          <w:tcPr>
            <w:tcW w:w="200" w:type="dxa"/>
            <w:vAlign w:val="bottom"/>
            <w:tcBorders>
              <w:bottom w:val="single" w:sz="8" w:color="074A75"/>
            </w:tcBorders>
          </w:tcPr>
          <w:p>
            <w:pPr>
              <w:spacing w:after="0"/>
              <w:rPr>
                <w:sz w:val="2"/>
                <w:szCs w:val="2"/>
                <w:color w:val="auto"/>
              </w:rPr>
            </w:pPr>
          </w:p>
        </w:tc>
        <w:tc>
          <w:tcPr>
            <w:tcW w:w="76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64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5"/>
              </w:rPr>
              <w:t>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80" w:type="dxa"/>
            <w:vAlign w:val="bottom"/>
            <w:vMerge w:val="restart"/>
          </w:tcPr>
          <w:p>
            <w:pPr>
              <w:ind w:left="20"/>
              <w:spacing w:after="0"/>
              <w:rPr>
                <w:sz w:val="20"/>
                <w:szCs w:val="20"/>
                <w:color w:val="auto"/>
              </w:rPr>
            </w:pPr>
            <w:r>
              <w:rPr>
                <w:rFonts w:ascii="Arial" w:cs="Arial" w:eastAsia="Arial" w:hAnsi="Arial"/>
                <w:sz w:val="13"/>
                <w:szCs w:val="13"/>
                <w:color w:val="auto"/>
              </w:rPr>
              <w:t>(in millions, except ratio</w:t>
            </w: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300" w:type="dxa"/>
            <w:vAlign w:val="bottom"/>
            <w:tcBorders>
              <w:bottom w:val="single" w:sz="8" w:color="074A75"/>
            </w:tcBorders>
          </w:tcPr>
          <w:p>
            <w:pPr>
              <w:spacing w:after="0"/>
              <w:rPr>
                <w:sz w:val="2"/>
                <w:szCs w:val="2"/>
                <w:color w:val="auto"/>
              </w:rPr>
            </w:pPr>
          </w:p>
        </w:tc>
        <w:tc>
          <w:tcPr>
            <w:tcW w:w="680" w:type="dxa"/>
            <w:vAlign w:val="bottom"/>
            <w:tcBorders>
              <w:bottom w:val="single" w:sz="8" w:color="074A75"/>
            </w:tcBorders>
          </w:tcPr>
          <w:p>
            <w:pPr>
              <w:spacing w:after="0"/>
              <w:rPr>
                <w:sz w:val="2"/>
                <w:szCs w:val="2"/>
                <w:color w:val="auto"/>
              </w:rPr>
            </w:pPr>
          </w:p>
        </w:tc>
        <w:tc>
          <w:tcPr>
            <w:tcW w:w="200" w:type="dxa"/>
            <w:vAlign w:val="bottom"/>
            <w:tcBorders>
              <w:bottom w:val="single" w:sz="8" w:color="074A75"/>
            </w:tcBorders>
          </w:tcPr>
          <w:p>
            <w:pPr>
              <w:spacing w:after="0"/>
              <w:rPr>
                <w:sz w:val="2"/>
                <w:szCs w:val="2"/>
                <w:color w:val="auto"/>
              </w:rPr>
            </w:pPr>
          </w:p>
        </w:tc>
        <w:tc>
          <w:tcPr>
            <w:tcW w:w="76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64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3"/>
                <w:szCs w:val="13"/>
                <w:color w:val="auto"/>
              </w:rPr>
              <w:t>data)</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2011</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2012</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2013</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2014</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2015</w:t>
            </w:r>
          </w:p>
        </w:tc>
        <w:tc>
          <w:tcPr>
            <w:tcW w:w="300" w:type="dxa"/>
            <w:vAlign w:val="bottom"/>
          </w:tcPr>
          <w:p>
            <w:pPr>
              <w:spacing w:after="0"/>
              <w:rPr>
                <w:sz w:val="13"/>
                <w:szCs w:val="13"/>
                <w:color w:val="auto"/>
              </w:rPr>
            </w:pPr>
          </w:p>
        </w:tc>
        <w:tc>
          <w:tcPr>
            <w:tcW w:w="680" w:type="dxa"/>
            <w:vAlign w:val="bottom"/>
          </w:tcPr>
          <w:p>
            <w:pPr>
              <w:jc w:val="right"/>
              <w:ind w:right="297"/>
              <w:spacing w:after="0"/>
              <w:rPr>
                <w:sz w:val="20"/>
                <w:szCs w:val="20"/>
                <w:color w:val="auto"/>
              </w:rPr>
            </w:pPr>
            <w:r>
              <w:rPr>
                <w:rFonts w:ascii="Arial" w:cs="Arial" w:eastAsia="Arial" w:hAnsi="Arial"/>
                <w:sz w:val="13"/>
                <w:szCs w:val="13"/>
                <w:color w:val="auto"/>
              </w:rPr>
              <w:t>2016</w:t>
            </w:r>
          </w:p>
        </w:tc>
        <w:tc>
          <w:tcPr>
            <w:tcW w:w="20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2017</w:t>
            </w:r>
          </w:p>
        </w:tc>
        <w:tc>
          <w:tcPr>
            <w:tcW w:w="16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300" w:type="dxa"/>
            <w:vAlign w:val="bottom"/>
            <w:tcBorders>
              <w:bottom w:val="single" w:sz="8" w:color="034877"/>
            </w:tcBorders>
          </w:tcPr>
          <w:p>
            <w:pPr>
              <w:spacing w:after="0"/>
              <w:rPr>
                <w:sz w:val="2"/>
                <w:szCs w:val="2"/>
                <w:color w:val="auto"/>
              </w:rPr>
            </w:pPr>
          </w:p>
        </w:tc>
        <w:tc>
          <w:tcPr>
            <w:tcW w:w="680" w:type="dxa"/>
            <w:vAlign w:val="bottom"/>
            <w:tcBorders>
              <w:bottom w:val="single" w:sz="8" w:color="034877"/>
            </w:tcBorders>
          </w:tcPr>
          <w:p>
            <w:pPr>
              <w:spacing w:after="0"/>
              <w:rPr>
                <w:sz w:val="2"/>
                <w:szCs w:val="2"/>
                <w:color w:val="auto"/>
              </w:rPr>
            </w:pPr>
          </w:p>
        </w:tc>
        <w:tc>
          <w:tcPr>
            <w:tcW w:w="200" w:type="dxa"/>
            <w:vAlign w:val="bottom"/>
            <w:tcBorders>
              <w:bottom w:val="single" w:sz="8" w:color="034877"/>
            </w:tcBorders>
          </w:tcPr>
          <w:p>
            <w:pPr>
              <w:spacing w:after="0"/>
              <w:rPr>
                <w:sz w:val="2"/>
                <w:szCs w:val="2"/>
                <w:color w:val="auto"/>
              </w:rPr>
            </w:pPr>
          </w:p>
        </w:tc>
        <w:tc>
          <w:tcPr>
            <w:tcW w:w="760" w:type="dxa"/>
            <w:vAlign w:val="bottom"/>
            <w:tcBorders>
              <w:bottom w:val="single" w:sz="8" w:color="034877"/>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64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Common stockholders’</w:t>
            </w: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13"/>
                <w:szCs w:val="13"/>
                <w:b w:val="1"/>
                <w:bCs w:val="1"/>
                <w:color w:val="auto"/>
              </w:rPr>
              <w:t>236,865</w:t>
            </w:r>
          </w:p>
        </w:tc>
        <w:tc>
          <w:tcPr>
            <w:tcW w:w="1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173,266</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184,352</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196,409</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207,400</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215,690</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224,631</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230,350</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229,222</w:t>
            </w:r>
          </w:p>
        </w:tc>
        <w:tc>
          <w:tcPr>
            <w:tcW w:w="18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232,907</w:t>
            </w:r>
          </w:p>
        </w:tc>
        <w:tc>
          <w:tcPr>
            <w:tcW w:w="16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vMerge w:val="continue"/>
            <w:shd w:val="clear" w:color="auto" w:fill="E7E7E8"/>
          </w:tcPr>
          <w:p>
            <w:pPr>
              <w:spacing w:after="0"/>
              <w:rPr>
                <w:sz w:val="14"/>
                <w:szCs w:val="14"/>
                <w:color w:val="auto"/>
              </w:rPr>
            </w:pPr>
          </w:p>
        </w:tc>
        <w:tc>
          <w:tcPr>
            <w:tcW w:w="180" w:type="dxa"/>
            <w:vAlign w:val="bottom"/>
            <w:tcBorders>
              <w:bottom w:val="single" w:sz="8" w:color="E7E7E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48,632</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48,176</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48,102</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48,029</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47,445</w:t>
            </w:r>
          </w:p>
        </w:tc>
        <w:tc>
          <w:tcPr>
            <w:tcW w:w="3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47,310</w:t>
            </w:r>
          </w:p>
        </w:tc>
        <w:tc>
          <w:tcPr>
            <w:tcW w:w="20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47,317</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47,491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47,620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47,820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Less: Other intangible</w:t>
            </w: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13"/>
                <w:szCs w:val="13"/>
                <w:b w:val="1"/>
                <w:bCs w:val="1"/>
                <w:color w:val="auto"/>
              </w:rPr>
              <w:t>781</w:t>
            </w:r>
          </w:p>
        </w:tc>
        <w:tc>
          <w:tcPr>
            <w:tcW w:w="1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3,632</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2,833</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1,950</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1,378</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1,092</w:t>
            </w:r>
          </w:p>
        </w:tc>
        <w:tc>
          <w:tcPr>
            <w:tcW w:w="300" w:type="dxa"/>
            <w:vAlign w:val="bottom"/>
            <w:tcBorders>
              <w:bottom w:val="single" w:sz="8" w:color="E7E7E8"/>
            </w:tcBorders>
            <w:shd w:val="clear" w:color="auto" w:fill="E7E7E8"/>
          </w:tcPr>
          <w:p>
            <w:pPr>
              <w:spacing w:after="0"/>
              <w:rPr>
                <w:sz w:val="14"/>
                <w:szCs w:val="14"/>
                <w:color w:val="auto"/>
              </w:rPr>
            </w:pP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922</w:t>
            </w:r>
          </w:p>
        </w:tc>
        <w:tc>
          <w:tcPr>
            <w:tcW w:w="200" w:type="dxa"/>
            <w:vAlign w:val="bottom"/>
            <w:tcBorders>
              <w:bottom w:val="single" w:sz="8" w:color="E7E7E8"/>
            </w:tcBorders>
            <w:shd w:val="clear" w:color="auto" w:fill="E7E7E8"/>
          </w:tcPr>
          <w:p>
            <w:pPr>
              <w:spacing w:after="0"/>
              <w:rPr>
                <w:sz w:val="14"/>
                <w:szCs w:val="14"/>
                <w:color w:val="auto"/>
              </w:rPr>
            </w:pP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832</w:t>
            </w:r>
          </w:p>
        </w:tc>
        <w:tc>
          <w:tcPr>
            <w:tcW w:w="160" w:type="dxa"/>
            <w:vAlign w:val="bottom"/>
            <w:tcBorders>
              <w:bottom w:val="single" w:sz="8" w:color="E7E7E8"/>
            </w:tcBorders>
            <w:shd w:val="clear" w:color="auto" w:fill="E7E7E8"/>
          </w:tcPr>
          <w:p>
            <w:pPr>
              <w:spacing w:after="0"/>
              <w:rPr>
                <w:sz w:val="14"/>
                <w:szCs w:val="14"/>
                <w:color w:val="auto"/>
              </w:rPr>
            </w:pP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807</w:t>
            </w:r>
          </w:p>
        </w:tc>
        <w:tc>
          <w:tcPr>
            <w:tcW w:w="18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spacing w:after="0"/>
              <w:rPr>
                <w:sz w:val="14"/>
                <w:szCs w:val="14"/>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789</w:t>
            </w:r>
          </w:p>
        </w:tc>
        <w:tc>
          <w:tcPr>
            <w:tcW w:w="16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spacing w:after="0"/>
              <w:rPr>
                <w:sz w:val="14"/>
                <w:szCs w:val="14"/>
                <w:color w:val="auto"/>
              </w:rPr>
            </w:pPr>
          </w:p>
        </w:tc>
        <w:tc>
          <w:tcPr>
            <w:tcW w:w="580" w:type="dxa"/>
            <w:vAlign w:val="bottom"/>
            <w:tcBorders>
              <w:bottom w:val="single" w:sz="8" w:color="E7E7E8"/>
            </w:tcBorders>
            <w:vMerge w:val="continue"/>
            <w:shd w:val="clear" w:color="auto" w:fill="E7E7E8"/>
          </w:tcPr>
          <w:p>
            <w:pPr>
              <w:spacing w:after="0"/>
              <w:rPr>
                <w:sz w:val="14"/>
                <w:szCs w:val="14"/>
                <w:color w:val="auto"/>
              </w:rPr>
            </w:pPr>
          </w:p>
        </w:tc>
        <w:tc>
          <w:tcPr>
            <w:tcW w:w="180" w:type="dxa"/>
            <w:vAlign w:val="bottom"/>
            <w:tcBorders>
              <w:bottom w:val="single" w:sz="8" w:color="E7E7E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3"/>
                <w:szCs w:val="13"/>
                <w:color w:val="auto"/>
              </w:rPr>
              <w:t>Add: Certain deferred tax</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034877"/>
            </w:tcBorders>
          </w:tcPr>
          <w:p>
            <w:pPr>
              <w:ind w:left="20"/>
              <w:spacing w:after="0"/>
              <w:rPr>
                <w:sz w:val="20"/>
                <w:szCs w:val="20"/>
                <w:color w:val="auto"/>
              </w:rPr>
            </w:pPr>
            <w:r>
              <w:rPr>
                <w:rFonts w:ascii="Arial" w:cs="Arial" w:eastAsia="Arial" w:hAnsi="Arial"/>
                <w:sz w:val="13"/>
                <w:szCs w:val="13"/>
                <w:color w:val="auto"/>
              </w:rPr>
              <w:t>liabilities</w:t>
            </w:r>
            <w:r>
              <w:rPr>
                <w:rFonts w:ascii="Arial" w:cs="Arial" w:eastAsia="Arial" w:hAnsi="Arial"/>
                <w:sz w:val="16"/>
                <w:szCs w:val="16"/>
                <w:color w:val="auto"/>
                <w:vertAlign w:val="superscript"/>
              </w:rPr>
              <w:t>(a)</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2,635</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2,754</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2,885</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2,950</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2,964</w:t>
            </w:r>
          </w:p>
        </w:tc>
        <w:tc>
          <w:tcPr>
            <w:tcW w:w="300" w:type="dxa"/>
            <w:vAlign w:val="bottom"/>
            <w:tcBorders>
              <w:bottom w:val="single" w:sz="8" w:color="034877"/>
            </w:tcBorders>
          </w:tcPr>
          <w:p>
            <w:pPr>
              <w:spacing w:after="0"/>
              <w:rPr>
                <w:sz w:val="18"/>
                <w:szCs w:val="18"/>
                <w:color w:val="auto"/>
              </w:rPr>
            </w:pPr>
          </w:p>
        </w:tc>
        <w:tc>
          <w:tcPr>
            <w:tcW w:w="68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3,212</w:t>
            </w:r>
          </w:p>
        </w:tc>
        <w:tc>
          <w:tcPr>
            <w:tcW w:w="200" w:type="dxa"/>
            <w:vAlign w:val="bottom"/>
            <w:tcBorders>
              <w:bottom w:val="single" w:sz="8" w:color="034877"/>
            </w:tcBorders>
          </w:tcPr>
          <w:p>
            <w:pPr>
              <w:spacing w:after="0"/>
              <w:rPr>
                <w:sz w:val="18"/>
                <w:szCs w:val="18"/>
                <w:color w:val="auto"/>
              </w:rPr>
            </w:pPr>
          </w:p>
        </w:tc>
        <w:tc>
          <w:tcPr>
            <w:tcW w:w="76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3,116</w:t>
            </w:r>
          </w:p>
        </w:tc>
        <w:tc>
          <w:tcPr>
            <w:tcW w:w="160" w:type="dxa"/>
            <w:vAlign w:val="bottom"/>
            <w:tcBorders>
              <w:bottom w:val="single" w:sz="8" w:color="034877"/>
            </w:tcBorders>
          </w:tcPr>
          <w:p>
            <w:pPr>
              <w:spacing w:after="0"/>
              <w:rPr>
                <w:sz w:val="18"/>
                <w:szCs w:val="18"/>
                <w:color w:val="auto"/>
              </w:rPr>
            </w:pPr>
          </w:p>
        </w:tc>
        <w:tc>
          <w:tcPr>
            <w:tcW w:w="640" w:type="dxa"/>
            <w:vAlign w:val="bottom"/>
            <w:tcBorders>
              <w:bottom w:val="single" w:sz="8" w:color="034877"/>
            </w:tcBorders>
          </w:tcPr>
          <w:p>
            <w:pPr>
              <w:jc w:val="right"/>
              <w:spacing w:after="0"/>
              <w:rPr>
                <w:sz w:val="20"/>
                <w:szCs w:val="20"/>
                <w:color w:val="auto"/>
              </w:rPr>
            </w:pPr>
            <w:r>
              <w:rPr>
                <w:rFonts w:ascii="Arial" w:cs="Arial" w:eastAsia="Arial" w:hAnsi="Arial"/>
                <w:sz w:val="13"/>
                <w:szCs w:val="13"/>
                <w:color w:val="auto"/>
              </w:rPr>
              <w:t>2,231</w:t>
            </w:r>
          </w:p>
        </w:tc>
        <w:tc>
          <w:tcPr>
            <w:tcW w:w="180" w:type="dxa"/>
            <w:vAlign w:val="bottom"/>
            <w:tcBorders>
              <w:bottom w:val="single" w:sz="8" w:color="074A75"/>
            </w:tcBorders>
          </w:tcPr>
          <w:p>
            <w:pPr>
              <w:spacing w:after="0"/>
              <w:rPr>
                <w:sz w:val="18"/>
                <w:szCs w:val="18"/>
                <w:color w:val="auto"/>
              </w:rPr>
            </w:pPr>
          </w:p>
        </w:tc>
        <w:tc>
          <w:tcPr>
            <w:tcW w:w="220" w:type="dxa"/>
            <w:vAlign w:val="bottom"/>
            <w:tcBorders>
              <w:bottom w:val="single" w:sz="8" w:color="074A75"/>
            </w:tcBorders>
          </w:tcPr>
          <w:p>
            <w:pPr>
              <w:spacing w:after="0"/>
              <w:rPr>
                <w:sz w:val="18"/>
                <w:szCs w:val="18"/>
                <w:color w:val="auto"/>
              </w:rPr>
            </w:pPr>
          </w:p>
        </w:tc>
        <w:tc>
          <w:tcPr>
            <w:tcW w:w="580" w:type="dxa"/>
            <w:vAlign w:val="bottom"/>
            <w:tcBorders>
              <w:bottom w:val="single" w:sz="8" w:color="074A75"/>
            </w:tcBorders>
          </w:tcPr>
          <w:p>
            <w:pPr>
              <w:jc w:val="right"/>
              <w:spacing w:after="0"/>
              <w:rPr>
                <w:sz w:val="20"/>
                <w:szCs w:val="20"/>
                <w:color w:val="auto"/>
              </w:rPr>
            </w:pPr>
            <w:r>
              <w:rPr>
                <w:rFonts w:ascii="Arial" w:cs="Arial" w:eastAsia="Arial" w:hAnsi="Arial"/>
                <w:sz w:val="13"/>
                <w:szCs w:val="13"/>
                <w:color w:val="auto"/>
              </w:rPr>
              <w:t>2,328</w:t>
            </w:r>
          </w:p>
        </w:tc>
        <w:tc>
          <w:tcPr>
            <w:tcW w:w="160" w:type="dxa"/>
            <w:vAlign w:val="bottom"/>
            <w:tcBorders>
              <w:bottom w:val="single" w:sz="8" w:color="074A75"/>
            </w:tcBorders>
          </w:tcPr>
          <w:p>
            <w:pPr>
              <w:spacing w:after="0"/>
              <w:rPr>
                <w:sz w:val="18"/>
                <w:szCs w:val="18"/>
                <w:color w:val="auto"/>
              </w:rPr>
            </w:pPr>
          </w:p>
        </w:tc>
        <w:tc>
          <w:tcPr>
            <w:tcW w:w="220" w:type="dxa"/>
            <w:vAlign w:val="bottom"/>
            <w:tcBorders>
              <w:bottom w:val="single" w:sz="8" w:color="074A75"/>
            </w:tcBorders>
          </w:tcPr>
          <w:p>
            <w:pPr>
              <w:spacing w:after="0"/>
              <w:rPr>
                <w:sz w:val="18"/>
                <w:szCs w:val="18"/>
                <w:color w:val="auto"/>
              </w:rPr>
            </w:pPr>
          </w:p>
        </w:tc>
        <w:tc>
          <w:tcPr>
            <w:tcW w:w="580" w:type="dxa"/>
            <w:vAlign w:val="bottom"/>
            <w:tcBorders>
              <w:bottom w:val="single" w:sz="8" w:color="074A75"/>
            </w:tcBorders>
          </w:tcPr>
          <w:p>
            <w:pPr>
              <w:jc w:val="right"/>
              <w:spacing w:after="0"/>
              <w:rPr>
                <w:sz w:val="20"/>
                <w:szCs w:val="20"/>
                <w:color w:val="auto"/>
              </w:rPr>
            </w:pPr>
            <w:r>
              <w:rPr>
                <w:rFonts w:ascii="Arial" w:cs="Arial" w:eastAsia="Arial" w:hAnsi="Arial"/>
                <w:sz w:val="13"/>
                <w:szCs w:val="13"/>
                <w:b w:val="1"/>
                <w:bCs w:val="1"/>
                <w:color w:val="auto"/>
              </w:rPr>
              <w:t>2,399</w:t>
            </w:r>
          </w:p>
        </w:tc>
        <w:tc>
          <w:tcPr>
            <w:tcW w:w="180" w:type="dxa"/>
            <w:vAlign w:val="bottom"/>
            <w:tcBorders>
              <w:bottom w:val="single" w:sz="8" w:color="074A75"/>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123,637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136,097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149,242</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160,943</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170,117</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179,611</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185,317</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183,155</w:t>
            </w:r>
          </w:p>
        </w:tc>
        <w:tc>
          <w:tcPr>
            <w:tcW w:w="180" w:type="dxa"/>
            <w:vAlign w:val="bottom"/>
            <w:tcBorders>
              <w:bottom w:val="single" w:sz="8" w:color="E7E7E8"/>
            </w:tcBorders>
            <w:shd w:val="clear" w:color="auto" w:fill="E7E7E8"/>
          </w:tcPr>
          <w:p>
            <w:pPr>
              <w:spacing w:after="0"/>
              <w:rPr>
                <w:sz w:val="17"/>
                <w:szCs w:val="17"/>
                <w:color w:val="auto"/>
              </w:rPr>
            </w:pP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186,826</w:t>
            </w:r>
          </w:p>
        </w:tc>
        <w:tc>
          <w:tcPr>
            <w:tcW w:w="160" w:type="dxa"/>
            <w:vAlign w:val="bottom"/>
            <w:tcBorders>
              <w:bottom w:val="single" w:sz="8" w:color="E7E7E8"/>
            </w:tcBorders>
            <w:shd w:val="clear" w:color="auto" w:fill="E7E7E8"/>
          </w:tcPr>
          <w:p>
            <w:pPr>
              <w:spacing w:after="0"/>
              <w:rPr>
                <w:sz w:val="17"/>
                <w:szCs w:val="17"/>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190,663</w:t>
            </w:r>
          </w:p>
        </w:tc>
        <w:tc>
          <w:tcPr>
            <w:tcW w:w="18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580" w:type="dxa"/>
            <w:vAlign w:val="bottom"/>
            <w:tcBorders>
              <w:top w:val="single" w:sz="8" w:color="034877"/>
            </w:tcBorders>
          </w:tcPr>
          <w:p>
            <w:pPr>
              <w:ind w:left="20"/>
              <w:spacing w:after="0"/>
              <w:rPr>
                <w:sz w:val="20"/>
                <w:szCs w:val="20"/>
                <w:color w:val="auto"/>
              </w:rPr>
            </w:pPr>
            <w:r>
              <w:rPr>
                <w:rFonts w:ascii="Arial" w:cs="Arial" w:eastAsia="Arial" w:hAnsi="Arial"/>
                <w:sz w:val="13"/>
                <w:szCs w:val="13"/>
                <w:color w:val="auto"/>
              </w:rPr>
              <w:t>Net income applicable to</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spacing w:after="0"/>
              <w:rPr>
                <w:sz w:val="14"/>
                <w:szCs w:val="14"/>
                <w:color w:val="auto"/>
              </w:rPr>
            </w:pPr>
          </w:p>
        </w:tc>
        <w:tc>
          <w:tcPr>
            <w:tcW w:w="300" w:type="dxa"/>
            <w:vAlign w:val="bottom"/>
            <w:tcBorders>
              <w:top w:val="single" w:sz="8" w:color="034877"/>
            </w:tcBorders>
          </w:tcPr>
          <w:p>
            <w:pPr>
              <w:spacing w:after="0"/>
              <w:rPr>
                <w:sz w:val="14"/>
                <w:szCs w:val="14"/>
                <w:color w:val="auto"/>
              </w:rPr>
            </w:pPr>
          </w:p>
        </w:tc>
        <w:tc>
          <w:tcPr>
            <w:tcW w:w="680" w:type="dxa"/>
            <w:vAlign w:val="bottom"/>
            <w:tcBorders>
              <w:top w:val="single" w:sz="8" w:color="034877"/>
            </w:tcBorders>
          </w:tcPr>
          <w:p>
            <w:pPr>
              <w:spacing w:after="0"/>
              <w:rPr>
                <w:sz w:val="14"/>
                <w:szCs w:val="14"/>
                <w:color w:val="auto"/>
              </w:rPr>
            </w:pPr>
          </w:p>
        </w:tc>
        <w:tc>
          <w:tcPr>
            <w:tcW w:w="200" w:type="dxa"/>
            <w:vAlign w:val="bottom"/>
            <w:tcBorders>
              <w:top w:val="single" w:sz="8" w:color="034877"/>
            </w:tcBorders>
          </w:tcPr>
          <w:p>
            <w:pPr>
              <w:spacing w:after="0"/>
              <w:rPr>
                <w:sz w:val="14"/>
                <w:szCs w:val="14"/>
                <w:color w:val="auto"/>
              </w:rPr>
            </w:pPr>
          </w:p>
        </w:tc>
        <w:tc>
          <w:tcPr>
            <w:tcW w:w="760" w:type="dxa"/>
            <w:vAlign w:val="bottom"/>
            <w:tcBorders>
              <w:top w:val="single" w:sz="8" w:color="034877"/>
            </w:tcBorders>
          </w:tcPr>
          <w:p>
            <w:pPr>
              <w:spacing w:after="0"/>
              <w:rPr>
                <w:sz w:val="14"/>
                <w:szCs w:val="14"/>
                <w:color w:val="auto"/>
              </w:rPr>
            </w:pPr>
          </w:p>
        </w:tc>
        <w:tc>
          <w:tcPr>
            <w:tcW w:w="160" w:type="dxa"/>
            <w:vAlign w:val="bottom"/>
            <w:tcBorders>
              <w:top w:val="single" w:sz="8" w:color="034877"/>
            </w:tcBorders>
          </w:tcPr>
          <w:p>
            <w:pPr>
              <w:spacing w:after="0"/>
              <w:rPr>
                <w:sz w:val="14"/>
                <w:szCs w:val="14"/>
                <w:color w:val="auto"/>
              </w:rPr>
            </w:pPr>
          </w:p>
        </w:tc>
        <w:tc>
          <w:tcPr>
            <w:tcW w:w="640" w:type="dxa"/>
            <w:vAlign w:val="bottom"/>
            <w:tcBorders>
              <w:top w:val="single" w:sz="8" w:color="074A75"/>
            </w:tcBorders>
          </w:tcPr>
          <w:p>
            <w:pPr>
              <w:spacing w:after="0"/>
              <w:rPr>
                <w:sz w:val="14"/>
                <w:szCs w:val="14"/>
                <w:color w:val="auto"/>
              </w:rPr>
            </w:pPr>
          </w:p>
        </w:tc>
        <w:tc>
          <w:tcPr>
            <w:tcW w:w="180" w:type="dxa"/>
            <w:vAlign w:val="bottom"/>
            <w:tcBorders>
              <w:top w:val="single" w:sz="8" w:color="074A75"/>
            </w:tcBorders>
          </w:tcPr>
          <w:p>
            <w:pPr>
              <w:spacing w:after="0"/>
              <w:rPr>
                <w:sz w:val="14"/>
                <w:szCs w:val="14"/>
                <w:color w:val="auto"/>
              </w:rPr>
            </w:pPr>
          </w:p>
        </w:tc>
        <w:tc>
          <w:tcPr>
            <w:tcW w:w="220" w:type="dxa"/>
            <w:vAlign w:val="bottom"/>
            <w:tcBorders>
              <w:top w:val="single" w:sz="8" w:color="074A75"/>
            </w:tcBorders>
          </w:tcPr>
          <w:p>
            <w:pPr>
              <w:spacing w:after="0"/>
              <w:rPr>
                <w:sz w:val="14"/>
                <w:szCs w:val="14"/>
                <w:color w:val="auto"/>
              </w:rPr>
            </w:pPr>
          </w:p>
        </w:tc>
        <w:tc>
          <w:tcPr>
            <w:tcW w:w="580" w:type="dxa"/>
            <w:vAlign w:val="bottom"/>
            <w:tcBorders>
              <w:top w:val="single" w:sz="8" w:color="074A75"/>
            </w:tcBorders>
          </w:tcPr>
          <w:p>
            <w:pPr>
              <w:spacing w:after="0"/>
              <w:rPr>
                <w:sz w:val="14"/>
                <w:szCs w:val="14"/>
                <w:color w:val="auto"/>
              </w:rPr>
            </w:pPr>
          </w:p>
        </w:tc>
        <w:tc>
          <w:tcPr>
            <w:tcW w:w="160" w:type="dxa"/>
            <w:vAlign w:val="bottom"/>
            <w:tcBorders>
              <w:top w:val="single" w:sz="8" w:color="074A75"/>
            </w:tcBorders>
          </w:tcPr>
          <w:p>
            <w:pPr>
              <w:spacing w:after="0"/>
              <w:rPr>
                <w:sz w:val="14"/>
                <w:szCs w:val="14"/>
                <w:color w:val="auto"/>
              </w:rPr>
            </w:pPr>
          </w:p>
        </w:tc>
        <w:tc>
          <w:tcPr>
            <w:tcW w:w="220" w:type="dxa"/>
            <w:vAlign w:val="bottom"/>
            <w:tcBorders>
              <w:top w:val="single" w:sz="8" w:color="074A75"/>
            </w:tcBorders>
          </w:tcPr>
          <w:p>
            <w:pPr>
              <w:spacing w:after="0"/>
              <w:rPr>
                <w:sz w:val="14"/>
                <w:szCs w:val="14"/>
                <w:color w:val="auto"/>
              </w:rPr>
            </w:pPr>
          </w:p>
        </w:tc>
        <w:tc>
          <w:tcPr>
            <w:tcW w:w="580" w:type="dxa"/>
            <w:vAlign w:val="bottom"/>
            <w:tcBorders>
              <w:top w:val="single" w:sz="8" w:color="074A75"/>
            </w:tcBorders>
            <w:vMerge w:val="restart"/>
          </w:tcPr>
          <w:p>
            <w:pPr>
              <w:jc w:val="right"/>
              <w:spacing w:after="0"/>
              <w:rPr>
                <w:sz w:val="20"/>
                <w:szCs w:val="20"/>
                <w:color w:val="auto"/>
              </w:rPr>
            </w:pPr>
            <w:r>
              <w:rPr>
                <w:rFonts w:ascii="Arial" w:cs="Arial" w:eastAsia="Arial" w:hAnsi="Arial"/>
                <w:sz w:val="13"/>
                <w:szCs w:val="13"/>
                <w:b w:val="1"/>
                <w:bCs w:val="1"/>
                <w:color w:val="auto"/>
              </w:rPr>
              <w:t>27,548</w:t>
            </w:r>
          </w:p>
        </w:tc>
        <w:tc>
          <w:tcPr>
            <w:tcW w:w="180" w:type="dxa"/>
            <w:vAlign w:val="bottom"/>
            <w:tcBorders>
              <w:top w:val="single" w:sz="8" w:color="074A75"/>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3"/>
                <w:szCs w:val="13"/>
                <w:color w:val="auto"/>
              </w:rPr>
              <w:t>common equity</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18,327</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20,606</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17,081</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20,620</w:t>
            </w: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22,927</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23,086</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22,778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30,923</w:t>
            </w:r>
          </w:p>
        </w:tc>
        <w:tc>
          <w:tcPr>
            <w:tcW w:w="18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34,844</w:t>
            </w:r>
          </w:p>
        </w:tc>
        <w:tc>
          <w:tcPr>
            <w:tcW w:w="160" w:type="dxa"/>
            <w:vAlign w:val="bottom"/>
          </w:tcPr>
          <w:p>
            <w:pPr>
              <w:spacing w:after="0"/>
              <w:rPr>
                <w:sz w:val="13"/>
                <w:szCs w:val="13"/>
                <w:color w:val="auto"/>
              </w:rPr>
            </w:pPr>
          </w:p>
        </w:tc>
        <w:tc>
          <w:tcPr>
            <w:tcW w:w="2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w w:val="95"/>
              </w:rPr>
              <w:t>Return on common equity</w:t>
            </w:r>
            <w:r>
              <w:rPr>
                <w:rFonts w:ascii="Arial" w:cs="Arial" w:eastAsia="Arial" w:hAnsi="Arial"/>
                <w:sz w:val="16"/>
                <w:szCs w:val="16"/>
                <w:color w:val="auto"/>
                <w:w w:val="95"/>
                <w:vertAlign w:val="superscript"/>
              </w:rPr>
              <w:t>(b)</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9 %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220" w:type="dxa"/>
            <w:vAlign w:val="bottom"/>
            <w:shd w:val="clear" w:color="auto" w:fill="E7E7E8"/>
          </w:tcPr>
          <w:p>
            <w:pPr>
              <w:spacing w:after="0"/>
              <w:rPr>
                <w:sz w:val="21"/>
                <w:szCs w:val="21"/>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11 %</w:t>
            </w:r>
          </w:p>
        </w:tc>
        <w:tc>
          <w:tcPr>
            <w:tcW w:w="300" w:type="dxa"/>
            <w:vAlign w:val="bottom"/>
            <w:shd w:val="clear" w:color="auto" w:fill="E7E7E8"/>
          </w:tcPr>
          <w:p>
            <w:pPr>
              <w:spacing w:after="0"/>
              <w:rPr>
                <w:sz w:val="21"/>
                <w:szCs w:val="21"/>
                <w:color w:val="auto"/>
              </w:rPr>
            </w:pPr>
          </w:p>
        </w:tc>
        <w:tc>
          <w:tcPr>
            <w:tcW w:w="6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200" w:type="dxa"/>
            <w:vAlign w:val="bottom"/>
            <w:shd w:val="clear" w:color="auto" w:fill="E7E7E8"/>
          </w:tcPr>
          <w:p>
            <w:pPr>
              <w:spacing w:after="0"/>
              <w:rPr>
                <w:sz w:val="21"/>
                <w:szCs w:val="21"/>
                <w:color w:val="auto"/>
              </w:rPr>
            </w:pPr>
          </w:p>
        </w:tc>
        <w:tc>
          <w:tcPr>
            <w:tcW w:w="7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10 %</w:t>
            </w:r>
          </w:p>
        </w:tc>
        <w:tc>
          <w:tcPr>
            <w:tcW w:w="160" w:type="dxa"/>
            <w:vAlign w:val="bottom"/>
            <w:shd w:val="clear" w:color="auto" w:fill="E7E7E8"/>
          </w:tcPr>
          <w:p>
            <w:pPr>
              <w:spacing w:after="0"/>
              <w:rPr>
                <w:sz w:val="21"/>
                <w:szCs w:val="21"/>
                <w:color w:val="auto"/>
              </w:rPr>
            </w:pPr>
          </w:p>
        </w:tc>
        <w:tc>
          <w:tcPr>
            <w:tcW w:w="820" w:type="dxa"/>
            <w:vAlign w:val="bottom"/>
            <w:gridSpan w:val="2"/>
            <w:shd w:val="clear" w:color="auto" w:fill="E7E7E8"/>
          </w:tcPr>
          <w:p>
            <w:pPr>
              <w:jc w:val="right"/>
              <w:ind w:right="40"/>
              <w:spacing w:after="0"/>
              <w:rPr>
                <w:sz w:val="20"/>
                <w:szCs w:val="20"/>
                <w:color w:val="auto"/>
              </w:rPr>
            </w:pPr>
            <w:r>
              <w:rPr>
                <w:rFonts w:ascii="Arial" w:cs="Arial" w:eastAsia="Arial" w:hAnsi="Arial"/>
                <w:sz w:val="13"/>
                <w:szCs w:val="13"/>
                <w:color w:val="auto"/>
              </w:rPr>
              <w:t>13 %</w:t>
            </w:r>
          </w:p>
        </w:tc>
        <w:tc>
          <w:tcPr>
            <w:tcW w:w="220" w:type="dxa"/>
            <w:vAlign w:val="bottom"/>
            <w:shd w:val="clear" w:color="auto" w:fill="E7E7E8"/>
          </w:tcPr>
          <w:p>
            <w:pPr>
              <w:spacing w:after="0"/>
              <w:rPr>
                <w:sz w:val="21"/>
                <w:szCs w:val="21"/>
                <w:color w:val="auto"/>
              </w:rPr>
            </w:pPr>
          </w:p>
        </w:tc>
        <w:tc>
          <w:tcPr>
            <w:tcW w:w="740" w:type="dxa"/>
            <w:vAlign w:val="bottom"/>
            <w:gridSpan w:val="2"/>
            <w:shd w:val="clear" w:color="auto" w:fill="E7E7E8"/>
          </w:tcPr>
          <w:p>
            <w:pPr>
              <w:jc w:val="right"/>
              <w:ind w:right="20"/>
              <w:spacing w:after="0"/>
              <w:rPr>
                <w:sz w:val="20"/>
                <w:szCs w:val="20"/>
                <w:color w:val="auto"/>
              </w:rPr>
            </w:pPr>
            <w:r>
              <w:rPr>
                <w:rFonts w:ascii="Arial" w:cs="Arial" w:eastAsia="Arial" w:hAnsi="Arial"/>
                <w:sz w:val="13"/>
                <w:szCs w:val="13"/>
                <w:color w:val="auto"/>
              </w:rPr>
              <w:t>15 %</w:t>
            </w:r>
          </w:p>
        </w:tc>
        <w:tc>
          <w:tcPr>
            <w:tcW w:w="220" w:type="dxa"/>
            <w:vAlign w:val="bottom"/>
            <w:shd w:val="clear" w:color="auto" w:fill="E7E7E8"/>
          </w:tcPr>
          <w:p>
            <w:pPr>
              <w:spacing w:after="0"/>
              <w:rPr>
                <w:sz w:val="21"/>
                <w:szCs w:val="21"/>
                <w:color w:val="auto"/>
              </w:rPr>
            </w:pPr>
          </w:p>
        </w:tc>
        <w:tc>
          <w:tcPr>
            <w:tcW w:w="760" w:type="dxa"/>
            <w:vAlign w:val="bottom"/>
            <w:gridSpan w:val="2"/>
            <w:shd w:val="clear" w:color="auto" w:fill="E7E7E8"/>
          </w:tcPr>
          <w:p>
            <w:pPr>
              <w:jc w:val="right"/>
              <w:ind w:right="40"/>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3"/>
                <w:szCs w:val="13"/>
                <w:color w:val="auto"/>
              </w:rPr>
              <w:t>Return on tangible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3"/>
                <w:szCs w:val="13"/>
                <w:color w:val="auto"/>
              </w:rPr>
              <w:t>common equity</w:t>
            </w:r>
            <w:r>
              <w:rPr>
                <w:rFonts w:ascii="Arial" w:cs="Arial" w:eastAsia="Arial" w:hAnsi="Arial"/>
                <w:sz w:val="16"/>
                <w:szCs w:val="16"/>
                <w:color w:val="auto"/>
                <w:vertAlign w:val="superscript"/>
              </w:rPr>
              <w:t>(c)</w:t>
            </w:r>
          </w:p>
        </w:tc>
        <w:tc>
          <w:tcPr>
            <w:tcW w:w="22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30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8"/>
                <w:szCs w:val="18"/>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7"/>
              </w:rPr>
              <w:t>Period-end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1720" w:type="dxa"/>
            <w:vAlign w:val="bottom"/>
            <w:tcBorders>
              <w:bottom w:val="single" w:sz="8" w:color="074A75"/>
            </w:tcBorders>
            <w:gridSpan w:val="3"/>
          </w:tcPr>
          <w:p>
            <w:pPr>
              <w:spacing w:after="0"/>
              <w:rPr>
                <w:sz w:val="2"/>
                <w:szCs w:val="2"/>
                <w:color w:val="auto"/>
              </w:rPr>
            </w:pPr>
          </w:p>
        </w:tc>
        <w:tc>
          <w:tcPr>
            <w:tcW w:w="200" w:type="dxa"/>
            <w:vAlign w:val="bottom"/>
            <w:tcBorders>
              <w:bottom w:val="single" w:sz="8" w:color="074A75"/>
            </w:tcBorders>
          </w:tcPr>
          <w:p>
            <w:pPr>
              <w:spacing w:after="0"/>
              <w:rPr>
                <w:sz w:val="2"/>
                <w:szCs w:val="2"/>
                <w:color w:val="auto"/>
              </w:rPr>
            </w:pPr>
          </w:p>
        </w:tc>
        <w:tc>
          <w:tcPr>
            <w:tcW w:w="76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64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center"/>
              <w:ind w:right="117"/>
              <w:spacing w:after="0"/>
              <w:rPr>
                <w:sz w:val="20"/>
                <w:szCs w:val="20"/>
                <w:color w:val="auto"/>
              </w:rPr>
            </w:pPr>
            <w:r>
              <w:rPr>
                <w:rFonts w:ascii="Arial" w:cs="Arial" w:eastAsia="Arial" w:hAnsi="Arial"/>
                <w:sz w:val="13"/>
                <w:szCs w:val="13"/>
                <w:color w:val="auto"/>
                <w:w w:val="95"/>
              </w:rPr>
              <w:t>December 31,</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580" w:type="dxa"/>
            <w:vAlign w:val="bottom"/>
            <w:vMerge w:val="restart"/>
          </w:tcPr>
          <w:p>
            <w:pPr>
              <w:ind w:left="20"/>
              <w:spacing w:after="0"/>
              <w:rPr>
                <w:sz w:val="20"/>
                <w:szCs w:val="20"/>
                <w:color w:val="auto"/>
              </w:rPr>
            </w:pPr>
            <w:r>
              <w:rPr>
                <w:rFonts w:ascii="Arial" w:cs="Arial" w:eastAsia="Arial" w:hAnsi="Arial"/>
                <w:sz w:val="13"/>
                <w:szCs w:val="13"/>
                <w:color w:val="auto"/>
              </w:rPr>
              <w:t>(in millions, except ratio</w:t>
            </w: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740" w:type="dxa"/>
            <w:vAlign w:val="bottom"/>
            <w:tcBorders>
              <w:bottom w:val="single" w:sz="8" w:color="074A75"/>
            </w:tcBorders>
          </w:tcPr>
          <w:p>
            <w:pPr>
              <w:spacing w:after="0"/>
              <w:rPr>
                <w:sz w:val="2"/>
                <w:szCs w:val="2"/>
                <w:color w:val="auto"/>
              </w:rPr>
            </w:pPr>
          </w:p>
        </w:tc>
        <w:tc>
          <w:tcPr>
            <w:tcW w:w="300" w:type="dxa"/>
            <w:vAlign w:val="bottom"/>
            <w:tcBorders>
              <w:bottom w:val="single" w:sz="8" w:color="074A75"/>
            </w:tcBorders>
          </w:tcPr>
          <w:p>
            <w:pPr>
              <w:spacing w:after="0"/>
              <w:rPr>
                <w:sz w:val="2"/>
                <w:szCs w:val="2"/>
                <w:color w:val="auto"/>
              </w:rPr>
            </w:pPr>
          </w:p>
        </w:tc>
        <w:tc>
          <w:tcPr>
            <w:tcW w:w="680" w:type="dxa"/>
            <w:vAlign w:val="bottom"/>
            <w:tcBorders>
              <w:bottom w:val="single" w:sz="8" w:color="074A75"/>
            </w:tcBorders>
          </w:tcPr>
          <w:p>
            <w:pPr>
              <w:spacing w:after="0"/>
              <w:rPr>
                <w:sz w:val="2"/>
                <w:szCs w:val="2"/>
                <w:color w:val="auto"/>
              </w:rPr>
            </w:pPr>
          </w:p>
        </w:tc>
        <w:tc>
          <w:tcPr>
            <w:tcW w:w="200" w:type="dxa"/>
            <w:vAlign w:val="bottom"/>
            <w:tcBorders>
              <w:bottom w:val="single" w:sz="8" w:color="074A75"/>
            </w:tcBorders>
          </w:tcPr>
          <w:p>
            <w:pPr>
              <w:spacing w:after="0"/>
              <w:rPr>
                <w:sz w:val="2"/>
                <w:szCs w:val="2"/>
                <w:color w:val="auto"/>
              </w:rPr>
            </w:pPr>
          </w:p>
        </w:tc>
        <w:tc>
          <w:tcPr>
            <w:tcW w:w="76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64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3"/>
                <w:szCs w:val="13"/>
                <w:color w:val="auto"/>
              </w:rPr>
              <w:t>data)</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2011</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2012</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2013</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2014</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color w:val="auto"/>
              </w:rPr>
              <w:t>2015</w:t>
            </w:r>
          </w:p>
        </w:tc>
        <w:tc>
          <w:tcPr>
            <w:tcW w:w="300" w:type="dxa"/>
            <w:vAlign w:val="bottom"/>
          </w:tcPr>
          <w:p>
            <w:pPr>
              <w:spacing w:after="0"/>
              <w:rPr>
                <w:sz w:val="13"/>
                <w:szCs w:val="13"/>
                <w:color w:val="auto"/>
              </w:rPr>
            </w:pPr>
          </w:p>
        </w:tc>
        <w:tc>
          <w:tcPr>
            <w:tcW w:w="680" w:type="dxa"/>
            <w:vAlign w:val="bottom"/>
          </w:tcPr>
          <w:p>
            <w:pPr>
              <w:jc w:val="right"/>
              <w:ind w:right="297"/>
              <w:spacing w:after="0"/>
              <w:rPr>
                <w:sz w:val="20"/>
                <w:szCs w:val="20"/>
                <w:color w:val="auto"/>
              </w:rPr>
            </w:pPr>
            <w:r>
              <w:rPr>
                <w:rFonts w:ascii="Arial" w:cs="Arial" w:eastAsia="Arial" w:hAnsi="Arial"/>
                <w:sz w:val="13"/>
                <w:szCs w:val="13"/>
                <w:color w:val="auto"/>
              </w:rPr>
              <w:t>2016</w:t>
            </w:r>
          </w:p>
        </w:tc>
        <w:tc>
          <w:tcPr>
            <w:tcW w:w="20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2017</w:t>
            </w:r>
          </w:p>
        </w:tc>
        <w:tc>
          <w:tcPr>
            <w:tcW w:w="16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2018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color w:val="auto"/>
              </w:rPr>
              <w:t>2019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58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220" w:type="dxa"/>
            <w:vAlign w:val="bottom"/>
            <w:tcBorders>
              <w:bottom w:val="single" w:sz="8" w:color="034877"/>
            </w:tcBorders>
          </w:tcPr>
          <w:p>
            <w:pPr>
              <w:spacing w:after="0"/>
              <w:rPr>
                <w:sz w:val="2"/>
                <w:szCs w:val="2"/>
                <w:color w:val="auto"/>
              </w:rPr>
            </w:pPr>
          </w:p>
        </w:tc>
        <w:tc>
          <w:tcPr>
            <w:tcW w:w="740" w:type="dxa"/>
            <w:vAlign w:val="bottom"/>
            <w:tcBorders>
              <w:bottom w:val="single" w:sz="8" w:color="034877"/>
            </w:tcBorders>
          </w:tcPr>
          <w:p>
            <w:pPr>
              <w:spacing w:after="0"/>
              <w:rPr>
                <w:sz w:val="2"/>
                <w:szCs w:val="2"/>
                <w:color w:val="auto"/>
              </w:rPr>
            </w:pPr>
          </w:p>
        </w:tc>
        <w:tc>
          <w:tcPr>
            <w:tcW w:w="300" w:type="dxa"/>
            <w:vAlign w:val="bottom"/>
            <w:tcBorders>
              <w:bottom w:val="single" w:sz="8" w:color="034877"/>
            </w:tcBorders>
          </w:tcPr>
          <w:p>
            <w:pPr>
              <w:spacing w:after="0"/>
              <w:rPr>
                <w:sz w:val="2"/>
                <w:szCs w:val="2"/>
                <w:color w:val="auto"/>
              </w:rPr>
            </w:pPr>
          </w:p>
        </w:tc>
        <w:tc>
          <w:tcPr>
            <w:tcW w:w="680" w:type="dxa"/>
            <w:vAlign w:val="bottom"/>
            <w:tcBorders>
              <w:bottom w:val="single" w:sz="8" w:color="034877"/>
            </w:tcBorders>
          </w:tcPr>
          <w:p>
            <w:pPr>
              <w:spacing w:after="0"/>
              <w:rPr>
                <w:sz w:val="2"/>
                <w:szCs w:val="2"/>
                <w:color w:val="auto"/>
              </w:rPr>
            </w:pPr>
          </w:p>
        </w:tc>
        <w:tc>
          <w:tcPr>
            <w:tcW w:w="200" w:type="dxa"/>
            <w:vAlign w:val="bottom"/>
            <w:tcBorders>
              <w:bottom w:val="single" w:sz="8" w:color="034877"/>
            </w:tcBorders>
          </w:tcPr>
          <w:p>
            <w:pPr>
              <w:spacing w:after="0"/>
              <w:rPr>
                <w:sz w:val="2"/>
                <w:szCs w:val="2"/>
                <w:color w:val="auto"/>
              </w:rPr>
            </w:pPr>
          </w:p>
        </w:tc>
        <w:tc>
          <w:tcPr>
            <w:tcW w:w="760" w:type="dxa"/>
            <w:vAlign w:val="bottom"/>
            <w:tcBorders>
              <w:bottom w:val="single" w:sz="8" w:color="034877"/>
            </w:tcBorders>
          </w:tcPr>
          <w:p>
            <w:pPr>
              <w:spacing w:after="0"/>
              <w:rPr>
                <w:sz w:val="2"/>
                <w:szCs w:val="2"/>
                <w:color w:val="auto"/>
              </w:rPr>
            </w:pPr>
          </w:p>
        </w:tc>
        <w:tc>
          <w:tcPr>
            <w:tcW w:w="160" w:type="dxa"/>
            <w:vAlign w:val="bottom"/>
            <w:tcBorders>
              <w:bottom w:val="single" w:sz="8" w:color="034877"/>
            </w:tcBorders>
          </w:tcPr>
          <w:p>
            <w:pPr>
              <w:spacing w:after="0"/>
              <w:rPr>
                <w:sz w:val="2"/>
                <w:szCs w:val="2"/>
                <w:color w:val="auto"/>
              </w:rPr>
            </w:pPr>
          </w:p>
        </w:tc>
        <w:tc>
          <w:tcPr>
            <w:tcW w:w="640" w:type="dxa"/>
            <w:vAlign w:val="bottom"/>
            <w:tcBorders>
              <w:bottom w:val="single" w:sz="8" w:color="034877"/>
            </w:tcBorders>
          </w:tcPr>
          <w:p>
            <w:pPr>
              <w:spacing w:after="0"/>
              <w:rPr>
                <w:sz w:val="2"/>
                <w:szCs w:val="2"/>
                <w:color w:val="auto"/>
              </w:rPr>
            </w:pPr>
          </w:p>
        </w:tc>
        <w:tc>
          <w:tcPr>
            <w:tcW w:w="180" w:type="dxa"/>
            <w:vAlign w:val="bottom"/>
            <w:tcBorders>
              <w:bottom w:val="single" w:sz="8" w:color="034877"/>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60" w:type="dxa"/>
            <w:vAlign w:val="bottom"/>
            <w:tcBorders>
              <w:bottom w:val="single" w:sz="8" w:color="074A75"/>
            </w:tcBorders>
          </w:tcPr>
          <w:p>
            <w:pPr>
              <w:spacing w:after="0"/>
              <w:rPr>
                <w:sz w:val="2"/>
                <w:szCs w:val="2"/>
                <w:color w:val="auto"/>
              </w:rPr>
            </w:pPr>
          </w:p>
        </w:tc>
        <w:tc>
          <w:tcPr>
            <w:tcW w:w="220" w:type="dxa"/>
            <w:vAlign w:val="bottom"/>
            <w:tcBorders>
              <w:bottom w:val="single" w:sz="8" w:color="074A75"/>
            </w:tcBorders>
          </w:tcPr>
          <w:p>
            <w:pPr>
              <w:spacing w:after="0"/>
              <w:rPr>
                <w:sz w:val="2"/>
                <w:szCs w:val="2"/>
                <w:color w:val="auto"/>
              </w:rPr>
            </w:pPr>
          </w:p>
        </w:tc>
        <w:tc>
          <w:tcPr>
            <w:tcW w:w="580" w:type="dxa"/>
            <w:vAlign w:val="bottom"/>
            <w:tcBorders>
              <w:bottom w:val="single" w:sz="8" w:color="074A75"/>
            </w:tcBorders>
          </w:tcPr>
          <w:p>
            <w:pPr>
              <w:spacing w:after="0"/>
              <w:rPr>
                <w:sz w:val="2"/>
                <w:szCs w:val="2"/>
                <w:color w:val="auto"/>
              </w:rPr>
            </w:pPr>
          </w:p>
        </w:tc>
        <w:tc>
          <w:tcPr>
            <w:tcW w:w="180" w:type="dxa"/>
            <w:vAlign w:val="bottom"/>
            <w:tcBorders>
              <w:bottom w:val="single" w:sz="8" w:color="074A7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Common stockholders’</w:t>
            </w: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13"/>
                <w:szCs w:val="13"/>
                <w:b w:val="1"/>
                <w:bCs w:val="1"/>
                <w:color w:val="auto"/>
              </w:rPr>
              <w:t>249,291</w:t>
            </w:r>
          </w:p>
        </w:tc>
        <w:tc>
          <w:tcPr>
            <w:tcW w:w="1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175,514</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194,727</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199,699</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211,664</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221,505</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228,122</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229,625</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230,447</w:t>
            </w:r>
          </w:p>
        </w:tc>
        <w:tc>
          <w:tcPr>
            <w:tcW w:w="18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234,337</w:t>
            </w:r>
          </w:p>
        </w:tc>
        <w:tc>
          <w:tcPr>
            <w:tcW w:w="16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vMerge w:val="continue"/>
            <w:shd w:val="clear" w:color="auto" w:fill="E7E7E8"/>
          </w:tcPr>
          <w:p>
            <w:pPr>
              <w:spacing w:after="0"/>
              <w:rPr>
                <w:sz w:val="14"/>
                <w:szCs w:val="14"/>
                <w:color w:val="auto"/>
              </w:rPr>
            </w:pPr>
          </w:p>
        </w:tc>
        <w:tc>
          <w:tcPr>
            <w:tcW w:w="180" w:type="dxa"/>
            <w:vAlign w:val="bottom"/>
            <w:tcBorders>
              <w:bottom w:val="single" w:sz="8" w:color="E7E7E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80" w:type="dxa"/>
            <w:vAlign w:val="bottom"/>
          </w:tcPr>
          <w:p>
            <w:pPr>
              <w:ind w:left="20"/>
              <w:spacing w:after="0"/>
              <w:rPr>
                <w:sz w:val="20"/>
                <w:szCs w:val="20"/>
                <w:color w:val="auto"/>
              </w:rPr>
            </w:pPr>
            <w:r>
              <w:rPr>
                <w:rFonts w:ascii="Arial" w:cs="Arial" w:eastAsia="Arial" w:hAnsi="Arial"/>
                <w:sz w:val="13"/>
                <w:szCs w:val="13"/>
                <w:color w:val="auto"/>
              </w:rPr>
              <w:t>Less: Goodwill</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48,188</w:t>
            </w:r>
          </w:p>
        </w:tc>
        <w:tc>
          <w:tcPr>
            <w:tcW w:w="22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48,175</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48,081</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47,647</w:t>
            </w:r>
          </w:p>
        </w:tc>
        <w:tc>
          <w:tcPr>
            <w:tcW w:w="22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47,325</w:t>
            </w:r>
          </w:p>
        </w:tc>
        <w:tc>
          <w:tcPr>
            <w:tcW w:w="3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47,288</w:t>
            </w:r>
          </w:p>
        </w:tc>
        <w:tc>
          <w:tcPr>
            <w:tcW w:w="200" w:type="dxa"/>
            <w:vAlign w:val="bottom"/>
          </w:tcPr>
          <w:p>
            <w:pPr>
              <w:spacing w:after="0"/>
              <w:rPr>
                <w:sz w:val="15"/>
                <w:szCs w:val="15"/>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47,507</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47,471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47,823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49,248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Less: Other intangible</w:t>
            </w: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300" w:type="dxa"/>
            <w:vAlign w:val="bottom"/>
            <w:shd w:val="clear" w:color="auto" w:fill="E7E7E8"/>
          </w:tcPr>
          <w:p>
            <w:pPr>
              <w:spacing w:after="0"/>
              <w:rPr>
                <w:sz w:val="14"/>
                <w:szCs w:val="14"/>
                <w:color w:val="auto"/>
              </w:rPr>
            </w:pPr>
          </w:p>
        </w:tc>
        <w:tc>
          <w:tcPr>
            <w:tcW w:w="6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64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580" w:type="dxa"/>
            <w:vAlign w:val="bottom"/>
            <w:vMerge w:val="restart"/>
            <w:shd w:val="clear" w:color="auto" w:fill="E7E7E8"/>
          </w:tcPr>
          <w:p>
            <w:pPr>
              <w:jc w:val="right"/>
              <w:spacing w:after="0"/>
              <w:rPr>
                <w:sz w:val="20"/>
                <w:szCs w:val="20"/>
                <w:color w:val="auto"/>
              </w:rPr>
            </w:pPr>
            <w:r>
              <w:rPr>
                <w:rFonts w:ascii="Arial" w:cs="Arial" w:eastAsia="Arial" w:hAnsi="Arial"/>
                <w:sz w:val="13"/>
                <w:szCs w:val="13"/>
                <w:b w:val="1"/>
                <w:bCs w:val="1"/>
                <w:color w:val="auto"/>
              </w:rPr>
              <w:t>904</w:t>
            </w:r>
          </w:p>
        </w:tc>
        <w:tc>
          <w:tcPr>
            <w:tcW w:w="1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assets</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3,207</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2,235</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1,618</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1,192</w:t>
            </w:r>
          </w:p>
        </w:tc>
        <w:tc>
          <w:tcPr>
            <w:tcW w:w="220" w:type="dxa"/>
            <w:vAlign w:val="bottom"/>
            <w:tcBorders>
              <w:bottom w:val="single" w:sz="8" w:color="E7E7E8"/>
            </w:tcBorders>
            <w:shd w:val="clear" w:color="auto" w:fill="E7E7E8"/>
          </w:tcPr>
          <w:p>
            <w:pPr>
              <w:spacing w:after="0"/>
              <w:rPr>
                <w:sz w:val="14"/>
                <w:szCs w:val="14"/>
                <w:color w:val="auto"/>
              </w:rPr>
            </w:pP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1,015</w:t>
            </w:r>
          </w:p>
        </w:tc>
        <w:tc>
          <w:tcPr>
            <w:tcW w:w="300" w:type="dxa"/>
            <w:vAlign w:val="bottom"/>
            <w:tcBorders>
              <w:bottom w:val="single" w:sz="8" w:color="E7E7E8"/>
            </w:tcBorders>
            <w:shd w:val="clear" w:color="auto" w:fill="E7E7E8"/>
          </w:tcPr>
          <w:p>
            <w:pPr>
              <w:spacing w:after="0"/>
              <w:rPr>
                <w:sz w:val="14"/>
                <w:szCs w:val="14"/>
                <w:color w:val="auto"/>
              </w:rPr>
            </w:pP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862</w:t>
            </w:r>
          </w:p>
        </w:tc>
        <w:tc>
          <w:tcPr>
            <w:tcW w:w="200" w:type="dxa"/>
            <w:vAlign w:val="bottom"/>
            <w:tcBorders>
              <w:bottom w:val="single" w:sz="8" w:color="E7E7E8"/>
            </w:tcBorders>
            <w:shd w:val="clear" w:color="auto" w:fill="E7E7E8"/>
          </w:tcPr>
          <w:p>
            <w:pPr>
              <w:spacing w:after="0"/>
              <w:rPr>
                <w:sz w:val="14"/>
                <w:szCs w:val="14"/>
                <w:color w:val="auto"/>
              </w:rPr>
            </w:pP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855</w:t>
            </w:r>
          </w:p>
        </w:tc>
        <w:tc>
          <w:tcPr>
            <w:tcW w:w="160" w:type="dxa"/>
            <w:vAlign w:val="bottom"/>
            <w:tcBorders>
              <w:bottom w:val="single" w:sz="8" w:color="E7E7E8"/>
            </w:tcBorders>
            <w:shd w:val="clear" w:color="auto" w:fill="E7E7E8"/>
          </w:tcPr>
          <w:p>
            <w:pPr>
              <w:spacing w:after="0"/>
              <w:rPr>
                <w:sz w:val="14"/>
                <w:szCs w:val="14"/>
                <w:color w:val="auto"/>
              </w:rPr>
            </w:pP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748</w:t>
            </w:r>
          </w:p>
        </w:tc>
        <w:tc>
          <w:tcPr>
            <w:tcW w:w="18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spacing w:after="0"/>
              <w:rPr>
                <w:sz w:val="14"/>
                <w:szCs w:val="14"/>
                <w:color w:val="auto"/>
              </w:rPr>
            </w:pP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819</w:t>
            </w:r>
          </w:p>
        </w:tc>
        <w:tc>
          <w:tcPr>
            <w:tcW w:w="160" w:type="dxa"/>
            <w:vAlign w:val="bottom"/>
            <w:tcBorders>
              <w:bottom w:val="single" w:sz="8" w:color="E7E7E8"/>
            </w:tcBorders>
            <w:shd w:val="clear" w:color="auto" w:fill="E7E7E8"/>
          </w:tcPr>
          <w:p>
            <w:pPr>
              <w:spacing w:after="0"/>
              <w:rPr>
                <w:sz w:val="14"/>
                <w:szCs w:val="14"/>
                <w:color w:val="auto"/>
              </w:rPr>
            </w:pPr>
          </w:p>
        </w:tc>
        <w:tc>
          <w:tcPr>
            <w:tcW w:w="220" w:type="dxa"/>
            <w:vAlign w:val="bottom"/>
            <w:tcBorders>
              <w:bottom w:val="single" w:sz="8" w:color="E7E7E8"/>
            </w:tcBorders>
            <w:shd w:val="clear" w:color="auto" w:fill="E7E7E8"/>
          </w:tcPr>
          <w:p>
            <w:pPr>
              <w:spacing w:after="0"/>
              <w:rPr>
                <w:sz w:val="14"/>
                <w:szCs w:val="14"/>
                <w:color w:val="auto"/>
              </w:rPr>
            </w:pPr>
          </w:p>
        </w:tc>
        <w:tc>
          <w:tcPr>
            <w:tcW w:w="580" w:type="dxa"/>
            <w:vAlign w:val="bottom"/>
            <w:tcBorders>
              <w:bottom w:val="single" w:sz="8" w:color="E7E7E8"/>
            </w:tcBorders>
            <w:vMerge w:val="continue"/>
            <w:shd w:val="clear" w:color="auto" w:fill="E7E7E8"/>
          </w:tcPr>
          <w:p>
            <w:pPr>
              <w:spacing w:after="0"/>
              <w:rPr>
                <w:sz w:val="14"/>
                <w:szCs w:val="14"/>
                <w:color w:val="auto"/>
              </w:rPr>
            </w:pPr>
          </w:p>
        </w:tc>
        <w:tc>
          <w:tcPr>
            <w:tcW w:w="180" w:type="dxa"/>
            <w:vAlign w:val="bottom"/>
            <w:tcBorders>
              <w:bottom w:val="single" w:sz="8" w:color="E7E7E8"/>
            </w:tcBorders>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3"/>
                <w:szCs w:val="13"/>
                <w:color w:val="auto"/>
              </w:rPr>
              <w:t>Add: Certain deferred tax</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Borders>
              <w:bottom w:val="single" w:sz="8" w:color="034877"/>
            </w:tcBorders>
          </w:tcPr>
          <w:p>
            <w:pPr>
              <w:ind w:left="20"/>
              <w:spacing w:after="0"/>
              <w:rPr>
                <w:sz w:val="20"/>
                <w:szCs w:val="20"/>
                <w:color w:val="auto"/>
              </w:rPr>
            </w:pPr>
            <w:r>
              <w:rPr>
                <w:rFonts w:ascii="Arial" w:cs="Arial" w:eastAsia="Arial" w:hAnsi="Arial"/>
                <w:sz w:val="13"/>
                <w:szCs w:val="13"/>
                <w:color w:val="auto"/>
              </w:rPr>
              <w:t>liabilities</w:t>
            </w:r>
            <w:r>
              <w:rPr>
                <w:rFonts w:ascii="Arial" w:cs="Arial" w:eastAsia="Arial" w:hAnsi="Arial"/>
                <w:sz w:val="16"/>
                <w:szCs w:val="16"/>
                <w:color w:val="auto"/>
                <w:vertAlign w:val="superscript"/>
              </w:rPr>
              <w:t>(a)</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2,729</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2,803</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2,953</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2,853</w:t>
            </w:r>
          </w:p>
        </w:tc>
        <w:tc>
          <w:tcPr>
            <w:tcW w:w="220" w:type="dxa"/>
            <w:vAlign w:val="bottom"/>
            <w:tcBorders>
              <w:bottom w:val="single" w:sz="8" w:color="034877"/>
            </w:tcBorders>
          </w:tcPr>
          <w:p>
            <w:pPr>
              <w:spacing w:after="0"/>
              <w:rPr>
                <w:sz w:val="18"/>
                <w:szCs w:val="18"/>
                <w:color w:val="auto"/>
              </w:rPr>
            </w:pPr>
          </w:p>
        </w:tc>
        <w:tc>
          <w:tcPr>
            <w:tcW w:w="74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3,148</w:t>
            </w:r>
          </w:p>
        </w:tc>
        <w:tc>
          <w:tcPr>
            <w:tcW w:w="300" w:type="dxa"/>
            <w:vAlign w:val="bottom"/>
            <w:tcBorders>
              <w:bottom w:val="single" w:sz="8" w:color="034877"/>
            </w:tcBorders>
          </w:tcPr>
          <w:p>
            <w:pPr>
              <w:spacing w:after="0"/>
              <w:rPr>
                <w:sz w:val="18"/>
                <w:szCs w:val="18"/>
                <w:color w:val="auto"/>
              </w:rPr>
            </w:pPr>
          </w:p>
        </w:tc>
        <w:tc>
          <w:tcPr>
            <w:tcW w:w="680" w:type="dxa"/>
            <w:vAlign w:val="bottom"/>
            <w:tcBorders>
              <w:bottom w:val="single" w:sz="8" w:color="034877"/>
            </w:tcBorders>
          </w:tcPr>
          <w:p>
            <w:pPr>
              <w:jc w:val="right"/>
              <w:ind w:right="137"/>
              <w:spacing w:after="0"/>
              <w:rPr>
                <w:sz w:val="20"/>
                <w:szCs w:val="20"/>
                <w:color w:val="auto"/>
              </w:rPr>
            </w:pPr>
            <w:r>
              <w:rPr>
                <w:rFonts w:ascii="Arial" w:cs="Arial" w:eastAsia="Arial" w:hAnsi="Arial"/>
                <w:sz w:val="13"/>
                <w:szCs w:val="13"/>
                <w:color w:val="auto"/>
              </w:rPr>
              <w:t>3,230</w:t>
            </w:r>
          </w:p>
        </w:tc>
        <w:tc>
          <w:tcPr>
            <w:tcW w:w="200" w:type="dxa"/>
            <w:vAlign w:val="bottom"/>
            <w:tcBorders>
              <w:bottom w:val="single" w:sz="8" w:color="034877"/>
            </w:tcBorders>
          </w:tcPr>
          <w:p>
            <w:pPr>
              <w:spacing w:after="0"/>
              <w:rPr>
                <w:sz w:val="18"/>
                <w:szCs w:val="18"/>
                <w:color w:val="auto"/>
              </w:rPr>
            </w:pPr>
          </w:p>
        </w:tc>
        <w:tc>
          <w:tcPr>
            <w:tcW w:w="760" w:type="dxa"/>
            <w:vAlign w:val="bottom"/>
            <w:tcBorders>
              <w:bottom w:val="single" w:sz="8" w:color="034877"/>
            </w:tcBorders>
          </w:tcPr>
          <w:p>
            <w:pPr>
              <w:jc w:val="right"/>
              <w:ind w:right="117"/>
              <w:spacing w:after="0"/>
              <w:rPr>
                <w:sz w:val="20"/>
                <w:szCs w:val="20"/>
                <w:color w:val="auto"/>
              </w:rPr>
            </w:pPr>
            <w:r>
              <w:rPr>
                <w:rFonts w:ascii="Arial" w:cs="Arial" w:eastAsia="Arial" w:hAnsi="Arial"/>
                <w:sz w:val="13"/>
                <w:szCs w:val="13"/>
                <w:color w:val="auto"/>
              </w:rPr>
              <w:t>2,204</w:t>
            </w:r>
          </w:p>
        </w:tc>
        <w:tc>
          <w:tcPr>
            <w:tcW w:w="160" w:type="dxa"/>
            <w:vAlign w:val="bottom"/>
            <w:tcBorders>
              <w:bottom w:val="single" w:sz="8" w:color="034877"/>
            </w:tcBorders>
          </w:tcPr>
          <w:p>
            <w:pPr>
              <w:spacing w:after="0"/>
              <w:rPr>
                <w:sz w:val="18"/>
                <w:szCs w:val="18"/>
                <w:color w:val="auto"/>
              </w:rPr>
            </w:pPr>
          </w:p>
        </w:tc>
        <w:tc>
          <w:tcPr>
            <w:tcW w:w="640" w:type="dxa"/>
            <w:vAlign w:val="bottom"/>
            <w:tcBorders>
              <w:bottom w:val="single" w:sz="8" w:color="034877"/>
            </w:tcBorders>
          </w:tcPr>
          <w:p>
            <w:pPr>
              <w:jc w:val="right"/>
              <w:spacing w:after="0"/>
              <w:rPr>
                <w:sz w:val="20"/>
                <w:szCs w:val="20"/>
                <w:color w:val="auto"/>
              </w:rPr>
            </w:pPr>
            <w:r>
              <w:rPr>
                <w:rFonts w:ascii="Arial" w:cs="Arial" w:eastAsia="Arial" w:hAnsi="Arial"/>
                <w:sz w:val="13"/>
                <w:szCs w:val="13"/>
                <w:color w:val="auto"/>
              </w:rPr>
              <w:t>2,280</w:t>
            </w:r>
          </w:p>
        </w:tc>
        <w:tc>
          <w:tcPr>
            <w:tcW w:w="180" w:type="dxa"/>
            <w:vAlign w:val="bottom"/>
            <w:tcBorders>
              <w:bottom w:val="single" w:sz="8" w:color="034877"/>
            </w:tcBorders>
          </w:tcPr>
          <w:p>
            <w:pPr>
              <w:spacing w:after="0"/>
              <w:rPr>
                <w:sz w:val="18"/>
                <w:szCs w:val="18"/>
                <w:color w:val="auto"/>
              </w:rPr>
            </w:pPr>
          </w:p>
        </w:tc>
        <w:tc>
          <w:tcPr>
            <w:tcW w:w="220" w:type="dxa"/>
            <w:vAlign w:val="bottom"/>
            <w:tcBorders>
              <w:bottom w:val="single" w:sz="8" w:color="034877"/>
            </w:tcBorders>
          </w:tcPr>
          <w:p>
            <w:pPr>
              <w:spacing w:after="0"/>
              <w:rPr>
                <w:sz w:val="18"/>
                <w:szCs w:val="18"/>
                <w:color w:val="auto"/>
              </w:rPr>
            </w:pPr>
          </w:p>
        </w:tc>
        <w:tc>
          <w:tcPr>
            <w:tcW w:w="580" w:type="dxa"/>
            <w:vAlign w:val="bottom"/>
            <w:tcBorders>
              <w:bottom w:val="single" w:sz="8" w:color="034877"/>
            </w:tcBorders>
          </w:tcPr>
          <w:p>
            <w:pPr>
              <w:jc w:val="right"/>
              <w:spacing w:after="0"/>
              <w:rPr>
                <w:sz w:val="20"/>
                <w:szCs w:val="20"/>
                <w:color w:val="auto"/>
              </w:rPr>
            </w:pPr>
            <w:r>
              <w:rPr>
                <w:rFonts w:ascii="Arial" w:cs="Arial" w:eastAsia="Arial" w:hAnsi="Arial"/>
                <w:sz w:val="13"/>
                <w:szCs w:val="13"/>
                <w:color w:val="auto"/>
              </w:rPr>
              <w:t>2,381</w:t>
            </w:r>
          </w:p>
        </w:tc>
        <w:tc>
          <w:tcPr>
            <w:tcW w:w="160" w:type="dxa"/>
            <w:vAlign w:val="bottom"/>
            <w:tcBorders>
              <w:bottom w:val="single" w:sz="8" w:color="074A75"/>
            </w:tcBorders>
          </w:tcPr>
          <w:p>
            <w:pPr>
              <w:spacing w:after="0"/>
              <w:rPr>
                <w:sz w:val="18"/>
                <w:szCs w:val="18"/>
                <w:color w:val="auto"/>
              </w:rPr>
            </w:pPr>
          </w:p>
        </w:tc>
        <w:tc>
          <w:tcPr>
            <w:tcW w:w="220" w:type="dxa"/>
            <w:vAlign w:val="bottom"/>
            <w:tcBorders>
              <w:bottom w:val="single" w:sz="8" w:color="034877"/>
            </w:tcBorders>
          </w:tcPr>
          <w:p>
            <w:pPr>
              <w:spacing w:after="0"/>
              <w:rPr>
                <w:sz w:val="18"/>
                <w:szCs w:val="18"/>
                <w:color w:val="auto"/>
              </w:rPr>
            </w:pPr>
          </w:p>
        </w:tc>
        <w:tc>
          <w:tcPr>
            <w:tcW w:w="580" w:type="dxa"/>
            <w:vAlign w:val="bottom"/>
            <w:tcBorders>
              <w:bottom w:val="single" w:sz="8" w:color="034877"/>
            </w:tcBorders>
          </w:tcPr>
          <w:p>
            <w:pPr>
              <w:jc w:val="right"/>
              <w:spacing w:after="0"/>
              <w:rPr>
                <w:sz w:val="20"/>
                <w:szCs w:val="20"/>
                <w:color w:val="auto"/>
              </w:rPr>
            </w:pPr>
            <w:r>
              <w:rPr>
                <w:rFonts w:ascii="Arial" w:cs="Arial" w:eastAsia="Arial" w:hAnsi="Arial"/>
                <w:sz w:val="13"/>
                <w:szCs w:val="13"/>
                <w:b w:val="1"/>
                <w:bCs w:val="1"/>
                <w:color w:val="auto"/>
              </w:rPr>
              <w:t>2,453</w:t>
            </w:r>
          </w:p>
        </w:tc>
        <w:tc>
          <w:tcPr>
            <w:tcW w:w="180" w:type="dxa"/>
            <w:vAlign w:val="bottom"/>
            <w:tcBorders>
              <w:bottom w:val="single" w:sz="8" w:color="074A75"/>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b w:val="1"/>
                <w:bCs w:val="1"/>
                <w:color w:val="auto"/>
              </w:rPr>
              <w:t>Tangible common equity</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126,848</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147,120</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152,953</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165,678</w:t>
            </w: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176,313</w:t>
            </w:r>
          </w:p>
        </w:tc>
        <w:tc>
          <w:tcPr>
            <w:tcW w:w="30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7E7E8"/>
            </w:tcBorders>
            <w:shd w:val="clear" w:color="auto" w:fill="E7E7E8"/>
          </w:tcPr>
          <w:p>
            <w:pPr>
              <w:jc w:val="right"/>
              <w:ind w:right="137"/>
              <w:spacing w:after="0"/>
              <w:rPr>
                <w:sz w:val="20"/>
                <w:szCs w:val="20"/>
                <w:color w:val="auto"/>
              </w:rPr>
            </w:pPr>
            <w:r>
              <w:rPr>
                <w:rFonts w:ascii="Arial" w:cs="Arial" w:eastAsia="Arial" w:hAnsi="Arial"/>
                <w:sz w:val="13"/>
                <w:szCs w:val="13"/>
                <w:color w:val="auto"/>
                <w:w w:val="97"/>
              </w:rPr>
              <w:t>183,202</w:t>
            </w:r>
          </w:p>
        </w:tc>
        <w:tc>
          <w:tcPr>
            <w:tcW w:w="20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7E7E8"/>
            </w:tcBorders>
            <w:shd w:val="clear" w:color="auto" w:fill="E7E7E8"/>
          </w:tcPr>
          <w:p>
            <w:pPr>
              <w:jc w:val="right"/>
              <w:ind w:right="117"/>
              <w:spacing w:after="0"/>
              <w:rPr>
                <w:sz w:val="20"/>
                <w:szCs w:val="20"/>
                <w:color w:val="auto"/>
              </w:rPr>
            </w:pPr>
            <w:r>
              <w:rPr>
                <w:rFonts w:ascii="Arial" w:cs="Arial" w:eastAsia="Arial" w:hAnsi="Arial"/>
                <w:sz w:val="13"/>
                <w:szCs w:val="13"/>
                <w:color w:val="auto"/>
              </w:rPr>
              <w:t>183,467</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184,508</w:t>
            </w:r>
          </w:p>
        </w:tc>
        <w:tc>
          <w:tcPr>
            <w:tcW w:w="180" w:type="dxa"/>
            <w:vAlign w:val="bottom"/>
            <w:tcBorders>
              <w:bottom w:val="single" w:sz="8" w:color="E7E7E8"/>
            </w:tcBorders>
            <w:shd w:val="clear" w:color="auto" w:fill="E7E7E8"/>
          </w:tcPr>
          <w:p>
            <w:pPr>
              <w:spacing w:after="0"/>
              <w:rPr>
                <w:sz w:val="17"/>
                <w:szCs w:val="17"/>
                <w:color w:val="auto"/>
              </w:rPr>
            </w:pPr>
          </w:p>
        </w:tc>
        <w:tc>
          <w:tcPr>
            <w:tcW w:w="220" w:type="dxa"/>
            <w:vAlign w:val="bottom"/>
            <w:tcBorders>
              <w:bottom w:val="single" w:sz="8" w:color="E7E7E8"/>
            </w:tcBorders>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188,076</w:t>
            </w:r>
          </w:p>
        </w:tc>
        <w:tc>
          <w:tcPr>
            <w:tcW w:w="160" w:type="dxa"/>
            <w:vAlign w:val="bottom"/>
            <w:tcBorders>
              <w:bottom w:val="single" w:sz="8" w:color="E7E7E8"/>
            </w:tcBorders>
            <w:shd w:val="clear" w:color="auto" w:fill="E7E7E8"/>
          </w:tcPr>
          <w:p>
            <w:pPr>
              <w:spacing w:after="0"/>
              <w:rPr>
                <w:sz w:val="17"/>
                <w:szCs w:val="17"/>
                <w:color w:val="auto"/>
              </w:rPr>
            </w:pPr>
          </w:p>
        </w:tc>
        <w:tc>
          <w:tcPr>
            <w:tcW w:w="220" w:type="dxa"/>
            <w:vAlign w:val="bottom"/>
            <w:tcBorders>
              <w:bottom w:val="single" w:sz="8" w:color="E7E7E8"/>
            </w:tcBorders>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b w:val="1"/>
                <w:bCs w:val="1"/>
                <w:color w:val="auto"/>
              </w:rPr>
              <w:t>201,592</w:t>
            </w:r>
          </w:p>
        </w:tc>
        <w:tc>
          <w:tcPr>
            <w:tcW w:w="18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580" w:type="dxa"/>
            <w:vAlign w:val="bottom"/>
            <w:tcBorders>
              <w:top w:val="single" w:sz="8" w:color="034877"/>
            </w:tcBorders>
          </w:tcPr>
          <w:p>
            <w:pPr>
              <w:ind w:left="20"/>
              <w:spacing w:after="0"/>
              <w:rPr>
                <w:sz w:val="20"/>
                <w:szCs w:val="20"/>
                <w:color w:val="auto"/>
              </w:rPr>
            </w:pPr>
            <w:r>
              <w:rPr>
                <w:rFonts w:ascii="Arial" w:cs="Arial" w:eastAsia="Arial" w:hAnsi="Arial"/>
                <w:sz w:val="13"/>
                <w:szCs w:val="13"/>
                <w:color w:val="auto"/>
              </w:rPr>
              <w:t>Common shares</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jc w:val="right"/>
              <w:ind w:right="117"/>
              <w:spacing w:after="0"/>
              <w:rPr>
                <w:sz w:val="20"/>
                <w:szCs w:val="20"/>
                <w:color w:val="auto"/>
              </w:rPr>
            </w:pPr>
            <w:r>
              <w:rPr>
                <w:rFonts w:ascii="Arial" w:cs="Arial" w:eastAsia="Arial" w:hAnsi="Arial"/>
                <w:sz w:val="13"/>
                <w:szCs w:val="13"/>
                <w:color w:val="auto"/>
              </w:rPr>
              <w:t>3,772.7</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jc w:val="right"/>
              <w:ind w:right="117"/>
              <w:spacing w:after="0"/>
              <w:rPr>
                <w:sz w:val="20"/>
                <w:szCs w:val="20"/>
                <w:color w:val="auto"/>
              </w:rPr>
            </w:pPr>
            <w:r>
              <w:rPr>
                <w:rFonts w:ascii="Arial" w:cs="Arial" w:eastAsia="Arial" w:hAnsi="Arial"/>
                <w:sz w:val="13"/>
                <w:szCs w:val="13"/>
                <w:color w:val="auto"/>
              </w:rPr>
              <w:t>3,804.0</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jc w:val="right"/>
              <w:ind w:right="137"/>
              <w:spacing w:after="0"/>
              <w:rPr>
                <w:sz w:val="20"/>
                <w:szCs w:val="20"/>
                <w:color w:val="auto"/>
              </w:rPr>
            </w:pPr>
            <w:r>
              <w:rPr>
                <w:rFonts w:ascii="Arial" w:cs="Arial" w:eastAsia="Arial" w:hAnsi="Arial"/>
                <w:sz w:val="13"/>
                <w:szCs w:val="13"/>
                <w:color w:val="auto"/>
              </w:rPr>
              <w:t>3,756.1</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jc w:val="right"/>
              <w:ind w:right="137"/>
              <w:spacing w:after="0"/>
              <w:rPr>
                <w:sz w:val="20"/>
                <w:szCs w:val="20"/>
                <w:color w:val="auto"/>
              </w:rPr>
            </w:pPr>
            <w:r>
              <w:rPr>
                <w:rFonts w:ascii="Arial" w:cs="Arial" w:eastAsia="Arial" w:hAnsi="Arial"/>
                <w:sz w:val="13"/>
                <w:szCs w:val="13"/>
                <w:color w:val="auto"/>
              </w:rPr>
              <w:t>3,714.8</w:t>
            </w:r>
          </w:p>
        </w:tc>
        <w:tc>
          <w:tcPr>
            <w:tcW w:w="220" w:type="dxa"/>
            <w:vAlign w:val="bottom"/>
            <w:tcBorders>
              <w:top w:val="single" w:sz="8" w:color="034877"/>
            </w:tcBorders>
          </w:tcPr>
          <w:p>
            <w:pPr>
              <w:spacing w:after="0"/>
              <w:rPr>
                <w:sz w:val="14"/>
                <w:szCs w:val="14"/>
                <w:color w:val="auto"/>
              </w:rPr>
            </w:pPr>
          </w:p>
        </w:tc>
        <w:tc>
          <w:tcPr>
            <w:tcW w:w="740" w:type="dxa"/>
            <w:vAlign w:val="bottom"/>
            <w:tcBorders>
              <w:top w:val="single" w:sz="8" w:color="034877"/>
            </w:tcBorders>
          </w:tcPr>
          <w:p>
            <w:pPr>
              <w:jc w:val="right"/>
              <w:ind w:right="137"/>
              <w:spacing w:after="0"/>
              <w:rPr>
                <w:sz w:val="20"/>
                <w:szCs w:val="20"/>
                <w:color w:val="auto"/>
              </w:rPr>
            </w:pPr>
            <w:r>
              <w:rPr>
                <w:rFonts w:ascii="Arial" w:cs="Arial" w:eastAsia="Arial" w:hAnsi="Arial"/>
                <w:sz w:val="13"/>
                <w:szCs w:val="13"/>
                <w:color w:val="auto"/>
              </w:rPr>
              <w:t>3,663.5</w:t>
            </w:r>
          </w:p>
        </w:tc>
        <w:tc>
          <w:tcPr>
            <w:tcW w:w="300" w:type="dxa"/>
            <w:vAlign w:val="bottom"/>
            <w:tcBorders>
              <w:top w:val="single" w:sz="8" w:color="034877"/>
            </w:tcBorders>
          </w:tcPr>
          <w:p>
            <w:pPr>
              <w:spacing w:after="0"/>
              <w:rPr>
                <w:sz w:val="14"/>
                <w:szCs w:val="14"/>
                <w:color w:val="auto"/>
              </w:rPr>
            </w:pPr>
          </w:p>
        </w:tc>
        <w:tc>
          <w:tcPr>
            <w:tcW w:w="680" w:type="dxa"/>
            <w:vAlign w:val="bottom"/>
            <w:tcBorders>
              <w:top w:val="single" w:sz="8" w:color="034877"/>
            </w:tcBorders>
          </w:tcPr>
          <w:p>
            <w:pPr>
              <w:jc w:val="right"/>
              <w:ind w:right="137"/>
              <w:spacing w:after="0"/>
              <w:rPr>
                <w:sz w:val="20"/>
                <w:szCs w:val="20"/>
                <w:color w:val="auto"/>
              </w:rPr>
            </w:pPr>
            <w:r>
              <w:rPr>
                <w:rFonts w:ascii="Arial" w:cs="Arial" w:eastAsia="Arial" w:hAnsi="Arial"/>
                <w:sz w:val="13"/>
                <w:szCs w:val="13"/>
                <w:color w:val="auto"/>
              </w:rPr>
              <w:t>3,561.2</w:t>
            </w:r>
          </w:p>
        </w:tc>
        <w:tc>
          <w:tcPr>
            <w:tcW w:w="200" w:type="dxa"/>
            <w:vAlign w:val="bottom"/>
            <w:tcBorders>
              <w:top w:val="single" w:sz="8" w:color="034877"/>
            </w:tcBorders>
          </w:tcPr>
          <w:p>
            <w:pPr>
              <w:spacing w:after="0"/>
              <w:rPr>
                <w:sz w:val="14"/>
                <w:szCs w:val="14"/>
                <w:color w:val="auto"/>
              </w:rPr>
            </w:pPr>
          </w:p>
        </w:tc>
        <w:tc>
          <w:tcPr>
            <w:tcW w:w="760" w:type="dxa"/>
            <w:vAlign w:val="bottom"/>
            <w:tcBorders>
              <w:top w:val="single" w:sz="8" w:color="034877"/>
            </w:tcBorders>
          </w:tcPr>
          <w:p>
            <w:pPr>
              <w:jc w:val="right"/>
              <w:ind w:right="117"/>
              <w:spacing w:after="0"/>
              <w:rPr>
                <w:sz w:val="20"/>
                <w:szCs w:val="20"/>
                <w:color w:val="auto"/>
              </w:rPr>
            </w:pPr>
            <w:r>
              <w:rPr>
                <w:rFonts w:ascii="Arial" w:cs="Arial" w:eastAsia="Arial" w:hAnsi="Arial"/>
                <w:sz w:val="13"/>
                <w:szCs w:val="13"/>
                <w:color w:val="auto"/>
              </w:rPr>
              <w:t>3,425.3</w:t>
            </w:r>
          </w:p>
        </w:tc>
        <w:tc>
          <w:tcPr>
            <w:tcW w:w="160" w:type="dxa"/>
            <w:vAlign w:val="bottom"/>
            <w:tcBorders>
              <w:top w:val="single" w:sz="8" w:color="034877"/>
            </w:tcBorders>
          </w:tcPr>
          <w:p>
            <w:pPr>
              <w:spacing w:after="0"/>
              <w:rPr>
                <w:sz w:val="14"/>
                <w:szCs w:val="14"/>
                <w:color w:val="auto"/>
              </w:rPr>
            </w:pPr>
          </w:p>
        </w:tc>
        <w:tc>
          <w:tcPr>
            <w:tcW w:w="640" w:type="dxa"/>
            <w:vAlign w:val="bottom"/>
            <w:tcBorders>
              <w:top w:val="single" w:sz="8" w:color="034877"/>
            </w:tcBorders>
          </w:tcPr>
          <w:p>
            <w:pPr>
              <w:jc w:val="right"/>
              <w:spacing w:after="0"/>
              <w:rPr>
                <w:sz w:val="20"/>
                <w:szCs w:val="20"/>
                <w:color w:val="auto"/>
              </w:rPr>
            </w:pPr>
            <w:r>
              <w:rPr>
                <w:rFonts w:ascii="Arial" w:cs="Arial" w:eastAsia="Arial" w:hAnsi="Arial"/>
                <w:sz w:val="13"/>
                <w:szCs w:val="13"/>
                <w:color w:val="auto"/>
              </w:rPr>
              <w:t>3,275.8</w:t>
            </w:r>
          </w:p>
        </w:tc>
        <w:tc>
          <w:tcPr>
            <w:tcW w:w="180" w:type="dxa"/>
            <w:vAlign w:val="bottom"/>
            <w:tcBorders>
              <w:top w:val="single" w:sz="8" w:color="034877"/>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580" w:type="dxa"/>
            <w:vAlign w:val="bottom"/>
            <w:tcBorders>
              <w:top w:val="single" w:sz="8" w:color="034877"/>
            </w:tcBorders>
          </w:tcPr>
          <w:p>
            <w:pPr>
              <w:jc w:val="right"/>
              <w:spacing w:after="0"/>
              <w:rPr>
                <w:sz w:val="20"/>
                <w:szCs w:val="20"/>
                <w:color w:val="auto"/>
              </w:rPr>
            </w:pPr>
            <w:r>
              <w:rPr>
                <w:rFonts w:ascii="Arial" w:cs="Arial" w:eastAsia="Arial" w:hAnsi="Arial"/>
                <w:sz w:val="13"/>
                <w:szCs w:val="13"/>
                <w:color w:val="auto"/>
              </w:rPr>
              <w:t>3,084.0</w:t>
            </w:r>
          </w:p>
        </w:tc>
        <w:tc>
          <w:tcPr>
            <w:tcW w:w="160" w:type="dxa"/>
            <w:vAlign w:val="bottom"/>
            <w:tcBorders>
              <w:top w:val="single" w:sz="8" w:color="074A75"/>
            </w:tcBorders>
          </w:tcPr>
          <w:p>
            <w:pPr>
              <w:spacing w:after="0"/>
              <w:rPr>
                <w:sz w:val="14"/>
                <w:szCs w:val="14"/>
                <w:color w:val="auto"/>
              </w:rPr>
            </w:pPr>
          </w:p>
        </w:tc>
        <w:tc>
          <w:tcPr>
            <w:tcW w:w="220" w:type="dxa"/>
            <w:vAlign w:val="bottom"/>
            <w:tcBorders>
              <w:top w:val="single" w:sz="8" w:color="034877"/>
            </w:tcBorders>
          </w:tcPr>
          <w:p>
            <w:pPr>
              <w:spacing w:after="0"/>
              <w:rPr>
                <w:sz w:val="14"/>
                <w:szCs w:val="14"/>
                <w:color w:val="auto"/>
              </w:rPr>
            </w:pPr>
          </w:p>
        </w:tc>
        <w:tc>
          <w:tcPr>
            <w:tcW w:w="580" w:type="dxa"/>
            <w:vAlign w:val="bottom"/>
            <w:tcBorders>
              <w:top w:val="single" w:sz="8" w:color="034877"/>
            </w:tcBorders>
          </w:tcPr>
          <w:p>
            <w:pPr>
              <w:jc w:val="right"/>
              <w:spacing w:after="0"/>
              <w:rPr>
                <w:sz w:val="20"/>
                <w:szCs w:val="20"/>
                <w:color w:val="auto"/>
              </w:rPr>
            </w:pPr>
            <w:r>
              <w:rPr>
                <w:rFonts w:ascii="Arial" w:cs="Arial" w:eastAsia="Arial" w:hAnsi="Arial"/>
                <w:sz w:val="13"/>
                <w:szCs w:val="13"/>
                <w:b w:val="1"/>
                <w:bCs w:val="1"/>
                <w:color w:val="auto"/>
              </w:rPr>
              <w:t>3,049.4</w:t>
            </w:r>
          </w:p>
        </w:tc>
        <w:tc>
          <w:tcPr>
            <w:tcW w:w="180" w:type="dxa"/>
            <w:vAlign w:val="bottom"/>
            <w:tcBorders>
              <w:top w:val="single" w:sz="8" w:color="074A75"/>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E7E7E8"/>
          </w:tcPr>
          <w:p>
            <w:pPr>
              <w:ind w:left="20"/>
              <w:spacing w:after="0"/>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(d)</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46.52</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51.19</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53.17</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56.98</w:t>
            </w: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60.46</w:t>
            </w:r>
          </w:p>
        </w:tc>
        <w:tc>
          <w:tcPr>
            <w:tcW w:w="30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64.06</w:t>
            </w:r>
          </w:p>
        </w:tc>
        <w:tc>
          <w:tcPr>
            <w:tcW w:w="20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17"/>
              <w:spacing w:after="0"/>
              <w:rPr>
                <w:sz w:val="20"/>
                <w:szCs w:val="20"/>
                <w:color w:val="auto"/>
              </w:rPr>
            </w:pPr>
            <w:r>
              <w:rPr>
                <w:rFonts w:ascii="Arial" w:cs="Arial" w:eastAsia="Arial" w:hAnsi="Arial"/>
                <w:sz w:val="13"/>
                <w:szCs w:val="13"/>
                <w:color w:val="auto"/>
              </w:rPr>
              <w:t>67.04</w:t>
            </w:r>
          </w:p>
        </w:tc>
        <w:tc>
          <w:tcPr>
            <w:tcW w:w="16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70.35</w:t>
            </w:r>
          </w:p>
        </w:tc>
        <w:tc>
          <w:tcPr>
            <w:tcW w:w="180" w:type="dxa"/>
            <w:vAlign w:val="bottom"/>
            <w:shd w:val="clear" w:color="auto" w:fill="E7E7E8"/>
          </w:tcPr>
          <w:p>
            <w:pPr>
              <w:spacing w:after="0"/>
              <w:rPr>
                <w:sz w:val="21"/>
                <w:szCs w:val="21"/>
                <w:color w:val="auto"/>
              </w:rPr>
            </w:pPr>
          </w:p>
        </w:tc>
        <w:tc>
          <w:tcPr>
            <w:tcW w:w="2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75.98</w:t>
            </w:r>
          </w:p>
        </w:tc>
        <w:tc>
          <w:tcPr>
            <w:tcW w:w="160" w:type="dxa"/>
            <w:vAlign w:val="bottom"/>
            <w:shd w:val="clear" w:color="auto" w:fill="E7E7E8"/>
          </w:tcPr>
          <w:p>
            <w:pPr>
              <w:spacing w:after="0"/>
              <w:rPr>
                <w:sz w:val="21"/>
                <w:szCs w:val="21"/>
                <w:color w:val="auto"/>
              </w:rPr>
            </w:pPr>
          </w:p>
        </w:tc>
        <w:tc>
          <w:tcPr>
            <w:tcW w:w="22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shd w:val="clear" w:color="auto" w:fill="E7E7E8"/>
          </w:tcPr>
          <w:p>
            <w:pPr>
              <w:jc w:val="right"/>
              <w:spacing w:after="0"/>
              <w:rPr>
                <w:sz w:val="20"/>
                <w:szCs w:val="20"/>
                <w:color w:val="auto"/>
              </w:rPr>
            </w:pPr>
            <w:r>
              <w:rPr>
                <w:rFonts w:ascii="Arial" w:cs="Arial" w:eastAsia="Arial" w:hAnsi="Arial"/>
                <w:sz w:val="13"/>
                <w:szCs w:val="13"/>
                <w:b w:val="1"/>
                <w:bCs w:val="1"/>
                <w:color w:val="auto"/>
              </w:rPr>
              <w:t>81.75</w:t>
            </w:r>
          </w:p>
        </w:tc>
        <w:tc>
          <w:tcPr>
            <w:tcW w:w="1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20"/>
              <w:spacing w:after="0"/>
              <w:rPr>
                <w:sz w:val="20"/>
                <w:szCs w:val="20"/>
                <w:color w:val="auto"/>
              </w:rPr>
            </w:pPr>
            <w:r>
              <w:rPr>
                <w:rFonts w:ascii="Arial" w:cs="Arial" w:eastAsia="Arial" w:hAnsi="Arial"/>
                <w:sz w:val="13"/>
                <w:szCs w:val="13"/>
                <w:color w:val="auto"/>
              </w:rPr>
              <w:t>Tangible book value per</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3"/>
                <w:szCs w:val="13"/>
                <w:color w:val="auto"/>
              </w:rPr>
              <w:t>share</w:t>
            </w:r>
            <w:r>
              <w:rPr>
                <w:rFonts w:ascii="Arial" w:cs="Arial" w:eastAsia="Arial" w:hAnsi="Arial"/>
                <w:sz w:val="16"/>
                <w:szCs w:val="16"/>
                <w:color w:val="auto"/>
                <w:vertAlign w:val="superscript"/>
              </w:rPr>
              <w:t>(e)</w:t>
            </w:r>
          </w:p>
        </w:tc>
        <w:tc>
          <w:tcPr>
            <w:tcW w:w="22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33.62</w:t>
            </w:r>
          </w:p>
        </w:tc>
        <w:tc>
          <w:tcPr>
            <w:tcW w:w="220" w:type="dxa"/>
            <w:vAlign w:val="bottom"/>
          </w:tcPr>
          <w:p>
            <w:pPr>
              <w:spacing w:after="0"/>
              <w:rPr>
                <w:sz w:val="18"/>
                <w:szCs w:val="18"/>
                <w:color w:val="auto"/>
              </w:rPr>
            </w:pP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38.68</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40.72</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44.60</w:t>
            </w:r>
          </w:p>
        </w:tc>
        <w:tc>
          <w:tcPr>
            <w:tcW w:w="220" w:type="dxa"/>
            <w:vAlign w:val="bottom"/>
          </w:tcPr>
          <w:p>
            <w:pPr>
              <w:spacing w:after="0"/>
              <w:rPr>
                <w:sz w:val="18"/>
                <w:szCs w:val="18"/>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48.13</w:t>
            </w:r>
          </w:p>
        </w:tc>
        <w:tc>
          <w:tcPr>
            <w:tcW w:w="300" w:type="dxa"/>
            <w:vAlign w:val="bottom"/>
          </w:tcPr>
          <w:p>
            <w:pPr>
              <w:spacing w:after="0"/>
              <w:rPr>
                <w:sz w:val="18"/>
                <w:szCs w:val="18"/>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color w:val="auto"/>
              </w:rPr>
              <w:t>51.44</w:t>
            </w:r>
          </w:p>
        </w:tc>
        <w:tc>
          <w:tcPr>
            <w:tcW w:w="200" w:type="dxa"/>
            <w:vAlign w:val="bottom"/>
          </w:tcPr>
          <w:p>
            <w:pPr>
              <w:spacing w:after="0"/>
              <w:rPr>
                <w:sz w:val="18"/>
                <w:szCs w:val="18"/>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53.56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66.11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0" w:right="220" w:hanging="192"/>
        <w:spacing w:after="0" w:line="213" w:lineRule="auto"/>
        <w:tabs>
          <w:tab w:leader="none" w:pos="20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spacing w:after="0" w:line="1" w:lineRule="exact"/>
        <w:rPr>
          <w:rFonts w:ascii="Arial" w:cs="Arial" w:eastAsia="Arial" w:hAnsi="Arial"/>
          <w:sz w:val="16"/>
          <w:szCs w:val="16"/>
          <w:color w:val="auto"/>
          <w:vertAlign w:val="superscript"/>
        </w:rPr>
      </w:pPr>
    </w:p>
    <w:p>
      <w:pPr>
        <w:ind w:left="180" w:hanging="172"/>
        <w:spacing w:after="0" w:line="193" w:lineRule="auto"/>
        <w:tabs>
          <w:tab w:leader="none" w:pos="18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common stockholders’ equity.</w:t>
      </w:r>
    </w:p>
    <w:p>
      <w:pPr>
        <w:ind w:left="200" w:hanging="192"/>
        <w:spacing w:after="0" w:line="193" w:lineRule="auto"/>
        <w:tabs>
          <w:tab w:leader="none" w:pos="20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net income applicable to common equity / average TCE.</w:t>
      </w:r>
    </w:p>
    <w:p>
      <w:pPr>
        <w:ind w:left="180" w:hanging="172"/>
        <w:spacing w:after="0" w:line="193" w:lineRule="auto"/>
        <w:tabs>
          <w:tab w:leader="none" w:pos="18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common stockholders’ equity at period-end / common shares at period-end.</w:t>
      </w:r>
    </w:p>
    <w:p>
      <w:pPr>
        <w:ind w:left="200" w:hanging="192"/>
        <w:spacing w:after="0" w:line="198" w:lineRule="auto"/>
        <w:tabs>
          <w:tab w:leader="none" w:pos="200" w:val="left"/>
        </w:tabs>
        <w:numPr>
          <w:ilvl w:val="0"/>
          <w:numId w:val="296"/>
        </w:numPr>
        <w:rPr>
          <w:rFonts w:ascii="Arial" w:cs="Arial" w:eastAsia="Arial" w:hAnsi="Arial"/>
          <w:sz w:val="16"/>
          <w:szCs w:val="16"/>
          <w:color w:val="auto"/>
          <w:vertAlign w:val="superscript"/>
        </w:rPr>
      </w:pPr>
      <w:r>
        <w:rPr>
          <w:rFonts w:ascii="Arial" w:cs="Arial" w:eastAsia="Arial" w:hAnsi="Arial"/>
          <w:sz w:val="13"/>
          <w:szCs w:val="13"/>
          <w:color w:val="auto"/>
        </w:rPr>
        <w:t>Represents TCE at period-end / common shares at period-end.</w:t>
      </w:r>
    </w:p>
    <w:p>
      <w:pPr>
        <w:spacing w:after="0" w:line="110" w:lineRule="exact"/>
        <w:rPr>
          <w:sz w:val="20"/>
          <w:szCs w:val="20"/>
          <w:color w:val="auto"/>
        </w:rPr>
      </w:pPr>
    </w:p>
    <w:p>
      <w:pPr>
        <w:ind w:left="340" w:right="80" w:hanging="332"/>
        <w:spacing w:after="0" w:line="252" w:lineRule="auto"/>
        <w:tabs>
          <w:tab w:leader="none" w:pos="3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On December 22, 2017, the TCJA was signed into law. The Firm’s results for the year ended December 31, 2017, included a $2.4 billion decrease to net income, as a result of the enactment of the TCJA, as well as a legal benefit of $406 million (after-tax) related to a settlement with the FDIC receivership for Washington Mutual and with Deutsche Bank as trustee to certain Washington Mutual trusts. Adjusted net income, adjusted ROTCE and adjusted earnings per share, which exclude the impact of these significant items, are each non-GAAP financial measures. Management believes these measures help investors understand the effect of these items on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269875</wp:posOffset>
            </wp:positionV>
            <wp:extent cx="27432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113 </w:t>
      </w:r>
      <w:r>
        <w:rPr>
          <w:sz w:val="1"/>
          <w:szCs w:val="1"/>
          <w:color w:val="auto"/>
        </w:rPr>
        <w:drawing>
          <wp:inline distT="0" distB="0" distL="0" distR="0">
            <wp:extent cx="2203450" cy="154305"/>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color w:val="074A75"/>
        </w:rPr>
        <w:t>Additional notes</w:t>
      </w:r>
    </w:p>
    <w:p>
      <w:pPr>
        <w:spacing w:after="0" w:line="115" w:lineRule="exact"/>
        <w:rPr>
          <w:sz w:val="20"/>
          <w:szCs w:val="20"/>
          <w:color w:val="auto"/>
        </w:rPr>
      </w:pPr>
    </w:p>
    <w:p>
      <w:pPr>
        <w:ind w:left="340" w:right="120" w:hanging="332"/>
        <w:spacing w:after="0" w:line="252" w:lineRule="auto"/>
        <w:tabs>
          <w:tab w:leader="none" w:pos="34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Firm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the lines of business.</w:t>
      </w:r>
    </w:p>
    <w:p>
      <w:pPr>
        <w:spacing w:after="0" w:line="98" w:lineRule="exact"/>
        <w:rPr>
          <w:rFonts w:ascii="Arial" w:cs="Arial" w:eastAsia="Arial" w:hAnsi="Arial"/>
          <w:sz w:val="18"/>
          <w:szCs w:val="18"/>
          <w:color w:val="auto"/>
        </w:rPr>
      </w:pPr>
    </w:p>
    <w:p>
      <w:pPr>
        <w:jc w:val="both"/>
        <w:ind w:left="340" w:right="940" w:hanging="332"/>
        <w:spacing w:after="0" w:line="256" w:lineRule="auto"/>
        <w:tabs>
          <w:tab w:leader="none" w:pos="34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Basel III common equity Tier 1 (“CET1”) ratio became fully phased-in effective January 1, 2019. This measure is used by management, bank regulators, investors and analysts to assess and monitor the Firm’s capital position. Refer to Capital Risk Management on pages 91–101 of the 2020 Form 10-K for additional information on this measure.</w:t>
      </w:r>
    </w:p>
    <w:p>
      <w:pPr>
        <w:spacing w:after="0" w:line="93" w:lineRule="exact"/>
        <w:rPr>
          <w:rFonts w:ascii="Arial" w:cs="Arial" w:eastAsia="Arial" w:hAnsi="Arial"/>
          <w:sz w:val="18"/>
          <w:szCs w:val="18"/>
          <w:color w:val="auto"/>
        </w:rPr>
      </w:pPr>
    </w:p>
    <w:p>
      <w:pPr>
        <w:ind w:left="340" w:right="80" w:hanging="332"/>
        <w:spacing w:after="0" w:line="291" w:lineRule="auto"/>
        <w:tabs>
          <w:tab w:leader="none" w:pos="341" w:val="left"/>
        </w:tabs>
        <w:numPr>
          <w:ilvl w:val="0"/>
          <w:numId w:val="298"/>
        </w:numPr>
        <w:rPr>
          <w:rFonts w:ascii="Arial" w:cs="Arial" w:eastAsia="Arial" w:hAnsi="Arial"/>
          <w:sz w:val="17"/>
          <w:szCs w:val="17"/>
          <w:color w:val="auto"/>
        </w:rPr>
      </w:pPr>
      <w:r>
        <w:rPr>
          <w:rFonts w:ascii="Arial" w:cs="Arial" w:eastAsia="Arial" w:hAnsi="Arial"/>
          <w:sz w:val="17"/>
          <w:szCs w:val="17"/>
          <w:color w:val="auto"/>
        </w:rPr>
        <w:t>Represents total JPMorgan Chase revenue from investment banking products sold to Commercial Banking Clients. Please refer to page 65 of the Firm’s 2020 Form 10-K for a discussion of revenue sharing agreements that are reflected within business segment results.</w:t>
      </w:r>
    </w:p>
    <w:p>
      <w:pPr>
        <w:spacing w:after="0" w:line="119" w:lineRule="exact"/>
        <w:rPr>
          <w:rFonts w:ascii="Arial" w:cs="Arial" w:eastAsia="Arial" w:hAnsi="Arial"/>
          <w:sz w:val="17"/>
          <w:szCs w:val="17"/>
          <w:color w:val="auto"/>
        </w:rPr>
      </w:pPr>
    </w:p>
    <w:p>
      <w:pPr>
        <w:ind w:left="340" w:right="400" w:hanging="332"/>
        <w:spacing w:after="0" w:line="261" w:lineRule="auto"/>
        <w:tabs>
          <w:tab w:leader="none" w:pos="34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the fourth quarter of 2020, the Firm transferred certain assets, liabilities, revenue, expense and headcount associated with certain wealth management clients from AWM to the J.P. Morgan Wealth Management business unit within CCB.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114</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43"/>
          <w:szCs w:val="43"/>
          <w:color w:val="074A75"/>
        </w:rPr>
        <w:t>Appendix</w:t>
      </w:r>
    </w:p>
    <w:p>
      <w:pPr>
        <w:spacing w:after="0" w:line="170" w:lineRule="exact"/>
        <w:rPr>
          <w:sz w:val="20"/>
          <w:szCs w:val="20"/>
          <w:color w:val="auto"/>
        </w:rPr>
      </w:pPr>
    </w:p>
    <w:p>
      <w:pPr>
        <w:ind w:left="20" w:right="980"/>
        <w:spacing w:after="0" w:line="261" w:lineRule="auto"/>
        <w:rPr>
          <w:sz w:val="20"/>
          <w:szCs w:val="20"/>
          <w:color w:val="auto"/>
        </w:rPr>
      </w:pPr>
      <w:r>
        <w:rPr>
          <w:rFonts w:ascii="Arial" w:cs="Arial" w:eastAsia="Arial" w:hAnsi="Arial"/>
          <w:sz w:val="25"/>
          <w:szCs w:val="25"/>
          <w:color w:val="074A75"/>
        </w:rPr>
        <w:t>JPMORGAN CHASE &amp; CO. AMENDED AND RESTATED LONG-TERM INCENTIVE PLAN, EFFECTIVE 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55" w:lineRule="exact"/>
        <w:rPr>
          <w:sz w:val="20"/>
          <w:szCs w:val="20"/>
          <w:color w:val="auto"/>
        </w:rPr>
      </w:pPr>
    </w:p>
    <w:p>
      <w:pPr>
        <w:ind w:left="400" w:right="53" w:hanging="392"/>
        <w:spacing w:after="0" w:line="252" w:lineRule="auto"/>
        <w:tabs>
          <w:tab w:leader="none" w:pos="40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JPMorgan Chase &amp; Co.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“Plan”) is an amendment and restatement, effective May 18, 2021, subject to shareholder approval on that date, of the JPMorgan Chase &amp; Co. Long-Term Incentive Plan as amended and restated effective May 15, 2018. The Plan allows the Company to provide stock-based incentives for designated employees to acquire a proprietary interest in the growth, performance and long-term sustainable health of the Company and to have an increased incentive in contributing to the Company’s future success and prosperity. It is also designed to enhance the Company’s ability to attract, retain and reward employees of exceptional talent and allows the Company to respond to a changing business environment in a flexible manner while aligning employees’ interests with those of the Company’s shareholders. The Plan also provides a mechanism to establish the compensation of Directors.</w:t>
      </w:r>
    </w:p>
    <w:p>
      <w:pPr>
        <w:spacing w:after="0" w:line="86" w:lineRule="exact"/>
        <w:rPr>
          <w:rFonts w:ascii="Arial" w:cs="Arial" w:eastAsia="Arial" w:hAnsi="Arial"/>
          <w:sz w:val="18"/>
          <w:szCs w:val="18"/>
          <w:b w:val="1"/>
          <w:bCs w:val="1"/>
          <w:color w:val="auto"/>
        </w:rPr>
      </w:pPr>
    </w:p>
    <w:p>
      <w:pPr>
        <w:ind w:left="400" w:right="413" w:hanging="392"/>
        <w:spacing w:after="0" w:line="287" w:lineRule="auto"/>
        <w:tabs>
          <w:tab w:leader="none" w:pos="40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the Plan, the following terms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meanings set forth in this Section 2:</w:t>
      </w:r>
    </w:p>
    <w:p>
      <w:pPr>
        <w:spacing w:after="0" w:line="66" w:lineRule="exact"/>
        <w:rPr>
          <w:rFonts w:ascii="Arial" w:cs="Arial" w:eastAsia="Arial" w:hAnsi="Arial"/>
          <w:sz w:val="18"/>
          <w:szCs w:val="18"/>
          <w:b w:val="1"/>
          <w:bCs w:val="1"/>
          <w:color w:val="auto"/>
        </w:rPr>
      </w:pPr>
    </w:p>
    <w:p>
      <w:pPr>
        <w:ind w:left="780" w:right="93" w:hanging="383"/>
        <w:spacing w:after="0" w:line="261" w:lineRule="auto"/>
        <w:tabs>
          <w:tab w:leader="none" w:pos="77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“Act” shall mean the Securities Exchange Act of 1934, as amended from time to time.</w:t>
      </w:r>
    </w:p>
    <w:p>
      <w:pPr>
        <w:spacing w:after="0" w:line="89" w:lineRule="exact"/>
        <w:rPr>
          <w:rFonts w:ascii="Arial" w:cs="Arial" w:eastAsia="Arial" w:hAnsi="Arial"/>
          <w:sz w:val="18"/>
          <w:szCs w:val="18"/>
          <w:color w:val="auto"/>
        </w:rPr>
      </w:pPr>
    </w:p>
    <w:p>
      <w:pPr>
        <w:ind w:left="780" w:right="213" w:hanging="383"/>
        <w:spacing w:after="0" w:line="261" w:lineRule="auto"/>
        <w:tabs>
          <w:tab w:leader="none" w:pos="77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“Award” shall mean any type of award granted pursuant to the Plan.</w:t>
      </w:r>
    </w:p>
    <w:p>
      <w:pPr>
        <w:spacing w:after="0" w:line="89" w:lineRule="exact"/>
        <w:rPr>
          <w:rFonts w:ascii="Arial" w:cs="Arial" w:eastAsia="Arial" w:hAnsi="Arial"/>
          <w:sz w:val="18"/>
          <w:szCs w:val="18"/>
          <w:color w:val="auto"/>
        </w:rPr>
      </w:pPr>
    </w:p>
    <w:p>
      <w:pPr>
        <w:ind w:left="780" w:right="153" w:hanging="383"/>
        <w:spacing w:after="0" w:line="261" w:lineRule="auto"/>
        <w:tabs>
          <w:tab w:leader="none" w:pos="776"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“Award Agreement” means the document by which each Award is evidenced, as described in Section 13.</w:t>
      </w:r>
    </w:p>
    <w:p>
      <w:pPr>
        <w:spacing w:after="0" w:line="89" w:lineRule="exact"/>
        <w:rPr>
          <w:rFonts w:ascii="Arial" w:cs="Arial" w:eastAsia="Arial" w:hAnsi="Arial"/>
          <w:sz w:val="18"/>
          <w:szCs w:val="18"/>
          <w:color w:val="auto"/>
        </w:rPr>
      </w:pPr>
    </w:p>
    <w:p>
      <w:pPr>
        <w:ind w:left="780" w:right="353" w:hanging="383"/>
        <w:spacing w:after="0" w:line="252" w:lineRule="auto"/>
        <w:tabs>
          <w:tab w:leader="none" w:pos="77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“Board” shall mean the Board of Directors of JPMC; provided that any action taken by a duly authorized committee of the Board within the scope of authority delegated to such committee by the Board shall be considered an action of the Board for purposes of this Plan.</w:t>
      </w:r>
    </w:p>
    <w:p>
      <w:pPr>
        <w:spacing w:after="0" w:line="100" w:lineRule="exact"/>
        <w:rPr>
          <w:rFonts w:ascii="Arial" w:cs="Arial" w:eastAsia="Arial" w:hAnsi="Arial"/>
          <w:sz w:val="18"/>
          <w:szCs w:val="18"/>
          <w:color w:val="auto"/>
        </w:rPr>
      </w:pPr>
    </w:p>
    <w:p>
      <w:pPr>
        <w:jc w:val="both"/>
        <w:ind w:left="780" w:right="73" w:hanging="383"/>
        <w:spacing w:after="0" w:line="273" w:lineRule="auto"/>
        <w:tabs>
          <w:tab w:leader="none" w:pos="773" w:val="left"/>
        </w:tabs>
        <w:numPr>
          <w:ilvl w:val="1"/>
          <w:numId w:val="299"/>
        </w:numPr>
        <w:rPr>
          <w:rFonts w:ascii="Arial" w:cs="Arial" w:eastAsia="Arial" w:hAnsi="Arial"/>
          <w:sz w:val="17"/>
          <w:szCs w:val="17"/>
          <w:color w:val="auto"/>
        </w:rPr>
      </w:pPr>
      <w:r>
        <w:rPr>
          <w:rFonts w:ascii="Arial" w:cs="Arial" w:eastAsia="Arial" w:hAnsi="Arial"/>
          <w:sz w:val="17"/>
          <w:szCs w:val="17"/>
          <w:color w:val="auto"/>
        </w:rPr>
        <w:t>“JPMC” shall mean JPMorgan Chase &amp; Co., and, except as otherwise specified in this Plan in a particular context, any successor thereto, whether by merger, consolidation, purchase of all or substantially all its assets or otherwise.</w:t>
      </w:r>
    </w:p>
    <w:p>
      <w:pPr>
        <w:spacing w:after="0" w:line="82" w:lineRule="exact"/>
        <w:rPr>
          <w:rFonts w:ascii="Arial" w:cs="Arial" w:eastAsia="Arial" w:hAnsi="Arial"/>
          <w:sz w:val="17"/>
          <w:szCs w:val="17"/>
          <w:color w:val="auto"/>
        </w:rPr>
      </w:pPr>
    </w:p>
    <w:p>
      <w:pPr>
        <w:ind w:left="780" w:right="33" w:hanging="383"/>
        <w:spacing w:after="0" w:line="261" w:lineRule="auto"/>
        <w:tabs>
          <w:tab w:leader="none" w:pos="76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from time to time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631825</wp:posOffset>
            </wp:positionV>
            <wp:extent cx="27432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387" w:right="180" w:hanging="387"/>
        <w:spacing w:after="0" w:line="252" w:lineRule="auto"/>
        <w:tabs>
          <w:tab w:leader="none" w:pos="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“Committee” shall mean the Compensation &amp; Management Development Committee of the Board (or any successor committee) or any subcommittee thereof composed of not fewer than two directors, each of whom is a “non-employee director” as defined in Rule 16b-3 promulgated by the Securities and Exchange Commission under the Act, or any successor definition adopted by the Commission.</w:t>
      </w:r>
    </w:p>
    <w:p>
      <w:pPr>
        <w:spacing w:after="0" w:line="97" w:lineRule="exact"/>
        <w:rPr>
          <w:rFonts w:ascii="Arial" w:cs="Arial" w:eastAsia="Arial" w:hAnsi="Arial"/>
          <w:sz w:val="18"/>
          <w:szCs w:val="18"/>
          <w:color w:val="auto"/>
        </w:rPr>
      </w:pPr>
    </w:p>
    <w:p>
      <w:pPr>
        <w:ind w:left="387" w:right="140" w:hanging="387"/>
        <w:spacing w:after="0" w:line="261" w:lineRule="auto"/>
        <w:tabs>
          <w:tab w:leader="none" w:pos="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“Common Stock” shall mean the common stock of JPMC, par value $1 per share.</w:t>
      </w:r>
    </w:p>
    <w:p>
      <w:pPr>
        <w:spacing w:after="0" w:line="89" w:lineRule="exact"/>
        <w:rPr>
          <w:rFonts w:ascii="Arial" w:cs="Arial" w:eastAsia="Arial" w:hAnsi="Arial"/>
          <w:sz w:val="18"/>
          <w:szCs w:val="18"/>
          <w:color w:val="auto"/>
        </w:rPr>
      </w:pPr>
    </w:p>
    <w:p>
      <w:pPr>
        <w:ind w:left="367" w:hanging="367"/>
        <w:spacing w:after="0"/>
        <w:tabs>
          <w:tab w:leader="none" w:pos="36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“Company” shall mean JPMC and its Subsidiaries.</w:t>
      </w:r>
    </w:p>
    <w:p>
      <w:pPr>
        <w:spacing w:after="0" w:line="117" w:lineRule="exact"/>
        <w:rPr>
          <w:rFonts w:ascii="Arial" w:cs="Arial" w:eastAsia="Arial" w:hAnsi="Arial"/>
          <w:sz w:val="18"/>
          <w:szCs w:val="18"/>
          <w:color w:val="auto"/>
        </w:rPr>
      </w:pPr>
    </w:p>
    <w:p>
      <w:pPr>
        <w:ind w:left="387" w:right="180" w:hanging="387"/>
        <w:spacing w:after="0" w:line="256" w:lineRule="auto"/>
        <w:tabs>
          <w:tab w:leader="none" w:pos="37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“Director” shall mean a member of the Board of Directors of JPMC excluding any member who is an officer or Employee of the Company.</w:t>
      </w:r>
    </w:p>
    <w:p>
      <w:pPr>
        <w:spacing w:after="0" w:line="93" w:lineRule="exact"/>
        <w:rPr>
          <w:rFonts w:ascii="Arial" w:cs="Arial" w:eastAsia="Arial" w:hAnsi="Arial"/>
          <w:sz w:val="18"/>
          <w:szCs w:val="18"/>
          <w:color w:val="auto"/>
        </w:rPr>
      </w:pPr>
    </w:p>
    <w:p>
      <w:pPr>
        <w:ind w:left="387" w:hanging="387"/>
        <w:spacing w:after="0"/>
        <w:tabs>
          <w:tab w:leader="none" w:pos="38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“Employee” shall mean any employee of the Company.</w:t>
      </w:r>
    </w:p>
    <w:p>
      <w:pPr>
        <w:spacing w:after="0" w:line="117" w:lineRule="exact"/>
        <w:rPr>
          <w:rFonts w:ascii="Arial" w:cs="Arial" w:eastAsia="Arial" w:hAnsi="Arial"/>
          <w:sz w:val="18"/>
          <w:szCs w:val="18"/>
          <w:color w:val="auto"/>
        </w:rPr>
      </w:pPr>
    </w:p>
    <w:p>
      <w:pPr>
        <w:ind w:left="387" w:right="120" w:hanging="387"/>
        <w:spacing w:after="0" w:line="251" w:lineRule="auto"/>
        <w:tabs>
          <w:tab w:leader="none" w:pos="36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“Fair Market Value” shall mean (unless the Committee specifies a different valuation method) per share of Common Stock, the average of high and low sale prices of the Common Stock as reported on the New York Stock Exchange (“NYSE”) composite tape on the applicable date, or, if there are no such sale prices of Common Stock reported on the NYSE composite tape on such date, then the average price of the Common Stock on the last previous day on which high and low sale prices are reported on the NYSE composite tape.</w:t>
      </w:r>
    </w:p>
    <w:p>
      <w:pPr>
        <w:spacing w:after="0" w:line="103" w:lineRule="exact"/>
        <w:rPr>
          <w:rFonts w:ascii="Arial" w:cs="Arial" w:eastAsia="Arial" w:hAnsi="Arial"/>
          <w:sz w:val="18"/>
          <w:szCs w:val="18"/>
          <w:color w:val="auto"/>
        </w:rPr>
      </w:pPr>
    </w:p>
    <w:p>
      <w:pPr>
        <w:ind w:left="387" w:right="560" w:hanging="387"/>
        <w:spacing w:after="0" w:line="261" w:lineRule="auto"/>
        <w:tabs>
          <w:tab w:leader="none" w:pos="37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“Other Stock-Based Award” shall mean any of those Awards described in Section 9 hereof.</w:t>
      </w:r>
    </w:p>
    <w:p>
      <w:pPr>
        <w:spacing w:after="0" w:line="89" w:lineRule="exact"/>
        <w:rPr>
          <w:rFonts w:ascii="Arial" w:cs="Arial" w:eastAsia="Arial" w:hAnsi="Arial"/>
          <w:sz w:val="18"/>
          <w:szCs w:val="18"/>
          <w:color w:val="auto"/>
        </w:rPr>
      </w:pPr>
    </w:p>
    <w:p>
      <w:pPr>
        <w:ind w:left="387" w:right="100" w:hanging="387"/>
        <w:spacing w:after="0" w:line="261" w:lineRule="auto"/>
        <w:tabs>
          <w:tab w:leader="none" w:pos="3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“Participant” shall mean an Employee or Director who has been granted an Award under the Plan.</w:t>
      </w:r>
    </w:p>
    <w:p>
      <w:pPr>
        <w:spacing w:after="0" w:line="89" w:lineRule="exact"/>
        <w:rPr>
          <w:rFonts w:ascii="Arial" w:cs="Arial" w:eastAsia="Arial" w:hAnsi="Arial"/>
          <w:sz w:val="18"/>
          <w:szCs w:val="18"/>
          <w:color w:val="auto"/>
        </w:rPr>
      </w:pPr>
    </w:p>
    <w:p>
      <w:pPr>
        <w:ind w:left="387" w:right="180" w:hanging="387"/>
        <w:spacing w:after="0" w:line="269" w:lineRule="auto"/>
        <w:tabs>
          <w:tab w:leader="none" w:pos="3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“Subsidiary” shall mean any corporation that at the time qualifies as a subsidiary of JPMC under the definition of “subsidiary corporation” in Section 424(f) of the Code, as amended from time to time. Notwithstanding the foregoing, the Committee, in its sole and absolute discretion, may determine that any entity in which JPMC has a significant equity or other interest is a “Subsidiary.”</w:t>
      </w:r>
    </w:p>
    <w:p>
      <w:pPr>
        <w:spacing w:after="0" w:line="200" w:lineRule="exact"/>
        <w:rPr>
          <w:sz w:val="20"/>
          <w:szCs w:val="20"/>
          <w:color w:val="auto"/>
        </w:rPr>
      </w:pPr>
    </w:p>
    <w:p>
      <w:pPr>
        <w:sectPr>
          <w:pgSz w:w="11900" w:h="16838" w:orient="portrait"/>
          <w:cols w:equalWidth="0" w:num="2">
            <w:col w:w="5413" w:space="720"/>
            <w:col w:w="5087"/>
          </w:cols>
          <w:pgMar w:left="320" w:top="17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115 </w:t>
      </w:r>
      <w:r>
        <w:rPr>
          <w:sz w:val="1"/>
          <w:szCs w:val="1"/>
          <w:color w:val="auto"/>
        </w:rPr>
        <w:drawing>
          <wp:inline distT="0" distB="0" distL="0" distR="0">
            <wp:extent cx="2203450" cy="154305"/>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-7620</wp:posOffset>
            </wp:positionV>
            <wp:extent cx="27432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22" w:name="page123"/>
    <w:bookmarkEnd w:id="122"/>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189" w:lineRule="exact"/>
        <w:rPr>
          <w:sz w:val="20"/>
          <w:szCs w:val="20"/>
          <w:color w:val="auto"/>
        </w:rPr>
      </w:pPr>
    </w:p>
    <w:p>
      <w:pPr>
        <w:ind w:left="400" w:hanging="392"/>
        <w:spacing w:after="0"/>
        <w:tabs>
          <w:tab w:leader="none" w:pos="40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39" w:lineRule="exact"/>
        <w:rPr>
          <w:rFonts w:ascii="Arial" w:cs="Arial" w:eastAsia="Arial" w:hAnsi="Arial"/>
          <w:sz w:val="18"/>
          <w:szCs w:val="18"/>
          <w:b w:val="1"/>
          <w:bCs w:val="1"/>
          <w:color w:val="auto"/>
        </w:rPr>
      </w:pPr>
    </w:p>
    <w:p>
      <w:pPr>
        <w:ind w:left="780" w:right="140" w:hanging="383"/>
        <w:spacing w:after="0" w:line="251" w:lineRule="auto"/>
        <w:tabs>
          <w:tab w:leader="none" w:pos="77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stock subject to provisions of the Plan shall be shares of authorized but unissued Common Stock and authorized and issued shares of Common Stock held as treasury shares. Subject to adjustment as provided in Sections 3(b) and 17, the number of shares of Common Stock with respect to which Awards may be granted under the Plan from its term commencing May 18, 2021 and ending May 31, 2025, shall be 85 million shares of Common Stock; provided that not more than 7 million shares may be issued as Awards of incentive stock options as defined by Section 422 of the Code.</w:t>
      </w:r>
    </w:p>
    <w:p>
      <w:pPr>
        <w:spacing w:after="0" w:line="102" w:lineRule="exact"/>
        <w:rPr>
          <w:rFonts w:ascii="Arial" w:cs="Arial" w:eastAsia="Arial" w:hAnsi="Arial"/>
          <w:sz w:val="18"/>
          <w:szCs w:val="18"/>
          <w:color w:val="auto"/>
        </w:rPr>
      </w:pPr>
    </w:p>
    <w:p>
      <w:pPr>
        <w:ind w:left="780" w:right="240" w:hanging="383"/>
        <w:spacing w:after="0" w:line="256" w:lineRule="auto"/>
        <w:tabs>
          <w:tab w:leader="none" w:pos="773" w:val="left"/>
        </w:tabs>
        <w:numPr>
          <w:ilvl w:val="1"/>
          <w:numId w:val="301"/>
        </w:numPr>
        <w:rPr>
          <w:rFonts w:ascii="Arial" w:cs="Arial" w:eastAsia="Arial" w:hAnsi="Arial"/>
          <w:sz w:val="18"/>
          <w:szCs w:val="18"/>
          <w:color w:val="auto"/>
        </w:rPr>
      </w:pPr>
      <w:r>
        <w:rPr>
          <w:rFonts w:ascii="Arial" w:cs="Arial" w:eastAsia="Arial" w:hAnsi="Arial"/>
          <w:sz w:val="18"/>
          <w:szCs w:val="18"/>
          <w:color w:val="auto"/>
        </w:rPr>
        <w:t>In addition to the number of shares of Common Stock provided for in Section 3(a), there shall be available for Awards under the Plan:</w:t>
      </w:r>
    </w:p>
    <w:p>
      <w:pPr>
        <w:spacing w:after="0" w:line="93" w:lineRule="exact"/>
        <w:rPr>
          <w:rFonts w:ascii="Arial" w:cs="Arial" w:eastAsia="Arial" w:hAnsi="Arial"/>
          <w:sz w:val="18"/>
          <w:szCs w:val="18"/>
          <w:color w:val="auto"/>
        </w:rPr>
      </w:pPr>
    </w:p>
    <w:p>
      <w:pPr>
        <w:ind w:left="1180" w:right="80" w:hanging="394"/>
        <w:spacing w:after="0" w:line="252" w:lineRule="auto"/>
        <w:tabs>
          <w:tab w:leader="none" w:pos="1167" w:val="left"/>
        </w:tabs>
        <w:numPr>
          <w:ilvl w:val="2"/>
          <w:numId w:val="301"/>
        </w:numPr>
        <w:rPr>
          <w:rFonts w:ascii="Arial" w:cs="Arial" w:eastAsia="Arial" w:hAnsi="Arial"/>
          <w:sz w:val="18"/>
          <w:szCs w:val="18"/>
          <w:color w:val="auto"/>
        </w:rPr>
      </w:pPr>
      <w:r>
        <w:rPr>
          <w:rFonts w:ascii="Arial" w:cs="Arial" w:eastAsia="Arial" w:hAnsi="Arial"/>
          <w:sz w:val="18"/>
          <w:szCs w:val="18"/>
          <w:color w:val="auto"/>
        </w:rPr>
        <w:t>shares representing Awards that are canceled, surrendered, forfeited, or terminated (other than shares representing Awards of stock appreciation rights or stock options), shares withheld to satisfy withholding tax obligations of any Award (other than tax withholdings associated Awards of stock appreciation rights and stock options),</w:t>
      </w:r>
    </w:p>
    <w:p>
      <w:pPr>
        <w:spacing w:after="0" w:line="98" w:lineRule="exact"/>
        <w:rPr>
          <w:rFonts w:ascii="Arial" w:cs="Arial" w:eastAsia="Arial" w:hAnsi="Arial"/>
          <w:sz w:val="18"/>
          <w:szCs w:val="18"/>
          <w:color w:val="auto"/>
        </w:rPr>
      </w:pPr>
    </w:p>
    <w:p>
      <w:pPr>
        <w:ind w:left="1180" w:right="60" w:hanging="394"/>
        <w:spacing w:after="0" w:line="265" w:lineRule="auto"/>
        <w:tabs>
          <w:tab w:leader="none" w:pos="1153" w:val="left"/>
        </w:tabs>
        <w:numPr>
          <w:ilvl w:val="2"/>
          <w:numId w:val="301"/>
        </w:numPr>
        <w:rPr>
          <w:rFonts w:ascii="Arial" w:cs="Arial" w:eastAsia="Arial" w:hAnsi="Arial"/>
          <w:sz w:val="17"/>
          <w:szCs w:val="17"/>
          <w:color w:val="auto"/>
        </w:rPr>
      </w:pPr>
      <w:r>
        <w:rPr>
          <w:rFonts w:ascii="Arial" w:cs="Arial" w:eastAsia="Arial" w:hAnsi="Arial"/>
          <w:sz w:val="17"/>
          <w:szCs w:val="17"/>
          <w:color w:val="auto"/>
        </w:rPr>
        <w:t>shares granted through assumption of, or in substitution for, outstanding awards previously granted by an employing company to individuals who become Employees as the result of a merger, consolidation, acquisition or other corporate transaction involving the employing company and the Company, or shares granted to such Employees</w:t>
      </w:r>
    </w:p>
    <w:p>
      <w:pPr>
        <w:spacing w:after="0" w:line="1" w:lineRule="exact"/>
        <w:rPr>
          <w:rFonts w:ascii="Arial" w:cs="Arial" w:eastAsia="Arial" w:hAnsi="Arial"/>
          <w:sz w:val="17"/>
          <w:szCs w:val="17"/>
          <w:color w:val="auto"/>
        </w:rPr>
      </w:pPr>
    </w:p>
    <w:p>
      <w:pPr>
        <w:ind w:left="1180"/>
        <w:spacing w:after="0" w:line="254" w:lineRule="auto"/>
        <w:rPr>
          <w:rFonts w:ascii="Arial" w:cs="Arial" w:eastAsia="Arial" w:hAnsi="Arial"/>
          <w:sz w:val="17"/>
          <w:szCs w:val="17"/>
          <w:color w:val="auto"/>
        </w:rPr>
      </w:pPr>
      <w:r>
        <w:rPr>
          <w:rFonts w:ascii="Arial" w:cs="Arial" w:eastAsia="Arial" w:hAnsi="Arial"/>
          <w:sz w:val="18"/>
          <w:szCs w:val="18"/>
          <w:color w:val="auto"/>
        </w:rPr>
        <w:t>(x) pursuant to contractual obligations with respect to such merger, consolidation, acquisition or other corporate transaction or (y) as retention awards in connection with such transactions, and</w:t>
      </w:r>
    </w:p>
    <w:p>
      <w:pPr>
        <w:spacing w:after="0" w:line="95" w:lineRule="exact"/>
        <w:rPr>
          <w:rFonts w:ascii="Arial" w:cs="Arial" w:eastAsia="Arial" w:hAnsi="Arial"/>
          <w:sz w:val="17"/>
          <w:szCs w:val="17"/>
          <w:color w:val="auto"/>
        </w:rPr>
      </w:pPr>
    </w:p>
    <w:p>
      <w:pPr>
        <w:ind w:left="1180" w:right="200" w:hanging="394"/>
        <w:spacing w:after="0" w:line="261" w:lineRule="auto"/>
        <w:tabs>
          <w:tab w:leader="none" w:pos="1152" w:val="left"/>
        </w:tabs>
        <w:numPr>
          <w:ilvl w:val="2"/>
          <w:numId w:val="301"/>
        </w:numPr>
        <w:rPr>
          <w:rFonts w:ascii="Arial" w:cs="Arial" w:eastAsia="Arial" w:hAnsi="Arial"/>
          <w:sz w:val="18"/>
          <w:szCs w:val="18"/>
          <w:color w:val="auto"/>
        </w:rPr>
      </w:pPr>
      <w:r>
        <w:rPr>
          <w:rFonts w:ascii="Arial" w:cs="Arial" w:eastAsia="Arial" w:hAnsi="Arial"/>
          <w:sz w:val="18"/>
          <w:szCs w:val="18"/>
          <w:color w:val="auto"/>
        </w:rPr>
        <w:t>Awards which by their terms may be settled only in cash.</w:t>
      </w:r>
    </w:p>
    <w:p>
      <w:pPr>
        <w:spacing w:after="0" w:line="89" w:lineRule="exact"/>
        <w:rPr>
          <w:rFonts w:ascii="Arial" w:cs="Arial" w:eastAsia="Arial" w:hAnsi="Arial"/>
          <w:sz w:val="18"/>
          <w:szCs w:val="18"/>
          <w:color w:val="auto"/>
        </w:rPr>
      </w:pPr>
    </w:p>
    <w:p>
      <w:pPr>
        <w:ind w:left="780" w:hanging="383"/>
        <w:spacing w:after="0" w:line="251" w:lineRule="auto"/>
        <w:tabs>
          <w:tab w:leader="none" w:pos="77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For purposes of calculating the number of shares of Common Stock available for issuance under the Plan, only the maximum number of shares that could be issued under Awards granted in tandem shall reduce the number specified in Section 3(a), provided that the Award Agreement provides that the exercise of one right under an Award reduces the number of shares of Common Stock available under the other Award. For avoidance of doubt, as provided in Section 3(b)(i), with respect to Awards of stock appreciation rights and options, all shares underlying such Awards, whether or not actually issued to plan participants, will count against the share limit.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16" w:right="140" w:hanging="316"/>
        <w:spacing w:after="0" w:line="262" w:lineRule="auto"/>
        <w:tabs>
          <w:tab w:leader="none" w:pos="318"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Any Employee selected by the Committee is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be a Participant in the Plan. In addition, as provided in Section 12, any Director shall be eligible to be a Participant in the Plan.</w:t>
      </w:r>
    </w:p>
    <w:p>
      <w:pPr>
        <w:spacing w:after="0" w:line="68" w:lineRule="exact"/>
        <w:rPr>
          <w:rFonts w:ascii="Arial" w:cs="Arial" w:eastAsia="Arial" w:hAnsi="Arial"/>
          <w:sz w:val="18"/>
          <w:szCs w:val="18"/>
          <w:b w:val="1"/>
          <w:bCs w:val="1"/>
          <w:color w:val="auto"/>
        </w:rPr>
      </w:pPr>
    </w:p>
    <w:p>
      <w:pPr>
        <w:ind w:left="396" w:hanging="396"/>
        <w:spacing w:after="0"/>
        <w:tabs>
          <w:tab w:leader="none" w:pos="396"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139" w:lineRule="exact"/>
        <w:rPr>
          <w:rFonts w:ascii="Arial" w:cs="Arial" w:eastAsia="Arial" w:hAnsi="Arial"/>
          <w:sz w:val="18"/>
          <w:szCs w:val="18"/>
          <w:b w:val="1"/>
          <w:bCs w:val="1"/>
          <w:color w:val="auto"/>
        </w:rPr>
      </w:pPr>
    </w:p>
    <w:p>
      <w:pPr>
        <w:ind w:left="716" w:right="100" w:hanging="379"/>
        <w:spacing w:after="0" w:line="253" w:lineRule="auto"/>
        <w:tabs>
          <w:tab w:leader="none" w:pos="70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Committee may not grant Awards under the Plan to any Participant in excess of 7.5 million shares, including, but not limited to, the number of shares represented by Awards of stock options and stock appreciation, during the term of the Plan.</w:t>
      </w:r>
    </w:p>
    <w:p>
      <w:pPr>
        <w:spacing w:after="0" w:line="97" w:lineRule="exact"/>
        <w:rPr>
          <w:rFonts w:ascii="Arial" w:cs="Arial" w:eastAsia="Arial" w:hAnsi="Arial"/>
          <w:sz w:val="18"/>
          <w:szCs w:val="18"/>
          <w:color w:val="auto"/>
        </w:rPr>
      </w:pPr>
    </w:p>
    <w:p>
      <w:pPr>
        <w:ind w:left="716" w:right="100" w:hanging="379"/>
        <w:spacing w:after="0" w:line="251" w:lineRule="auto"/>
        <w:tabs>
          <w:tab w:leader="none" w:pos="709" w:val="left"/>
        </w:tabs>
        <w:numPr>
          <w:ilvl w:val="1"/>
          <w:numId w:val="302"/>
        </w:numPr>
        <w:rPr>
          <w:rFonts w:ascii="Arial" w:cs="Arial" w:eastAsia="Arial" w:hAnsi="Arial"/>
          <w:sz w:val="18"/>
          <w:szCs w:val="18"/>
          <w:color w:val="auto"/>
        </w:rPr>
      </w:pPr>
      <w:r>
        <w:rPr>
          <w:rFonts w:ascii="Arial" w:cs="Arial" w:eastAsia="Arial" w:hAnsi="Arial"/>
          <w:sz w:val="18"/>
          <w:szCs w:val="18"/>
          <w:color w:val="auto"/>
        </w:rPr>
        <w:t>Other than Awards to Directors, Awards settled in shares of Common Stock shall have a minimum vesting/exercise schedule of ratably over three years, provided that the Committee can grant Awards of up to 5% of shares authorized under the Plan with a shorter vesting or exercise period but not less than a one year period. These minimum vesting and exercise periods do not apply to Awards that vest or become exercisable earlier due to (i) circumstances such as death, retirement, or involuntary termination of employment, (ii) the achievement of performance objectives over a period of at least one year, (iii) standard vest date occurring within 10 days of the grant date anniversary, or (iv) a determination by the Firm for regulatory or other considerations to provide an equity award in excess of that which would have been awarded to the individual under the cash equity policy in effect for the performance year.</w:t>
      </w:r>
    </w:p>
    <w:p>
      <w:pPr>
        <w:spacing w:after="0" w:line="77" w:lineRule="exact"/>
        <w:rPr>
          <w:rFonts w:ascii="Arial" w:cs="Arial" w:eastAsia="Arial" w:hAnsi="Arial"/>
          <w:sz w:val="18"/>
          <w:szCs w:val="18"/>
          <w:color w:val="auto"/>
        </w:rPr>
      </w:pPr>
    </w:p>
    <w:p>
      <w:pPr>
        <w:ind w:left="396" w:right="280" w:hanging="396"/>
        <w:spacing w:after="0" w:line="257" w:lineRule="auto"/>
        <w:tabs>
          <w:tab w:leader="none" w:pos="40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otherwise determined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As to the selection of, and Awards to, Participants who are not subject to Section 16 of the Act, the Committee may delegate any or all of its responsibilities to officers or employees of the Company.</w:t>
      </w:r>
    </w:p>
    <w:p>
      <w:pPr>
        <w:spacing w:after="0" w:line="96" w:lineRule="exact"/>
        <w:rPr>
          <w:rFonts w:ascii="Arial" w:cs="Arial" w:eastAsia="Arial" w:hAnsi="Arial"/>
          <w:sz w:val="18"/>
          <w:szCs w:val="18"/>
          <w:b w:val="1"/>
          <w:bCs w:val="1"/>
          <w:color w:val="auto"/>
        </w:rPr>
      </w:pPr>
    </w:p>
    <w:p>
      <w:pPr>
        <w:ind w:left="396" w:right="20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the Plan, the Committee shall have complete control over the administration of the Plan and shall have the authority in its sole discretion to (a) construe, interpret and implement the Plan and all Award Agreements,</w:t>
      </w:r>
    </w:p>
    <w:p>
      <w:pPr>
        <w:ind w:left="396" w:right="20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(b) establish, amend, and rescind any rules and regulations relating to the Plan, (c) grant Awards, (d) determine who shall receive Awards, when such Awards shall be made and the terms and provisions of Award Agreements, (e) establish plans supplemental to this Plan covering Employees residing outside of the United States, (f) provide for mandatory or voluntary deferrals of Awards and (g) make all other determinations in its discretion that it may deem necessary or advisable for the administration of the Plan. The Committee may correct any defect, supply any omission or reconcile any inconsistency in the Plan or in any Award Agreement in the manner and to the extent it shall deem desirable to carry the Plan or any such Award Agreement into effect.</w:t>
      </w:r>
    </w:p>
    <w:p>
      <w:pPr>
        <w:spacing w:after="0" w:line="200" w:lineRule="exact"/>
        <w:rPr>
          <w:sz w:val="20"/>
          <w:szCs w:val="20"/>
          <w:color w:val="auto"/>
        </w:rPr>
      </w:pPr>
    </w:p>
    <w:p>
      <w:pPr>
        <w:sectPr>
          <w:pgSz w:w="11900" w:h="16838" w:orient="portrait"/>
          <w:cols w:equalWidth="0" w:num="2">
            <w:col w:w="5380" w:space="364"/>
            <w:col w:w="5476"/>
          </w:cols>
          <w:pgMar w:left="320" w:top="171" w:right="359" w:bottom="1440" w:gutter="0" w:footer="0" w:header="0"/>
          <w:type w:val="continuous"/>
        </w:sectPr>
      </w:pP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116</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23" w:name="page124"/>
    <w:bookmarkEnd w:id="123"/>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9" w:lineRule="exact"/>
        <w:rPr>
          <w:sz w:val="20"/>
          <w:szCs w:val="20"/>
          <w:color w:val="auto"/>
        </w:rPr>
      </w:pPr>
    </w:p>
    <w:p>
      <w:pPr>
        <w:ind w:left="400" w:right="320"/>
        <w:spacing w:after="0" w:line="252" w:lineRule="auto"/>
        <w:rPr>
          <w:sz w:val="20"/>
          <w:szCs w:val="20"/>
          <w:color w:val="auto"/>
        </w:rPr>
      </w:pPr>
      <w:r>
        <w:rPr>
          <w:rFonts w:ascii="Arial" w:cs="Arial" w:eastAsia="Arial" w:hAnsi="Arial"/>
          <w:sz w:val="18"/>
          <w:szCs w:val="18"/>
          <w:color w:val="auto"/>
        </w:rPr>
        <w:t>Notwithstanding anything herein to the contrary, the Committee’s determinations under the Plan and the Award Agreements are not required to be uniform. By way of clarification, the Committee shall be entitled to make non-uniform and selective determinations under Awards Agreements and Plan.</w:t>
      </w:r>
    </w:p>
    <w:p>
      <w:pPr>
        <w:spacing w:after="0" w:line="100" w:lineRule="exact"/>
        <w:rPr>
          <w:sz w:val="20"/>
          <w:szCs w:val="20"/>
          <w:color w:val="auto"/>
        </w:rPr>
      </w:pPr>
    </w:p>
    <w:p>
      <w:pPr>
        <w:ind w:left="400" w:right="160"/>
        <w:spacing w:after="0" w:line="253" w:lineRule="auto"/>
        <w:rPr>
          <w:sz w:val="20"/>
          <w:szCs w:val="20"/>
          <w:color w:val="auto"/>
        </w:rPr>
      </w:pPr>
      <w:r>
        <w:rPr>
          <w:rFonts w:ascii="Arial" w:cs="Arial" w:eastAsia="Arial" w:hAnsi="Arial"/>
          <w:sz w:val="18"/>
          <w:szCs w:val="18"/>
          <w:color w:val="auto"/>
        </w:rPr>
        <w:t>The determinations of the Committee in the administration of the Plan, as described herein, shall be final, and the Board and the Committee will have no liability for any action taken under or pursuant to the Plan in good faith (including any action taken under Section 12).</w:t>
      </w:r>
    </w:p>
    <w:p>
      <w:pPr>
        <w:spacing w:after="0" w:line="75" w:lineRule="exact"/>
        <w:rPr>
          <w:sz w:val="20"/>
          <w:szCs w:val="20"/>
          <w:color w:val="auto"/>
        </w:rPr>
      </w:pPr>
    </w:p>
    <w:p>
      <w:pPr>
        <w:ind w:left="400" w:hanging="392"/>
        <w:spacing w:after="0"/>
        <w:tabs>
          <w:tab w:leader="none" w:pos="40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139" w:lineRule="exact"/>
        <w:rPr>
          <w:rFonts w:ascii="Arial" w:cs="Arial" w:eastAsia="Arial" w:hAnsi="Arial"/>
          <w:sz w:val="18"/>
          <w:szCs w:val="18"/>
          <w:b w:val="1"/>
          <w:bCs w:val="1"/>
          <w:color w:val="auto"/>
        </w:rPr>
      </w:pPr>
    </w:p>
    <w:p>
      <w:pPr>
        <w:ind w:left="780" w:right="40" w:hanging="383"/>
        <w:spacing w:after="0" w:line="252" w:lineRule="auto"/>
        <w:tabs>
          <w:tab w:leader="none" w:pos="7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the sole and absolute discretion to determine to whom and when Awards of stock options will be made, the number of options to be awarded and all other terms and conditions of such Awards. Such terms and conditions may include one or more of the performance criteria or standards described in Section 10.</w:t>
      </w:r>
    </w:p>
    <w:p>
      <w:pPr>
        <w:spacing w:after="0" w:line="98" w:lineRule="exact"/>
        <w:rPr>
          <w:rFonts w:ascii="Arial" w:cs="Arial" w:eastAsia="Arial" w:hAnsi="Arial"/>
          <w:sz w:val="18"/>
          <w:szCs w:val="18"/>
          <w:color w:val="auto"/>
        </w:rPr>
      </w:pPr>
    </w:p>
    <w:p>
      <w:pPr>
        <w:ind w:left="780" w:right="80" w:hanging="383"/>
        <w:spacing w:after="0" w:line="254" w:lineRule="auto"/>
        <w:tabs>
          <w:tab w:leader="none" w:pos="7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 the case of incentive stock options, the terms and conditions of such grants shall be subject to and comply with such requirements as may be prescribed by Section 422 of the Code, and any implementing regulations.</w:t>
      </w:r>
    </w:p>
    <w:p>
      <w:pPr>
        <w:spacing w:after="0" w:line="95" w:lineRule="exact"/>
        <w:rPr>
          <w:rFonts w:ascii="Arial" w:cs="Arial" w:eastAsia="Arial" w:hAnsi="Arial"/>
          <w:sz w:val="18"/>
          <w:szCs w:val="18"/>
          <w:color w:val="auto"/>
        </w:rPr>
      </w:pPr>
    </w:p>
    <w:p>
      <w:pPr>
        <w:ind w:left="780" w:hanging="383"/>
        <w:spacing w:after="0" w:line="251" w:lineRule="auto"/>
        <w:tabs>
          <w:tab w:leader="none" w:pos="776"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Committee shall establish the option exercise price at the time each stock option is granted, which exercise price shall not be less than 100% of the Fair Market Value of the Common Stock on the date of grant; provided that the per share exercise price of any Award of stock options may not be decreased after it has been granted (other than as provided for in Section 17); provided, further, that an Award of stock options may not be surrendered as consideration in exchange for the grant of a new Award under this Plan if such Award were to have a lower per share exercise price. Stock options may not be exercisable later than 10 years after their date of grant.</w:t>
      </w:r>
    </w:p>
    <w:p>
      <w:pPr>
        <w:spacing w:after="0" w:line="101" w:lineRule="exact"/>
        <w:rPr>
          <w:rFonts w:ascii="Arial" w:cs="Arial" w:eastAsia="Arial" w:hAnsi="Arial"/>
          <w:sz w:val="18"/>
          <w:szCs w:val="18"/>
          <w:color w:val="auto"/>
        </w:rPr>
      </w:pPr>
    </w:p>
    <w:p>
      <w:pPr>
        <w:ind w:left="780" w:right="140" w:hanging="383"/>
        <w:spacing w:after="0" w:line="253" w:lineRule="auto"/>
        <w:tabs>
          <w:tab w:leader="none" w:pos="77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option exercise price of each share of Common Stock as to which a stock option is exercised shall be paid in full at the time of such exercise. The method and form of such payment shall be determined by the Committee from time to time.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96" w:hanging="396"/>
        <w:spacing w:after="0"/>
        <w:tabs>
          <w:tab w:leader="none" w:pos="396"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139" w:lineRule="exact"/>
        <w:rPr>
          <w:rFonts w:ascii="Arial" w:cs="Arial" w:eastAsia="Arial" w:hAnsi="Arial"/>
          <w:sz w:val="18"/>
          <w:szCs w:val="18"/>
          <w:b w:val="1"/>
          <w:bCs w:val="1"/>
          <w:color w:val="auto"/>
        </w:rPr>
      </w:pPr>
    </w:p>
    <w:p>
      <w:pPr>
        <w:ind w:left="776" w:right="140" w:hanging="326"/>
        <w:spacing w:after="0" w:line="252" w:lineRule="auto"/>
        <w:tabs>
          <w:tab w:leader="none" w:pos="776" w:val="left"/>
        </w:tabs>
        <w:numPr>
          <w:ilvl w:val="1"/>
          <w:numId w:val="304"/>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shall have the sole and absolute discretion to determine to whom and when Awards of stock appreciation rights will be made, the number to be awarded and all other terms and conditions of such Awards. Such terms and conditions may include one or more of the performance criteria or standards described in Section 10.</w:t>
      </w:r>
    </w:p>
    <w:p>
      <w:pPr>
        <w:spacing w:after="0" w:line="98" w:lineRule="exact"/>
        <w:rPr>
          <w:rFonts w:ascii="Arial" w:cs="Arial" w:eastAsia="Arial" w:hAnsi="Arial"/>
          <w:sz w:val="18"/>
          <w:szCs w:val="18"/>
          <w:color w:val="auto"/>
        </w:rPr>
      </w:pPr>
    </w:p>
    <w:p>
      <w:pPr>
        <w:ind w:left="776" w:right="100" w:hanging="326"/>
        <w:spacing w:after="0" w:line="251" w:lineRule="auto"/>
        <w:tabs>
          <w:tab w:leader="none" w:pos="763"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Committee shall establish the stock appreciation right exercise price at the time each stock appreciation right is granted, which exercise price shall not be less than 100% of the Fair Market Value of the Common Stock on the date of grant; provided that the per share exercise price of any Award of stock appreciation rights may not be decreased after it has been granted (other than as provided for in Section 17); provided, further, that an Award of stock appreciation rights may not be surrendered as consideration in exchange for the grant of a new Award under this Plan if such Award were to have a lower per share exercise price. Stock appreciation rights may be granted independent of any Award of stock options or in conjunction with all or any part of any Award of stock options, either at the same time as the Award of stock options is granted or at any later time during the term of such options; provided that the exercise price of a stock appreciation right granted in tandem with a stock option shall not be less than 100% of the Fair Market Value at the date of the grant of such option.</w:t>
      </w:r>
    </w:p>
    <w:p>
      <w:pPr>
        <w:spacing w:after="0" w:line="98" w:lineRule="exact"/>
        <w:rPr>
          <w:rFonts w:ascii="Arial" w:cs="Arial" w:eastAsia="Arial" w:hAnsi="Arial"/>
          <w:sz w:val="18"/>
          <w:szCs w:val="18"/>
          <w:color w:val="auto"/>
        </w:rPr>
      </w:pPr>
    </w:p>
    <w:p>
      <w:pPr>
        <w:ind w:left="776" w:right="100" w:hanging="326"/>
        <w:spacing w:after="0" w:line="251" w:lineRule="auto"/>
        <w:tabs>
          <w:tab w:leader="none" w:pos="7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Upon exercise, a stock appreciation right shall entitle the Participant to receive from the Company an amount equal to the positive difference between the Fair Market Value of a share of Common Stock on the exercise date of the stock appreciation right and the per share exercise price, multiplied by the number of shares of Common Stock with respect to which the stock appreciation right is exercised. The Committee shall determine at the date of grant whether the stock appreciation right shall be settled in cash, Common Stock or a combination of cash 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965835</wp:posOffset>
            </wp:positionV>
            <wp:extent cx="274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069" w:lineRule="exact"/>
        <w:rPr>
          <w:sz w:val="20"/>
          <w:szCs w:val="20"/>
          <w:color w:val="auto"/>
        </w:rPr>
      </w:pPr>
    </w:p>
    <w:p>
      <w:pPr>
        <w:sectPr>
          <w:pgSz w:w="11900" w:h="16838" w:orient="portrait"/>
          <w:cols w:equalWidth="0" w:num="2">
            <w:col w:w="5380" w:space="364"/>
            <w:col w:w="5476"/>
          </w:cols>
          <w:pgMar w:left="320" w:top="171" w:right="3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117 </w:t>
      </w:r>
      <w:r>
        <w:rPr>
          <w:sz w:val="1"/>
          <w:szCs w:val="1"/>
          <w:color w:val="auto"/>
        </w:rPr>
        <w:drawing>
          <wp:inline distT="0" distB="0" distL="0" distR="0">
            <wp:extent cx="2203450" cy="154305"/>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24" w:name="page125"/>
    <w:bookmarkEnd w:id="124"/>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211" w:lineRule="exact"/>
        <w:rPr>
          <w:sz w:val="20"/>
          <w:szCs w:val="20"/>
          <w:color w:val="auto"/>
        </w:rPr>
      </w:pPr>
    </w:p>
    <w:p>
      <w:pPr>
        <w:ind w:left="740" w:right="60" w:hanging="395"/>
        <w:spacing w:after="0" w:line="271" w:lineRule="auto"/>
        <w:tabs>
          <w:tab w:leader="none" w:pos="733"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 stock appreciation right or applicable portion thereof allocated to a stock option shall terminate and no longer be exercisable upon the termination or exercise of any related stock option. Stock appreciation rights may not be exercisable later than 10 years after their date of grant.</w:t>
      </w:r>
    </w:p>
    <w:p>
      <w:pPr>
        <w:spacing w:after="0" w:line="62" w:lineRule="exact"/>
        <w:rPr>
          <w:rFonts w:ascii="Arial" w:cs="Arial" w:eastAsia="Arial" w:hAnsi="Arial"/>
          <w:sz w:val="17"/>
          <w:szCs w:val="17"/>
          <w:color w:val="auto"/>
        </w:rPr>
      </w:pPr>
    </w:p>
    <w:p>
      <w:pPr>
        <w:ind w:left="400" w:hanging="392"/>
        <w:spacing w:after="0" w:line="251" w:lineRule="auto"/>
        <w:tabs>
          <w:tab w:leader="none" w:pos="40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Subject to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Committee shall have the sole and absolute discretion to determine to whom and when “Other Stock-Based Awards” will be made, the number of shares of Common Stock to be awarded under (or otherwise related to) such Other Stock-Based Awards and all other terms and conditions of such Awards. Other Stock-Based Awards are Awards of Common Stock and other Awards that are valued in whole or in part by reference to, or otherwise based on the Fair Market Value of Common Stock. Other Stock-Based Awards shall be in such form as the Committee shall determine, including without limitation, (i) shares of Common Stock, (ii) shares of Common Stock subject to restrictions on transfer until the completion of a specified period of service, the occurrence of an event or the attainment of performance objectives, each as specified by the Committee, (iii) shares of Common Stock issuable upon the completion of a specified period of service, (iv) restricted stock units distributed in the form of shares of Common Stock after the restrictions lapse and (v) conditioning the right to an Award upon the occurrence of an event or the attainment of one or more performance objectives, as more fully described in Section 10. The Committee shall determine at date of grant whether Other Stock-Based Awards shall be settled in cash, Common Stock or a combination of cash and Common Stock.</w:t>
      </w:r>
    </w:p>
    <w:p>
      <w:pPr>
        <w:spacing w:after="0" w:line="96" w:lineRule="exact"/>
        <w:rPr>
          <w:rFonts w:ascii="Arial" w:cs="Arial" w:eastAsia="Arial" w:hAnsi="Arial"/>
          <w:sz w:val="18"/>
          <w:szCs w:val="18"/>
          <w:b w:val="1"/>
          <w:bCs w:val="1"/>
          <w:color w:val="auto"/>
        </w:rPr>
      </w:pPr>
    </w:p>
    <w:p>
      <w:pPr>
        <w:ind w:left="400" w:right="60" w:hanging="392"/>
        <w:spacing w:after="0" w:line="254" w:lineRule="auto"/>
        <w:tabs>
          <w:tab w:leader="none" w:pos="396"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Performance-Based Awards. </w:t>
      </w:r>
      <w:r>
        <w:rPr>
          <w:rFonts w:ascii="Arial" w:cs="Arial" w:eastAsia="Arial" w:hAnsi="Arial"/>
          <w:sz w:val="18"/>
          <w:szCs w:val="18"/>
          <w:color w:val="auto"/>
        </w:rPr>
        <w:t>The Committee may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establish performance criteria or standards with respect to an Award (a “Performance-Based Award”). The performance goals may be based upon one or more of the following criteria: (i) income before or after taxes (including income before interest, taxes, depreciation and amortization);</w:t>
      </w:r>
    </w:p>
    <w:p>
      <w:pPr>
        <w:spacing w:after="0" w:line="3" w:lineRule="exact"/>
        <w:rPr>
          <w:rFonts w:ascii="Arial" w:cs="Arial" w:eastAsia="Arial" w:hAnsi="Arial"/>
          <w:sz w:val="18"/>
          <w:szCs w:val="18"/>
          <w:b w:val="1"/>
          <w:bCs w:val="1"/>
          <w:color w:val="auto"/>
        </w:rPr>
      </w:pPr>
    </w:p>
    <w:p>
      <w:pPr>
        <w:jc w:val="both"/>
        <w:ind w:left="400" w:right="60" w:hanging="3"/>
        <w:spacing w:after="0" w:line="265" w:lineRule="auto"/>
        <w:tabs>
          <w:tab w:leader="none" w:pos="650" w:val="left"/>
        </w:tabs>
        <w:numPr>
          <w:ilvl w:val="2"/>
          <w:numId w:val="306"/>
        </w:numPr>
        <w:rPr>
          <w:rFonts w:ascii="Arial" w:cs="Arial" w:eastAsia="Arial" w:hAnsi="Arial"/>
          <w:sz w:val="17"/>
          <w:szCs w:val="17"/>
          <w:color w:val="auto"/>
        </w:rPr>
      </w:pPr>
      <w:r>
        <w:rPr>
          <w:rFonts w:ascii="Arial" w:cs="Arial" w:eastAsia="Arial" w:hAnsi="Arial"/>
          <w:sz w:val="17"/>
          <w:szCs w:val="17"/>
          <w:color w:val="auto"/>
        </w:rPr>
        <w:t>earnings per share; (iii) return on common equity including return on tangible common equity; (iv) expense management;</w:t>
      </w:r>
    </w:p>
    <w:p>
      <w:pPr>
        <w:ind w:left="660" w:hanging="263"/>
        <w:spacing w:after="0"/>
        <w:tabs>
          <w:tab w:leader="none" w:pos="66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return on investment; (vi) stock price; (vii) revenue growth;</w:t>
      </w:r>
    </w:p>
    <w:p>
      <w:pPr>
        <w:spacing w:after="0" w:line="9" w:lineRule="exact"/>
        <w:rPr>
          <w:rFonts w:ascii="Arial" w:cs="Arial" w:eastAsia="Arial" w:hAnsi="Arial"/>
          <w:sz w:val="18"/>
          <w:szCs w:val="18"/>
          <w:color w:val="auto"/>
        </w:rPr>
      </w:pPr>
    </w:p>
    <w:p>
      <w:pPr>
        <w:ind w:left="400" w:hanging="3"/>
        <w:spacing w:after="0" w:line="251" w:lineRule="auto"/>
        <w:tabs>
          <w:tab w:leader="none" w:pos="78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efficiency ratio; (ix) credit quality; (x) ratio of non-performing assets to performing assets; (xi) shareholder value added; (xii) return on assets; (xiii) profitability or performance of identifiable business units; or (xiv) any other criteria as determined by the Committee in its sole discretion. Additionally, the foregoing criteria may relate to JPMC, one or more of its Subsidiaries or one or more of its divisions or units. In addition, the performance goals may be calculated without regard to extraordinary items.</w:t>
      </w:r>
    </w:p>
    <w:p>
      <w:pPr>
        <w:spacing w:after="0" w:line="104" w:lineRule="exact"/>
        <w:rPr>
          <w:sz w:val="20"/>
          <w:szCs w:val="20"/>
          <w:color w:val="auto"/>
        </w:rPr>
      </w:pPr>
    </w:p>
    <w:p>
      <w:pPr>
        <w:ind w:left="400" w:right="220"/>
        <w:spacing w:after="0" w:line="256" w:lineRule="auto"/>
        <w:rPr>
          <w:sz w:val="20"/>
          <w:szCs w:val="20"/>
          <w:color w:val="auto"/>
        </w:rPr>
      </w:pPr>
      <w:r>
        <w:rPr>
          <w:rFonts w:ascii="Arial" w:cs="Arial" w:eastAsia="Arial" w:hAnsi="Arial"/>
          <w:sz w:val="18"/>
          <w:szCs w:val="18"/>
          <w:color w:val="auto"/>
        </w:rPr>
        <w:t>The Committee shall determine whether, with respect to a performance period, the applicable performance goals have been met with respect to a given Participant and, if</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396" w:right="140"/>
        <w:spacing w:after="0" w:line="251" w:lineRule="auto"/>
        <w:rPr>
          <w:sz w:val="20"/>
          <w:szCs w:val="20"/>
          <w:color w:val="auto"/>
        </w:rPr>
      </w:pPr>
      <w:r>
        <w:rPr>
          <w:rFonts w:ascii="Arial" w:cs="Arial" w:eastAsia="Arial" w:hAnsi="Arial"/>
          <w:sz w:val="18"/>
          <w:szCs w:val="18"/>
          <w:color w:val="auto"/>
        </w:rPr>
        <w:t>they have, to ascertain the amount of the applicable Performance-Based Award.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w:t>
      </w:r>
    </w:p>
    <w:p>
      <w:pPr>
        <w:spacing w:after="0" w:line="82" w:lineRule="exact"/>
        <w:rPr>
          <w:sz w:val="20"/>
          <w:szCs w:val="20"/>
          <w:color w:val="auto"/>
        </w:rPr>
      </w:pPr>
    </w:p>
    <w:p>
      <w:pPr>
        <w:ind w:left="336" w:right="100" w:hanging="336"/>
        <w:spacing w:after="0" w:line="253" w:lineRule="auto"/>
        <w:tabs>
          <w:tab w:leader="none" w:pos="339"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equivalents and voting rights. </w:t>
      </w:r>
      <w:r>
        <w:rPr>
          <w:rFonts w:ascii="Arial" w:cs="Arial" w:eastAsia="Arial" w:hAnsi="Arial"/>
          <w:sz w:val="18"/>
          <w:szCs w:val="18"/>
          <w:color w:val="auto"/>
        </w:rPr>
        <w:t>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Other Stock-Based Awards of restricted stock and restricted stock units may provide the Participant with dividends or dividend equivalents payable prior to vesting; and Awards of Other Stock-Based Awards of restricted stock may provide for voting rights prior to vesting. Notwithstanding the foregoing, with respect to Awards of restricted stock or restricted stock units specifically designated in the award agreement as performance-based, dividends shall be accumulated and shall be paid to the Participants only in an amount based on the number of shares, if any, that vest under the terms of the Award.</w:t>
      </w:r>
    </w:p>
    <w:p>
      <w:pPr>
        <w:spacing w:after="0" w:line="81" w:lineRule="exact"/>
        <w:rPr>
          <w:rFonts w:ascii="Arial" w:cs="Arial" w:eastAsia="Arial" w:hAnsi="Arial"/>
          <w:sz w:val="18"/>
          <w:szCs w:val="18"/>
          <w:b w:val="1"/>
          <w:bCs w:val="1"/>
          <w:color w:val="auto"/>
        </w:rPr>
      </w:pPr>
    </w:p>
    <w:p>
      <w:pPr>
        <w:ind w:left="336" w:hanging="336"/>
        <w:spacing w:after="0"/>
        <w:tabs>
          <w:tab w:leader="none" w:pos="33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Director compensation.</w:t>
      </w:r>
    </w:p>
    <w:p>
      <w:pPr>
        <w:spacing w:after="0" w:line="139" w:lineRule="exact"/>
        <w:rPr>
          <w:rFonts w:ascii="Arial" w:cs="Arial" w:eastAsia="Arial" w:hAnsi="Arial"/>
          <w:sz w:val="18"/>
          <w:szCs w:val="18"/>
          <w:b w:val="1"/>
          <w:bCs w:val="1"/>
          <w:color w:val="auto"/>
        </w:rPr>
      </w:pPr>
    </w:p>
    <w:p>
      <w:pPr>
        <w:ind w:left="776" w:right="140" w:hanging="387"/>
        <w:spacing w:after="0" w:line="251" w:lineRule="auto"/>
        <w:tabs>
          <w:tab w:leader="none" w:pos="769" w:val="left"/>
        </w:tabs>
        <w:numPr>
          <w:ilvl w:val="1"/>
          <w:numId w:val="309"/>
        </w:numPr>
        <w:rPr>
          <w:rFonts w:ascii="Arial" w:cs="Arial" w:eastAsia="Arial" w:hAnsi="Arial"/>
          <w:sz w:val="18"/>
          <w:szCs w:val="18"/>
          <w:color w:val="auto"/>
        </w:rPr>
      </w:pPr>
      <w:r>
        <w:rPr>
          <w:rFonts w:ascii="Arial" w:cs="Arial" w:eastAsia="Arial" w:hAnsi="Arial"/>
          <w:sz w:val="18"/>
          <w:szCs w:val="18"/>
          <w:color w:val="auto"/>
        </w:rPr>
        <w:t>For each calendar year for service on the Board, each Director shall receive an annual cash retainer of $100,000 and, if the Director is on the Board at the time when annual performance year equity awards are granted, an annual grant of deferred stock units valued at $250,000. During the term set forth in Section 3(a), with respect to which Awards may be granted under the Plan, the Board is specifically authorized in its discretion to increase the cash retainer and/or the equity award described in this Section 12(a) by a combined total of up to $25,000 or to decrease them.</w:t>
      </w:r>
    </w:p>
    <w:p>
      <w:pPr>
        <w:spacing w:after="0" w:line="102" w:lineRule="exact"/>
        <w:rPr>
          <w:rFonts w:ascii="Arial" w:cs="Arial" w:eastAsia="Arial" w:hAnsi="Arial"/>
          <w:sz w:val="18"/>
          <w:szCs w:val="18"/>
          <w:color w:val="auto"/>
        </w:rPr>
      </w:pPr>
    </w:p>
    <w:p>
      <w:pPr>
        <w:ind w:left="776" w:right="240" w:hanging="387"/>
        <w:spacing w:after="0" w:line="250" w:lineRule="auto"/>
        <w:tabs>
          <w:tab w:leader="none" w:pos="769" w:val="left"/>
        </w:tabs>
        <w:numPr>
          <w:ilvl w:val="1"/>
          <w:numId w:val="309"/>
        </w:numPr>
        <w:rPr>
          <w:rFonts w:ascii="Arial" w:cs="Arial" w:eastAsia="Arial" w:hAnsi="Arial"/>
          <w:sz w:val="18"/>
          <w:szCs w:val="18"/>
          <w:color w:val="auto"/>
        </w:rPr>
      </w:pPr>
      <w:r>
        <w:rPr>
          <w:rFonts w:ascii="Arial" w:cs="Arial" w:eastAsia="Arial" w:hAnsi="Arial"/>
          <w:sz w:val="18"/>
          <w:szCs w:val="18"/>
          <w:color w:val="auto"/>
        </w:rPr>
        <w:t>For each calendar year, each Director who serves in the following designated roles shall receive an annual cash retainer of: (i) $30,000 for serving as the Lead Independent Director; (ii) $25,000 for chairing the JPMorgan Chase Bank, N.A. (“Bank”) board, Audit Committee or Risk Committee; and (iii) $15,000 for chairing any other principal standing committee and for serving on any of the Bank board, Audit Committee or Risk Committee. During the terms set forth in Section</w:t>
      </w:r>
    </w:p>
    <w:p>
      <w:pPr>
        <w:spacing w:after="0" w:line="3" w:lineRule="exact"/>
        <w:rPr>
          <w:rFonts w:ascii="Arial" w:cs="Arial" w:eastAsia="Arial" w:hAnsi="Arial"/>
          <w:sz w:val="18"/>
          <w:szCs w:val="18"/>
          <w:color w:val="auto"/>
        </w:rPr>
      </w:pPr>
    </w:p>
    <w:p>
      <w:pPr>
        <w:ind w:left="776" w:right="160"/>
        <w:spacing w:after="0" w:line="254" w:lineRule="auto"/>
        <w:rPr>
          <w:rFonts w:ascii="Arial" w:cs="Arial" w:eastAsia="Arial" w:hAnsi="Arial"/>
          <w:sz w:val="18"/>
          <w:szCs w:val="18"/>
          <w:color w:val="auto"/>
        </w:rPr>
      </w:pPr>
      <w:r>
        <w:rPr>
          <w:rFonts w:ascii="Arial" w:cs="Arial" w:eastAsia="Arial" w:hAnsi="Arial"/>
          <w:sz w:val="18"/>
          <w:szCs w:val="18"/>
          <w:color w:val="auto"/>
        </w:rPr>
        <w:t>3(a), with respect to which Awards may be granted under the Plan, the Board is specifically authorized in its discretion to increase any retainer described in this Section 12(b) by up to $5,000 or to decrease them.</w:t>
      </w:r>
    </w:p>
    <w:p>
      <w:pPr>
        <w:spacing w:after="0" w:line="95" w:lineRule="exact"/>
        <w:rPr>
          <w:rFonts w:ascii="Arial" w:cs="Arial" w:eastAsia="Arial" w:hAnsi="Arial"/>
          <w:sz w:val="18"/>
          <w:szCs w:val="18"/>
          <w:color w:val="auto"/>
        </w:rPr>
      </w:pPr>
    </w:p>
    <w:p>
      <w:pPr>
        <w:ind w:left="776" w:right="120" w:hanging="387"/>
        <w:spacing w:after="0" w:line="254" w:lineRule="auto"/>
        <w:tabs>
          <w:tab w:leader="none" w:pos="77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Board may at any time provide any Director with a retainer or other fee in addition to those provided for in Sections 12(a) and (b), including for service, on a specific purpose committee or for</w:t>
      </w:r>
    </w:p>
    <w:p>
      <w:pPr>
        <w:spacing w:after="0" w:line="200" w:lineRule="exact"/>
        <w:rPr>
          <w:sz w:val="20"/>
          <w:szCs w:val="20"/>
          <w:color w:val="auto"/>
        </w:rPr>
      </w:pPr>
    </w:p>
    <w:p>
      <w:pPr>
        <w:sectPr>
          <w:pgSz w:w="11900" w:h="16838" w:orient="portrait"/>
          <w:cols w:equalWidth="0" w:num="2">
            <w:col w:w="5360" w:space="384"/>
            <w:col w:w="5476"/>
          </w:cols>
          <w:pgMar w:left="320" w:top="171" w:right="359" w:bottom="1440" w:gutter="0" w:footer="0" w:header="0"/>
          <w:type w:val="continuous"/>
        </w:sectPr>
      </w:pP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118</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25" w:name="page126"/>
    <w:bookmarkEnd w:id="125"/>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319" w:lineRule="exact"/>
        <w:rPr>
          <w:sz w:val="20"/>
          <w:szCs w:val="20"/>
          <w:color w:val="auto"/>
        </w:rPr>
      </w:pPr>
    </w:p>
    <w:p>
      <w:pPr>
        <w:ind w:left="780" w:right="60"/>
        <w:spacing w:after="0" w:line="256" w:lineRule="auto"/>
        <w:rPr>
          <w:sz w:val="20"/>
          <w:szCs w:val="20"/>
          <w:color w:val="auto"/>
        </w:rPr>
      </w:pPr>
      <w:r>
        <w:rPr>
          <w:rFonts w:ascii="Arial" w:cs="Arial" w:eastAsia="Arial" w:hAnsi="Arial"/>
          <w:sz w:val="18"/>
          <w:szCs w:val="18"/>
          <w:color w:val="auto"/>
        </w:rPr>
        <w:t>any other special service, in each case determined in the discretion of the Board. The Board also may decrease any retainer provided for in Sections 12(a) and (b).</w:t>
      </w:r>
    </w:p>
    <w:p>
      <w:pPr>
        <w:spacing w:after="0" w:line="94" w:lineRule="exact"/>
        <w:rPr>
          <w:sz w:val="20"/>
          <w:szCs w:val="20"/>
          <w:color w:val="auto"/>
        </w:rPr>
      </w:pPr>
    </w:p>
    <w:p>
      <w:pPr>
        <w:ind w:left="780" w:hanging="383"/>
        <w:spacing w:after="0" w:line="252" w:lineRule="auto"/>
        <w:tabs>
          <w:tab w:leader="none" w:pos="77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retainer or fee pursuant to this Section 12 may be payable in the form of cash, an Other Stock-Based Award or any combination, as determined in the discretion of the Board, and shall have such terms and conditions as the Board may specify and any Award of restricted stock units shall provide for dividend equivalents that shall be payable as additional restricted stock units.</w:t>
      </w:r>
    </w:p>
    <w:p>
      <w:pPr>
        <w:spacing w:after="0" w:line="98" w:lineRule="exact"/>
        <w:rPr>
          <w:rFonts w:ascii="Arial" w:cs="Arial" w:eastAsia="Arial" w:hAnsi="Arial"/>
          <w:sz w:val="18"/>
          <w:szCs w:val="18"/>
          <w:color w:val="auto"/>
        </w:rPr>
      </w:pPr>
    </w:p>
    <w:p>
      <w:pPr>
        <w:ind w:left="780" w:right="80" w:hanging="383"/>
        <w:spacing w:after="0" w:line="254" w:lineRule="auto"/>
        <w:tabs>
          <w:tab w:leader="none" w:pos="77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Unless the Board determines otherwise in its discretion, the Corporate Governance &amp; Nominating Committee of the Board (or any successor committee) is delegated the authority of the Board under this Section 12.</w:t>
      </w:r>
    </w:p>
    <w:p>
      <w:pPr>
        <w:spacing w:after="0" w:line="73" w:lineRule="exact"/>
        <w:rPr>
          <w:rFonts w:ascii="Arial" w:cs="Arial" w:eastAsia="Arial" w:hAnsi="Arial"/>
          <w:sz w:val="18"/>
          <w:szCs w:val="18"/>
          <w:color w:val="auto"/>
        </w:rPr>
      </w:pPr>
    </w:p>
    <w:p>
      <w:pPr>
        <w:ind w:left="400" w:right="20" w:hanging="392"/>
        <w:spacing w:after="0" w:line="256" w:lineRule="auto"/>
        <w:tabs>
          <w:tab w:leader="none" w:pos="39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 agreements. </w:t>
      </w:r>
      <w:r>
        <w:rPr>
          <w:rFonts w:ascii="Arial" w:cs="Arial" w:eastAsia="Arial" w:hAnsi="Arial"/>
          <w:sz w:val="18"/>
          <w:szCs w:val="18"/>
          <w:color w:val="auto"/>
        </w:rPr>
        <w:t>Each Award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a document setting forth the terms and conditions, not inconsistent with the provisions of the Plan, as determined by the Committee, which shall apply to such Award. Such document may be delivered by mail or electronic means, including the internet. The Committee may amend any Award Agreement to conform to the requirements of law.</w:t>
      </w:r>
    </w:p>
    <w:p>
      <w:pPr>
        <w:spacing w:after="0" w:line="74" w:lineRule="exact"/>
        <w:rPr>
          <w:rFonts w:ascii="Arial" w:cs="Arial" w:eastAsia="Arial" w:hAnsi="Arial"/>
          <w:sz w:val="18"/>
          <w:szCs w:val="18"/>
          <w:b w:val="1"/>
          <w:bCs w:val="1"/>
          <w:color w:val="auto"/>
        </w:rPr>
      </w:pPr>
    </w:p>
    <w:p>
      <w:pPr>
        <w:ind w:left="400" w:hanging="392"/>
        <w:spacing w:after="0"/>
        <w:tabs>
          <w:tab w:leader="none" w:pos="40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and right of offset.</w:t>
      </w:r>
    </w:p>
    <w:p>
      <w:pPr>
        <w:spacing w:after="0" w:line="139" w:lineRule="exact"/>
        <w:rPr>
          <w:rFonts w:ascii="Arial" w:cs="Arial" w:eastAsia="Arial" w:hAnsi="Arial"/>
          <w:sz w:val="18"/>
          <w:szCs w:val="18"/>
          <w:b w:val="1"/>
          <w:bCs w:val="1"/>
          <w:color w:val="auto"/>
        </w:rPr>
      </w:pPr>
    </w:p>
    <w:p>
      <w:pPr>
        <w:ind w:left="780" w:right="20" w:hanging="383"/>
        <w:spacing w:after="0" w:line="251" w:lineRule="auto"/>
        <w:tabs>
          <w:tab w:leader="none" w:pos="773"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Company shall have the right to deduct from all amounts paid to any Participant in cash (whether under this Plan or otherwise) any taxes required by law to be withheld therefrom. In the case of payments of Awards in the form of Common Stock, at the Committee’s discretion, the Participant may be required to pay, in such form as the Committee may specify, to the Company the amount of any taxes required to be withheld with respect to such Common Stock prior to its receipt, or, in lieu thereof, the Company shall have the right to retain the number of shares of Common Stock the Fair Market Value of which equals the amount required to be withheld.</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776" w:right="140" w:hanging="387"/>
        <w:spacing w:after="0" w:line="268" w:lineRule="auto"/>
        <w:tabs>
          <w:tab w:leader="none" w:pos="769"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To the extent that any amounts hereunder are not deferred compensation within the meaning of Section 409A of the Code, the Company shall have the right to offset against its obligation to deliver shares of Common Stock or cash under the Plan or any Award Agreement any amounts (including, without limitation, travel and entertainment expenses or advances, loans, credit card obligations, repayment obligations under any Awards, or amounts repayable pursuant to tax equalization, housing, automobile or other employee programs), the Participant</w:t>
      </w:r>
    </w:p>
    <w:p>
      <w:pPr>
        <w:spacing w:after="0" w:line="17" w:lineRule="exact"/>
        <w:rPr>
          <w:rFonts w:ascii="Arial" w:cs="Arial" w:eastAsia="Arial" w:hAnsi="Arial"/>
          <w:sz w:val="17"/>
          <w:szCs w:val="17"/>
          <w:color w:val="auto"/>
        </w:rPr>
      </w:pPr>
    </w:p>
    <w:p>
      <w:pPr>
        <w:ind w:left="776" w:right="220"/>
        <w:spacing w:after="0" w:line="252" w:lineRule="auto"/>
        <w:rPr>
          <w:rFonts w:ascii="Arial" w:cs="Arial" w:eastAsia="Arial" w:hAnsi="Arial"/>
          <w:sz w:val="17"/>
          <w:szCs w:val="17"/>
          <w:color w:val="auto"/>
        </w:rPr>
      </w:pPr>
      <w:r>
        <w:rPr>
          <w:rFonts w:ascii="Arial" w:cs="Arial" w:eastAsia="Arial" w:hAnsi="Arial"/>
          <w:sz w:val="18"/>
          <w:szCs w:val="18"/>
          <w:color w:val="auto"/>
        </w:rPr>
        <w:t>then owes to the Company. Additionally, in situations where such amounts are owed to the Company or the amount owed has not been determined in full, the Company may preclude a Participant from exercising an Award of stock options or stock appreciation rights until such amount is paid or established in full.</w:t>
      </w:r>
    </w:p>
    <w:p>
      <w:pPr>
        <w:spacing w:after="0" w:line="77" w:lineRule="exact"/>
        <w:rPr>
          <w:rFonts w:ascii="Arial" w:cs="Arial" w:eastAsia="Arial" w:hAnsi="Arial"/>
          <w:sz w:val="17"/>
          <w:szCs w:val="17"/>
          <w:color w:val="auto"/>
        </w:rPr>
      </w:pPr>
    </w:p>
    <w:p>
      <w:pPr>
        <w:ind w:left="396" w:right="160" w:hanging="396"/>
        <w:spacing w:after="0" w:line="254" w:lineRule="auto"/>
        <w:tabs>
          <w:tab w:leader="none" w:pos="39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w:t>
      </w:r>
      <w:r>
        <w:rPr>
          <w:rFonts w:ascii="Arial" w:cs="Arial" w:eastAsia="Arial" w:hAnsi="Arial"/>
          <w:sz w:val="18"/>
          <w:szCs w:val="18"/>
          <w:color w:val="auto"/>
        </w:rPr>
        <w:t>No Award shall be assignable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and no right or interest of any Participant in any Award shall be subject to any lien, obligation or liability of the Participant, except by will, the laws of descent and distribution, or as otherwise set forth in the Award agreement; provided that with respect to Awards (other than an Award of an incentive stock option), the Committee may, in its sole discretion, permit certain Participants or classes of Participants to transfer Awards of nonqualified stock options and stock appreciation rights or Other Stock-Based Awards to such individuals or entities as the Committee may specify.</w:t>
      </w:r>
    </w:p>
    <w:p>
      <w:pPr>
        <w:spacing w:after="0" w:line="74" w:lineRule="exact"/>
        <w:rPr>
          <w:rFonts w:ascii="Arial" w:cs="Arial" w:eastAsia="Arial" w:hAnsi="Arial"/>
          <w:sz w:val="18"/>
          <w:szCs w:val="18"/>
          <w:b w:val="1"/>
          <w:bCs w:val="1"/>
          <w:color w:val="auto"/>
        </w:rPr>
      </w:pPr>
    </w:p>
    <w:p>
      <w:pPr>
        <w:ind w:left="396" w:right="120" w:hanging="396"/>
        <w:spacing w:after="0" w:line="253" w:lineRule="auto"/>
        <w:tabs>
          <w:tab w:leader="none" w:pos="392"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 to employment or continued participation in plan. </w:t>
      </w:r>
      <w:r>
        <w:rPr>
          <w:rFonts w:ascii="Arial" w:cs="Arial" w:eastAsia="Arial" w:hAnsi="Arial"/>
          <w:sz w:val="18"/>
          <w:szCs w:val="18"/>
          <w:color w:val="auto"/>
        </w:rPr>
        <w:t>No person shall have any claim or right to the grant of an Award prior to the date that an Award agreement is delivered to such person and the satisfaction of the appropriate formalities specified in the Award agreement, and the grant of an Award shall not be construed as giving a Participant the right to be retained in the employ of the Company or to be eligible for any subsequent Awards. Further, the Company expressly reserves the right to dismiss at any time a Participant free from any liability or any claim under the Plan, except as provided herein or in any agreement entered into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417830</wp:posOffset>
            </wp:positionV>
            <wp:extent cx="2743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4"/>
            <w:col w:w="5476"/>
          </w:cols>
          <w:pgMar w:left="320" w:top="171" w:right="35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119 </w:t>
      </w:r>
      <w:r>
        <w:rPr>
          <w:sz w:val="1"/>
          <w:szCs w:val="1"/>
          <w:color w:val="auto"/>
        </w:rPr>
        <w:drawing>
          <wp:inline distT="0" distB="0" distL="0" distR="0">
            <wp:extent cx="2203450" cy="154305"/>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26" w:name="page127"/>
    <w:bookmarkEnd w:id="126"/>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74A75"/>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p>
      <w:pPr>
        <w:spacing w:after="0" w:line="189" w:lineRule="exact"/>
        <w:rPr>
          <w:sz w:val="20"/>
          <w:szCs w:val="20"/>
          <w:color w:val="auto"/>
        </w:rPr>
      </w:pPr>
    </w:p>
    <w:p>
      <w:pPr>
        <w:ind w:left="400" w:hanging="392"/>
        <w:spacing w:after="0" w:line="252" w:lineRule="auto"/>
        <w:tabs>
          <w:tab w:leader="none" w:pos="39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 of and changes in common stock. </w:t>
      </w:r>
      <w:r>
        <w:rPr>
          <w:rFonts w:ascii="Arial" w:cs="Arial" w:eastAsia="Arial" w:hAnsi="Arial"/>
          <w:sz w:val="18"/>
          <w:szCs w:val="18"/>
          <w:color w:val="auto"/>
        </w:rPr>
        <w:t>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change in the outstanding shares of Common Stock by reason of any stock dividend or split, recapitalization, issuance of a new class of common stock, merger, consolidation, spin-off, combination or exchange of shares or other similar corporate change, or any distributions to shareholders of Common Stock other than regular cash dividends, the Committee will make such substitution or adjustment, if any, as it deems to be equitable, as to the number or kind of shares of Common Stock or other securities issued or reserved for issuance pursuant to the Plan, including, but not limited to, adjustments with respect to the limitations imposed by Sections 3 and 5 and to make appropriate adjustments (including the number of shares and the exercise price) to outstanding Awards (without regard to the re-pricing restrictions set forth in Sections 7 and 8).</w:t>
      </w:r>
    </w:p>
    <w:p>
      <w:pPr>
        <w:spacing w:after="0" w:line="86" w:lineRule="exact"/>
        <w:rPr>
          <w:rFonts w:ascii="Arial" w:cs="Arial" w:eastAsia="Arial" w:hAnsi="Arial"/>
          <w:sz w:val="18"/>
          <w:szCs w:val="18"/>
          <w:b w:val="1"/>
          <w:bCs w:val="1"/>
          <w:color w:val="auto"/>
        </w:rPr>
      </w:pPr>
    </w:p>
    <w:p>
      <w:pPr>
        <w:ind w:left="400" w:right="40" w:hanging="392"/>
        <w:spacing w:after="0" w:line="253" w:lineRule="auto"/>
        <w:tabs>
          <w:tab w:leader="none" w:pos="39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or any portion hereof at any time without shareholder approval, except to the extent otherwise required by the Act or New York Stock Exchange listing requirements. Notwithstanding the foregoing, except in the case of an adjustment under Section 17, any amendment by the Board shall be conditioned on shareholder approval if it increases (i) the number of shares of Common Stock authorized for grant under Section 3, (ii) the number of shares authorized for grant to individual participants under any form of an Award as set forth in Section 5, or (iii) if such amendment eliminates restrictions applicable to the reduction of the exercise price of an option or stock appreciation right or the surrender of such Award in consideration for a new Award with a lower exercise price as set forth in Sections 7 and 8.</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396" w:right="240" w:hanging="396"/>
        <w:spacing w:after="0" w:line="259" w:lineRule="auto"/>
        <w:tabs>
          <w:tab w:leader="none" w:pos="392"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Unfunded status of plan. </w:t>
      </w:r>
      <w:r>
        <w:rPr>
          <w:rFonts w:ascii="Arial" w:cs="Arial" w:eastAsia="Arial" w:hAnsi="Arial"/>
          <w:sz w:val="18"/>
          <w:szCs w:val="18"/>
          <w:color w:val="auto"/>
        </w:rPr>
        <w:t>The Plan is intended to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an “unfunded” plan for long-term incentive compensation. Nothing herein shall be construed to give any Participant any rights with respect to unpaid Awards that are greater than those of a general unsecured creditor of JPMC.</w:t>
      </w:r>
    </w:p>
    <w:p>
      <w:pPr>
        <w:spacing w:after="0" w:line="71" w:lineRule="exact"/>
        <w:rPr>
          <w:rFonts w:ascii="Arial" w:cs="Arial" w:eastAsia="Arial" w:hAnsi="Arial"/>
          <w:sz w:val="18"/>
          <w:szCs w:val="18"/>
          <w:b w:val="1"/>
          <w:bCs w:val="1"/>
          <w:color w:val="auto"/>
        </w:rPr>
      </w:pPr>
    </w:p>
    <w:p>
      <w:pPr>
        <w:ind w:left="396" w:right="280" w:hanging="396"/>
        <w:spacing w:after="0" w:line="256" w:lineRule="auto"/>
        <w:tabs>
          <w:tab w:leader="none" w:pos="392"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Plan and Awards made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shall be binding on all successors and assigns of the Company and each Participant, including without limitation, the estate of such Participant and the executor, administrator or trustee of such estate, or any receiver or trustee in bankruptcy or representative of the Participant’s creditors.</w:t>
      </w:r>
    </w:p>
    <w:p>
      <w:pPr>
        <w:spacing w:after="0" w:line="74" w:lineRule="exact"/>
        <w:rPr>
          <w:rFonts w:ascii="Arial" w:cs="Arial" w:eastAsia="Arial" w:hAnsi="Arial"/>
          <w:sz w:val="18"/>
          <w:szCs w:val="18"/>
          <w:b w:val="1"/>
          <w:bCs w:val="1"/>
          <w:color w:val="auto"/>
        </w:rPr>
      </w:pPr>
    </w:p>
    <w:p>
      <w:pPr>
        <w:ind w:left="396" w:right="100" w:hanging="396"/>
        <w:spacing w:after="0" w:line="259" w:lineRule="auto"/>
        <w:tabs>
          <w:tab w:leader="none" w:pos="392"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construction and effect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any rules and regulations relating to the Plan and any Award Agreement shall be determined in accordance with the laws of the State of New York without reference to principles of conflict of laws.</w:t>
      </w:r>
    </w:p>
    <w:p>
      <w:pPr>
        <w:spacing w:after="0" w:line="71" w:lineRule="exact"/>
        <w:rPr>
          <w:rFonts w:ascii="Arial" w:cs="Arial" w:eastAsia="Arial" w:hAnsi="Arial"/>
          <w:sz w:val="18"/>
          <w:szCs w:val="18"/>
          <w:b w:val="1"/>
          <w:bCs w:val="1"/>
          <w:color w:val="auto"/>
        </w:rPr>
      </w:pPr>
    </w:p>
    <w:p>
      <w:pPr>
        <w:ind w:left="376" w:hanging="376"/>
        <w:spacing w:after="0"/>
        <w:tabs>
          <w:tab w:leader="none" w:pos="37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The effective date of this Plan is May 18,</w:t>
      </w:r>
    </w:p>
    <w:p>
      <w:pPr>
        <w:spacing w:after="0" w:line="31" w:lineRule="exact"/>
        <w:rPr>
          <w:rFonts w:ascii="Arial" w:cs="Arial" w:eastAsia="Arial" w:hAnsi="Arial"/>
          <w:sz w:val="18"/>
          <w:szCs w:val="18"/>
          <w:b w:val="1"/>
          <w:bCs w:val="1"/>
          <w:color w:val="auto"/>
        </w:rPr>
      </w:pPr>
    </w:p>
    <w:p>
      <w:pPr>
        <w:ind w:left="396" w:right="1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2021. No Awards shall be granted under the Plan after May 31, 2025, or the date the Plan is earlier terminated by the Board; provided, however, that the termination of the Plan shall not preclude the Company from complying with the terms of Awards outstanding on the date the Plan terminates.</w:t>
      </w:r>
    </w:p>
    <w:p>
      <w:pPr>
        <w:spacing w:after="0" w:line="1603" w:lineRule="exact"/>
        <w:rPr>
          <w:sz w:val="20"/>
          <w:szCs w:val="20"/>
          <w:color w:val="auto"/>
        </w:rPr>
      </w:pPr>
    </w:p>
    <w:p>
      <w:pPr>
        <w:sectPr>
          <w:pgSz w:w="11900" w:h="16838" w:orient="portrait"/>
          <w:cols w:equalWidth="0" w:num="2">
            <w:col w:w="5380" w:space="364"/>
            <w:col w:w="5476"/>
          </w:cols>
          <w:pgMar w:left="320" w:top="171" w:right="3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120</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type w:val="continuous"/>
        </w:sectPr>
      </w:pPr>
    </w:p>
    <w:bookmarkStart w:id="127" w:name="page128"/>
    <w:bookmarkEnd w:id="12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43"/>
          <w:szCs w:val="43"/>
          <w:color w:val="074A75"/>
        </w:rPr>
        <w:t>Glossary of selected terms and acronyms</w:t>
      </w:r>
    </w:p>
    <w:p>
      <w:pPr>
        <w:sectPr>
          <w:pgSz w:w="11900" w:h="16838" w:orient="portrait"/>
          <w:cols w:equalWidth="0" w:num="1">
            <w:col w:w="11220"/>
          </w:cols>
          <w:pgMar w:left="320" w:top="171" w:right="359" w:bottom="1440" w:gutter="0" w:footer="0" w:header="0"/>
        </w:sectPr>
      </w:pPr>
    </w:p>
    <w:p>
      <w:pPr>
        <w:spacing w:after="0" w:line="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2018 Plan: </w:t>
      </w:r>
      <w:r>
        <w:rPr>
          <w:rFonts w:ascii="Arial" w:cs="Arial" w:eastAsia="Arial" w:hAnsi="Arial"/>
          <w:sz w:val="18"/>
          <w:szCs w:val="18"/>
          <w:color w:val="auto"/>
        </w:rPr>
        <w:t>Amended and Restated Long-Term Incentive Plan</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shareholders on May 15, 2018</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2020 Form 10-K: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2020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2021 Plan: </w:t>
      </w:r>
      <w:r>
        <w:rPr>
          <w:rFonts w:ascii="Arial" w:cs="Arial" w:eastAsia="Arial" w:hAnsi="Arial"/>
          <w:sz w:val="18"/>
          <w:szCs w:val="18"/>
          <w:color w:val="auto"/>
        </w:rPr>
        <w:t>Amended and Restated Long-Term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ABL: </w:t>
      </w:r>
      <w:r>
        <w:rPr>
          <w:rFonts w:ascii="Arial" w:cs="Arial" w:eastAsia="Arial" w:hAnsi="Arial"/>
          <w:sz w:val="18"/>
          <w:szCs w:val="18"/>
          <w:color w:val="auto"/>
        </w:rPr>
        <w:t>Advancing Black Leaders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ABP: </w:t>
      </w:r>
      <w:r>
        <w:rPr>
          <w:rFonts w:ascii="Arial" w:cs="Arial" w:eastAsia="Arial" w:hAnsi="Arial"/>
          <w:sz w:val="18"/>
          <w:szCs w:val="18"/>
          <w:color w:val="auto"/>
        </w:rPr>
        <w:t>Advancing Black Pathways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AEF: </w:t>
      </w:r>
      <w:r>
        <w:rPr>
          <w:rFonts w:ascii="Arial" w:cs="Arial" w:eastAsia="Arial" w:hAnsi="Arial"/>
          <w:sz w:val="18"/>
          <w:szCs w:val="18"/>
          <w:color w:val="auto"/>
        </w:rPr>
        <w:t>Asian Executive Forum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Asians &amp; Pacific Islanders Reaching for Excellence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AUM: </w:t>
      </w:r>
      <w:r>
        <w:rPr>
          <w:rFonts w:ascii="Arial" w:cs="Arial" w:eastAsia="Arial" w:hAnsi="Arial"/>
          <w:sz w:val="18"/>
          <w:szCs w:val="18"/>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BEF: </w:t>
      </w:r>
      <w:r>
        <w:rPr>
          <w:rFonts w:ascii="Arial" w:cs="Arial" w:eastAsia="Arial" w:hAnsi="Arial"/>
          <w:sz w:val="18"/>
          <w:szCs w:val="18"/>
          <w:color w:val="auto"/>
        </w:rPr>
        <w:t>Black Executive Forum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BlackRock: </w:t>
      </w:r>
      <w:r>
        <w:rPr>
          <w:rFonts w:ascii="Arial" w:cs="Arial" w:eastAsia="Arial" w:hAnsi="Arial"/>
          <w:sz w:val="18"/>
          <w:szCs w:val="18"/>
          <w:color w:val="auto"/>
        </w:rPr>
        <w:t>BlackRock, Inc.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 Organization for Leadership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Principles: </w:t>
      </w:r>
      <w:r>
        <w:rPr>
          <w:rFonts w:ascii="Arial" w:cs="Arial" w:eastAsia="Arial" w:hAnsi="Arial"/>
          <w:sz w:val="18"/>
          <w:szCs w:val="18"/>
          <w:color w:val="auto"/>
        </w:rPr>
        <w:t>How We Do Business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CCBSI: </w:t>
      </w:r>
      <w:r>
        <w:rPr>
          <w:rFonts w:ascii="Arial" w:cs="Arial" w:eastAsia="Arial" w:hAnsi="Arial"/>
          <w:sz w:val="18"/>
          <w:szCs w:val="18"/>
          <w:color w:val="auto"/>
        </w:rPr>
        <w:t>Corporate client banking &amp; specialized industries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CCT: </w:t>
      </w:r>
      <w:r>
        <w:rPr>
          <w:rFonts w:ascii="Arial" w:cs="Arial" w:eastAsia="Arial" w:hAnsi="Arial"/>
          <w:sz w:val="18"/>
          <w:szCs w:val="18"/>
          <w:color w:val="auto"/>
        </w:rPr>
        <w:t>Center for Carbon Transition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CFO: </w:t>
      </w:r>
      <w:r>
        <w:rPr>
          <w:rFonts w:ascii="Arial" w:cs="Arial" w:eastAsia="Arial" w:hAnsi="Arial"/>
          <w:sz w:val="18"/>
          <w:szCs w:val="18"/>
          <w:color w:val="auto"/>
        </w:rPr>
        <w:t>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CMDC: </w:t>
      </w:r>
      <w:r>
        <w:rPr>
          <w:rFonts w:ascii="Arial" w:cs="Arial" w:eastAsia="Arial" w:hAnsi="Arial"/>
          <w:sz w:val="18"/>
          <w:szCs w:val="18"/>
          <w:color w:val="auto"/>
        </w:rPr>
        <w:t>Compensation &amp; Management Development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COO: </w:t>
      </w:r>
      <w:r>
        <w:rPr>
          <w:rFonts w:ascii="Arial" w:cs="Arial" w:eastAsia="Arial" w:hAnsi="Arial"/>
          <w:sz w:val="18"/>
          <w:szCs w:val="18"/>
          <w:color w:val="auto"/>
        </w:rPr>
        <w:t>Chief Operating Officer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Identified Staff,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who are material risk-takers identified under other similar standards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EMEA: </w:t>
      </w:r>
      <w:r>
        <w:rPr>
          <w:rFonts w:ascii="Arial" w:cs="Arial" w:eastAsia="Arial" w:hAnsi="Arial"/>
          <w:sz w:val="18"/>
          <w:szCs w:val="18"/>
          <w:color w:val="auto"/>
        </w:rPr>
        <w:t>Europe, Middle East, and Africa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European Union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System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Firm: </w:t>
      </w:r>
      <w:r>
        <w:rPr>
          <w:rFonts w:ascii="Arial" w:cs="Arial" w:eastAsia="Arial" w:hAnsi="Arial"/>
          <w:sz w:val="18"/>
          <w:szCs w:val="18"/>
          <w:color w:val="auto"/>
        </w:rPr>
        <w:t>JPMorgan Chase &amp; Co.</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 Nominating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HEF: </w:t>
      </w:r>
      <w:r>
        <w:rPr>
          <w:rFonts w:ascii="Arial" w:cs="Arial" w:eastAsia="Arial" w:hAnsi="Arial"/>
          <w:sz w:val="18"/>
          <w:szCs w:val="18"/>
          <w:color w:val="auto"/>
        </w:rPr>
        <w:t>Hispanic Executive Forum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HR: </w:t>
      </w:r>
      <w:r>
        <w:rPr>
          <w:rFonts w:ascii="Arial" w:cs="Arial" w:eastAsia="Arial" w:hAnsi="Arial"/>
          <w:sz w:val="18"/>
          <w:szCs w:val="18"/>
          <w:color w:val="auto"/>
        </w:rPr>
        <w:t>Human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 </w:t>
      </w:r>
      <w:r>
        <w:rPr>
          <w:rFonts w:ascii="Arial" w:cs="Arial" w:eastAsia="Arial" w:hAnsi="Arial"/>
          <w:sz w:val="18"/>
          <w:szCs w:val="18"/>
          <w:color w:val="auto"/>
        </w:rPr>
        <w:t>Investment Banking</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U.K. and/or European Union standards</w:t>
      </w:r>
    </w:p>
    <w:p>
      <w:pPr>
        <w:spacing w:after="0" w:line="4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 xml:space="preserve">IHC: </w:t>
      </w:r>
      <w:r>
        <w:rPr>
          <w:rFonts w:ascii="Arial" w:cs="Arial" w:eastAsia="Arial" w:hAnsi="Arial"/>
          <w:sz w:val="18"/>
          <w:szCs w:val="18"/>
          <w:color w:val="auto"/>
        </w:rPr>
        <w:t>JPMorgan Chase Holdings LLC, an intermediate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JPMorgan Chase: </w:t>
      </w:r>
      <w:r>
        <w:rPr>
          <w:rFonts w:ascii="Arial" w:cs="Arial" w:eastAsia="Arial" w:hAnsi="Arial"/>
          <w:sz w:val="18"/>
          <w:szCs w:val="18"/>
          <w:color w:val="auto"/>
        </w:rPr>
        <w:t>JPMorgan Chase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LGBT+: </w:t>
      </w:r>
      <w:r>
        <w:rPr>
          <w:rFonts w:ascii="Arial" w:cs="Arial" w:eastAsia="Arial" w:hAnsi="Arial"/>
          <w:sz w:val="18"/>
          <w:szCs w:val="18"/>
          <w:color w:val="auto"/>
        </w:rPr>
        <w:t>Lesbian, Gay, Bisexual, Transgender plus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LTIP: </w:t>
      </w:r>
      <w:r>
        <w:rPr>
          <w:rFonts w:ascii="Arial" w:cs="Arial" w:eastAsia="Arial" w:hAnsi="Arial"/>
          <w:sz w:val="18"/>
          <w:szCs w:val="18"/>
          <w:color w:val="auto"/>
        </w:rPr>
        <w:t>Long-Term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MMBSI: </w:t>
      </w:r>
      <w:r>
        <w:rPr>
          <w:rFonts w:ascii="Arial" w:cs="Arial" w:eastAsia="Arial" w:hAnsi="Arial"/>
          <w:sz w:val="18"/>
          <w:szCs w:val="18"/>
          <w:color w:val="auto"/>
        </w:rPr>
        <w:t>Middle market banking &amp; specialized industries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 </w:t>
      </w:r>
      <w:r>
        <w:rPr>
          <w:rFonts w:ascii="Arial" w:cs="Arial" w:eastAsia="Arial" w:hAnsi="Arial"/>
          <w:sz w:val="18"/>
          <w:szCs w:val="18"/>
          <w:color w:val="auto"/>
        </w:rPr>
        <w:t>Operating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ODI: </w:t>
      </w:r>
      <w:r>
        <w:rPr>
          <w:rFonts w:ascii="Arial" w:cs="Arial" w:eastAsia="Arial" w:hAnsi="Arial"/>
          <w:sz w:val="18"/>
          <w:szCs w:val="18"/>
          <w:color w:val="auto"/>
        </w:rPr>
        <w:t>Office of Disability Inclusion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PAC: </w:t>
      </w:r>
      <w:r>
        <w:rPr>
          <w:rFonts w:ascii="Arial" w:cs="Arial" w:eastAsia="Arial" w:hAnsi="Arial"/>
          <w:sz w:val="18"/>
          <w:szCs w:val="18"/>
          <w:color w:val="auto"/>
        </w:rPr>
        <w:t>Political Action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39" w:lineRule="exact"/>
        <w:rPr>
          <w:sz w:val="20"/>
          <w:szCs w:val="20"/>
          <w:color w:val="auto"/>
        </w:rPr>
      </w:pPr>
    </w:p>
    <w:p>
      <w:pPr>
        <w:ind w:right="2420" w:firstLine="4"/>
        <w:spacing w:after="0" w:line="388" w:lineRule="auto"/>
        <w:tabs>
          <w:tab w:leader="none" w:pos="47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 xml:space="preserve">Paycheck Protection Program </w:t>
      </w:r>
      <w:r>
        <w:rPr>
          <w:rFonts w:ascii="Arial" w:cs="Arial" w:eastAsia="Arial" w:hAnsi="Arial"/>
          <w:sz w:val="17"/>
          <w:szCs w:val="17"/>
          <w:b w:val="1"/>
          <w:bCs w:val="1"/>
          <w:color w:val="auto"/>
        </w:rPr>
        <w:t xml:space="preserve">PRC: </w:t>
      </w:r>
      <w:r>
        <w:rPr>
          <w:rFonts w:ascii="Arial" w:cs="Arial" w:eastAsia="Arial" w:hAnsi="Arial"/>
          <w:sz w:val="17"/>
          <w:szCs w:val="17"/>
          <w:color w:val="auto"/>
        </w:rPr>
        <w:t>Public Responsibility Committee</w:t>
      </w:r>
      <w:r>
        <w:rPr>
          <w:rFonts w:ascii="Arial" w:cs="Arial" w:eastAsia="Arial" w:hAnsi="Arial"/>
          <w:sz w:val="17"/>
          <w:szCs w:val="17"/>
          <w:b w:val="1"/>
          <w:bCs w:val="1"/>
          <w:color w:val="auto"/>
        </w:rPr>
        <w:t xml:space="preserve"> PSU: </w:t>
      </w:r>
      <w:r>
        <w:rPr>
          <w:rFonts w:ascii="Arial" w:cs="Arial" w:eastAsia="Arial" w:hAnsi="Arial"/>
          <w:sz w:val="17"/>
          <w:szCs w:val="17"/>
          <w:color w:val="auto"/>
        </w:rPr>
        <w:t>Performance share unit</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common equity</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Stock appreciation rights</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SBA: </w:t>
      </w:r>
      <w:r>
        <w:rPr>
          <w:rFonts w:ascii="Arial" w:cs="Arial" w:eastAsia="Arial" w:hAnsi="Arial"/>
          <w:sz w:val="18"/>
          <w:szCs w:val="18"/>
          <w:color w:val="auto"/>
        </w:rPr>
        <w:t>Small Business Administration</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1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285750</wp:posOffset>
            </wp:positionV>
            <wp:extent cx="27432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00"/>
            <w:col w:w="5480"/>
          </w:cols>
          <w:pgMar w:left="320" w:top="171" w:right="359" w:bottom="1440" w:gutter="0" w:footer="0" w:header="0"/>
          <w:type w:val="continuous"/>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2021 PROXY STATEMENT  </w:t>
      </w:r>
      <w:r>
        <w:rPr>
          <w:sz w:val="1"/>
          <w:szCs w:val="1"/>
          <w:color w:val="auto"/>
        </w:rPr>
        <w:drawing>
          <wp:inline distT="0" distB="0" distL="0" distR="0">
            <wp:extent cx="2211705" cy="154305"/>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11705" cy="154305"/>
                    </a:xfrm>
                    <a:prstGeom prst="rect">
                      <a:avLst/>
                    </a:prstGeom>
                    <a:noFill/>
                    <a:ln>
                      <a:noFill/>
                    </a:ln>
                  </pic:spPr>
                </pic:pic>
              </a:graphicData>
            </a:graphic>
          </wp:inline>
        </w:drawing>
      </w:r>
      <w:r>
        <w:rPr>
          <w:rFonts w:ascii="Arial" w:cs="Arial" w:eastAsia="Arial" w:hAnsi="Arial"/>
          <w:sz w:val="13"/>
          <w:szCs w:val="13"/>
          <w:b w:val="1"/>
          <w:bCs w:val="1"/>
          <w:color w:val="074A75"/>
        </w:rPr>
        <w:t xml:space="preserve"> 121 </w:t>
      </w:r>
      <w:r>
        <w:rPr>
          <w:sz w:val="1"/>
          <w:szCs w:val="1"/>
          <w:color w:val="auto"/>
        </w:rPr>
        <w:drawing>
          <wp:inline distT="0" distB="0" distL="0" distR="0">
            <wp:extent cx="2203450" cy="154305"/>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203450" cy="154305"/>
                    </a:xfrm>
                    <a:prstGeom prst="rect">
                      <a:avLst/>
                    </a:prstGeom>
                    <a:noFill/>
                    <a:ln>
                      <a:noFill/>
                    </a:ln>
                  </pic:spPr>
                </pic:pic>
              </a:graphicData>
            </a:graphic>
          </wp:inline>
        </w:drawing>
      </w:r>
      <w:r>
        <w:rPr>
          <w:rFonts w:ascii="Arial" w:cs="Arial" w:eastAsia="Arial" w:hAnsi="Arial"/>
          <w:sz w:val="14"/>
          <w:szCs w:val="14"/>
          <w:color w:val="074A75"/>
        </w:rPr>
        <w:t xml:space="preserve">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-8255</wp:posOffset>
            </wp:positionV>
            <wp:extent cx="2743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128" w:name="page129"/>
    <w:bookmarkEnd w:id="12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TCFD: </w:t>
      </w:r>
      <w:r>
        <w:rPr>
          <w:rFonts w:ascii="Arial" w:cs="Arial" w:eastAsia="Arial" w:hAnsi="Arial"/>
          <w:sz w:val="18"/>
          <w:szCs w:val="18"/>
          <w:color w:val="auto"/>
        </w:rPr>
        <w:t>Task Force on Climate-related Financial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TCJA: </w:t>
      </w:r>
      <w:r>
        <w:rPr>
          <w:rFonts w:ascii="Arial" w:cs="Arial" w:eastAsia="Arial" w:hAnsi="Arial"/>
          <w:sz w:val="18"/>
          <w:szCs w:val="18"/>
          <w:color w:val="auto"/>
        </w:rPr>
        <w:t>Tax Cuts and Jobs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identified under Federal Reserve standards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Vanguard: </w:t>
      </w:r>
      <w:r>
        <w:rPr>
          <w:rFonts w:ascii="Arial" w:cs="Arial" w:eastAsia="Arial" w:hAnsi="Arial"/>
          <w:sz w:val="18"/>
          <w:szCs w:val="18"/>
          <w:color w:val="auto"/>
        </w:rPr>
        <w:t>The Vanguard Group and affiliated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VETS: </w:t>
      </w:r>
      <w:r>
        <w:rPr>
          <w:rFonts w:ascii="Arial" w:cs="Arial" w:eastAsia="Arial" w:hAnsi="Arial"/>
          <w:sz w:val="18"/>
          <w:szCs w:val="18"/>
          <w:color w:val="auto"/>
        </w:rPr>
        <w:t>Voices for Employees that 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1920" w:type="dxa"/>
            <w:vAlign w:val="bottom"/>
            <w:vMerge w:val="restart"/>
          </w:tcPr>
          <w:p>
            <w:pPr>
              <w:spacing w:after="0"/>
              <w:rPr>
                <w:sz w:val="20"/>
                <w:szCs w:val="20"/>
                <w:color w:val="auto"/>
              </w:rPr>
            </w:pPr>
            <w:r>
              <w:rPr>
                <w:rFonts w:ascii="Arial" w:cs="Arial" w:eastAsia="Arial" w:hAnsi="Arial"/>
                <w:sz w:val="14"/>
                <w:szCs w:val="14"/>
                <w:color w:val="074A75"/>
              </w:rPr>
              <w:t>JPMORGAN CHASE &amp; CO.</w:t>
            </w:r>
          </w:p>
        </w:tc>
        <w:tc>
          <w:tcPr>
            <w:tcW w:w="3480" w:type="dxa"/>
            <w:vAlign w:val="bottom"/>
            <w:tcBorders>
              <w:bottom w:val="single" w:sz="8" w:color="8A8C8F"/>
              <w:right w:val="single" w:sz="8" w:color="8A8C8F"/>
            </w:tcBorders>
          </w:tcPr>
          <w:p>
            <w:pPr>
              <w:spacing w:after="0"/>
              <w:rPr>
                <w:sz w:val="9"/>
                <w:szCs w:val="9"/>
                <w:color w:val="auto"/>
              </w:rPr>
            </w:pPr>
          </w:p>
        </w:tc>
        <w:tc>
          <w:tcPr>
            <w:tcW w:w="420" w:type="dxa"/>
            <w:vAlign w:val="bottom"/>
            <w:tcBorders>
              <w:top w:val="single" w:sz="8" w:color="8A8C8F"/>
              <w:bottom w:val="single" w:sz="8" w:color="8A8C8F"/>
              <w:right w:val="single" w:sz="8" w:color="8A8C8F"/>
            </w:tcBorders>
            <w:vMerge w:val="restart"/>
          </w:tcPr>
          <w:p>
            <w:pPr>
              <w:jc w:val="right"/>
              <w:ind w:right="33"/>
              <w:spacing w:after="0"/>
              <w:rPr>
                <w:sz w:val="20"/>
                <w:szCs w:val="20"/>
                <w:color w:val="auto"/>
              </w:rPr>
            </w:pPr>
            <w:r>
              <w:rPr>
                <w:rFonts w:ascii="Arial" w:cs="Arial" w:eastAsia="Arial" w:hAnsi="Arial"/>
                <w:sz w:val="13"/>
                <w:szCs w:val="13"/>
                <w:b w:val="1"/>
                <w:bCs w:val="1"/>
                <w:color w:val="074A75"/>
              </w:rPr>
              <w:t>122</w:t>
            </w:r>
          </w:p>
        </w:tc>
        <w:tc>
          <w:tcPr>
            <w:tcW w:w="3460" w:type="dxa"/>
            <w:vAlign w:val="bottom"/>
            <w:tcBorders>
              <w:bottom w:val="single" w:sz="8" w:color="8A8C8F"/>
            </w:tcBorders>
          </w:tcPr>
          <w:p>
            <w:pPr>
              <w:spacing w:after="0"/>
              <w:rPr>
                <w:sz w:val="9"/>
                <w:szCs w:val="9"/>
                <w:color w:val="auto"/>
              </w:rPr>
            </w:pPr>
          </w:p>
        </w:tc>
        <w:tc>
          <w:tcPr>
            <w:tcW w:w="1920" w:type="dxa"/>
            <w:vAlign w:val="bottom"/>
            <w:vMerge w:val="restart"/>
          </w:tcPr>
          <w:p>
            <w:pPr>
              <w:ind w:left="160"/>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r>
        <w:trPr>
          <w:trHeight w:val="76"/>
        </w:trPr>
        <w:tc>
          <w:tcPr>
            <w:tcW w:w="1920" w:type="dxa"/>
            <w:vAlign w:val="bottom"/>
            <w:vMerge w:val="continue"/>
          </w:tcPr>
          <w:p>
            <w:pPr>
              <w:spacing w:after="0"/>
              <w:rPr>
                <w:sz w:val="6"/>
                <w:szCs w:val="6"/>
                <w:color w:val="auto"/>
              </w:rPr>
            </w:pPr>
          </w:p>
        </w:tc>
        <w:tc>
          <w:tcPr>
            <w:tcW w:w="3480" w:type="dxa"/>
            <w:vAlign w:val="bottom"/>
            <w:tcBorders>
              <w:right w:val="single" w:sz="8" w:color="8A8C8F"/>
            </w:tcBorders>
          </w:tcPr>
          <w:p>
            <w:pPr>
              <w:spacing w:after="0"/>
              <w:rPr>
                <w:sz w:val="6"/>
                <w:szCs w:val="6"/>
                <w:color w:val="auto"/>
              </w:rPr>
            </w:pPr>
          </w:p>
        </w:tc>
        <w:tc>
          <w:tcPr>
            <w:tcW w:w="420" w:type="dxa"/>
            <w:vAlign w:val="bottom"/>
            <w:tcBorders>
              <w:right w:val="single" w:sz="8" w:color="8A8C8F"/>
            </w:tcBorders>
            <w:vMerge w:val="continue"/>
          </w:tcPr>
          <w:p>
            <w:pPr>
              <w:spacing w:after="0"/>
              <w:rPr>
                <w:sz w:val="6"/>
                <w:szCs w:val="6"/>
                <w:color w:val="auto"/>
              </w:rPr>
            </w:pPr>
          </w:p>
        </w:tc>
        <w:tc>
          <w:tcPr>
            <w:tcW w:w="346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1920" w:type="dxa"/>
            <w:vAlign w:val="bottom"/>
          </w:tcPr>
          <w:p>
            <w:pPr>
              <w:spacing w:after="0"/>
              <w:rPr>
                <w:sz w:val="2"/>
                <w:szCs w:val="2"/>
                <w:color w:val="auto"/>
              </w:rPr>
            </w:pPr>
          </w:p>
        </w:tc>
        <w:tc>
          <w:tcPr>
            <w:tcW w:w="3480" w:type="dxa"/>
            <w:vAlign w:val="bottom"/>
            <w:tcBorders>
              <w:right w:val="single" w:sz="8" w:color="8A8C8F"/>
            </w:tcBorders>
          </w:tcPr>
          <w:p>
            <w:pPr>
              <w:spacing w:after="0"/>
              <w:rPr>
                <w:sz w:val="2"/>
                <w:szCs w:val="2"/>
                <w:color w:val="auto"/>
              </w:rPr>
            </w:pPr>
          </w:p>
        </w:tc>
        <w:tc>
          <w:tcPr>
            <w:tcW w:w="420" w:type="dxa"/>
            <w:vAlign w:val="bottom"/>
            <w:tcBorders>
              <w:bottom w:val="single" w:sz="8" w:color="8A8C8F"/>
              <w:right w:val="single" w:sz="8" w:color="8A8C8F"/>
            </w:tcBorders>
          </w:tcPr>
          <w:p>
            <w:pPr>
              <w:spacing w:after="0"/>
              <w:rPr>
                <w:sz w:val="2"/>
                <w:szCs w:val="2"/>
                <w:color w:val="auto"/>
              </w:rPr>
            </w:pPr>
          </w:p>
        </w:tc>
        <w:tc>
          <w:tcPr>
            <w:tcW w:w="3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71" w:right="35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8535670</wp:posOffset>
            </wp:positionV>
            <wp:extent cx="1457325" cy="6686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457325" cy="668655"/>
                    </a:xfrm>
                    <a:prstGeom prst="rect">
                      <a:avLst/>
                    </a:prstGeom>
                    <a:noFill/>
                  </pic:spPr>
                </pic:pic>
              </a:graphicData>
            </a:graphic>
          </wp:anchor>
        </w:drawing>
      </w:r>
    </w:p>
    <w:p>
      <w:pPr>
        <w:sectPr>
          <w:pgSz w:w="11900" w:h="16838" w:orient="portrait"/>
          <w:cols w:equalWidth="0" w:num="1">
            <w:col w:w="10139"/>
          </w:cols>
          <w:pgMar w:left="320" w:top="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hanging="114"/>
        <w:spacing w:after="0"/>
        <w:tabs>
          <w:tab w:leader="none" w:pos="140" w:val="left"/>
        </w:tabs>
        <w:numPr>
          <w:ilvl w:val="0"/>
          <w:numId w:val="317"/>
        </w:numPr>
        <w:rPr>
          <w:rFonts w:ascii="Arial" w:cs="Arial" w:eastAsia="Arial" w:hAnsi="Arial"/>
          <w:sz w:val="23"/>
          <w:szCs w:val="23"/>
          <w:color w:val="auto"/>
          <w:vertAlign w:val="superscript"/>
        </w:rPr>
      </w:pPr>
      <w:r>
        <w:rPr>
          <w:rFonts w:ascii="Arial" w:cs="Arial" w:eastAsia="Arial" w:hAnsi="Arial"/>
          <w:sz w:val="18"/>
          <w:szCs w:val="18"/>
          <w:color w:val="auto"/>
        </w:rPr>
        <w:t>2021 JPMorgan Chase &amp; Co. All rights reserved.</w:t>
      </w:r>
    </w:p>
    <w:p>
      <w:pPr>
        <w:ind w:left="20"/>
        <w:spacing w:after="0"/>
        <w:rPr>
          <w:sz w:val="20"/>
          <w:szCs w:val="20"/>
          <w:color w:val="auto"/>
        </w:rPr>
      </w:pPr>
      <w:r>
        <w:rPr>
          <w:rFonts w:ascii="Arial" w:cs="Arial" w:eastAsia="Arial" w:hAnsi="Arial"/>
          <w:sz w:val="18"/>
          <w:szCs w:val="18"/>
          <w:color w:val="auto"/>
        </w:rPr>
        <w:t>Printed in U.S.A. on paper that contains recycled fiber with soy ink.</w:t>
      </w:r>
    </w:p>
    <w:p>
      <w:pPr>
        <w:sectPr>
          <w:pgSz w:w="11900" w:h="16838" w:orient="portrait"/>
          <w:cols w:equalWidth="0" w:num="1">
            <w:col w:w="10139"/>
          </w:cols>
          <w:pgMar w:left="320" w:top="171" w:right="1440"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20"/>
                <w:szCs w:val="20"/>
                <w:color w:val="auto"/>
              </w:rPr>
            </w:pPr>
            <w:r>
              <w:rPr>
                <w:rFonts w:ascii="Arial" w:cs="Arial" w:eastAsia="Arial" w:hAnsi="Arial"/>
                <w:sz w:val="18"/>
                <w:szCs w:val="18"/>
                <w:color w:val="auto"/>
              </w:rPr>
              <w:t>COMPUTERSHARE</w:t>
            </w: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20" w:type="dxa"/>
            <w:vAlign w:val="bottom"/>
          </w:tcPr>
          <w:p>
            <w:pPr>
              <w:spacing w:after="0" w:line="176" w:lineRule="exact"/>
              <w:rPr>
                <w:sz w:val="20"/>
                <w:szCs w:val="20"/>
                <w:color w:val="auto"/>
              </w:rPr>
            </w:pPr>
            <w:r>
              <w:rPr>
                <w:rFonts w:ascii="Arial" w:cs="Arial" w:eastAsia="Arial" w:hAnsi="Arial"/>
                <w:sz w:val="18"/>
                <w:szCs w:val="18"/>
                <w:color w:val="auto"/>
              </w:rPr>
              <w:t>P.O. Box 505000</w:t>
            </w:r>
          </w:p>
        </w:tc>
        <w:tc>
          <w:tcPr>
            <w:tcW w:w="60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VOTE BY INTERNET</w:t>
            </w:r>
          </w:p>
        </w:tc>
        <w:tc>
          <w:tcPr>
            <w:tcW w:w="0" w:type="dxa"/>
            <w:vAlign w:val="bottom"/>
          </w:tcPr>
          <w:p>
            <w:pPr>
              <w:spacing w:after="0"/>
              <w:rPr>
                <w:sz w:val="1"/>
                <w:szCs w:val="1"/>
                <w:color w:val="auto"/>
              </w:rPr>
            </w:pPr>
          </w:p>
        </w:tc>
      </w:tr>
      <w:tr>
        <w:trPr>
          <w:trHeight w:val="82"/>
        </w:trPr>
        <w:tc>
          <w:tcPr>
            <w:tcW w:w="5120" w:type="dxa"/>
            <w:vAlign w:val="bottom"/>
            <w:vMerge w:val="restart"/>
          </w:tcPr>
          <w:p>
            <w:pPr>
              <w:spacing w:after="0"/>
              <w:rPr>
                <w:sz w:val="20"/>
                <w:szCs w:val="20"/>
                <w:color w:val="auto"/>
              </w:rPr>
            </w:pPr>
            <w:r>
              <w:rPr>
                <w:rFonts w:ascii="Arial" w:cs="Arial" w:eastAsia="Arial" w:hAnsi="Arial"/>
                <w:sz w:val="18"/>
                <w:szCs w:val="18"/>
                <w:color w:val="auto"/>
              </w:rPr>
              <w:t>Louisville, KY 40233</w:t>
            </w: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120" w:type="dxa"/>
            <w:vAlign w:val="bottom"/>
            <w:vMerge w:val="continue"/>
          </w:tcPr>
          <w:p>
            <w:pPr>
              <w:spacing w:after="0"/>
              <w:rPr>
                <w:sz w:val="11"/>
                <w:szCs w:val="11"/>
                <w:color w:val="auto"/>
              </w:rPr>
            </w:pPr>
          </w:p>
        </w:tc>
        <w:tc>
          <w:tcPr>
            <w:tcW w:w="608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 xml:space="preserve">Before The Meeting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www.proxyvote.com or scan the QR code above</w:t>
            </w:r>
          </w:p>
        </w:tc>
        <w:tc>
          <w:tcPr>
            <w:tcW w:w="0" w:type="dxa"/>
            <w:vAlign w:val="bottom"/>
          </w:tcPr>
          <w:p>
            <w:pPr>
              <w:spacing w:after="0"/>
              <w:rPr>
                <w:sz w:val="1"/>
                <w:szCs w:val="1"/>
                <w:color w:val="auto"/>
              </w:rPr>
            </w:pPr>
          </w:p>
        </w:tc>
      </w:tr>
      <w:tr>
        <w:trPr>
          <w:trHeight w:val="80"/>
        </w:trPr>
        <w:tc>
          <w:tcPr>
            <w:tcW w:w="5120" w:type="dxa"/>
            <w:vAlign w:val="bottom"/>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until 11:59 P.M. Eastern Time the day before the meeting date. Have your proxy card in hand when</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you access the website and follow the instructions to obtain your records and to create an</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electronic voting instruction form.</w:t>
            </w:r>
          </w:p>
        </w:tc>
        <w:tc>
          <w:tcPr>
            <w:tcW w:w="0" w:type="dxa"/>
            <w:vAlign w:val="bottom"/>
          </w:tcPr>
          <w:p>
            <w:pPr>
              <w:spacing w:after="0"/>
              <w:rPr>
                <w:sz w:val="1"/>
                <w:szCs w:val="1"/>
                <w:color w:val="auto"/>
              </w:rPr>
            </w:pPr>
          </w:p>
        </w:tc>
      </w:tr>
      <w:tr>
        <w:trPr>
          <w:trHeight w:val="224"/>
        </w:trPr>
        <w:tc>
          <w:tcPr>
            <w:tcW w:w="51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Arial" w:cs="Arial" w:eastAsia="Arial" w:hAnsi="Arial"/>
                <w:sz w:val="16"/>
                <w:szCs w:val="16"/>
                <w:i w:val="1"/>
                <w:iCs w:val="1"/>
                <w:color w:val="auto"/>
              </w:rPr>
              <w:t>During the Meeting - Go to www.virtualshareholdermeeting.com/JPM2021</w:t>
            </w:r>
          </w:p>
        </w:tc>
        <w:tc>
          <w:tcPr>
            <w:tcW w:w="0" w:type="dxa"/>
            <w:vAlign w:val="bottom"/>
          </w:tcPr>
          <w:p>
            <w:pPr>
              <w:spacing w:after="0"/>
              <w:rPr>
                <w:sz w:val="1"/>
                <w:szCs w:val="1"/>
                <w:color w:val="auto"/>
              </w:rPr>
            </w:pPr>
          </w:p>
        </w:tc>
      </w:tr>
      <w:tr>
        <w:trPr>
          <w:trHeight w:val="181"/>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You may attend the meeting via the Internet and vote during the meeting. Have the information that</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is printed in the box marked by the arrow available and follow the instructions.</w:t>
            </w:r>
          </w:p>
        </w:tc>
        <w:tc>
          <w:tcPr>
            <w:tcW w:w="0" w:type="dxa"/>
            <w:vAlign w:val="bottom"/>
          </w:tcPr>
          <w:p>
            <w:pPr>
              <w:spacing w:after="0"/>
              <w:rPr>
                <w:sz w:val="1"/>
                <w:szCs w:val="1"/>
                <w:color w:val="auto"/>
              </w:rPr>
            </w:pPr>
          </w:p>
        </w:tc>
      </w:tr>
      <w:tr>
        <w:trPr>
          <w:trHeight w:val="251"/>
        </w:trPr>
        <w:tc>
          <w:tcPr>
            <w:tcW w:w="5120" w:type="dxa"/>
            <w:vAlign w:val="bottom"/>
          </w:tcPr>
          <w:p>
            <w:pPr>
              <w:spacing w:after="0"/>
              <w:rPr>
                <w:sz w:val="21"/>
                <w:szCs w:val="21"/>
                <w:color w:val="auto"/>
              </w:rPr>
            </w:pPr>
          </w:p>
        </w:tc>
        <w:tc>
          <w:tcPr>
            <w:tcW w:w="6080" w:type="dxa"/>
            <w:vAlign w:val="bottom"/>
          </w:tcPr>
          <w:p>
            <w:pPr>
              <w:ind w:left="140"/>
              <w:spacing w:after="0"/>
              <w:rPr>
                <w:sz w:val="20"/>
                <w:szCs w:val="20"/>
                <w:color w:val="auto"/>
              </w:rPr>
            </w:pPr>
            <w:r>
              <w:rPr>
                <w:rFonts w:ascii="Arial" w:cs="Arial" w:eastAsia="Arial" w:hAnsi="Arial"/>
                <w:sz w:val="16"/>
                <w:szCs w:val="16"/>
                <w:b w:val="1"/>
                <w:bCs w:val="1"/>
                <w:color w:val="auto"/>
              </w:rPr>
              <w:t>VOTE BY PHONE — 1-800-690-6903</w:t>
            </w: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3"/>
                <w:szCs w:val="13"/>
                <w:color w:val="auto"/>
              </w:rPr>
              <w:t>the day before the meeting date. Have your proxy card in hand when you call and then follow the</w:t>
            </w: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6080" w:type="dxa"/>
            <w:vAlign w:val="bottom"/>
          </w:tcPr>
          <w:p>
            <w:pPr>
              <w:ind w:left="140"/>
              <w:spacing w:after="0"/>
              <w:rPr>
                <w:sz w:val="20"/>
                <w:szCs w:val="20"/>
                <w:color w:val="auto"/>
              </w:rPr>
            </w:pPr>
            <w:r>
              <w:rPr>
                <w:rFonts w:ascii="Arial" w:cs="Arial" w:eastAsia="Arial" w:hAnsi="Arial"/>
                <w:sz w:val="13"/>
                <w:szCs w:val="13"/>
                <w:color w:val="auto"/>
              </w:rPr>
              <w:t>instructions.</w:t>
            </w: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6080" w:type="dxa"/>
            <w:vAlign w:val="bottom"/>
          </w:tcPr>
          <w:p>
            <w:pPr>
              <w:ind w:left="140"/>
              <w:spacing w:after="0"/>
              <w:rPr>
                <w:sz w:val="20"/>
                <w:szCs w:val="20"/>
                <w:color w:val="auto"/>
              </w:rPr>
            </w:pPr>
            <w:r>
              <w:rPr>
                <w:rFonts w:ascii="Arial" w:cs="Arial" w:eastAsia="Arial" w:hAnsi="Arial"/>
                <w:sz w:val="16"/>
                <w:szCs w:val="16"/>
                <w:b w:val="1"/>
                <w:bCs w:val="1"/>
                <w:color w:val="auto"/>
              </w:rPr>
              <w:t>VOTE BY MAIL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6080" w:type="dxa"/>
            <w:vAlign w:val="bottom"/>
          </w:tcPr>
          <w:p>
            <w:pPr>
              <w:ind w:left="140"/>
              <w:spacing w:after="0" w:line="135" w:lineRule="exact"/>
              <w:rPr>
                <w:sz w:val="20"/>
                <w:szCs w:val="20"/>
                <w:color w:val="auto"/>
              </w:rPr>
            </w:pPr>
            <w:r>
              <w:rPr>
                <w:rFonts w:ascii="Arial" w:cs="Arial" w:eastAsia="Arial" w:hAnsi="Arial"/>
                <w:sz w:val="14"/>
                <w:szCs w:val="14"/>
                <w:color w:val="auto"/>
              </w:rPr>
              <w:t>provided or return it to JPMorgan Chase &amp; Co., c/o Broadridge, 51 Mercedes Way,</w:t>
            </w:r>
          </w:p>
        </w:tc>
        <w:tc>
          <w:tcPr>
            <w:tcW w:w="0" w:type="dxa"/>
            <w:vAlign w:val="bottom"/>
          </w:tcPr>
          <w:p>
            <w:pPr>
              <w:spacing w:after="0"/>
              <w:rPr>
                <w:sz w:val="1"/>
                <w:szCs w:val="1"/>
                <w:color w:val="auto"/>
              </w:rPr>
            </w:pPr>
          </w:p>
        </w:tc>
      </w:tr>
      <w:tr>
        <w:trPr>
          <w:trHeight w:val="166"/>
        </w:trPr>
        <w:tc>
          <w:tcPr>
            <w:tcW w:w="5120" w:type="dxa"/>
            <w:vAlign w:val="bottom"/>
          </w:tcPr>
          <w:p>
            <w:pPr>
              <w:spacing w:after="0"/>
              <w:rPr>
                <w:sz w:val="14"/>
                <w:szCs w:val="14"/>
                <w:color w:val="auto"/>
              </w:rPr>
            </w:pPr>
          </w:p>
        </w:tc>
        <w:tc>
          <w:tcPr>
            <w:tcW w:w="6080" w:type="dxa"/>
            <w:vAlign w:val="bottom"/>
          </w:tcPr>
          <w:p>
            <w:pPr>
              <w:ind w:left="140"/>
              <w:spacing w:after="0"/>
              <w:rPr>
                <w:sz w:val="20"/>
                <w:szCs w:val="20"/>
                <w:color w:val="auto"/>
              </w:rPr>
            </w:pPr>
            <w:r>
              <w:rPr>
                <w:rFonts w:ascii="Arial" w:cs="Arial" w:eastAsia="Arial" w:hAnsi="Arial"/>
                <w:sz w:val="14"/>
                <w:szCs w:val="14"/>
                <w:color w:val="auto"/>
              </w:rPr>
              <w:t>Edgewood, NY 11717.</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080" w:type="dxa"/>
            <w:vAlign w:val="bottom"/>
          </w:tcPr>
          <w:p>
            <w:pPr>
              <w:ind w:left="1540"/>
              <w:spacing w:after="0"/>
              <w:rPr>
                <w:sz w:val="20"/>
                <w:szCs w:val="20"/>
                <w:color w:val="auto"/>
              </w:rPr>
            </w:pPr>
            <w:r>
              <w:rPr>
                <w:rFonts w:ascii="Arial" w:cs="Arial" w:eastAsia="Arial" w:hAnsi="Arial"/>
                <w:sz w:val="16"/>
                <w:szCs w:val="16"/>
                <w:b w:val="1"/>
                <w:bCs w:val="1"/>
                <w:color w:val="auto"/>
              </w:rPr>
              <w:t>Your voting instructions are confidential.</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6080" w:type="dxa"/>
            <w:vAlign w:val="bottom"/>
          </w:tcPr>
          <w:p>
            <w:pPr>
              <w:ind w:left="2000"/>
              <w:spacing w:after="0"/>
              <w:rPr>
                <w:sz w:val="20"/>
                <w:szCs w:val="20"/>
                <w:color w:val="auto"/>
              </w:rPr>
            </w:pPr>
            <w:r>
              <w:rPr>
                <w:rFonts w:ascii="Arial" w:cs="Arial" w:eastAsia="Arial" w:hAnsi="Arial"/>
                <w:sz w:val="14"/>
                <w:szCs w:val="14"/>
                <w:color w:val="auto"/>
              </w:rPr>
              <w:t>E19087-P87837 KEEP THIS PORTION FOR YOUR RECORDS</w:t>
            </w: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4954905" cy="3771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4954905" cy="377190"/>
                    </a:xfrm>
                    <a:prstGeom prst="rect">
                      <a:avLst/>
                    </a:prstGeom>
                    <a:noFill/>
                  </pic:spPr>
                </pic:pic>
              </a:graphicData>
            </a:graphic>
          </wp:anchor>
        </w:drawing>
      </w:r>
    </w:p>
    <w:p>
      <w:pPr>
        <w:jc w:val="center"/>
        <w:ind w:left="360" w:right="100"/>
        <w:spacing w:after="0" w:line="261" w:lineRule="auto"/>
        <w:rPr>
          <w:sz w:val="20"/>
          <w:szCs w:val="20"/>
          <w:color w:val="auto"/>
        </w:rPr>
      </w:pPr>
      <w:r>
        <w:rPr>
          <w:rFonts w:ascii="Arial" w:cs="Arial" w:eastAsia="Arial" w:hAnsi="Arial"/>
          <w:sz w:val="18"/>
          <w:szCs w:val="18"/>
          <w:color w:val="auto"/>
        </w:rPr>
        <w:t>— — — — — — — — — — — — — — — — — — — — — — — — — — — — — — — — — — — — — — — — — — — — — — — — — — — — — — — — — — — — — — — — — — — — — — — —</w:t>
      </w:r>
    </w:p>
    <w:p>
      <w:pPr>
        <w:spacing w:after="0" w:line="28" w:lineRule="exact"/>
        <w:rPr>
          <w:sz w:val="20"/>
          <w:szCs w:val="20"/>
          <w:color w:val="auto"/>
        </w:rPr>
      </w:pPr>
    </w:p>
    <w:p>
      <w:pPr>
        <w:jc w:val="right"/>
        <w:ind w:left="5260"/>
        <w:spacing w:after="0" w:line="229" w:lineRule="auto"/>
        <w:rPr>
          <w:sz w:val="20"/>
          <w:szCs w:val="20"/>
          <w:color w:val="auto"/>
        </w:rPr>
      </w:pPr>
      <w:r>
        <w:rPr>
          <w:rFonts w:ascii="Arial" w:cs="Arial" w:eastAsia="Arial" w:hAnsi="Arial"/>
          <w:sz w:val="14"/>
          <w:szCs w:val="14"/>
          <w:color w:val="auto"/>
        </w:rPr>
        <w:t>THIS PROXY CARD IS VALID ONLY WHEN SIGNED AND DATED.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32320" cy="523811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5238115"/>
                    </a:xfrm>
                    <a:prstGeom prst="rect">
                      <a:avLst/>
                    </a:prstGeom>
                    <a:noFill/>
                  </pic:spPr>
                </pic:pic>
              </a:graphicData>
            </a:graphic>
          </wp:anchor>
        </w:drawing>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JPMORGAN CHASE &amp; CO.</w:t>
      </w:r>
    </w:p>
    <w:p>
      <w:pPr>
        <w:sectPr>
          <w:pgSz w:w="11900" w:h="16838" w:orient="portrait"/>
          <w:cols w:equalWidth="0" w:num="1">
            <w:col w:w="11200"/>
          </w:cols>
          <w:pgMar w:left="340" w:top="1120" w:right="359" w:bottom="1440" w:gutter="0" w:footer="0" w:header="0"/>
        </w:sectPr>
      </w:pPr>
    </w:p>
    <w:p>
      <w:pPr>
        <w:spacing w:after="0" w:line="55" w:lineRule="exact"/>
        <w:rPr>
          <w:sz w:val="20"/>
          <w:szCs w:val="20"/>
          <w:color w:val="auto"/>
        </w:rPr>
      </w:pPr>
    </w:p>
    <w:p>
      <w:pPr>
        <w:ind w:left="160" w:right="1640"/>
        <w:spacing w:after="0" w:line="285" w:lineRule="auto"/>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AGAINST the following shareholder proposals:</w:t>
      </w:r>
    </w:p>
    <w:p>
      <w:pPr>
        <w:spacing w:after="0" w:line="163" w:lineRule="exact"/>
        <w:rPr>
          <w:sz w:val="20"/>
          <w:szCs w:val="20"/>
          <w:color w:val="auto"/>
        </w:rPr>
      </w:pPr>
    </w:p>
    <w:p>
      <w:pPr>
        <w:sectPr>
          <w:pgSz w:w="11900" w:h="16838" w:orient="portrait"/>
          <w:cols w:equalWidth="0" w:num="2">
            <w:col w:w="5260" w:space="720"/>
            <w:col w:w="5220"/>
          </w:cols>
          <w:pgMar w:left="340" w:top="1120" w:right="359" w:bottom="1440" w:gutter="0" w:footer="0" w:header="0"/>
          <w:type w:val="continuous"/>
        </w:sectPr>
      </w:pPr>
    </w:p>
    <w:p>
      <w:pPr>
        <w:ind w:left="500" w:hanging="346"/>
        <w:spacing w:after="0"/>
        <w:tabs>
          <w:tab w:leader="none" w:pos="50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5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1a. Linda B. Bammann</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1b. Stephen B. Burke</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1c. Todd A. Combs</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1d. James S. Crown</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1e. James Dimon</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1f. Timothy P. Flynn</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1g. Mellody Hobson</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1h. Michael A. Neal</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1i. Phebe N. Novakovic</w:t>
      </w:r>
    </w:p>
    <w:p>
      <w:pPr>
        <w:spacing w:after="0" w:line="217"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1j. Virginia M. Rometty</w:t>
      </w:r>
    </w:p>
    <w:p>
      <w:pPr>
        <w:spacing w:after="0" w:line="217" w:lineRule="exact"/>
        <w:rPr>
          <w:rFonts w:ascii="Arial" w:cs="Arial" w:eastAsia="Arial" w:hAnsi="Arial"/>
          <w:sz w:val="14"/>
          <w:szCs w:val="14"/>
          <w:color w:val="auto"/>
        </w:rPr>
      </w:pPr>
    </w:p>
    <w:p>
      <w:pPr>
        <w:ind w:left="500" w:right="140" w:hanging="346"/>
        <w:spacing w:after="0" w:line="183" w:lineRule="auto"/>
        <w:tabs>
          <w:tab w:leader="none" w:pos="500" w:val="left"/>
        </w:tabs>
        <w:numPr>
          <w:ilvl w:val="0"/>
          <w:numId w:val="318"/>
        </w:numPr>
        <w:rPr>
          <w:rFonts w:ascii="Arial" w:cs="Arial" w:eastAsia="Arial" w:hAnsi="Arial"/>
          <w:sz w:val="25"/>
          <w:szCs w:val="25"/>
          <w:color w:val="auto"/>
          <w:vertAlign w:val="subscript"/>
        </w:rPr>
      </w:pPr>
      <w:r>
        <w:rPr>
          <w:rFonts w:ascii="Arial" w:cs="Arial" w:eastAsia="Arial" w:hAnsi="Arial"/>
          <w:sz w:val="13"/>
          <w:szCs w:val="13"/>
          <w:color w:val="auto"/>
        </w:rPr>
        <w:t>Advisory resolution to approve executive compensation</w:t>
      </w:r>
    </w:p>
    <w:p>
      <w:pPr>
        <w:spacing w:after="0" w:line="44" w:lineRule="exact"/>
        <w:rPr>
          <w:rFonts w:ascii="Arial" w:cs="Arial" w:eastAsia="Arial" w:hAnsi="Arial"/>
          <w:sz w:val="25"/>
          <w:szCs w:val="25"/>
          <w:color w:val="auto"/>
          <w:vertAlign w:val="subscript"/>
        </w:rPr>
      </w:pPr>
    </w:p>
    <w:p>
      <w:pPr>
        <w:ind w:left="500" w:right="440" w:hanging="346"/>
        <w:spacing w:after="0" w:line="183" w:lineRule="auto"/>
        <w:tabs>
          <w:tab w:leader="none" w:pos="500" w:val="left"/>
        </w:tabs>
        <w:numPr>
          <w:ilvl w:val="0"/>
          <w:numId w:val="318"/>
        </w:numPr>
        <w:rPr>
          <w:rFonts w:ascii="Arial" w:cs="Arial" w:eastAsia="Arial" w:hAnsi="Arial"/>
          <w:sz w:val="25"/>
          <w:szCs w:val="25"/>
          <w:color w:val="auto"/>
          <w:vertAlign w:val="subscript"/>
        </w:rPr>
      </w:pPr>
      <w:r>
        <w:rPr>
          <w:rFonts w:ascii="Arial" w:cs="Arial" w:eastAsia="Arial" w:hAnsi="Arial"/>
          <w:sz w:val="13"/>
          <w:szCs w:val="13"/>
          <w:color w:val="auto"/>
        </w:rPr>
        <w:t>Approval of Amended and Restated Long-Term Incentive</w:t>
      </w:r>
    </w:p>
    <w:p>
      <w:pPr>
        <w:spacing w:after="0" w:line="44" w:lineRule="exact"/>
        <w:rPr>
          <w:rFonts w:ascii="Arial" w:cs="Arial" w:eastAsia="Arial" w:hAnsi="Arial"/>
          <w:sz w:val="25"/>
          <w:szCs w:val="25"/>
          <w:color w:val="auto"/>
          <w:vertAlign w:val="subscript"/>
        </w:rPr>
      </w:pPr>
    </w:p>
    <w:p>
      <w:pPr>
        <w:ind w:left="500"/>
        <w:spacing w:after="0"/>
        <w:rPr>
          <w:rFonts w:ascii="Arial" w:cs="Arial" w:eastAsia="Arial" w:hAnsi="Arial"/>
          <w:sz w:val="25"/>
          <w:szCs w:val="25"/>
          <w:color w:val="auto"/>
          <w:vertAlign w:val="subscript"/>
        </w:rPr>
      </w:pPr>
      <w:r>
        <w:rPr>
          <w:rFonts w:ascii="Arial" w:cs="Arial" w:eastAsia="Arial" w:hAnsi="Arial"/>
          <w:sz w:val="14"/>
          <w:szCs w:val="14"/>
          <w:color w:val="auto"/>
        </w:rPr>
        <w:t>Plan effective May 18, 2021</w:t>
      </w:r>
    </w:p>
    <w:p>
      <w:pPr>
        <w:spacing w:after="0" w:line="109" w:lineRule="exact"/>
        <w:rPr>
          <w:rFonts w:ascii="Arial" w:cs="Arial" w:eastAsia="Arial" w:hAnsi="Arial"/>
          <w:sz w:val="25"/>
          <w:szCs w:val="25"/>
          <w:color w:val="auto"/>
          <w:vertAlign w:val="subscript"/>
        </w:rPr>
      </w:pPr>
    </w:p>
    <w:p>
      <w:pPr>
        <w:ind w:left="500" w:right="340" w:hanging="346"/>
        <w:spacing w:after="0" w:line="183" w:lineRule="auto"/>
        <w:tabs>
          <w:tab w:leader="none" w:pos="500" w:val="left"/>
        </w:tabs>
        <w:numPr>
          <w:ilvl w:val="0"/>
          <w:numId w:val="318"/>
        </w:numPr>
        <w:rPr>
          <w:rFonts w:ascii="Arial" w:cs="Arial" w:eastAsia="Arial" w:hAnsi="Arial"/>
          <w:sz w:val="25"/>
          <w:szCs w:val="25"/>
          <w:color w:val="auto"/>
          <w:vertAlign w:val="subscript"/>
        </w:rPr>
      </w:pPr>
      <w:r>
        <w:rPr>
          <w:rFonts w:ascii="Arial" w:cs="Arial" w:eastAsia="Arial" w:hAnsi="Arial"/>
          <w:sz w:val="13"/>
          <w:szCs w:val="13"/>
          <w:color w:val="auto"/>
        </w:rPr>
        <w:t>Ratification of independent registered public accounting</w:t>
      </w:r>
    </w:p>
    <w:p>
      <w:pPr>
        <w:spacing w:after="0" w:line="44" w:lineRule="exact"/>
        <w:rPr>
          <w:rFonts w:ascii="Arial" w:cs="Arial" w:eastAsia="Arial" w:hAnsi="Arial"/>
          <w:sz w:val="25"/>
          <w:szCs w:val="25"/>
          <w:color w:val="auto"/>
          <w:vertAlign w:val="subscript"/>
        </w:rPr>
      </w:pPr>
    </w:p>
    <w:p>
      <w:pPr>
        <w:ind w:left="500"/>
        <w:spacing w:after="0"/>
        <w:rPr>
          <w:rFonts w:ascii="Arial" w:cs="Arial" w:eastAsia="Arial" w:hAnsi="Arial"/>
          <w:sz w:val="25"/>
          <w:szCs w:val="25"/>
          <w:color w:val="auto"/>
          <w:vertAlign w:val="subscript"/>
        </w:rPr>
      </w:pPr>
      <w:r>
        <w:rPr>
          <w:rFonts w:ascii="Arial" w:cs="Arial" w:eastAsia="Arial" w:hAnsi="Arial"/>
          <w:sz w:val="14"/>
          <w:szCs w:val="14"/>
          <w:color w:val="auto"/>
        </w:rPr>
        <w:t>firm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jc w:val="center"/>
              <w:ind w:right="48"/>
              <w:spacing w:after="0"/>
              <w:rPr>
                <w:sz w:val="20"/>
                <w:szCs w:val="20"/>
                <w:color w:val="auto"/>
              </w:rPr>
            </w:pPr>
            <w:r>
              <w:rPr>
                <w:rFonts w:ascii="Arial" w:cs="Arial" w:eastAsia="Arial" w:hAnsi="Arial"/>
                <w:sz w:val="14"/>
                <w:szCs w:val="14"/>
                <w:color w:val="auto"/>
                <w:w w:val="95"/>
              </w:rPr>
              <w:t>For</w:t>
            </w:r>
          </w:p>
        </w:tc>
        <w:tc>
          <w:tcPr>
            <w:tcW w:w="660" w:type="dxa"/>
            <w:vAlign w:val="bottom"/>
          </w:tcPr>
          <w:p>
            <w:pPr>
              <w:jc w:val="center"/>
              <w:spacing w:after="0"/>
              <w:rPr>
                <w:sz w:val="20"/>
                <w:szCs w:val="20"/>
                <w:color w:val="auto"/>
              </w:rPr>
            </w:pPr>
            <w:r>
              <w:rPr>
                <w:rFonts w:ascii="Arial" w:cs="Arial" w:eastAsia="Arial" w:hAnsi="Arial"/>
                <w:sz w:val="14"/>
                <w:szCs w:val="14"/>
                <w:color w:val="auto"/>
              </w:rPr>
              <w:t>Against</w:t>
            </w:r>
          </w:p>
        </w:tc>
        <w:tc>
          <w:tcPr>
            <w:tcW w:w="620" w:type="dxa"/>
            <w:vAlign w:val="bottom"/>
          </w:tcPr>
          <w:p>
            <w:pPr>
              <w:jc w:val="center"/>
              <w:spacing w:after="0"/>
              <w:rPr>
                <w:sz w:val="20"/>
                <w:szCs w:val="20"/>
                <w:color w:val="auto"/>
              </w:rPr>
            </w:pPr>
            <w:r>
              <w:rPr>
                <w:rFonts w:ascii="Arial" w:cs="Arial" w:eastAsia="Arial" w:hAnsi="Arial"/>
                <w:sz w:val="14"/>
                <w:szCs w:val="14"/>
                <w:color w:val="auto"/>
              </w:rPr>
              <w:t>Abstain</w:t>
            </w: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320" w:type="dxa"/>
            <w:vAlign w:val="bottom"/>
            <w:vMerge w:val="restart"/>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640" w:type="dxa"/>
            <w:vAlign w:val="bottom"/>
          </w:tcPr>
          <w:p>
            <w:pPr>
              <w:ind w:left="140"/>
              <w:spacing w:after="0"/>
              <w:rPr>
                <w:sz w:val="20"/>
                <w:szCs w:val="20"/>
                <w:color w:val="auto"/>
              </w:rPr>
            </w:pPr>
            <w:r>
              <w:rPr>
                <w:rFonts w:ascii="Arial" w:cs="Arial" w:eastAsia="Arial" w:hAnsi="Arial"/>
                <w:sz w:val="14"/>
                <w:szCs w:val="14"/>
                <w:color w:val="auto"/>
              </w:rPr>
              <w:t>Improve shareholder written consent</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0" w:type="dxa"/>
            <w:vAlign w:val="bottom"/>
            <w:vMerge w:val="restart"/>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640" w:type="dxa"/>
            <w:vAlign w:val="bottom"/>
          </w:tcPr>
          <w:p>
            <w:pPr>
              <w:ind w:left="140"/>
              <w:spacing w:after="0"/>
              <w:rPr>
                <w:sz w:val="20"/>
                <w:szCs w:val="20"/>
                <w:color w:val="auto"/>
              </w:rPr>
            </w:pPr>
            <w:r>
              <w:rPr>
                <w:rFonts w:ascii="Arial" w:cs="Arial" w:eastAsia="Arial" w:hAnsi="Arial"/>
                <w:sz w:val="14"/>
                <w:szCs w:val="14"/>
                <w:color w:val="auto"/>
              </w:rPr>
              <w:t>Racial equity audit and report</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20" w:type="dxa"/>
            <w:vAlign w:val="bottom"/>
            <w:vMerge w:val="restart"/>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640" w:type="dxa"/>
            <w:vAlign w:val="bottom"/>
          </w:tcPr>
          <w:p>
            <w:pPr>
              <w:ind w:left="140"/>
              <w:spacing w:after="0"/>
              <w:rPr>
                <w:sz w:val="20"/>
                <w:szCs w:val="20"/>
                <w:color w:val="auto"/>
              </w:rPr>
            </w:pPr>
            <w:r>
              <w:rPr>
                <w:rFonts w:ascii="Arial" w:cs="Arial" w:eastAsia="Arial" w:hAnsi="Arial"/>
                <w:sz w:val="14"/>
                <w:szCs w:val="14"/>
                <w:color w:val="auto"/>
              </w:rPr>
              <w:t>Independent board chairman</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2640" w:type="dxa"/>
            <w:vAlign w:val="bottom"/>
          </w:tcPr>
          <w:p>
            <w:pPr>
              <w:ind w:left="140"/>
              <w:spacing w:after="0"/>
              <w:rPr>
                <w:sz w:val="20"/>
                <w:szCs w:val="20"/>
                <w:color w:val="auto"/>
              </w:rPr>
            </w:pPr>
            <w:r>
              <w:rPr>
                <w:rFonts w:ascii="Arial" w:cs="Arial" w:eastAsia="Arial" w:hAnsi="Arial"/>
                <w:sz w:val="14"/>
                <w:szCs w:val="14"/>
                <w:color w:val="auto"/>
              </w:rPr>
              <w:t>Political and electioneering expenditure</w:t>
            </w:r>
          </w:p>
        </w:tc>
        <w:tc>
          <w:tcPr>
            <w:tcW w:w="0" w:type="dxa"/>
            <w:vAlign w:val="bottom"/>
          </w:tcPr>
          <w:p>
            <w:pPr>
              <w:spacing w:after="0"/>
              <w:rPr>
                <w:sz w:val="1"/>
                <w:szCs w:val="1"/>
                <w:color w:val="auto"/>
              </w:rPr>
            </w:pPr>
          </w:p>
        </w:tc>
      </w:tr>
      <w:tr>
        <w:trPr>
          <w:trHeight w:val="91"/>
        </w:trPr>
        <w:tc>
          <w:tcPr>
            <w:tcW w:w="320" w:type="dxa"/>
            <w:vAlign w:val="bottom"/>
            <w:vMerge w:val="restart"/>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300" w:type="dxa"/>
            <w:vAlign w:val="bottom"/>
            <w:vMerge w:val="continue"/>
          </w:tcPr>
          <w:p>
            <w:pPr>
              <w:spacing w:after="0"/>
              <w:rPr>
                <w:sz w:val="7"/>
                <w:szCs w:val="7"/>
                <w:color w:val="auto"/>
              </w:rPr>
            </w:pPr>
          </w:p>
        </w:tc>
        <w:tc>
          <w:tcPr>
            <w:tcW w:w="2640" w:type="dxa"/>
            <w:vAlign w:val="bottom"/>
            <w:vMerge w:val="restart"/>
          </w:tcPr>
          <w:p>
            <w:pPr>
              <w:ind w:left="140"/>
              <w:spacing w:after="0"/>
              <w:rPr>
                <w:sz w:val="20"/>
                <w:szCs w:val="20"/>
                <w:color w:val="auto"/>
              </w:rPr>
            </w:pPr>
            <w:r>
              <w:rPr>
                <w:rFonts w:ascii="Arial" w:cs="Arial" w:eastAsia="Arial" w:hAnsi="Arial"/>
                <w:sz w:val="14"/>
                <w:szCs w:val="14"/>
                <w:color w:val="auto"/>
              </w:rPr>
              <w:t>congruency</w:t>
            </w:r>
          </w:p>
        </w:tc>
        <w:tc>
          <w:tcPr>
            <w:tcW w:w="0" w:type="dxa"/>
            <w:vAlign w:val="bottom"/>
          </w:tcPr>
          <w:p>
            <w:pPr>
              <w:spacing w:after="0"/>
              <w:rPr>
                <w:sz w:val="1"/>
                <w:szCs w:val="1"/>
                <w:color w:val="auto"/>
              </w:rPr>
            </w:pPr>
          </w:p>
        </w:tc>
      </w:tr>
      <w:tr>
        <w:trPr>
          <w:trHeight w:val="81"/>
        </w:trPr>
        <w:tc>
          <w:tcPr>
            <w:tcW w:w="3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report</w:t>
            </w:r>
          </w:p>
        </w:tc>
        <w:tc>
          <w:tcPr>
            <w:tcW w:w="0" w:type="dxa"/>
            <w:vAlign w:val="bottom"/>
          </w:tcPr>
          <w:p>
            <w:pPr>
              <w:spacing w:after="0"/>
              <w:rPr>
                <w:sz w:val="1"/>
                <w:szCs w:val="1"/>
                <w:color w:val="auto"/>
              </w:rPr>
            </w:pPr>
          </w:p>
        </w:tc>
      </w:tr>
      <w:tr>
        <w:trPr>
          <w:trHeight w:val="162"/>
        </w:trPr>
        <w:tc>
          <w:tcPr>
            <w:tcW w:w="3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6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spacing w:after="0"/>
              <w:rPr>
                <w:sz w:val="20"/>
                <w:szCs w:val="20"/>
                <w:color w:val="auto"/>
              </w:rPr>
            </w:pPr>
            <w:r>
              <w:rPr>
                <w:rFonts w:ascii="Arial" w:cs="Arial" w:eastAsia="Arial" w:hAnsi="Arial"/>
                <w:sz w:val="14"/>
                <w:szCs w:val="14"/>
                <w:color w:val="auto"/>
              </w:rPr>
              <w:t>o</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Please indicate if you plan to attend this</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jc w:val="center"/>
              <w:ind w:right="48"/>
              <w:spacing w:after="0"/>
              <w:rPr>
                <w:sz w:val="20"/>
                <w:szCs w:val="20"/>
                <w:color w:val="auto"/>
              </w:rPr>
            </w:pPr>
            <w:r>
              <w:rPr>
                <w:rFonts w:ascii="Arial" w:cs="Arial" w:eastAsia="Arial" w:hAnsi="Arial"/>
                <w:sz w:val="14"/>
                <w:szCs w:val="14"/>
                <w:color w:val="auto"/>
                <w:w w:val="95"/>
              </w:rPr>
              <w:t>For</w:t>
            </w:r>
          </w:p>
        </w:tc>
        <w:tc>
          <w:tcPr>
            <w:tcW w:w="6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540" w:type="dxa"/>
            <w:vAlign w:val="bottom"/>
          </w:tcPr>
          <w:p>
            <w:pPr>
              <w:jc w:val="center"/>
              <w:spacing w:after="0"/>
              <w:rPr>
                <w:sz w:val="20"/>
                <w:szCs w:val="20"/>
                <w:color w:val="auto"/>
              </w:rPr>
            </w:pPr>
            <w:r>
              <w:rPr>
                <w:rFonts w:ascii="Arial" w:cs="Arial" w:eastAsia="Arial" w:hAnsi="Arial"/>
                <w:sz w:val="14"/>
                <w:szCs w:val="14"/>
                <w:color w:val="auto"/>
              </w:rPr>
              <w:t>Abstain</w:t>
            </w: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r>
      <w:tr>
        <w:trPr>
          <w:trHeight w:val="378"/>
        </w:trPr>
        <w:tc>
          <w:tcPr>
            <w:tcW w:w="320" w:type="dxa"/>
            <w:vAlign w:val="bottom"/>
          </w:tcPr>
          <w:p>
            <w:pPr>
              <w:jc w:val="center"/>
              <w:ind w:right="48"/>
              <w:spacing w:after="0"/>
              <w:rPr>
                <w:sz w:val="20"/>
                <w:szCs w:val="20"/>
                <w:color w:val="auto"/>
              </w:rPr>
            </w:pPr>
            <w:r>
              <w:rPr>
                <w:rFonts w:ascii="Arial" w:cs="Arial" w:eastAsia="Arial" w:hAnsi="Arial"/>
                <w:sz w:val="14"/>
                <w:szCs w:val="14"/>
                <w:color w:val="auto"/>
              </w:rPr>
              <w:t>o</w:t>
            </w:r>
          </w:p>
        </w:tc>
        <w:tc>
          <w:tcPr>
            <w:tcW w:w="680" w:type="dxa"/>
            <w:vAlign w:val="bottom"/>
          </w:tcPr>
          <w:p>
            <w:pPr>
              <w:jc w:val="center"/>
              <w:spacing w:after="0"/>
              <w:rPr>
                <w:sz w:val="20"/>
                <w:szCs w:val="20"/>
                <w:color w:val="auto"/>
              </w:rPr>
            </w:pPr>
            <w:r>
              <w:rPr>
                <w:rFonts w:ascii="Arial" w:cs="Arial" w:eastAsia="Arial" w:hAnsi="Arial"/>
                <w:sz w:val="14"/>
                <w:szCs w:val="14"/>
                <w:color w:val="auto"/>
              </w:rPr>
              <w:t>o</w:t>
            </w:r>
          </w:p>
        </w:tc>
        <w:tc>
          <w:tcPr>
            <w:tcW w:w="540" w:type="dxa"/>
            <w:vAlign w:val="bottom"/>
          </w:tcPr>
          <w:p>
            <w:pPr>
              <w:jc w:val="center"/>
              <w:spacing w:after="0"/>
              <w:rPr>
                <w:sz w:val="20"/>
                <w:szCs w:val="20"/>
                <w:color w:val="auto"/>
              </w:rPr>
            </w:pPr>
            <w:r>
              <w:rPr>
                <w:rFonts w:ascii="Arial" w:cs="Arial" w:eastAsia="Arial" w:hAnsi="Arial"/>
                <w:sz w:val="14"/>
                <w:szCs w:val="14"/>
                <w:color w:val="auto"/>
              </w:rPr>
              <w: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200" w:lineRule="exact"/>
        <w:rPr>
          <w:sz w:val="20"/>
          <w:szCs w:val="20"/>
          <w:color w:val="auto"/>
        </w:rPr>
      </w:pPr>
    </w:p>
    <w:p>
      <w:pPr>
        <w:sectPr>
          <w:pgSz w:w="11900" w:h="16838" w:orient="portrait"/>
          <w:cols w:equalWidth="0" w:num="3">
            <w:col w:w="3220" w:space="720"/>
            <w:col w:w="4840" w:space="720"/>
            <w:col w:w="1700"/>
          </w:cols>
          <w:pgMar w:left="340" w:top="1120" w:right="3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3240" w:val="left"/>
          <w:tab w:leader="none" w:pos="5580" w:val="left"/>
          <w:tab w:leader="none" w:pos="87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200"/>
          </w:cols>
          <w:pgMar w:left="340" w:top="1120" w:right="359" w:bottom="1440" w:gutter="0" w:footer="0" w:header="0"/>
          <w:type w:val="continuous"/>
        </w:sectPr>
      </w:pPr>
    </w:p>
    <w:bookmarkStart w:id="131" w:name="page132"/>
    <w:bookmarkEnd w:id="131"/>
    <w:p>
      <w:pPr>
        <w:jc w:val="center"/>
        <w:ind w:right="-19"/>
        <w:spacing w:after="0"/>
        <w:rPr>
          <w:sz w:val="20"/>
          <w:szCs w:val="20"/>
          <w:color w:val="auto"/>
        </w:rPr>
      </w:pPr>
      <w:r>
        <w:rPr>
          <w:rFonts w:ascii="Arial" w:cs="Arial" w:eastAsia="Arial" w:hAnsi="Arial"/>
          <w:sz w:val="29"/>
          <w:szCs w:val="29"/>
          <w:b w:val="1"/>
          <w:bCs w:val="1"/>
          <w:color w:val="auto"/>
        </w:rPr>
        <w:t>JPMorgan Chase &amp; Co.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2021 Annual Meeting of Shareholders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Tuesday, May 18, 2021 10:00 a.m. Eastern Time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www.virtualshareholdermeeting.com/JPM2021</w:t>
      </w:r>
    </w:p>
    <w:p>
      <w:pPr>
        <w:spacing w:after="0" w:line="392"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b w:val="1"/>
          <w:bCs w:val="1"/>
          <w:color w:val="auto"/>
        </w:rPr>
        <w:t xml:space="preserve">If you plan to attend the meeting at </w:t>
      </w:r>
      <w:r>
        <w:rPr>
          <w:rFonts w:ascii="Arial" w:cs="Arial" w:eastAsia="Arial" w:hAnsi="Arial"/>
          <w:sz w:val="18"/>
          <w:szCs w:val="18"/>
          <w:color w:val="auto"/>
        </w:rPr>
        <w:t>www.virtualshareholdermeeting.com/JPM2021, you will be required to enter the control number found</w:t>
      </w:r>
      <w:r>
        <w:rPr>
          <w:rFonts w:ascii="Arial" w:cs="Arial" w:eastAsia="Arial" w:hAnsi="Arial"/>
          <w:sz w:val="18"/>
          <w:szCs w:val="18"/>
          <w:b w:val="1"/>
          <w:bCs w:val="1"/>
          <w:color w:val="auto"/>
        </w:rPr>
        <w:t xml:space="preserve"> </w:t>
      </w:r>
      <w:r>
        <w:rPr>
          <w:rFonts w:ascii="Arial" w:cs="Arial" w:eastAsia="Arial" w:hAnsi="Arial"/>
          <w:sz w:val="18"/>
          <w:szCs w:val="18"/>
          <w:color w:val="auto"/>
        </w:rPr>
        <w:t>on your proxy card, voting instruction form or Notice you previously received. The Annual Meeting will be held in a virtual meeting format only. For more information see “Information about the annual shareholder meeting” in the proxy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2021 Annual Meeting: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 https://www.jpmorganchase.com/ir/annual-report</w:t>
      </w:r>
    </w:p>
    <w:p>
      <w:pPr>
        <w:spacing w:after="0" w:line="333" w:lineRule="exact"/>
        <w:rPr>
          <w:sz w:val="20"/>
          <w:szCs w:val="20"/>
          <w:color w:val="auto"/>
        </w:rPr>
      </w:pPr>
    </w:p>
    <w:p>
      <w:pPr>
        <w:jc w:val="center"/>
        <w:ind w:left="340" w:right="20"/>
        <w:spacing w:after="0" w:line="261" w:lineRule="auto"/>
        <w:rPr>
          <w:sz w:val="20"/>
          <w:szCs w:val="20"/>
          <w:color w:val="auto"/>
        </w:rPr>
      </w:pPr>
      <w:r>
        <w:rPr>
          <w:rFonts w:ascii="Arial" w:cs="Arial" w:eastAsia="Arial" w:hAnsi="Arial"/>
          <w:sz w:val="18"/>
          <w:szCs w:val="18"/>
          <w:color w:val="auto"/>
        </w:rPr>
        <w:t>— — — — — — — — — — — — — — — — — — — — — — — — — — — — — — — — — — —— — — — — — — — — — — — — — — — — — — — — — — — — — — — — — — — —</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E19088-P87837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49465" cy="265747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657475"/>
                    </a:xfrm>
                    <a:prstGeom prst="rect">
                      <a:avLst/>
                    </a:prstGeom>
                    <a:noFill/>
                  </pic:spPr>
                </pic:pic>
              </a:graphicData>
            </a:graphic>
          </wp:anchor>
        </w:drawing>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&amp; CO.</w:t>
      </w:r>
    </w:p>
    <w:p>
      <w:pPr>
        <w:spacing w:after="0" w:line="122" w:lineRule="exact"/>
        <w:rPr>
          <w:sz w:val="20"/>
          <w:szCs w:val="20"/>
          <w:color w:val="auto"/>
        </w:rPr>
      </w:pPr>
    </w:p>
    <w:p>
      <w:pPr>
        <w:jc w:val="both"/>
        <w:ind w:left="420" w:right="480" w:firstLine="213"/>
        <w:spacing w:after="0"/>
        <w:rPr>
          <w:sz w:val="20"/>
          <w:szCs w:val="20"/>
          <w:color w:val="auto"/>
        </w:rPr>
      </w:pPr>
      <w:r>
        <w:rPr>
          <w:rFonts w:ascii="Arial" w:cs="Arial" w:eastAsia="Arial" w:hAnsi="Arial"/>
          <w:sz w:val="18"/>
          <w:szCs w:val="18"/>
          <w:b w:val="1"/>
          <w:bCs w:val="1"/>
          <w:color w:val="auto"/>
        </w:rPr>
        <w:t>This proxy is solicited from you by the Board of Directors for use at the Annual Meeting of Shareholders of JPMorgan Chase &amp; Co. on May 18, 2021.</w:t>
      </w:r>
    </w:p>
    <w:p>
      <w:pPr>
        <w:spacing w:after="0" w:line="135" w:lineRule="exact"/>
        <w:rPr>
          <w:sz w:val="20"/>
          <w:szCs w:val="20"/>
          <w:color w:val="auto"/>
        </w:rPr>
      </w:pPr>
    </w:p>
    <w:p>
      <w:pPr>
        <w:jc w:val="both"/>
        <w:ind w:left="420" w:right="480" w:firstLine="243"/>
        <w:spacing w:after="0" w:line="210" w:lineRule="auto"/>
        <w:rPr>
          <w:sz w:val="20"/>
          <w:szCs w:val="20"/>
          <w:color w:val="auto"/>
        </w:rPr>
      </w:pPr>
      <w:r>
        <w:rPr>
          <w:rFonts w:ascii="Arial" w:cs="Arial" w:eastAsia="Arial" w:hAnsi="Arial"/>
          <w:sz w:val="18"/>
          <w:szCs w:val="18"/>
          <w:color w:val="auto"/>
        </w:rPr>
        <w:t xml:space="preserve">You, the undersigned shareholder, appoint each of John Tribolati and Jennifer Piepszak, your attorney-in-fact and proxy, with full power of substitution, to vote on your behalf shares of JPMorgan Chase common stock that you would be entitled to vote at the 2021 Annual Meeting, and any adjournment of the meeting, with all powers that you would have if you were personally present at the meeting. </w:t>
      </w:r>
      <w:r>
        <w:rPr>
          <w:rFonts w:ascii="Arial" w:cs="Arial" w:eastAsia="Arial" w:hAnsi="Arial"/>
          <w:sz w:val="18"/>
          <w:szCs w:val="18"/>
          <w:b w:val="1"/>
          <w:bCs w:val="1"/>
          <w:color w:val="auto"/>
        </w:rPr>
        <w:t>The shares represented by this proxy will be voted as instructed by you on the reverse side of this</w:t>
      </w:r>
      <w:r>
        <w:rPr>
          <w:rFonts w:ascii="Arial" w:cs="Arial" w:eastAsia="Arial" w:hAnsi="Arial"/>
          <w:sz w:val="18"/>
          <w:szCs w:val="18"/>
          <w:color w:val="auto"/>
        </w:rPr>
        <w:t xml:space="preserve"> </w:t>
      </w:r>
      <w:r>
        <w:rPr>
          <w:rFonts w:ascii="Arial" w:cs="Arial" w:eastAsia="Arial" w:hAnsi="Arial"/>
          <w:sz w:val="18"/>
          <w:szCs w:val="18"/>
          <w:b w:val="1"/>
          <w:bCs w:val="1"/>
          <w:color w:val="auto"/>
        </w:rPr>
        <w:t>card with respect to the proposals set forth in the proxy statement, and in the discretion of the proxies on all other matters which may properly come before the 2021 Annual Meeting and any adjournment thereof. If the card is signed but no instructions are given, shares will be voted in accordance with the recommendations of the Board of Directors.</w:t>
      </w:r>
    </w:p>
    <w:p>
      <w:pPr>
        <w:spacing w:after="0" w:line="114" w:lineRule="exact"/>
        <w:rPr>
          <w:sz w:val="20"/>
          <w:szCs w:val="20"/>
          <w:color w:val="auto"/>
        </w:rPr>
      </w:pPr>
    </w:p>
    <w:p>
      <w:pPr>
        <w:jc w:val="both"/>
        <w:ind w:left="420" w:right="480" w:firstLine="211"/>
        <w:spacing w:after="0" w:line="221"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15" w:lineRule="exact"/>
        <w:rPr>
          <w:sz w:val="20"/>
          <w:szCs w:val="20"/>
          <w:color w:val="auto"/>
        </w:rPr>
      </w:pPr>
    </w:p>
    <w:p>
      <w:pPr>
        <w:jc w:val="both"/>
        <w:ind w:left="420" w:right="480" w:firstLine="243"/>
        <w:spacing w:after="0"/>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320" w:top="5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o"/>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o"/>
      <w:numFmt w:val="bullet"/>
      <w:start w:val="1"/>
    </w:lvl>
    <w:lvl w:ilvl="1">
      <w:lvlJc w:val="left"/>
      <w:lvlText w:val="%2)"/>
      <w:numFmt w:val="decimal"/>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abstractNum>
  <w:abstractNum w:abstractNumId="7">
    <w:nsid w:val="F856867"/>
    <w:multiLevelType w:val="hybridMultilevel"/>
    <w:lvl w:ilvl="0">
      <w:lvlJc w:val="left"/>
      <w:lvlText w:val="1"/>
      <w:numFmt w:val="bullet"/>
      <w:start w:val="1"/>
    </w:lvl>
  </w:abstractNum>
  <w:abstractNum w:abstractNumId="8">
    <w:nsid w:val="11B1CC33"/>
    <w:multiLevelType w:val="hybridMultilevel"/>
    <w:lvl w:ilvl="0">
      <w:lvlJc w:val="left"/>
      <w:lvlText w:val="2"/>
      <w:numFmt w:val="bullet"/>
      <w:start w:val="1"/>
    </w:lvl>
  </w:abstractNum>
  <w:abstractNum w:abstractNumId="9">
    <w:nsid w:val="2E22FBB7"/>
    <w:multiLevelType w:val="hybridMultilevel"/>
    <w:lvl w:ilvl="0">
      <w:lvlJc w:val="left"/>
      <w:lvlText w:val="3"/>
      <w:numFmt w:val="bullet"/>
      <w:start w:val="1"/>
    </w:lvl>
  </w:abstractNum>
  <w:abstractNum w:abstractNumId="10">
    <w:nsid w:val="29934699"/>
    <w:multiLevelType w:val="hybridMultilevel"/>
    <w:lvl w:ilvl="0">
      <w:lvlJc w:val="left"/>
      <w:lvlText w:val="4"/>
      <w:numFmt w:val="bullet"/>
      <w:start w:val="1"/>
    </w:lvl>
  </w:abstractNum>
  <w:abstractNum w:abstractNumId="11">
    <w:nsid w:val="77485850"/>
    <w:multiLevelType w:val="hybridMultilevel"/>
    <w:lvl w:ilvl="0">
      <w:lvlJc w:val="left"/>
      <w:lvlText w:val="5"/>
      <w:numFmt w:val="bullet"/>
      <w:start w:val="1"/>
    </w:lvl>
  </w:abstractNum>
  <w:abstractNum w:abstractNumId="12">
    <w:nsid w:val="744939A3"/>
    <w:multiLevelType w:val="hybridMultilevel"/>
    <w:lvl w:ilvl="0">
      <w:lvlJc w:val="left"/>
      <w:lvlText w:val="6"/>
      <w:numFmt w:val="bullet"/>
      <w:start w:val="1"/>
    </w:lvl>
  </w:abstractNum>
  <w:abstractNum w:abstractNumId="13">
    <w:nsid w:val="4FA0D2E3"/>
    <w:multiLevelType w:val="hybridMultilevel"/>
    <w:lvl w:ilvl="0">
      <w:lvlJc w:val="left"/>
      <w:lvlText w:val="1"/>
      <w:numFmt w:val="bullet"/>
      <w:start w:val="1"/>
    </w:lvl>
  </w:abstractNum>
  <w:abstractNum w:abstractNumId="14">
    <w:nsid w:val="6B1D2C14"/>
    <w:multiLevelType w:val="hybridMultilevel"/>
    <w:lvl w:ilvl="0">
      <w:lvlJc w:val="left"/>
      <w:lvlText w:val="2"/>
      <w:numFmt w:val="bullet"/>
      <w:start w:val="1"/>
    </w:lvl>
  </w:abstractNum>
  <w:abstractNum w:abstractNumId="15">
    <w:nsid w:val="68B867D3"/>
    <w:multiLevelType w:val="hybridMultilevel"/>
    <w:lvl w:ilvl="0">
      <w:lvlJc w:val="left"/>
      <w:lvlText w:val="1"/>
      <w:numFmt w:val="bullet"/>
      <w:start w:val="1"/>
    </w:lvl>
  </w:abstractNum>
  <w:abstractNum w:abstractNumId="16">
    <w:nsid w:val="3F7F5DD9"/>
    <w:multiLevelType w:val="hybridMultilevel"/>
    <w:lvl w:ilvl="0">
      <w:lvlJc w:val="left"/>
      <w:lvlText w:val="•"/>
      <w:numFmt w:val="bullet"/>
      <w:start w:val="1"/>
    </w:lvl>
  </w:abstractNum>
  <w:abstractNum w:abstractNumId="17">
    <w:nsid w:val="2AE05A34"/>
    <w:multiLevelType w:val="hybridMultilevel"/>
    <w:lvl w:ilvl="0">
      <w:lvlJc w:val="left"/>
      <w:lvlText w:val="•"/>
      <w:numFmt w:val="bullet"/>
      <w:start w:val="1"/>
    </w:lvl>
  </w:abstractNum>
  <w:abstractNum w:abstractNumId="18">
    <w:nsid w:val="32794FF7"/>
    <w:multiLevelType w:val="hybridMultilevel"/>
    <w:lvl w:ilvl="0">
      <w:lvlJc w:val="left"/>
      <w:lvlText w:val="•"/>
      <w:numFmt w:val="bullet"/>
      <w:start w:val="1"/>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
      <w:numFmt w:val="bullet"/>
      <w:start w:val="1"/>
    </w:lvl>
  </w:abstractNum>
  <w:abstractNum w:abstractNumId="21">
    <w:nsid w:val="2123D5F2"/>
    <w:multiLevelType w:val="hybridMultilevel"/>
    <w:lvl w:ilvl="0">
      <w:lvlJc w:val="left"/>
      <w:lvlText w:val="•"/>
      <w:numFmt w:val="bullet"/>
      <w:start w:val="1"/>
    </w:lvl>
    <w:lvl w:ilvl="1">
      <w:lvlJc w:val="left"/>
      <w:lvlText w:val="\endash "/>
      <w:numFmt w:val="bullet"/>
      <w:start w:val="1"/>
    </w:lvl>
  </w:abstractNum>
  <w:abstractNum w:abstractNumId="22">
    <w:nsid w:val="135B8110"/>
    <w:multiLevelType w:val="hybridMultilevel"/>
    <w:lvl w:ilvl="0">
      <w:lvlJc w:val="left"/>
      <w:lvlText w:val="•"/>
      <w:numFmt w:val="bullet"/>
      <w:start w:val="1"/>
    </w:lvl>
    <w:lvl w:ilvl="1">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1"/>
      <w:numFmt w:val="bullet"/>
      <w:start w:val="1"/>
    </w:lvl>
  </w:abstractNum>
  <w:abstractNum w:abstractNumId="26">
    <w:nsid w:val="2E8A6394"/>
    <w:multiLevelType w:val="hybridMultilevel"/>
    <w:lvl w:ilvl="0">
      <w:lvlJc w:val="left"/>
      <w:lvlText w:val="2"/>
      <w:numFmt w:val="bullet"/>
      <w:start w:val="1"/>
    </w:lvl>
  </w:abstractNum>
  <w:abstractNum w:abstractNumId="27">
    <w:nsid w:val="24E60401"/>
    <w:multiLevelType w:val="hybridMultilevel"/>
    <w:lvl w:ilvl="0">
      <w:lvlJc w:val="left"/>
      <w:lvlText w:val="3"/>
      <w:numFmt w:val="bullet"/>
      <w:start w:val="1"/>
    </w:lvl>
  </w:abstractNum>
  <w:abstractNum w:abstractNumId="28">
    <w:nsid w:val="2A6AD9BE"/>
    <w:multiLevelType w:val="hybridMultilevel"/>
    <w:lvl w:ilvl="0">
      <w:lvlJc w:val="left"/>
      <w:lvlText w:val="1"/>
      <w:numFmt w:val="bullet"/>
      <w:start w:val="1"/>
    </w:lvl>
  </w:abstractNum>
  <w:abstractNum w:abstractNumId="29">
    <w:nsid w:val="BAAC1B4"/>
    <w:multiLevelType w:val="hybridMultilevel"/>
    <w:lvl w:ilvl="0">
      <w:lvlJc w:val="left"/>
      <w:lvlText w:val="1"/>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3"/>
      <w:numFmt w:val="bullet"/>
      <w:start w:val="1"/>
    </w:lvl>
    <w:lvl w:ilvl="1">
      <w:lvlJc w:val="left"/>
      <w:lvlText w:val="•"/>
      <w:numFmt w:val="bullet"/>
      <w:start w:val="1"/>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1"/>
      <w:numFmt w:val="decimal"/>
      <w:start w:val="10"/>
    </w:lvl>
  </w:abstractNum>
  <w:abstractNum w:abstractNumId="38">
    <w:nsid w:val="710757D0"/>
    <w:multiLevelType w:val="hybridMultilevel"/>
    <w:lvl w:ilvl="0">
      <w:lvlJc w:val="left"/>
      <w:lvlText w:val="%1"/>
      <w:numFmt w:val="decimal"/>
      <w:start w:val="10"/>
    </w:lvl>
  </w:abstractNum>
  <w:abstractNum w:abstractNumId="39">
    <w:nsid w:val="5015CD1A"/>
    <w:multiLevelType w:val="hybridMultilevel"/>
    <w:lvl w:ilvl="0">
      <w:lvlJc w:val="left"/>
      <w:lvlText w:val="%1"/>
      <w:numFmt w:val="decimal"/>
      <w:start w:val="10"/>
    </w:lvl>
  </w:abstractNum>
  <w:abstractNum w:abstractNumId="40">
    <w:nsid w:val="424479DA"/>
    <w:multiLevelType w:val="hybridMultilevel"/>
    <w:lvl w:ilvl="0">
      <w:lvlJc w:val="left"/>
      <w:lvlText w:val="%1"/>
      <w:numFmt w:val="decimal"/>
      <w:start w:val="10"/>
    </w:lvl>
  </w:abstractNum>
  <w:abstractNum w:abstractNumId="41">
    <w:nsid w:val="1A9A9E69"/>
    <w:multiLevelType w:val="hybridMultilevel"/>
    <w:lvl w:ilvl="0">
      <w:lvlJc w:val="left"/>
      <w:lvlText w:val="%1"/>
      <w:numFmt w:val="decimal"/>
      <w:start w:val="10"/>
    </w:lvl>
  </w:abstractNum>
  <w:abstractNum w:abstractNumId="42">
    <w:nsid w:val="475E256A"/>
    <w:multiLevelType w:val="hybridMultilevel"/>
    <w:lvl w:ilvl="0">
      <w:lvlJc w:val="left"/>
      <w:lvlText w:val="%1"/>
      <w:numFmt w:val="decimal"/>
      <w:start w:val="10"/>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
      <w:numFmt w:val="bullet"/>
      <w:start w:val="1"/>
    </w:lvl>
  </w:abstractNum>
  <w:abstractNum w:abstractNumId="51">
    <w:nsid w:val="2B4B8B53"/>
    <w:multiLevelType w:val="hybridMultilevel"/>
    <w:lvl w:ilvl="0">
      <w:lvlJc w:val="left"/>
      <w:lvlText w:val="•"/>
      <w:numFmt w:val="bullet"/>
      <w:start w:val="1"/>
    </w:lvl>
  </w:abstractNum>
  <w:abstractNum w:abstractNumId="52">
    <w:nsid w:val="72E3413A"/>
    <w:multiLevelType w:val="hybridMultilevel"/>
    <w:lvl w:ilvl="0">
      <w:lvlJc w:val="left"/>
      <w:lvlText w:val="•"/>
      <w:numFmt w:val="bullet"/>
      <w:start w:val="1"/>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
      <w:numFmt w:val="bullet"/>
      <w:start w:val="1"/>
    </w:lvl>
  </w:abstractNum>
  <w:abstractNum w:abstractNumId="58">
    <w:nsid w:val="25973E32"/>
    <w:multiLevelType w:val="hybridMultilevel"/>
    <w:lvl w:ilvl="0">
      <w:lvlJc w:val="left"/>
      <w:lvlText w:val="•"/>
      <w:numFmt w:val="bullet"/>
      <w:start w:val="1"/>
    </w:lvl>
  </w:abstractNum>
  <w:abstractNum w:abstractNumId="59">
    <w:nsid w:val="EAD6F57"/>
    <w:multiLevelType w:val="hybridMultilevel"/>
    <w:lvl w:ilvl="0">
      <w:lvlJc w:val="left"/>
      <w:lvlText w:val="•"/>
      <w:numFmt w:val="bullet"/>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
      <w:numFmt w:val="bullet"/>
      <w:start w:val="1"/>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
      <w:numFmt w:val="bullet"/>
      <w:start w:val="1"/>
    </w:lvl>
  </w:abstractNum>
  <w:abstractNum w:abstractNumId="84">
    <w:nsid w:val="4A10B4E8"/>
    <w:multiLevelType w:val="hybridMultilevel"/>
    <w:lvl w:ilvl="0">
      <w:lvlJc w:val="left"/>
      <w:lvlText w:val="%1."/>
      <w:numFmt w:val="decimal"/>
      <w:start w:val="112"/>
    </w:lvl>
  </w:abstractNum>
  <w:abstractNum w:abstractNumId="85">
    <w:nsid w:val="43D3BCD4"/>
    <w:multiLevelType w:val="hybridMultilevel"/>
    <w:lvl w:ilvl="0">
      <w:lvlJc w:val="left"/>
      <w:lvlText w:val="•"/>
      <w:numFmt w:val="bullet"/>
      <w:start w:val="1"/>
    </w:lvl>
  </w:abstractNum>
  <w:abstractNum w:abstractNumId="86">
    <w:nsid w:val="4C2A7166"/>
    <w:multiLevelType w:val="hybridMultilevel"/>
    <w:lvl w:ilvl="0">
      <w:lvlJc w:val="left"/>
      <w:lvlText w:val="•"/>
      <w:numFmt w:val="bullet"/>
      <w:start w:val="1"/>
    </w:lvl>
  </w:abstractNum>
  <w:abstractNum w:abstractNumId="87">
    <w:nsid w:val="2E534A82"/>
    <w:multiLevelType w:val="hybridMultilevel"/>
    <w:lvl w:ilvl="0">
      <w:lvlJc w:val="left"/>
      <w:lvlText w:val="•"/>
      <w:numFmt w:val="bullet"/>
      <w:start w:val="1"/>
    </w:lvl>
  </w:abstractNum>
  <w:abstractNum w:abstractNumId="88">
    <w:nsid w:val="26F2D364"/>
    <w:multiLevelType w:val="hybridMultilevel"/>
    <w:lvl w:ilvl="0">
      <w:lvlJc w:val="left"/>
      <w:lvlText w:val="•"/>
      <w:numFmt w:val="bullet"/>
      <w:start w:val="1"/>
    </w:lvl>
  </w:abstractNum>
  <w:abstractNum w:abstractNumId="89">
    <w:nsid w:val="71C1AF98"/>
    <w:multiLevelType w:val="hybridMultilevel"/>
    <w:lvl w:ilvl="0">
      <w:lvlJc w:val="left"/>
      <w:lvlText w:val="•"/>
      <w:numFmt w:val="bullet"/>
      <w:start w:val="1"/>
    </w:lvl>
  </w:abstractNum>
  <w:abstractNum w:abstractNumId="90">
    <w:nsid w:val="3D00B9D9"/>
    <w:multiLevelType w:val="hybridMultilevel"/>
    <w:lvl w:ilvl="0">
      <w:lvlJc w:val="left"/>
      <w:lvlText w:val="•"/>
      <w:numFmt w:val="bullet"/>
      <w:start w:val="1"/>
    </w:lvl>
  </w:abstractNum>
  <w:abstractNum w:abstractNumId="91">
    <w:nsid w:val="15BCABA8"/>
    <w:multiLevelType w:val="hybridMultilevel"/>
    <w:lvl w:ilvl="0">
      <w:lvlJc w:val="left"/>
      <w:lvlText w:val="•"/>
      <w:numFmt w:val="bullet"/>
      <w:start w:val="1"/>
    </w:lvl>
  </w:abstractNum>
  <w:abstractNum w:abstractNumId="92">
    <w:nsid w:val="4E0B9A87"/>
    <w:multiLevelType w:val="hybridMultilevel"/>
    <w:lvl w:ilvl="0">
      <w:lvlJc w:val="left"/>
      <w:lvlText w:val="1"/>
      <w:numFmt w:val="bullet"/>
      <w:start w:val="1"/>
    </w:lvl>
  </w:abstractNum>
  <w:abstractNum w:abstractNumId="93">
    <w:nsid w:val="434BAE75"/>
    <w:multiLevelType w:val="hybridMultilevel"/>
    <w:lvl w:ilvl="0">
      <w:lvlJc w:val="left"/>
      <w:lvlText w:val="2"/>
      <w:numFmt w:val="bullet"/>
      <w:start w:val="1"/>
    </w:lvl>
  </w:abstractNum>
  <w:abstractNum w:abstractNumId="94">
    <w:nsid w:val="4F38F265"/>
    <w:multiLevelType w:val="hybridMultilevel"/>
    <w:lvl w:ilvl="0">
      <w:lvlJc w:val="left"/>
      <w:lvlText w:val="•"/>
      <w:numFmt w:val="bullet"/>
      <w:start w:val="1"/>
    </w:lvl>
  </w:abstractNum>
  <w:abstractNum w:abstractNumId="95">
    <w:nsid w:val="4C502870"/>
    <w:multiLevelType w:val="hybridMultilevel"/>
    <w:lvl w:ilvl="0">
      <w:lvlJc w:val="left"/>
      <w:lvlText w:val="•"/>
      <w:numFmt w:val="bullet"/>
      <w:start w:val="1"/>
    </w:lvl>
  </w:abstractNum>
  <w:abstractNum w:abstractNumId="96">
    <w:nsid w:val="1DE872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7">
    <w:nsid w:val="6A37288A"/>
    <w:multiLevelType w:val="hybridMultilevel"/>
    <w:lvl w:ilvl="0">
      <w:lvlJc w:val="left"/>
      <w:lvlText w:val="1"/>
      <w:numFmt w:val="bullet"/>
      <w:start w:val="1"/>
    </w:lvl>
  </w:abstractNum>
  <w:abstractNum w:abstractNumId="98">
    <w:nsid w:val="8F8B73F"/>
    <w:multiLevelType w:val="hybridMultilevel"/>
    <w:lvl w:ilvl="0">
      <w:lvlJc w:val="left"/>
      <w:lvlText w:val="2"/>
      <w:numFmt w:val="bullet"/>
      <w:start w:val="1"/>
    </w:lvl>
  </w:abstractNum>
  <w:abstractNum w:abstractNumId="99">
    <w:nsid w:val="CA6B462"/>
    <w:multiLevelType w:val="hybridMultilevel"/>
    <w:lvl w:ilvl="0">
      <w:lvlJc w:val="left"/>
      <w:lvlText w:val="3"/>
      <w:numFmt w:val="bullet"/>
      <w:start w:val="1"/>
    </w:lvl>
  </w:abstractNum>
  <w:abstractNum w:abstractNumId="100">
    <w:nsid w:val="763CB680"/>
    <w:multiLevelType w:val="hybridMultilevel"/>
    <w:lvl w:ilvl="0">
      <w:lvlJc w:val="left"/>
      <w:lvlText w:val="4"/>
      <w:numFmt w:val="bullet"/>
      <w:start w:val="1"/>
    </w:lvl>
  </w:abstractNum>
  <w:abstractNum w:abstractNumId="101">
    <w:nsid w:val="15B71329"/>
    <w:multiLevelType w:val="hybridMultilevel"/>
    <w:lvl w:ilvl="0">
      <w:lvlJc w:val="left"/>
      <w:lvlText w:val="5"/>
      <w:numFmt w:val="bullet"/>
      <w:start w:val="1"/>
    </w:lvl>
  </w:abstractNum>
  <w:abstractNum w:abstractNumId="102">
    <w:nsid w:val="3DA97044"/>
    <w:multiLevelType w:val="hybridMultilevel"/>
    <w:lvl w:ilvl="0">
      <w:lvlJc w:val="left"/>
      <w:lvlText w:val="•"/>
      <w:numFmt w:val="bullet"/>
      <w:start w:val="1"/>
    </w:lvl>
  </w:abstractNum>
  <w:abstractNum w:abstractNumId="103">
    <w:nsid w:val="1CDCE2DE"/>
    <w:multiLevelType w:val="hybridMultilevel"/>
    <w:lvl w:ilvl="0">
      <w:lvlJc w:val="left"/>
      <w:lvlText w:val="•"/>
      <w:numFmt w:val="bullet"/>
      <w:start w:val="1"/>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lvl w:ilvl="1">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1"/>
      <w:numFmt w:val="bullet"/>
      <w:start w:val="1"/>
    </w:lvl>
  </w:abstractNum>
  <w:abstractNum w:abstractNumId="108">
    <w:nsid w:val="2C106A57"/>
    <w:multiLevelType w:val="hybridMultilevel"/>
    <w:lvl w:ilvl="0">
      <w:lvlJc w:val="left"/>
      <w:lvlText w:val="2"/>
      <w:numFmt w:val="bullet"/>
      <w:start w:val="1"/>
    </w:lvl>
  </w:abstractNum>
  <w:abstractNum w:abstractNumId="109">
    <w:nsid w:val="684EED59"/>
    <w:multiLevelType w:val="hybridMultilevel"/>
    <w:lvl w:ilvl="0">
      <w:lvlJc w:val="left"/>
      <w:lvlText w:val="3"/>
      <w:numFmt w:val="bullet"/>
      <w:start w:val="1"/>
    </w:lvl>
  </w:abstractNum>
  <w:abstractNum w:abstractNumId="110">
    <w:nsid w:val="545EE5D3"/>
    <w:multiLevelType w:val="hybridMultilevel"/>
    <w:lvl w:ilvl="0">
      <w:lvlJc w:val="left"/>
      <w:lvlText w:val="4"/>
      <w:numFmt w:val="bullet"/>
      <w:start w:val="1"/>
    </w:lvl>
  </w:abstractNum>
  <w:abstractNum w:abstractNumId="111">
    <w:nsid w:val="4A66051"/>
    <w:multiLevelType w:val="hybridMultilevel"/>
    <w:lvl w:ilvl="0">
      <w:lvlJc w:val="left"/>
      <w:lvlText w:val="•"/>
      <w:numFmt w:val="bullet"/>
      <w:start w:val="1"/>
    </w:lvl>
  </w:abstractNum>
  <w:abstractNum w:abstractNumId="112">
    <w:nsid w:val="20F4BDAD"/>
    <w:multiLevelType w:val="hybridMultilevel"/>
    <w:lvl w:ilvl="0">
      <w:lvlJc w:val="left"/>
      <w:lvlText w:val="•"/>
      <w:numFmt w:val="bullet"/>
      <w:start w:val="1"/>
    </w:lvl>
  </w:abstractNum>
  <w:abstractNum w:abstractNumId="113">
    <w:nsid w:val="639DEFAC"/>
    <w:multiLevelType w:val="hybridMultilevel"/>
    <w:lvl w:ilvl="0">
      <w:lvlJc w:val="left"/>
      <w:lvlText w:val="•"/>
      <w:numFmt w:val="bullet"/>
      <w:start w:val="1"/>
    </w:lvl>
  </w:abstractNum>
  <w:abstractNum w:abstractNumId="114">
    <w:nsid w:val="501F9786"/>
    <w:multiLevelType w:val="hybridMultilevel"/>
    <w:lvl w:ilvl="0">
      <w:lvlJc w:val="left"/>
      <w:lvlText w:val="•"/>
      <w:numFmt w:val="bullet"/>
      <w:start w:val="1"/>
    </w:lvl>
  </w:abstractNum>
  <w:abstractNum w:abstractNumId="115">
    <w:nsid w:val="6B057295"/>
    <w:multiLevelType w:val="hybridMultilevel"/>
    <w:lvl w:ilvl="0">
      <w:lvlJc w:val="left"/>
      <w:lvlText w:val="•"/>
      <w:numFmt w:val="bullet"/>
      <w:start w:val="1"/>
    </w:lvl>
  </w:abstractNum>
  <w:abstractNum w:abstractNumId="116">
    <w:nsid w:val="2771AC80"/>
    <w:multiLevelType w:val="hybridMultilevel"/>
    <w:lvl w:ilvl="0">
      <w:lvlJc w:val="left"/>
      <w:lvlText w:val="•"/>
      <w:numFmt w:val="bullet"/>
      <w:start w:val="1"/>
    </w:lvl>
  </w:abstractNum>
  <w:abstractNum w:abstractNumId="117">
    <w:nsid w:val="1C4A08EC"/>
    <w:multiLevelType w:val="hybridMultilevel"/>
    <w:lvl w:ilvl="0">
      <w:lvlJc w:val="left"/>
      <w:lvlText w:val="•"/>
      <w:numFmt w:val="bullet"/>
      <w:start w:val="1"/>
    </w:lvl>
  </w:abstractNum>
  <w:abstractNum w:abstractNumId="118">
    <w:nsid w:val="1958BD17"/>
    <w:multiLevelType w:val="hybridMultilevel"/>
    <w:lvl w:ilvl="0">
      <w:lvlJc w:val="left"/>
      <w:lvlText w:val="•"/>
      <w:numFmt w:val="bullet"/>
      <w:start w:val="1"/>
    </w:lvl>
  </w:abstractNum>
  <w:abstractNum w:abstractNumId="119">
    <w:nsid w:val="4E647FE4"/>
    <w:multiLevelType w:val="hybridMultilevel"/>
    <w:lvl w:ilvl="0">
      <w:lvlJc w:val="left"/>
      <w:lvlText w:val="•"/>
      <w:numFmt w:val="bullet"/>
      <w:start w:val="1"/>
    </w:lvl>
  </w:abstractNum>
  <w:abstractNum w:abstractNumId="120">
    <w:nsid w:val="E0BB885"/>
    <w:multiLevelType w:val="hybridMultilevel"/>
    <w:lvl w:ilvl="0">
      <w:lvlJc w:val="left"/>
      <w:lvlText w:val="1"/>
      <w:numFmt w:val="bullet"/>
      <w:start w:val="1"/>
    </w:lvl>
  </w:abstractNum>
  <w:abstractNum w:abstractNumId="121">
    <w:nsid w:val="565976F1"/>
    <w:multiLevelType w:val="hybridMultilevel"/>
    <w:lvl w:ilvl="0">
      <w:lvlJc w:val="left"/>
      <w:lvlText w:val="•"/>
      <w:numFmt w:val="bullet"/>
      <w:start w:val="1"/>
    </w:lvl>
  </w:abstractNum>
  <w:abstractNum w:abstractNumId="122">
    <w:nsid w:val="64212B8C"/>
    <w:multiLevelType w:val="hybridMultilevel"/>
    <w:lvl w:ilvl="0">
      <w:lvlJc w:val="left"/>
      <w:lvlText w:val="1"/>
      <w:numFmt w:val="bullet"/>
      <w:start w:val="1"/>
    </w:lvl>
  </w:abstractNum>
  <w:abstractNum w:abstractNumId="123">
    <w:nsid w:val="5C17530C"/>
    <w:multiLevelType w:val="hybridMultilevel"/>
    <w:lvl w:ilvl="0">
      <w:lvlJc w:val="left"/>
      <w:lvlText w:val="2"/>
      <w:numFmt w:val="bullet"/>
      <w:start w:val="1"/>
    </w:lvl>
  </w:abstractNum>
  <w:abstractNum w:abstractNumId="124">
    <w:nsid w:val="19A52566"/>
    <w:multiLevelType w:val="hybridMultilevel"/>
    <w:lvl w:ilvl="0">
      <w:lvlJc w:val="left"/>
      <w:lvlText w:val="•"/>
      <w:numFmt w:val="bullet"/>
      <w:start w:val="1"/>
    </w:lvl>
    <w:lvl w:ilvl="1">
      <w:lvlJc w:val="left"/>
      <w:lvlText w:val="◦"/>
      <w:numFmt w:val="bullet"/>
      <w:start w:val="1"/>
    </w:lvl>
  </w:abstractNum>
  <w:abstractNum w:abstractNumId="125">
    <w:nsid w:val="335A1DF1"/>
    <w:multiLevelType w:val="hybridMultilevel"/>
    <w:lvl w:ilvl="0">
      <w:lvlJc w:val="left"/>
      <w:lvlText w:val="1"/>
      <w:numFmt w:val="bullet"/>
      <w:start w:val="1"/>
    </w:lvl>
  </w:abstractNum>
  <w:abstractNum w:abstractNumId="126">
    <w:nsid w:val="28677B7C"/>
    <w:multiLevelType w:val="hybridMultilevel"/>
    <w:lvl w:ilvl="0">
      <w:lvlJc w:val="left"/>
      <w:lvlText w:val="2"/>
      <w:numFmt w:val="bullet"/>
      <w:start w:val="1"/>
    </w:lvl>
  </w:abstractNum>
  <w:abstractNum w:abstractNumId="127">
    <w:nsid w:val="378D97C0"/>
    <w:multiLevelType w:val="hybridMultilevel"/>
    <w:lvl w:ilvl="0">
      <w:lvlJc w:val="left"/>
      <w:lvlText w:val="•"/>
      <w:numFmt w:val="bullet"/>
      <w:start w:val="1"/>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
      <w:numFmt w:val="bullet"/>
      <w:start w:val="1"/>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
      <w:numFmt w:val="bullet"/>
      <w:start w:val="1"/>
    </w:lvl>
  </w:abstractNum>
  <w:abstractNum w:abstractNumId="133">
    <w:nsid w:val="1DDBC66"/>
    <w:multiLevelType w:val="hybridMultilevel"/>
    <w:lvl w:ilvl="0">
      <w:lvlJc w:val="left"/>
      <w:lvlText w:val="•"/>
      <w:numFmt w:val="bullet"/>
      <w:start w:val="1"/>
    </w:lvl>
  </w:abstractNum>
  <w:abstractNum w:abstractNumId="134">
    <w:nsid w:val="30AADFDA"/>
    <w:multiLevelType w:val="hybridMultilevel"/>
    <w:lvl w:ilvl="0">
      <w:lvlJc w:val="left"/>
      <w:lvlText w:val="%1."/>
      <w:numFmt w:val="upperLetter"/>
      <w:start w:val="9"/>
    </w:lvl>
  </w:abstractNum>
  <w:abstractNum w:abstractNumId="135">
    <w:nsid w:val="30EADA61"/>
    <w:multiLevelType w:val="hybridMultilevel"/>
    <w:lvl w:ilvl="0">
      <w:lvlJc w:val="left"/>
      <w:lvlText w:val="%1."/>
      <w:numFmt w:val="upperLetter"/>
      <w:start w:val="61"/>
    </w:lvl>
  </w:abstractNum>
  <w:abstractNum w:abstractNumId="136">
    <w:nsid w:val="27179C0B"/>
    <w:multiLevelType w:val="hybridMultilevel"/>
    <w:lvl w:ilvl="0">
      <w:lvlJc w:val="left"/>
      <w:lvlText w:val="\}"/>
      <w:numFmt w:val="bullet"/>
      <w:start w:val="1"/>
    </w:lvl>
    <w:lvl w:ilvl="1">
      <w:lvlJc w:val="left"/>
      <w:lvlText w:val="1"/>
      <w:numFmt w:val="bullet"/>
      <w:start w:val="1"/>
    </w:lvl>
  </w:abstractNum>
  <w:abstractNum w:abstractNumId="137">
    <w:nsid w:val="5E636063"/>
    <w:multiLevelType w:val="hybridMultilevel"/>
    <w:lvl w:ilvl="0">
      <w:lvlJc w:val="left"/>
      <w:lvlText w:val="\}"/>
      <w:numFmt w:val="bullet"/>
      <w:start w:val="1"/>
    </w:lvl>
    <w:lvl w:ilvl="1">
      <w:lvlJc w:val="left"/>
      <w:lvlText w:val="\}"/>
      <w:numFmt w:val="bullet"/>
      <w:start w:val="1"/>
    </w:lvl>
  </w:abstractNum>
  <w:abstractNum w:abstractNumId="138">
    <w:nsid w:val="215641AF"/>
    <w:multiLevelType w:val="hybridMultilevel"/>
    <w:lvl w:ilvl="0">
      <w:lvlJc w:val="left"/>
      <w:lvlText w:val="\}"/>
      <w:numFmt w:val="bullet"/>
      <w:start w:val="1"/>
    </w:lvl>
    <w:lvl w:ilvl="1">
      <w:lvlJc w:val="left"/>
      <w:lvlText w:val="2"/>
      <w:numFmt w:val="bullet"/>
      <w:start w:val="1"/>
    </w:lvl>
  </w:abstractNum>
  <w:abstractNum w:abstractNumId="139">
    <w:nsid w:val="53280662"/>
    <w:multiLevelType w:val="hybridMultilevel"/>
    <w:lvl w:ilvl="0">
      <w:lvlJc w:val="left"/>
      <w:lvlText w:val="\}"/>
      <w:numFmt w:val="bullet"/>
      <w:start w:val="1"/>
    </w:lvl>
  </w:abstractNum>
  <w:abstractNum w:abstractNumId="140">
    <w:nsid w:val="46B24DBC"/>
    <w:multiLevelType w:val="hybridMultilevel"/>
    <w:lvl w:ilvl="0">
      <w:lvlJc w:val="left"/>
      <w:lvlText w:val="3"/>
      <w:numFmt w:val="bullet"/>
      <w:start w:val="1"/>
    </w:lvl>
  </w:abstractNum>
  <w:abstractNum w:abstractNumId="141">
    <w:nsid w:val="75B52783"/>
    <w:multiLevelType w:val="hybridMultilevel"/>
    <w:lvl w:ilvl="0">
      <w:lvlJc w:val="left"/>
      <w:lvlText w:val="1"/>
      <w:numFmt w:val="bullet"/>
      <w:start w:val="1"/>
    </w:lvl>
  </w:abstractNum>
  <w:abstractNum w:abstractNumId="142">
    <w:nsid w:val="57CE66B4"/>
    <w:multiLevelType w:val="hybridMultilevel"/>
    <w:lvl w:ilvl="0">
      <w:lvlJc w:val="left"/>
      <w:lvlText w:val="2"/>
      <w:numFmt w:val="bullet"/>
      <w:start w:val="1"/>
    </w:lvl>
  </w:abstractNum>
  <w:abstractNum w:abstractNumId="143">
    <w:nsid w:val="67A70B69"/>
    <w:multiLevelType w:val="hybridMultilevel"/>
    <w:lvl w:ilvl="0">
      <w:lvlJc w:val="left"/>
      <w:lvlText w:val="•"/>
      <w:numFmt w:val="bullet"/>
      <w:start w:val="1"/>
    </w:lvl>
  </w:abstractNum>
  <w:abstractNum w:abstractNumId="144">
    <w:nsid w:val="5953172F"/>
    <w:multiLevelType w:val="hybridMultilevel"/>
    <w:lvl w:ilvl="0">
      <w:lvlJc w:val="left"/>
      <w:lvlText w:val="•"/>
      <w:numFmt w:val="bullet"/>
      <w:start w:val="1"/>
    </w:lvl>
  </w:abstractNum>
  <w:abstractNum w:abstractNumId="145">
    <w:nsid w:val="27EDFE3A"/>
    <w:multiLevelType w:val="hybridMultilevel"/>
    <w:lvl w:ilvl="0">
      <w:lvlJc w:val="left"/>
      <w:lvlText w:val="•"/>
      <w:numFmt w:val="bullet"/>
      <w:start w:val="1"/>
    </w:lvl>
  </w:abstractNum>
  <w:abstractNum w:abstractNumId="146">
    <w:nsid w:val="52AC7DFF"/>
    <w:multiLevelType w:val="hybridMultilevel"/>
    <w:lvl w:ilvl="0">
      <w:lvlJc w:val="left"/>
      <w:lvlText w:val="•"/>
      <w:numFmt w:val="bullet"/>
      <w:start w:val="1"/>
    </w:lvl>
  </w:abstractNum>
  <w:abstractNum w:abstractNumId="147">
    <w:nsid w:val="C4C3AF"/>
    <w:multiLevelType w:val="hybridMultilevel"/>
    <w:lvl w:ilvl="0">
      <w:lvlJc w:val="left"/>
      <w:lvlText w:val="1"/>
      <w:numFmt w:val="bullet"/>
      <w:start w:val="1"/>
    </w:lvl>
  </w:abstractNum>
  <w:abstractNum w:abstractNumId="148">
    <w:nsid w:val="44380727"/>
    <w:multiLevelType w:val="hybridMultilevel"/>
    <w:lvl w:ilvl="0">
      <w:lvlJc w:val="left"/>
      <w:lvlText w:val="2"/>
      <w:numFmt w:val="bullet"/>
      <w:start w:val="1"/>
    </w:lvl>
  </w:abstractNum>
  <w:abstractNum w:abstractNumId="149">
    <w:nsid w:val="6C053B16"/>
    <w:multiLevelType w:val="hybridMultilevel"/>
    <w:lvl w:ilvl="0">
      <w:lvlJc w:val="left"/>
      <w:lvlText w:val="3"/>
      <w:numFmt w:val="bullet"/>
      <w:start w:val="1"/>
    </w:lvl>
  </w:abstractNum>
  <w:abstractNum w:abstractNumId="150">
    <w:nsid w:val="4F294393"/>
    <w:multiLevelType w:val="hybridMultilevel"/>
    <w:lvl w:ilvl="0">
      <w:lvlJc w:val="left"/>
      <w:lvlText w:val="4"/>
      <w:numFmt w:val="bullet"/>
      <w:start w:val="1"/>
    </w:lvl>
  </w:abstractNum>
  <w:abstractNum w:abstractNumId="151">
    <w:nsid w:val="5243BFAC"/>
    <w:multiLevelType w:val="hybridMultilevel"/>
    <w:lvl w:ilvl="0">
      <w:lvlJc w:val="left"/>
      <w:lvlText w:val="5"/>
      <w:numFmt w:val="bullet"/>
      <w:start w:val="1"/>
    </w:lvl>
  </w:abstractNum>
  <w:abstractNum w:abstractNumId="152">
    <w:nsid w:val="425EB207"/>
    <w:multiLevelType w:val="hybridMultilevel"/>
    <w:lvl w:ilvl="0">
      <w:lvlJc w:val="left"/>
      <w:lvlText w:val="6"/>
      <w:numFmt w:val="bullet"/>
      <w:start w:val="1"/>
    </w:lvl>
  </w:abstractNum>
  <w:abstractNum w:abstractNumId="153">
    <w:nsid w:val="334A6F1F"/>
    <w:multiLevelType w:val="hybridMultilevel"/>
    <w:lvl w:ilvl="0">
      <w:lvlJc w:val="left"/>
      <w:lvlText w:val="1"/>
      <w:numFmt w:val="bullet"/>
      <w:start w:val="1"/>
    </w:lvl>
  </w:abstractNum>
  <w:abstractNum w:abstractNumId="154">
    <w:nsid w:val="2E5B12B8"/>
    <w:multiLevelType w:val="hybridMultilevel"/>
    <w:lvl w:ilvl="0">
      <w:lvlJc w:val="left"/>
      <w:lvlText w:val="2"/>
      <w:numFmt w:val="bullet"/>
      <w:start w:val="1"/>
    </w:lvl>
  </w:abstractNum>
  <w:abstractNum w:abstractNumId="155">
    <w:nsid w:val="5C03D76D"/>
    <w:multiLevelType w:val="hybridMultilevel"/>
    <w:lvl w:ilvl="0">
      <w:lvlJc w:val="left"/>
      <w:lvlText w:val="1"/>
      <w:numFmt w:val="bullet"/>
      <w:start w:val="1"/>
    </w:lvl>
  </w:abstractNum>
  <w:abstractNum w:abstractNumId="156">
    <w:nsid w:val="66A48D11"/>
    <w:multiLevelType w:val="hybridMultilevel"/>
    <w:lvl w:ilvl="0">
      <w:lvlJc w:val="left"/>
      <w:lvlText w:val="•"/>
      <w:numFmt w:val="bullet"/>
      <w:start w:val="1"/>
    </w:lvl>
  </w:abstractNum>
  <w:abstractNum w:abstractNumId="157">
    <w:nsid w:val="56C28E34"/>
    <w:multiLevelType w:val="hybridMultilevel"/>
    <w:lvl w:ilvl="0">
      <w:lvlJc w:val="left"/>
      <w:lvlText w:val="•"/>
      <w:numFmt w:val="bullet"/>
      <w:start w:val="1"/>
    </w:lvl>
  </w:abstractNum>
  <w:abstractNum w:abstractNumId="158">
    <w:nsid w:val="13916F2D"/>
    <w:multiLevelType w:val="hybridMultilevel"/>
    <w:lvl w:ilvl="0">
      <w:lvlJc w:val="left"/>
      <w:lvlText w:val="•"/>
      <w:numFmt w:val="bullet"/>
      <w:start w:val="1"/>
    </w:lvl>
  </w:abstractNum>
  <w:abstractNum w:abstractNumId="159">
    <w:nsid w:val="435D38D"/>
    <w:multiLevelType w:val="hybridMultilevel"/>
    <w:lvl w:ilvl="0">
      <w:lvlJc w:val="left"/>
      <w:lvlText w:val="•"/>
      <w:numFmt w:val="bullet"/>
      <w:start w:val="1"/>
    </w:lvl>
  </w:abstractNum>
  <w:abstractNum w:abstractNumId="160">
    <w:nsid w:val="822C0EF"/>
    <w:multiLevelType w:val="hybridMultilevel"/>
    <w:lvl w:ilvl="0">
      <w:lvlJc w:val="left"/>
      <w:lvlText w:val="1"/>
      <w:numFmt w:val="bullet"/>
      <w:start w:val="1"/>
    </w:lvl>
  </w:abstractNum>
  <w:abstractNum w:abstractNumId="161">
    <w:nsid w:val="57C5BB4F"/>
    <w:multiLevelType w:val="hybridMultilevel"/>
    <w:lvl w:ilvl="0">
      <w:lvlJc w:val="left"/>
      <w:lvlText w:val="2"/>
      <w:numFmt w:val="bullet"/>
      <w:start w:val="1"/>
    </w:lvl>
  </w:abstractNum>
  <w:abstractNum w:abstractNumId="162">
    <w:nsid w:val="1803D089"/>
    <w:multiLevelType w:val="hybridMultilevel"/>
    <w:lvl w:ilvl="0">
      <w:lvlJc w:val="left"/>
      <w:lvlText w:val="•"/>
      <w:numFmt w:val="bullet"/>
      <w:start w:val="1"/>
    </w:lvl>
  </w:abstractNum>
  <w:abstractNum w:abstractNumId="163">
    <w:nsid w:val="4F3A06D4"/>
    <w:multiLevelType w:val="hybridMultilevel"/>
    <w:lvl w:ilvl="0">
      <w:lvlJc w:val="left"/>
      <w:lvlText w:val="•"/>
      <w:numFmt w:val="bullet"/>
      <w:start w:val="1"/>
    </w:lvl>
  </w:abstractNum>
  <w:abstractNum w:abstractNumId="164">
    <w:nsid w:val="59A377B6"/>
    <w:multiLevelType w:val="hybridMultilevel"/>
    <w:lvl w:ilvl="0">
      <w:lvlJc w:val="left"/>
      <w:lvlText w:val="•"/>
      <w:numFmt w:val="bullet"/>
      <w:start w:val="1"/>
    </w:lvl>
  </w:abstractNum>
  <w:abstractNum w:abstractNumId="165">
    <w:nsid w:val="48AEB063"/>
    <w:multiLevelType w:val="hybridMultilevel"/>
    <w:lvl w:ilvl="0">
      <w:lvlJc w:val="left"/>
      <w:lvlText w:val="•"/>
      <w:numFmt w:val="bullet"/>
      <w:start w:val="1"/>
    </w:lvl>
  </w:abstractNum>
  <w:abstractNum w:abstractNumId="166">
    <w:nsid w:val="24E135"/>
    <w:multiLevelType w:val="hybridMultilevel"/>
    <w:lvl w:ilvl="0">
      <w:lvlJc w:val="left"/>
      <w:lvlText w:val="•"/>
      <w:numFmt w:val="bullet"/>
      <w:start w:val="1"/>
    </w:lvl>
  </w:abstractNum>
  <w:abstractNum w:abstractNumId="167">
    <w:nsid w:val="BB13C1"/>
    <w:multiLevelType w:val="hybridMultilevel"/>
    <w:lvl w:ilvl="0">
      <w:lvlJc w:val="left"/>
      <w:lvlText w:val="◦"/>
      <w:numFmt w:val="bullet"/>
      <w:start w:val="1"/>
    </w:lvl>
  </w:abstractNum>
  <w:abstractNum w:abstractNumId="168">
    <w:nsid w:val="271210C7"/>
    <w:multiLevelType w:val="hybridMultilevel"/>
    <w:lvl w:ilvl="0">
      <w:lvlJc w:val="left"/>
      <w:lvlText w:val="•"/>
      <w:numFmt w:val="bullet"/>
      <w:start w:val="1"/>
    </w:lvl>
  </w:abstractNum>
  <w:abstractNum w:abstractNumId="169">
    <w:nsid w:val="217B22E4"/>
    <w:multiLevelType w:val="hybridMultilevel"/>
    <w:lvl w:ilvl="0">
      <w:lvlJc w:val="left"/>
      <w:lvlText w:val="•"/>
      <w:numFmt w:val="bullet"/>
      <w:start w:val="1"/>
    </w:lvl>
  </w:abstractNum>
  <w:abstractNum w:abstractNumId="170">
    <w:nsid w:val="53E31A24"/>
    <w:multiLevelType w:val="hybridMultilevel"/>
    <w:lvl w:ilvl="0">
      <w:lvlJc w:val="left"/>
      <w:lvlText w:val="•"/>
      <w:numFmt w:val="bullet"/>
      <w:start w:val="1"/>
    </w:lvl>
    <w:lvl w:ilvl="1">
      <w:lvlJc w:val="left"/>
      <w:lvlText w:val="◦"/>
      <w:numFmt w:val="bullet"/>
      <w:start w:val="1"/>
    </w:lvl>
  </w:abstractNum>
  <w:abstractNum w:abstractNumId="171">
    <w:nsid w:val="6DC45E83"/>
    <w:multiLevelType w:val="hybridMultilevel"/>
    <w:lvl w:ilvl="0">
      <w:lvlJc w:val="left"/>
      <w:lvlText w:val="•"/>
      <w:numFmt w:val="bullet"/>
      <w:start w:val="1"/>
    </w:lvl>
  </w:abstractNum>
  <w:abstractNum w:abstractNumId="172">
    <w:nsid w:val="17304A67"/>
    <w:multiLevelType w:val="hybridMultilevel"/>
    <w:lvl w:ilvl="0">
      <w:lvlJc w:val="left"/>
      <w:lvlText w:val="•"/>
      <w:numFmt w:val="bullet"/>
      <w:start w:val="1"/>
    </w:lvl>
  </w:abstractNum>
  <w:abstractNum w:abstractNumId="173">
    <w:nsid w:val="2BB180D8"/>
    <w:multiLevelType w:val="hybridMultilevel"/>
    <w:lvl w:ilvl="0">
      <w:lvlJc w:val="left"/>
      <w:lvlText w:val="•"/>
      <w:numFmt w:val="bullet"/>
      <w:start w:val="1"/>
    </w:lvl>
  </w:abstractNum>
  <w:abstractNum w:abstractNumId="174">
    <w:nsid w:val="556B69ED"/>
    <w:multiLevelType w:val="hybridMultilevel"/>
    <w:lvl w:ilvl="0">
      <w:lvlJc w:val="left"/>
      <w:lvlText w:val="•"/>
      <w:numFmt w:val="bullet"/>
      <w:start w:val="1"/>
    </w:lvl>
  </w:abstractNum>
  <w:abstractNum w:abstractNumId="175">
    <w:nsid w:val="70836196"/>
    <w:multiLevelType w:val="hybridMultilevel"/>
    <w:lvl w:ilvl="0">
      <w:lvlJc w:val="left"/>
      <w:lvlText w:val="1"/>
      <w:numFmt w:val="bullet"/>
      <w:start w:val="1"/>
    </w:lvl>
  </w:abstractNum>
  <w:abstractNum w:abstractNumId="176">
    <w:nsid w:val="539F7F12"/>
    <w:multiLevelType w:val="hybridMultilevel"/>
    <w:lvl w:ilvl="0">
      <w:lvlJc w:val="left"/>
      <w:lvlText w:val="2"/>
      <w:numFmt w:val="bullet"/>
      <w:start w:val="1"/>
    </w:lvl>
  </w:abstractNum>
  <w:abstractNum w:abstractNumId="177">
    <w:nsid w:val="2817E7EC"/>
    <w:multiLevelType w:val="hybridMultilevel"/>
    <w:lvl w:ilvl="0">
      <w:lvlJc w:val="left"/>
      <w:lvlText w:val="3"/>
      <w:numFmt w:val="bullet"/>
      <w:start w:val="1"/>
    </w:lvl>
  </w:abstractNum>
  <w:abstractNum w:abstractNumId="178">
    <w:nsid w:val="71482545"/>
    <w:multiLevelType w:val="hybridMultilevel"/>
    <w:lvl w:ilvl="0">
      <w:lvlJc w:val="left"/>
      <w:lvlText w:val="%1."/>
      <w:numFmt w:val="decimal"/>
      <w:start w:val="1"/>
    </w:lvl>
  </w:abstractNum>
  <w:abstractNum w:abstractNumId="179">
    <w:nsid w:val="17D78639"/>
    <w:multiLevelType w:val="hybridMultilevel"/>
    <w:lvl w:ilvl="0">
      <w:lvlJc w:val="left"/>
      <w:lvlText w:val="•"/>
      <w:numFmt w:val="bullet"/>
      <w:start w:val="1"/>
    </w:lvl>
  </w:abstractNum>
  <w:abstractNum w:abstractNumId="180">
    <w:nsid w:val="141D2302"/>
    <w:multiLevelType w:val="hybridMultilevel"/>
    <w:lvl w:ilvl="0">
      <w:lvlJc w:val="left"/>
      <w:lvlText w:val="1"/>
      <w:numFmt w:val="bullet"/>
      <w:start w:val="1"/>
    </w:lvl>
  </w:abstractNum>
  <w:abstractNum w:abstractNumId="181">
    <w:nsid w:val="407168D8"/>
    <w:multiLevelType w:val="hybridMultilevel"/>
    <w:lvl w:ilvl="0">
      <w:lvlJc w:val="left"/>
      <w:lvlText w:val="1"/>
      <w:numFmt w:val="bullet"/>
      <w:start w:val="1"/>
    </w:lvl>
  </w:abstractNum>
  <w:abstractNum w:abstractNumId="182">
    <w:nsid w:val="6A1B45E5"/>
    <w:multiLevelType w:val="hybridMultilevel"/>
    <w:lvl w:ilvl="0">
      <w:lvlJc w:val="left"/>
      <w:lvlText w:val="•"/>
      <w:numFmt w:val="bullet"/>
      <w:start w:val="1"/>
    </w:lvl>
  </w:abstractNum>
  <w:abstractNum w:abstractNumId="183">
    <w:nsid w:val="567BD50A"/>
    <w:multiLevelType w:val="hybridMultilevel"/>
    <w:lvl w:ilvl="0">
      <w:lvlJc w:val="left"/>
      <w:lvlText w:val="•"/>
      <w:numFmt w:val="bullet"/>
      <w:start w:val="1"/>
    </w:lvl>
  </w:abstractNum>
  <w:abstractNum w:abstractNumId="184">
    <w:nsid w:val="73BBD7F8"/>
    <w:multiLevelType w:val="hybridMultilevel"/>
    <w:lvl w:ilvl="0">
      <w:lvlJc w:val="left"/>
      <w:lvlText w:val="1"/>
      <w:numFmt w:val="bullet"/>
      <w:start w:val="1"/>
    </w:lvl>
  </w:abstractNum>
  <w:abstractNum w:abstractNumId="185">
    <w:nsid w:val="1876589D"/>
    <w:multiLevelType w:val="hybridMultilevel"/>
    <w:lvl w:ilvl="0">
      <w:lvlJc w:val="left"/>
      <w:lvlText w:val="2"/>
      <w:numFmt w:val="bullet"/>
      <w:start w:val="1"/>
    </w:lvl>
  </w:abstractNum>
  <w:abstractNum w:abstractNumId="186">
    <w:nsid w:val="327FAC77"/>
    <w:multiLevelType w:val="hybridMultilevel"/>
    <w:lvl w:ilvl="0">
      <w:lvlJc w:val="left"/>
      <w:lvlText w:val="3"/>
      <w:numFmt w:val="bullet"/>
      <w:start w:val="1"/>
    </w:lvl>
  </w:abstractNum>
  <w:abstractNum w:abstractNumId="187">
    <w:nsid w:val="5A606509"/>
    <w:multiLevelType w:val="hybridMultilevel"/>
    <w:lvl w:ilvl="0">
      <w:lvlJc w:val="left"/>
      <w:lvlText w:val="4"/>
      <w:numFmt w:val="bullet"/>
      <w:start w:val="1"/>
    </w:lvl>
  </w:abstractNum>
  <w:abstractNum w:abstractNumId="188">
    <w:nsid w:val="6F38E6D1"/>
    <w:multiLevelType w:val="hybridMultilevel"/>
    <w:lvl w:ilvl="0">
      <w:lvlJc w:val="left"/>
      <w:lvlText w:val="•"/>
      <w:numFmt w:val="bullet"/>
      <w:start w:val="1"/>
    </w:lvl>
  </w:abstractNum>
  <w:abstractNum w:abstractNumId="189">
    <w:nsid w:val="46111BA5"/>
    <w:multiLevelType w:val="hybridMultilevel"/>
    <w:lvl w:ilvl="0">
      <w:lvlJc w:val="left"/>
      <w:lvlText w:val="•"/>
      <w:numFmt w:val="bullet"/>
      <w:start w:val="1"/>
    </w:lvl>
  </w:abstractNum>
  <w:abstractNum w:abstractNumId="190">
    <w:nsid w:val="5E963896"/>
    <w:multiLevelType w:val="hybridMultilevel"/>
    <w:lvl w:ilvl="0">
      <w:lvlJc w:val="left"/>
      <w:lvlText w:val="•"/>
      <w:numFmt w:val="bullet"/>
      <w:start w:val="1"/>
    </w:lvl>
  </w:abstractNum>
  <w:abstractNum w:abstractNumId="191">
    <w:nsid w:val="775BA7C1"/>
    <w:multiLevelType w:val="hybridMultilevel"/>
    <w:lvl w:ilvl="0">
      <w:lvlJc w:val="left"/>
      <w:lvlText w:val="•"/>
      <w:numFmt w:val="bullet"/>
      <w:start w:val="1"/>
    </w:lvl>
  </w:abstractNum>
  <w:abstractNum w:abstractNumId="192">
    <w:nsid w:val="1DD6D6F4"/>
    <w:multiLevelType w:val="hybridMultilevel"/>
    <w:lvl w:ilvl="0">
      <w:lvlJc w:val="left"/>
      <w:lvlText w:val="1"/>
      <w:numFmt w:val="bullet"/>
      <w:start w:val="1"/>
    </w:lvl>
  </w:abstractNum>
  <w:abstractNum w:abstractNumId="193">
    <w:nsid w:val="769A091F"/>
    <w:multiLevelType w:val="hybridMultilevel"/>
    <w:lvl w:ilvl="0">
      <w:lvlJc w:val="left"/>
      <w:lvlText w:val="2"/>
      <w:numFmt w:val="bullet"/>
      <w:start w:val="1"/>
    </w:lvl>
  </w:abstractNum>
  <w:abstractNum w:abstractNumId="194">
    <w:nsid w:val="4695AE95"/>
    <w:multiLevelType w:val="hybridMultilevel"/>
    <w:lvl w:ilvl="0">
      <w:lvlJc w:val="left"/>
      <w:lvlText w:val="3"/>
      <w:numFmt w:val="bullet"/>
      <w:start w:val="1"/>
    </w:lvl>
  </w:abstractNum>
  <w:abstractNum w:abstractNumId="195">
    <w:nsid w:val="777A4EAA"/>
    <w:multiLevelType w:val="hybridMultilevel"/>
    <w:lvl w:ilvl="0">
      <w:lvlJc w:val="left"/>
      <w:lvlText w:val="4"/>
      <w:numFmt w:val="bullet"/>
      <w:start w:val="1"/>
    </w:lvl>
  </w:abstractNum>
  <w:abstractNum w:abstractNumId="196">
    <w:nsid w:val="3F48B982"/>
    <w:multiLevelType w:val="hybridMultilevel"/>
    <w:lvl w:ilvl="0">
      <w:lvlJc w:val="left"/>
      <w:lvlText w:val="5"/>
      <w:numFmt w:val="bullet"/>
      <w:start w:val="1"/>
    </w:lvl>
  </w:abstractNum>
  <w:abstractNum w:abstractNumId="197">
    <w:nsid w:val="46BA8FCA"/>
    <w:multiLevelType w:val="hybridMultilevel"/>
    <w:lvl w:ilvl="0">
      <w:lvlJc w:val="left"/>
      <w:lvlText w:val="•"/>
      <w:numFmt w:val="bullet"/>
      <w:start w:val="1"/>
    </w:lvl>
  </w:abstractNum>
  <w:abstractNum w:abstractNumId="198">
    <w:nsid w:val="7835626C"/>
    <w:multiLevelType w:val="hybridMultilevel"/>
    <w:lvl w:ilvl="0">
      <w:lvlJc w:val="left"/>
      <w:lvlText w:val="•"/>
      <w:numFmt w:val="bullet"/>
      <w:start w:val="1"/>
    </w:lvl>
  </w:abstractNum>
  <w:abstractNum w:abstractNumId="199">
    <w:nsid w:val="665ACA49"/>
    <w:multiLevelType w:val="hybridMultilevel"/>
    <w:lvl w:ilvl="0">
      <w:lvlJc w:val="left"/>
      <w:lvlText w:val="•"/>
      <w:numFmt w:val="bullet"/>
      <w:start w:val="1"/>
    </w:lvl>
  </w:abstractNum>
  <w:abstractNum w:abstractNumId="200">
    <w:nsid w:val="6835B2AE"/>
    <w:multiLevelType w:val="hybridMultilevel"/>
    <w:lvl w:ilvl="0">
      <w:lvlJc w:val="left"/>
      <w:lvlText w:val="•"/>
      <w:numFmt w:val="bullet"/>
      <w:start w:val="1"/>
    </w:lvl>
  </w:abstractNum>
  <w:abstractNum w:abstractNumId="201">
    <w:nsid w:val="4C187C90"/>
    <w:multiLevelType w:val="hybridMultilevel"/>
    <w:lvl w:ilvl="0">
      <w:lvlJc w:val="left"/>
      <w:lvlText w:val="1"/>
      <w:numFmt w:val="bullet"/>
      <w:start w:val="1"/>
    </w:lvl>
  </w:abstractNum>
  <w:abstractNum w:abstractNumId="202">
    <w:nsid w:val="541F28CD"/>
    <w:multiLevelType w:val="hybridMultilevel"/>
    <w:lvl w:ilvl="0">
      <w:lvlJc w:val="left"/>
      <w:lvlText w:val="2"/>
      <w:numFmt w:val="bullet"/>
      <w:start w:val="1"/>
    </w:lvl>
  </w:abstractNum>
  <w:abstractNum w:abstractNumId="203">
    <w:nsid w:val="7F65FD16"/>
    <w:multiLevelType w:val="hybridMultilevel"/>
    <w:lvl w:ilvl="0">
      <w:lvlJc w:val="left"/>
      <w:lvlText w:val="•"/>
      <w:numFmt w:val="bullet"/>
      <w:start w:val="1"/>
    </w:lvl>
  </w:abstractNum>
  <w:abstractNum w:abstractNumId="204">
    <w:nsid w:val="77C9FD68"/>
    <w:multiLevelType w:val="hybridMultilevel"/>
    <w:lvl w:ilvl="0">
      <w:lvlJc w:val="left"/>
      <w:lvlText w:val="•"/>
      <w:numFmt w:val="bullet"/>
      <w:start w:val="1"/>
    </w:lvl>
  </w:abstractNum>
  <w:abstractNum w:abstractNumId="205">
    <w:nsid w:val="298A92BA"/>
    <w:multiLevelType w:val="hybridMultilevel"/>
    <w:lvl w:ilvl="0">
      <w:lvlJc w:val="left"/>
      <w:lvlText w:val="•"/>
      <w:numFmt w:val="bullet"/>
      <w:start w:val="1"/>
    </w:lvl>
  </w:abstractNum>
  <w:abstractNum w:abstractNumId="206">
    <w:nsid w:val="6FE95EAC"/>
    <w:multiLevelType w:val="hybridMultilevel"/>
    <w:lvl w:ilvl="0">
      <w:lvlJc w:val="left"/>
      <w:lvlText w:val="•"/>
      <w:numFmt w:val="bullet"/>
      <w:start w:val="1"/>
    </w:lvl>
  </w:abstractNum>
  <w:abstractNum w:abstractNumId="207">
    <w:nsid w:val="4B697C7A"/>
    <w:multiLevelType w:val="hybridMultilevel"/>
    <w:lvl w:ilvl="0">
      <w:lvlJc w:val="left"/>
      <w:lvlText w:val="1"/>
      <w:numFmt w:val="bullet"/>
      <w:start w:val="1"/>
    </w:lvl>
  </w:abstractNum>
  <w:abstractNum w:abstractNumId="208">
    <w:nsid w:val="51A27AA6"/>
    <w:multiLevelType w:val="hybridMultilevel"/>
    <w:lvl w:ilvl="0">
      <w:lvlJc w:val="left"/>
      <w:lvlText w:val="2"/>
      <w:numFmt w:val="bullet"/>
      <w:start w:val="1"/>
    </w:lvl>
  </w:abstractNum>
  <w:abstractNum w:abstractNumId="209">
    <w:nsid w:val="613183F2"/>
    <w:multiLevelType w:val="hybridMultilevel"/>
    <w:lvl w:ilvl="0">
      <w:lvlJc w:val="left"/>
      <w:lvlText w:val="3"/>
      <w:numFmt w:val="bullet"/>
      <w:start w:val="1"/>
    </w:lvl>
  </w:abstractNum>
  <w:abstractNum w:abstractNumId="210">
    <w:nsid w:val="634102B4"/>
    <w:multiLevelType w:val="hybridMultilevel"/>
    <w:lvl w:ilvl="0">
      <w:lvlJc w:val="left"/>
      <w:lvlText w:val="4"/>
      <w:numFmt w:val="bullet"/>
      <w:start w:val="1"/>
    </w:lvl>
  </w:abstractNum>
  <w:abstractNum w:abstractNumId="211">
    <w:nsid w:val="65BF9DA8"/>
    <w:multiLevelType w:val="hybridMultilevel"/>
    <w:lvl w:ilvl="0">
      <w:lvlJc w:val="left"/>
      <w:lvlText w:val="5"/>
      <w:numFmt w:val="bullet"/>
      <w:start w:val="1"/>
    </w:lvl>
  </w:abstractNum>
  <w:abstractNum w:abstractNumId="212">
    <w:nsid w:val="21A2ECCA"/>
    <w:multiLevelType w:val="hybridMultilevel"/>
    <w:lvl w:ilvl="0">
      <w:lvlJc w:val="left"/>
      <w:lvlText w:val="6"/>
      <w:numFmt w:val="bullet"/>
      <w:start w:val="1"/>
    </w:lvl>
    <w:lvl w:ilvl="1">
      <w:lvlJc w:val="left"/>
      <w:lvlText w:val="◦"/>
      <w:numFmt w:val="bullet"/>
      <w:start w:val="1"/>
    </w:lvl>
  </w:abstractNum>
  <w:abstractNum w:abstractNumId="213">
    <w:nsid w:val="4D5C4899"/>
    <w:multiLevelType w:val="hybridMultilevel"/>
    <w:lvl w:ilvl="0">
      <w:lvlJc w:val="left"/>
      <w:lvlText w:val="7"/>
      <w:numFmt w:val="bullet"/>
      <w:start w:val="1"/>
    </w:lvl>
  </w:abstractNum>
  <w:abstractNum w:abstractNumId="214">
    <w:nsid w:val="3C3B72B2"/>
    <w:multiLevelType w:val="hybridMultilevel"/>
    <w:lvl w:ilvl="0">
      <w:lvlJc w:val="left"/>
      <w:lvlText w:val="8"/>
      <w:numFmt w:val="bullet"/>
      <w:start w:val="1"/>
    </w:lvl>
  </w:abstractNum>
  <w:abstractNum w:abstractNumId="215">
    <w:nsid w:val="155EC4C2"/>
    <w:multiLevelType w:val="hybridMultilevel"/>
    <w:lvl w:ilvl="0">
      <w:lvlJc w:val="left"/>
      <w:lvlText w:val="9"/>
      <w:numFmt w:val="bullet"/>
      <w:start w:val="1"/>
    </w:lvl>
  </w:abstractNum>
  <w:abstractNum w:abstractNumId="216">
    <w:nsid w:val="65D2A137"/>
    <w:multiLevelType w:val="hybridMultilevel"/>
    <w:lvl w:ilvl="0">
      <w:lvlJc w:val="left"/>
      <w:lvlText w:val="%1"/>
      <w:numFmt w:val="decimal"/>
      <w:start w:val="10"/>
    </w:lvl>
  </w:abstractNum>
  <w:abstractNum w:abstractNumId="217">
    <w:nsid w:val="6EBB1F2A"/>
    <w:multiLevelType w:val="hybridMultilevel"/>
    <w:lvl w:ilvl="0">
      <w:lvlJc w:val="left"/>
      <w:lvlText w:val="1"/>
      <w:numFmt w:val="bullet"/>
      <w:start w:val="1"/>
    </w:lvl>
  </w:abstractNum>
  <w:abstractNum w:abstractNumId="218">
    <w:nsid w:val="6FBF29CB"/>
    <w:multiLevelType w:val="hybridMultilevel"/>
    <w:lvl w:ilvl="0">
      <w:lvlJc w:val="left"/>
      <w:lvlText w:val="2"/>
      <w:numFmt w:val="bullet"/>
      <w:start w:val="1"/>
    </w:lvl>
  </w:abstractNum>
  <w:abstractNum w:abstractNumId="219">
    <w:nsid w:val="550B8808"/>
    <w:multiLevelType w:val="hybridMultilevel"/>
    <w:lvl w:ilvl="0">
      <w:lvlJc w:val="left"/>
      <w:lvlText w:val="3"/>
      <w:numFmt w:val="bullet"/>
      <w:start w:val="1"/>
    </w:lvl>
  </w:abstractNum>
  <w:abstractNum w:abstractNumId="220">
    <w:nsid w:val="34CC3ACF"/>
    <w:multiLevelType w:val="hybridMultilevel"/>
    <w:lvl w:ilvl="0">
      <w:lvlJc w:val="left"/>
      <w:lvlText w:val="4"/>
      <w:numFmt w:val="bullet"/>
      <w:start w:val="1"/>
    </w:lvl>
  </w:abstractNum>
  <w:abstractNum w:abstractNumId="221">
    <w:nsid w:val="4E556261"/>
    <w:multiLevelType w:val="hybridMultilevel"/>
    <w:lvl w:ilvl="0">
      <w:lvlJc w:val="left"/>
      <w:lvlText w:val="1"/>
      <w:numFmt w:val="bullet"/>
      <w:start w:val="1"/>
    </w:lvl>
  </w:abstractNum>
  <w:abstractNum w:abstractNumId="222">
    <w:nsid w:val="4C672FC9"/>
    <w:multiLevelType w:val="hybridMultilevel"/>
    <w:lvl w:ilvl="0">
      <w:lvlJc w:val="left"/>
      <w:lvlText w:val="a"/>
      <w:numFmt w:val="bullet"/>
      <w:start w:val="1"/>
    </w:lvl>
  </w:abstractNum>
  <w:abstractNum w:abstractNumId="223">
    <w:nsid w:val="52A311C3"/>
    <w:multiLevelType w:val="hybridMultilevel"/>
    <w:lvl w:ilvl="0">
      <w:lvlJc w:val="left"/>
      <w:lvlText w:val="b"/>
      <w:numFmt w:val="bullet"/>
      <w:start w:val="1"/>
    </w:lvl>
  </w:abstractNum>
  <w:abstractNum w:abstractNumId="224">
    <w:nsid w:val="44EF6B80"/>
    <w:multiLevelType w:val="hybridMultilevel"/>
    <w:lvl w:ilvl="0">
      <w:lvlJc w:val="left"/>
      <w:lvlText w:val="c"/>
      <w:numFmt w:val="bullet"/>
      <w:start w:val="1"/>
    </w:lvl>
  </w:abstractNum>
  <w:abstractNum w:abstractNumId="225">
    <w:nsid w:val="12FCDE5E"/>
    <w:multiLevelType w:val="hybridMultilevel"/>
    <w:lvl w:ilvl="0">
      <w:lvlJc w:val="left"/>
      <w:lvlText w:val="d"/>
      <w:numFmt w:val="bullet"/>
      <w:start w:val="1"/>
    </w:lvl>
  </w:abstractNum>
  <w:abstractNum w:abstractNumId="226">
    <w:nsid w:val="4A1D606E"/>
    <w:multiLevelType w:val="hybridMultilevel"/>
    <w:lvl w:ilvl="0">
      <w:lvlJc w:val="left"/>
      <w:lvlText w:val="e"/>
      <w:numFmt w:val="bullet"/>
      <w:start w:val="1"/>
    </w:lvl>
  </w:abstractNum>
  <w:abstractNum w:abstractNumId="227">
    <w:nsid w:val="4382503"/>
    <w:multiLevelType w:val="hybridMultilevel"/>
    <w:lvl w:ilvl="0">
      <w:lvlJc w:val="left"/>
      <w:lvlText w:val="2"/>
      <w:numFmt w:val="bullet"/>
      <w:start w:val="1"/>
    </w:lvl>
  </w:abstractNum>
  <w:abstractNum w:abstractNumId="228">
    <w:nsid w:val="59B76E28"/>
    <w:multiLevelType w:val="hybridMultilevel"/>
    <w:lvl w:ilvl="0">
      <w:lvlJc w:val="left"/>
      <w:lvlText w:val="3"/>
      <w:numFmt w:val="bullet"/>
      <w:start w:val="1"/>
    </w:lvl>
  </w:abstractNum>
  <w:abstractNum w:abstractNumId="229">
    <w:nsid w:val="4252C2DA"/>
    <w:multiLevelType w:val="hybridMultilevel"/>
    <w:lvl w:ilvl="0">
      <w:lvlJc w:val="left"/>
      <w:lvlText w:val="4"/>
      <w:numFmt w:val="bullet"/>
      <w:start w:val="1"/>
    </w:lvl>
  </w:abstractNum>
  <w:abstractNum w:abstractNumId="230">
    <w:nsid w:val="6A92EF4C"/>
    <w:multiLevelType w:val="hybridMultilevel"/>
    <w:lvl w:ilvl="0">
      <w:lvlJc w:val="left"/>
      <w:lvlText w:val="5"/>
      <w:numFmt w:val="bullet"/>
      <w:start w:val="1"/>
    </w:lvl>
  </w:abstractNum>
  <w:abstractNum w:abstractNumId="231">
    <w:nsid w:val="41ED20D7"/>
    <w:multiLevelType w:val="hybridMultilevel"/>
    <w:lvl w:ilvl="0">
      <w:lvlJc w:val="left"/>
      <w:lvlText w:val="6"/>
      <w:numFmt w:val="bullet"/>
      <w:start w:val="1"/>
    </w:lvl>
  </w:abstractNum>
  <w:abstractNum w:abstractNumId="232">
    <w:nsid w:val="E6B3F6A"/>
    <w:multiLevelType w:val="hybridMultilevel"/>
    <w:lvl w:ilvl="0">
      <w:lvlJc w:val="left"/>
      <w:lvlText w:val="1"/>
      <w:numFmt w:val="bullet"/>
      <w:start w:val="1"/>
    </w:lvl>
  </w:abstractNum>
  <w:abstractNum w:abstractNumId="233">
    <w:nsid w:val="3EB21819"/>
    <w:multiLevelType w:val="hybridMultilevel"/>
    <w:lvl w:ilvl="0">
      <w:lvlJc w:val="left"/>
      <w:lvlText w:val="2"/>
      <w:numFmt w:val="bullet"/>
      <w:start w:val="1"/>
    </w:lvl>
  </w:abstractNum>
  <w:abstractNum w:abstractNumId="234">
    <w:nsid w:val="41531DED"/>
    <w:multiLevelType w:val="hybridMultilevel"/>
    <w:lvl w:ilvl="0">
      <w:lvlJc w:val="left"/>
      <w:lvlText w:val="1"/>
      <w:numFmt w:val="bullet"/>
      <w:start w:val="1"/>
    </w:lvl>
  </w:abstractNum>
  <w:abstractNum w:abstractNumId="235">
    <w:nsid w:val="6353CD2"/>
    <w:multiLevelType w:val="hybridMultilevel"/>
    <w:lvl w:ilvl="0">
      <w:lvlJc w:val="left"/>
      <w:lvlText w:val="1"/>
      <w:numFmt w:val="bullet"/>
      <w:start w:val="1"/>
    </w:lvl>
  </w:abstractNum>
  <w:abstractNum w:abstractNumId="236">
    <w:nsid w:val="683CAAD3"/>
    <w:multiLevelType w:val="hybridMultilevel"/>
    <w:lvl w:ilvl="0">
      <w:lvlJc w:val="left"/>
      <w:lvlText w:val="1"/>
      <w:numFmt w:val="bullet"/>
      <w:start w:val="1"/>
    </w:lvl>
  </w:abstractNum>
  <w:abstractNum w:abstractNumId="237">
    <w:nsid w:val="313C7C99"/>
    <w:multiLevelType w:val="hybridMultilevel"/>
    <w:lvl w:ilvl="0">
      <w:lvlJc w:val="left"/>
      <w:lvlText w:val="2"/>
      <w:numFmt w:val="bullet"/>
      <w:start w:val="1"/>
    </w:lvl>
  </w:abstractNum>
  <w:abstractNum w:abstractNumId="238">
    <w:nsid w:val="519EB94C"/>
    <w:multiLevelType w:val="hybridMultilevel"/>
    <w:lvl w:ilvl="0">
      <w:lvlJc w:val="left"/>
      <w:lvlText w:val="3"/>
      <w:numFmt w:val="bullet"/>
      <w:start w:val="1"/>
    </w:lvl>
  </w:abstractNum>
  <w:abstractNum w:abstractNumId="239">
    <w:nsid w:val="39DF2579"/>
    <w:multiLevelType w:val="hybridMultilevel"/>
    <w:lvl w:ilvl="0">
      <w:lvlJc w:val="left"/>
      <w:lvlText w:val="4"/>
      <w:numFmt w:val="bullet"/>
      <w:start w:val="1"/>
    </w:lvl>
  </w:abstractNum>
  <w:abstractNum w:abstractNumId="240">
    <w:nsid w:val="126E008B"/>
    <w:multiLevelType w:val="hybridMultilevel"/>
    <w:lvl w:ilvl="0">
      <w:lvlJc w:val="left"/>
      <w:lvlText w:val="5"/>
      <w:numFmt w:val="bullet"/>
      <w:start w:val="1"/>
    </w:lvl>
  </w:abstractNum>
  <w:abstractNum w:abstractNumId="241">
    <w:nsid w:val="34DFBC00"/>
    <w:multiLevelType w:val="hybridMultilevel"/>
    <w:lvl w:ilvl="0">
      <w:lvlJc w:val="left"/>
      <w:lvlText w:val="6"/>
      <w:numFmt w:val="bullet"/>
      <w:start w:val="1"/>
    </w:lvl>
  </w:abstractNum>
  <w:abstractNum w:abstractNumId="242">
    <w:nsid w:val="1F9EC322"/>
    <w:multiLevelType w:val="hybridMultilevel"/>
    <w:lvl w:ilvl="0">
      <w:lvlJc w:val="left"/>
      <w:lvlText w:val="•"/>
      <w:numFmt w:val="bullet"/>
      <w:start w:val="1"/>
    </w:lvl>
  </w:abstractNum>
  <w:abstractNum w:abstractNumId="243">
    <w:nsid w:val="3410ED56"/>
    <w:multiLevelType w:val="hybridMultilevel"/>
    <w:lvl w:ilvl="0">
      <w:lvlJc w:val="left"/>
      <w:lvlText w:val="1"/>
      <w:numFmt w:val="bullet"/>
      <w:start w:val="1"/>
    </w:lvl>
  </w:abstractNum>
  <w:abstractNum w:abstractNumId="244">
    <w:nsid w:val="23C049A"/>
    <w:multiLevelType w:val="hybridMultilevel"/>
    <w:lvl w:ilvl="0">
      <w:lvlJc w:val="left"/>
      <w:lvlText w:val="2"/>
      <w:numFmt w:val="bullet"/>
      <w:start w:val="1"/>
    </w:lvl>
  </w:abstractNum>
  <w:abstractNum w:abstractNumId="245">
    <w:nsid w:val="5BDA35D4"/>
    <w:multiLevelType w:val="hybridMultilevel"/>
    <w:lvl w:ilvl="0">
      <w:lvlJc w:val="left"/>
      <w:lvlText w:val="1"/>
      <w:numFmt w:val="bullet"/>
      <w:start w:val="1"/>
    </w:lvl>
  </w:abstractNum>
  <w:abstractNum w:abstractNumId="246">
    <w:nsid w:val="496FB218"/>
    <w:multiLevelType w:val="hybridMultilevel"/>
    <w:lvl w:ilvl="0">
      <w:lvlJc w:val="left"/>
      <w:lvlText w:val="2"/>
      <w:numFmt w:val="bullet"/>
      <w:start w:val="1"/>
    </w:lvl>
  </w:abstractNum>
  <w:abstractNum w:abstractNumId="247">
    <w:nsid w:val="680EA5D1"/>
    <w:multiLevelType w:val="hybridMultilevel"/>
    <w:lvl w:ilvl="0">
      <w:lvlJc w:val="left"/>
      <w:lvlText w:val="3"/>
      <w:numFmt w:val="bullet"/>
      <w:start w:val="1"/>
    </w:lvl>
  </w:abstractNum>
  <w:abstractNum w:abstractNumId="248">
    <w:nsid w:val="4A9554FE"/>
    <w:multiLevelType w:val="hybridMultilevel"/>
    <w:lvl w:ilvl="0">
      <w:lvlJc w:val="left"/>
      <w:lvlText w:val="4"/>
      <w:numFmt w:val="bullet"/>
      <w:start w:val="1"/>
    </w:lvl>
  </w:abstractNum>
  <w:abstractNum w:abstractNumId="249">
    <w:nsid w:val="392EDBE4"/>
    <w:multiLevelType w:val="hybridMultilevel"/>
    <w:lvl w:ilvl="0">
      <w:lvlJc w:val="left"/>
      <w:lvlText w:val="5"/>
      <w:numFmt w:val="bullet"/>
      <w:start w:val="1"/>
    </w:lvl>
  </w:abstractNum>
  <w:abstractNum w:abstractNumId="250">
    <w:nsid w:val="3D1A2DD9"/>
    <w:multiLevelType w:val="hybridMultilevel"/>
    <w:lvl w:ilvl="0">
      <w:lvlJc w:val="left"/>
      <w:lvlText w:val="1"/>
      <w:numFmt w:val="bullet"/>
      <w:start w:val="1"/>
    </w:lvl>
  </w:abstractNum>
  <w:abstractNum w:abstractNumId="251">
    <w:nsid w:val="7F618FCD"/>
    <w:multiLevelType w:val="hybridMultilevel"/>
    <w:lvl w:ilvl="0">
      <w:lvlJc w:val="left"/>
      <w:lvlText w:val="2"/>
      <w:numFmt w:val="bullet"/>
      <w:start w:val="1"/>
    </w:lvl>
  </w:abstractNum>
  <w:abstractNum w:abstractNumId="252">
    <w:nsid w:val="7843E45"/>
    <w:multiLevelType w:val="hybridMultilevel"/>
    <w:lvl w:ilvl="0">
      <w:lvlJc w:val="left"/>
      <w:lvlText w:val="•"/>
      <w:numFmt w:val="bullet"/>
      <w:start w:val="1"/>
    </w:lvl>
    <w:lvl w:ilvl="1">
      <w:lvlJc w:val="left"/>
      <w:lvlText w:val="\endash "/>
      <w:numFmt w:val="bullet"/>
      <w:start w:val="1"/>
    </w:lvl>
  </w:abstractNum>
  <w:abstractNum w:abstractNumId="253">
    <w:nsid w:val="9815DA3"/>
    <w:multiLevelType w:val="hybridMultilevel"/>
    <w:lvl w:ilvl="0">
      <w:lvlJc w:val="left"/>
      <w:lvlText w:val="•"/>
      <w:numFmt w:val="bullet"/>
      <w:start w:val="1"/>
    </w:lvl>
  </w:abstractNum>
  <w:abstractNum w:abstractNumId="254">
    <w:nsid w:val="5204A191"/>
    <w:multiLevelType w:val="hybridMultilevel"/>
    <w:lvl w:ilvl="0">
      <w:lvlJc w:val="left"/>
      <w:lvlText w:val="•"/>
      <w:numFmt w:val="bullet"/>
      <w:start w:val="1"/>
    </w:lvl>
  </w:abstractNum>
  <w:abstractNum w:abstractNumId="255">
    <w:nsid w:val="4C73A9C6"/>
    <w:multiLevelType w:val="hybridMultilevel"/>
    <w:lvl w:ilvl="0">
      <w:lvlJc w:val="left"/>
      <w:lvlText w:val="•"/>
      <w:numFmt w:val="bullet"/>
      <w:start w:val="1"/>
    </w:lvl>
  </w:abstractNum>
  <w:abstractNum w:abstractNumId="256">
    <w:nsid w:val="1C7E3C01"/>
    <w:multiLevelType w:val="hybridMultilevel"/>
    <w:lvl w:ilvl="0">
      <w:lvlJc w:val="left"/>
      <w:lvlText w:val="•"/>
      <w:numFmt w:val="bullet"/>
      <w:start w:val="1"/>
    </w:lvl>
  </w:abstractNum>
  <w:abstractNum w:abstractNumId="257">
    <w:nsid w:val="1C2201FF"/>
    <w:multiLevelType w:val="hybridMultilevel"/>
    <w:lvl w:ilvl="0">
      <w:lvlJc w:val="left"/>
      <w:lvlText w:val="•"/>
      <w:numFmt w:val="bullet"/>
      <w:start w:val="1"/>
    </w:lvl>
  </w:abstractNum>
  <w:abstractNum w:abstractNumId="258">
    <w:nsid w:val="50ABCEC9"/>
    <w:multiLevelType w:val="hybridMultilevel"/>
    <w:lvl w:ilvl="0">
      <w:lvlJc w:val="left"/>
      <w:lvlText w:val="•"/>
      <w:numFmt w:val="bullet"/>
      <w:start w:val="1"/>
    </w:lvl>
  </w:abstractNum>
  <w:abstractNum w:abstractNumId="259">
    <w:nsid w:val="7635AA2A"/>
    <w:multiLevelType w:val="hybridMultilevel"/>
    <w:lvl w:ilvl="0">
      <w:lvlJc w:val="left"/>
      <w:lvlText w:val="•"/>
      <w:numFmt w:val="bullet"/>
      <w:start w:val="1"/>
    </w:lvl>
  </w:abstractNum>
  <w:abstractNum w:abstractNumId="260">
    <w:nsid w:val="5E74C4D9"/>
    <w:multiLevelType w:val="hybridMultilevel"/>
    <w:lvl w:ilvl="0">
      <w:lvlJc w:val="left"/>
      <w:lvlText w:val="•"/>
      <w:numFmt w:val="bullet"/>
      <w:start w:val="1"/>
    </w:lvl>
  </w:abstractNum>
  <w:abstractNum w:abstractNumId="261">
    <w:nsid w:val="3B3EBE15"/>
    <w:multiLevelType w:val="hybridMultilevel"/>
    <w:lvl w:ilvl="0">
      <w:lvlJc w:val="left"/>
      <w:lvlText w:val="%1."/>
      <w:numFmt w:val="decimal"/>
      <w:start w:val="1"/>
    </w:lvl>
  </w:abstractNum>
  <w:abstractNum w:abstractNumId="262">
    <w:nsid w:val="3822CB01"/>
    <w:multiLevelType w:val="hybridMultilevel"/>
    <w:lvl w:ilvl="0">
      <w:lvlJc w:val="left"/>
      <w:lvlText w:val="1"/>
      <w:numFmt w:val="bullet"/>
      <w:start w:val="1"/>
    </w:lvl>
  </w:abstractNum>
  <w:abstractNum w:abstractNumId="263">
    <w:nsid w:val="6CE00443"/>
    <w:multiLevelType w:val="hybridMultilevel"/>
    <w:lvl w:ilvl="0">
      <w:lvlJc w:val="left"/>
      <w:lvlText w:val="1"/>
      <w:numFmt w:val="bullet"/>
      <w:start w:val="1"/>
    </w:lvl>
  </w:abstractNum>
  <w:abstractNum w:abstractNumId="264">
    <w:nsid w:val="79F0D62F"/>
    <w:multiLevelType w:val="hybridMultilevel"/>
    <w:lvl w:ilvl="0">
      <w:lvlJc w:val="left"/>
      <w:lvlText w:val="2"/>
      <w:numFmt w:val="bullet"/>
      <w:start w:val="1"/>
    </w:lvl>
  </w:abstractNum>
  <w:abstractNum w:abstractNumId="265">
    <w:nsid w:val="7975E8EE"/>
    <w:multiLevelType w:val="hybridMultilevel"/>
    <w:lvl w:ilvl="0">
      <w:lvlJc w:val="left"/>
      <w:lvlText w:val="3"/>
      <w:numFmt w:val="bullet"/>
      <w:start w:val="1"/>
    </w:lvl>
  </w:abstractNum>
  <w:abstractNum w:abstractNumId="266">
    <w:nsid w:val="73154115"/>
    <w:multiLevelType w:val="hybridMultilevel"/>
    <w:lvl w:ilvl="0">
      <w:lvlJc w:val="left"/>
      <w:lvlText w:val="4"/>
      <w:numFmt w:val="bullet"/>
      <w:start w:val="1"/>
    </w:lvl>
  </w:abstractNum>
  <w:abstractNum w:abstractNumId="267">
    <w:nsid w:val="622D8102"/>
    <w:multiLevelType w:val="hybridMultilevel"/>
    <w:lvl w:ilvl="0">
      <w:lvlJc w:val="left"/>
      <w:lvlText w:val="1"/>
      <w:numFmt w:val="bullet"/>
      <w:start w:val="1"/>
    </w:lvl>
  </w:abstractNum>
  <w:abstractNum w:abstractNumId="268">
    <w:nsid w:val="2AB26587"/>
    <w:multiLevelType w:val="hybridMultilevel"/>
    <w:lvl w:ilvl="0">
      <w:lvlJc w:val="left"/>
      <w:lvlText w:val="2"/>
      <w:numFmt w:val="bullet"/>
      <w:start w:val="1"/>
    </w:lvl>
  </w:abstractNum>
  <w:abstractNum w:abstractNumId="269">
    <w:nsid w:val="44B3FA61"/>
    <w:multiLevelType w:val="hybridMultilevel"/>
    <w:lvl w:ilvl="0">
      <w:lvlJc w:val="left"/>
      <w:lvlText w:val="•"/>
      <w:numFmt w:val="bullet"/>
      <w:start w:val="1"/>
    </w:lvl>
  </w:abstractNum>
  <w:abstractNum w:abstractNumId="270">
    <w:nsid w:val="1C0CA67C"/>
    <w:multiLevelType w:val="hybridMultilevel"/>
    <w:lvl w:ilvl="0">
      <w:lvlJc w:val="left"/>
      <w:lvlText w:val="1"/>
      <w:numFmt w:val="bullet"/>
      <w:start w:val="1"/>
    </w:lvl>
  </w:abstractNum>
  <w:abstractNum w:abstractNumId="271">
    <w:nsid w:val="3D206613"/>
    <w:multiLevelType w:val="hybridMultilevel"/>
    <w:lvl w:ilvl="0">
      <w:lvlJc w:val="left"/>
      <w:lvlText w:val="•"/>
      <w:numFmt w:val="bullet"/>
      <w:start w:val="1"/>
    </w:lvl>
  </w:abstractNum>
  <w:abstractNum w:abstractNumId="272">
    <w:nsid w:val="7993B662"/>
    <w:multiLevelType w:val="hybridMultilevel"/>
    <w:lvl w:ilvl="0">
      <w:lvlJc w:val="left"/>
      <w:lvlText w:val="•"/>
      <w:numFmt w:val="bullet"/>
      <w:start w:val="1"/>
    </w:lvl>
  </w:abstractNum>
  <w:abstractNum w:abstractNumId="273">
    <w:nsid w:val="3BAB699E"/>
    <w:multiLevelType w:val="hybridMultilevel"/>
    <w:lvl w:ilvl="0">
      <w:lvlJc w:val="left"/>
      <w:lvlText w:val="•"/>
      <w:numFmt w:val="bullet"/>
      <w:start w:val="1"/>
    </w:lvl>
  </w:abstractNum>
  <w:abstractNum w:abstractNumId="274">
    <w:nsid w:val="71315369"/>
    <w:multiLevelType w:val="hybridMultilevel"/>
    <w:lvl w:ilvl="0">
      <w:lvlJc w:val="left"/>
      <w:lvlText w:val="1"/>
      <w:numFmt w:val="bullet"/>
      <w:start w:val="1"/>
    </w:lvl>
  </w:abstractNum>
  <w:abstractNum w:abstractNumId="275">
    <w:nsid w:val="7BCFBAFC"/>
    <w:multiLevelType w:val="hybridMultilevel"/>
    <w:lvl w:ilvl="0">
      <w:lvlJc w:val="left"/>
      <w:lvlText w:val="•"/>
      <w:numFmt w:val="bullet"/>
      <w:start w:val="1"/>
    </w:lvl>
  </w:abstractNum>
  <w:abstractNum w:abstractNumId="276">
    <w:nsid w:val="17859F72"/>
    <w:multiLevelType w:val="hybridMultilevel"/>
    <w:lvl w:ilvl="0">
      <w:lvlJc w:val="left"/>
      <w:lvlText w:val="1"/>
      <w:numFmt w:val="bullet"/>
      <w:start w:val="1"/>
    </w:lvl>
  </w:abstractNum>
  <w:abstractNum w:abstractNumId="277">
    <w:nsid w:val="3AA10581"/>
    <w:multiLevelType w:val="hybridMultilevel"/>
    <w:lvl w:ilvl="0">
      <w:lvlJc w:val="left"/>
      <w:lvlText w:val="•"/>
      <w:numFmt w:val="bullet"/>
      <w:start w:val="1"/>
    </w:lvl>
  </w:abstractNum>
  <w:abstractNum w:abstractNumId="278">
    <w:nsid w:val="63DE60CD"/>
    <w:multiLevelType w:val="hybridMultilevel"/>
    <w:lvl w:ilvl="0">
      <w:lvlJc w:val="left"/>
      <w:lvlText w:val="•"/>
      <w:numFmt w:val="bullet"/>
      <w:start w:val="1"/>
    </w:lvl>
  </w:abstractNum>
  <w:abstractNum w:abstractNumId="279">
    <w:nsid w:val="621AF471"/>
    <w:multiLevelType w:val="hybridMultilevel"/>
    <w:lvl w:ilvl="0">
      <w:lvlJc w:val="left"/>
      <w:lvlText w:val="•"/>
      <w:numFmt w:val="bullet"/>
      <w:start w:val="1"/>
    </w:lvl>
  </w:abstractNum>
  <w:abstractNum w:abstractNumId="280">
    <w:nsid w:val="73CFE165"/>
    <w:multiLevelType w:val="hybridMultilevel"/>
    <w:lvl w:ilvl="0">
      <w:lvlJc w:val="left"/>
      <w:lvlText w:val="•"/>
      <w:numFmt w:val="bullet"/>
      <w:start w:val="1"/>
    </w:lvl>
  </w:abstractNum>
  <w:abstractNum w:abstractNumId="281">
    <w:nsid w:val="20F88EA6"/>
    <w:multiLevelType w:val="hybridMultilevel"/>
    <w:lvl w:ilvl="0">
      <w:lvlJc w:val="left"/>
      <w:lvlText w:val="•"/>
      <w:numFmt w:val="bullet"/>
      <w:start w:val="1"/>
    </w:lvl>
  </w:abstractNum>
  <w:abstractNum w:abstractNumId="282">
    <w:nsid w:val="617C843E"/>
    <w:multiLevelType w:val="hybridMultilevel"/>
    <w:lvl w:ilvl="0">
      <w:lvlJc w:val="left"/>
      <w:lvlText w:val="•"/>
      <w:numFmt w:val="bullet"/>
      <w:start w:val="1"/>
    </w:lvl>
  </w:abstractNum>
  <w:abstractNum w:abstractNumId="283">
    <w:nsid w:val="7B541FAB"/>
    <w:multiLevelType w:val="hybridMultilevel"/>
    <w:lvl w:ilvl="0">
      <w:lvlJc w:val="left"/>
      <w:lvlText w:val="•"/>
      <w:numFmt w:val="bullet"/>
      <w:start w:val="1"/>
    </w:lvl>
  </w:abstractNum>
  <w:abstractNum w:abstractNumId="284">
    <w:nsid w:val="2A79EC49"/>
    <w:multiLevelType w:val="hybridMultilevel"/>
    <w:lvl w:ilvl="0">
      <w:lvlJc w:val="left"/>
      <w:lvlText w:val="•"/>
      <w:numFmt w:val="bullet"/>
      <w:start w:val="1"/>
    </w:lvl>
  </w:abstractNum>
  <w:abstractNum w:abstractNumId="285">
    <w:nsid w:val="338125CF"/>
    <w:multiLevelType w:val="hybridMultilevel"/>
    <w:lvl w:ilvl="0">
      <w:lvlJc w:val="left"/>
      <w:lvlText w:val="•"/>
      <w:numFmt w:val="bullet"/>
      <w:start w:val="1"/>
    </w:lvl>
  </w:abstractNum>
  <w:abstractNum w:abstractNumId="286">
    <w:nsid w:val="47C7C971"/>
    <w:multiLevelType w:val="hybridMultilevel"/>
    <w:lvl w:ilvl="0">
      <w:lvlJc w:val="left"/>
      <w:lvlText w:val="\endash "/>
      <w:numFmt w:val="bullet"/>
      <w:start w:val="1"/>
    </w:lvl>
  </w:abstractNum>
  <w:abstractNum w:abstractNumId="287">
    <w:nsid w:val="46F8284B"/>
    <w:multiLevelType w:val="hybridMultilevel"/>
    <w:lvl w:ilvl="0">
      <w:lvlJc w:val="left"/>
      <w:lvlText w:val="1"/>
      <w:numFmt w:val="bullet"/>
      <w:start w:val="1"/>
    </w:lvl>
  </w:abstractNum>
  <w:abstractNum w:abstractNumId="288">
    <w:nsid w:val="4FA327CE"/>
    <w:multiLevelType w:val="hybridMultilevel"/>
    <w:lvl w:ilvl="0">
      <w:lvlJc w:val="left"/>
      <w:lvlText w:val="2"/>
      <w:numFmt w:val="bullet"/>
      <w:start w:val="1"/>
    </w:lvl>
  </w:abstractNum>
  <w:abstractNum w:abstractNumId="289">
    <w:nsid w:val="1873983A"/>
    <w:multiLevelType w:val="hybridMultilevel"/>
    <w:lvl w:ilvl="0">
      <w:lvlJc w:val="left"/>
      <w:lvlText w:val="3"/>
      <w:numFmt w:val="bullet"/>
      <w:start w:val="1"/>
    </w:lvl>
  </w:abstractNum>
  <w:abstractNum w:abstractNumId="290">
    <w:nsid w:val="3D2DD275"/>
    <w:multiLevelType w:val="hybridMultilevel"/>
    <w:lvl w:ilvl="0">
      <w:lvlJc w:val="left"/>
      <w:lvlText w:val="4"/>
      <w:numFmt w:val="bullet"/>
      <w:start w:val="1"/>
    </w:lvl>
  </w:abstractNum>
  <w:abstractNum w:abstractNumId="291">
    <w:nsid w:val="2E17ECA7"/>
    <w:multiLevelType w:val="hybridMultilevel"/>
    <w:lvl w:ilvl="0">
      <w:lvlJc w:val="left"/>
      <w:lvlText w:val="•"/>
      <w:numFmt w:val="bullet"/>
      <w:start w:val="1"/>
    </w:lvl>
  </w:abstractNum>
  <w:abstractNum w:abstractNumId="292">
    <w:nsid w:val="53B2564F"/>
    <w:multiLevelType w:val="hybridMultilevel"/>
    <w:lvl w:ilvl="0">
      <w:lvlJc w:val="left"/>
      <w:lvlText w:val="&amp;"/>
      <w:numFmt w:val="bullet"/>
      <w:start w:val="1"/>
    </w:lvl>
  </w:abstractNum>
  <w:abstractNum w:abstractNumId="293">
    <w:nsid w:val="75509D76"/>
    <w:multiLevelType w:val="hybridMultilevel"/>
    <w:lvl w:ilvl="0">
      <w:lvlJc w:val="left"/>
      <w:lvlText w:val="\endash "/>
      <w:numFmt w:val="bullet"/>
      <w:start w:val="1"/>
    </w:lvl>
  </w:abstractNum>
  <w:abstractNum w:abstractNumId="294">
    <w:nsid w:val="1AF7F0EA"/>
    <w:multiLevelType w:val="hybridMultilevel"/>
    <w:lvl w:ilvl="0">
      <w:lvlJc w:val="left"/>
      <w:lvlText w:val="%1."/>
      <w:numFmt w:val="decimal"/>
      <w:start w:val="1"/>
    </w:lvl>
  </w:abstractNum>
  <w:abstractNum w:abstractNumId="295">
    <w:nsid w:val="4DA32C7E"/>
    <w:multiLevelType w:val="hybridMultilevel"/>
    <w:lvl w:ilvl="0">
      <w:lvlJc w:val="left"/>
      <w:lvlText w:val="(%1)"/>
      <w:numFmt w:val="lowerLetter"/>
      <w:start w:val="1"/>
    </w:lvl>
  </w:abstractNum>
  <w:abstractNum w:abstractNumId="296">
    <w:nsid w:val="6EC68664"/>
    <w:multiLevelType w:val="hybridMultilevel"/>
    <w:lvl w:ilvl="0">
      <w:lvlJc w:val="left"/>
      <w:lvlText w:val="%1."/>
      <w:numFmt w:val="decimal"/>
      <w:start w:val="2"/>
    </w:lvl>
  </w:abstractNum>
  <w:abstractNum w:abstractNumId="297">
    <w:nsid w:val="E0D31FF"/>
    <w:multiLevelType w:val="hybridMultilevel"/>
    <w:lvl w:ilvl="0">
      <w:lvlJc w:val="left"/>
      <w:lvlText w:val="%1."/>
      <w:numFmt w:val="decimal"/>
      <w:start w:val="1"/>
    </w:lvl>
  </w:abstractNum>
  <w:abstractNum w:abstractNumId="298">
    <w:nsid w:val="2FD0AD81"/>
    <w:multiLevelType w:val="hybridMultilevel"/>
    <w:lvl w:ilvl="0">
      <w:lvlJc w:val="left"/>
      <w:lvlText w:val="%1."/>
      <w:numFmt w:val="decimal"/>
      <w:start w:val="1"/>
    </w:lvl>
    <w:lvl w:ilvl="1">
      <w:lvlJc w:val="left"/>
      <w:lvlText w:val="(%2)"/>
      <w:numFmt w:val="lowerLetter"/>
      <w:start w:val="1"/>
    </w:lvl>
  </w:abstractNum>
  <w:abstractNum w:abstractNumId="299">
    <w:nsid w:val="1978EBEB"/>
    <w:multiLevelType w:val="hybridMultilevel"/>
    <w:lvl w:ilvl="0">
      <w:lvlJc w:val="left"/>
      <w:lvlText w:val="(%1)"/>
      <w:numFmt w:val="lowerLetter"/>
      <w:start w:val="7"/>
    </w:lvl>
  </w:abstractNum>
  <w:abstractNum w:abstractNumId="300">
    <w:nsid w:val="52C12C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1">
    <w:nsid w:val="4BDD53FD"/>
    <w:multiLevelType w:val="hybridMultilevel"/>
    <w:lvl w:ilvl="0">
      <w:lvlJc w:val="left"/>
      <w:lvlText w:val="%1."/>
      <w:numFmt w:val="decimal"/>
      <w:start w:val="4"/>
    </w:lvl>
    <w:lvl w:ilvl="1">
      <w:lvlJc w:val="left"/>
      <w:lvlText w:val="(%2)"/>
      <w:numFmt w:val="lowerLetter"/>
      <w:start w:val="1"/>
    </w:lvl>
  </w:abstractNum>
  <w:abstractNum w:abstractNumId="302">
    <w:nsid w:val="569951FE"/>
    <w:multiLevelType w:val="hybridMultilevel"/>
    <w:lvl w:ilvl="0">
      <w:lvlJc w:val="left"/>
      <w:lvlText w:val="%1."/>
      <w:numFmt w:val="decimal"/>
      <w:start w:val="7"/>
    </w:lvl>
    <w:lvl w:ilvl="1">
      <w:lvlJc w:val="left"/>
      <w:lvlText w:val="(%2)"/>
      <w:numFmt w:val="lowerLetter"/>
      <w:start w:val="1"/>
    </w:lvl>
  </w:abstractNum>
  <w:abstractNum w:abstractNumId="303">
    <w:nsid w:val="4C54E2C3"/>
    <w:multiLevelType w:val="hybridMultilevel"/>
    <w:lvl w:ilvl="0">
      <w:lvlJc w:val="left"/>
      <w:lvlText w:val="%1."/>
      <w:numFmt w:val="decimal"/>
      <w:start w:val="8"/>
    </w:lvl>
    <w:lvl w:ilvl="1">
      <w:lvlJc w:val="left"/>
      <w:lvlText w:val="(%2)"/>
      <w:numFmt w:val="lowerLetter"/>
      <w:start w:val="1"/>
    </w:lvl>
  </w:abstractNum>
  <w:abstractNum w:abstractNumId="304">
    <w:nsid w:val="788BD9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5">
    <w:nsid w:val="47CAA56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2"/>
    </w:lvl>
  </w:abstractNum>
  <w:abstractNum w:abstractNumId="306">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07">
    <w:nsid w:val="1F0E5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08">
    <w:nsid w:val="26BAAE9"/>
    <w:multiLevelType w:val="hybridMultilevel"/>
    <w:lvl w:ilvl="0">
      <w:lvlJc w:val="left"/>
      <w:lvlText w:val="%1."/>
      <w:numFmt w:val="decimal"/>
      <w:start w:val="11"/>
    </w:lvl>
    <w:lvl w:ilvl="1">
      <w:lvlJc w:val="left"/>
      <w:lvlText w:val="(%2)"/>
      <w:numFmt w:val="lowerLetter"/>
      <w:start w:val="1"/>
    </w:lvl>
  </w:abstractNum>
  <w:abstractNum w:abstractNumId="309">
    <w:nsid w:val="2C02FE8C"/>
    <w:multiLevelType w:val="hybridMultilevel"/>
    <w:lvl w:ilvl="0">
      <w:lvlJc w:val="left"/>
      <w:lvlText w:val="%1"/>
      <w:numFmt w:val="decimal"/>
      <w:start w:val="1"/>
    </w:lvl>
    <w:lvl w:ilvl="1">
      <w:lvlJc w:val="left"/>
      <w:lvlText w:val="(%2)"/>
      <w:numFmt w:val="lowerLetter"/>
      <w:start w:val="4"/>
    </w:lvl>
  </w:abstractNum>
  <w:abstractNum w:abstractNumId="310">
    <w:nsid w:val="129517E"/>
    <w:multiLevelType w:val="hybridMultilevel"/>
    <w:lvl w:ilvl="0">
      <w:lvlJc w:val="left"/>
      <w:lvlText w:val="%1."/>
      <w:numFmt w:val="decimal"/>
      <w:start w:val="13"/>
    </w:lvl>
    <w:lvl w:ilvl="1">
      <w:lvlJc w:val="left"/>
      <w:lvlText w:val="(%2)"/>
      <w:numFmt w:val="lowerLetter"/>
      <w:start w:val="1"/>
    </w:lvl>
  </w:abstractNum>
  <w:abstractNum w:abstractNumId="311">
    <w:nsid w:val="763B8C4E"/>
    <w:multiLevelType w:val="hybridMultilevel"/>
    <w:lvl w:ilvl="0">
      <w:lvlJc w:val="left"/>
      <w:lvlText w:val="%1"/>
      <w:numFmt w:val="decimal"/>
      <w:start w:val="1"/>
    </w:lvl>
    <w:lvl w:ilvl="1">
      <w:lvlJc w:val="left"/>
      <w:lvlText w:val="(%2)"/>
      <w:numFmt w:val="lowerLetter"/>
      <w:start w:val="2"/>
    </w:lvl>
  </w:abstractNum>
  <w:abstractNum w:abstractNumId="312">
    <w:nsid w:val="4CFB8D32"/>
    <w:multiLevelType w:val="hybridMultilevel"/>
    <w:lvl w:ilvl="0">
      <w:lvlJc w:val="left"/>
      <w:lvlText w:val="%1."/>
      <w:numFmt w:val="decimal"/>
      <w:start w:val="15"/>
    </w:lvl>
    <w:lvl w:ilvl="1">
      <w:lvlJc w:val="left"/>
      <w:lvlText w:val="%2"/>
      <w:numFmt w:val="lowerLetter"/>
      <w:start w:val="1"/>
    </w:lvl>
  </w:abstractNum>
  <w:abstractNum w:abstractNumId="313">
    <w:nsid w:val="62A5D5BD"/>
    <w:multiLevelType w:val="hybridMultilevel"/>
    <w:lvl w:ilvl="0">
      <w:lvlJc w:val="left"/>
      <w:lvlText w:val="%1."/>
      <w:numFmt w:val="decimal"/>
      <w:start w:val="17"/>
    </w:lvl>
  </w:abstractNum>
  <w:abstractNum w:abstractNumId="314">
    <w:nsid w:val="718FABF9"/>
    <w:multiLevelType w:val="hybridMultilevel"/>
    <w:lvl w:ilvl="0">
      <w:lvlJc w:val="left"/>
      <w:lvlText w:val="%1."/>
      <w:numFmt w:val="decimal"/>
      <w:start w:val="19"/>
    </w:lvl>
  </w:abstractNum>
  <w:abstractNum w:abstractNumId="315">
    <w:nsid w:val="7775797C"/>
    <w:multiLevelType w:val="hybridMultilevel"/>
    <w:lvl w:ilvl="0">
      <w:lvlJc w:val="left"/>
      <w:lvlText w:val="%1:"/>
      <w:numFmt w:val="upperLetter"/>
      <w:start w:val="68"/>
    </w:lvl>
  </w:abstractNum>
  <w:abstractNum w:abstractNumId="316">
    <w:nsid w:val="1626FB8C"/>
    <w:multiLevelType w:val="hybridMultilevel"/>
    <w:lvl w:ilvl="0">
      <w:lvlJc w:val="left"/>
      <w:lvlText w:val="©"/>
      <w:numFmt w:val="bullet"/>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jpe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jpe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jpe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jpe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jpe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2021-04-07T15:23:58Z</dcterms:created>
  <dcterms:modified xsi:type="dcterms:W3CDTF">2021-04-07T15:23:58Z</dcterms:modified>
</cp:coreProperties>
</file>