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2222500</wp:posOffset>
            </wp:positionH>
            <wp:positionV relativeFrom="page">
              <wp:posOffset>980440</wp:posOffset>
            </wp:positionV>
            <wp:extent cx="311150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111500" cy="291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Filed Pursuant to Rule 433</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Registration No. 333-263304</w:t>
      </w:r>
    </w:p>
    <w:p>
      <w:pPr>
        <w:jc w:val="right"/>
        <w:spacing w:after="0"/>
        <w:rPr>
          <w:sz w:val="20"/>
          <w:szCs w:val="20"/>
          <w:color w:val="auto"/>
        </w:rPr>
      </w:pPr>
      <w:r>
        <w:rPr>
          <w:rFonts w:ascii="Times New Roman" w:cs="Times New Roman" w:eastAsia="Times New Roman" w:hAnsi="Times New Roman"/>
          <w:sz w:val="22"/>
          <w:szCs w:val="22"/>
          <w:color w:val="auto"/>
        </w:rPr>
        <w:t>Dated: January 16, 2024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Pricing Term Sheet</w:t>
      </w:r>
    </w:p>
    <w:p>
      <w:pPr>
        <w:spacing w:after="0" w:line="224" w:lineRule="exact"/>
        <w:rPr>
          <w:sz w:val="24"/>
          <w:szCs w:val="24"/>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This term sheet supplements the information set forth under “Description of the Notes” in the Prospectus Supplement, subject to completion, dated January 16, 2024 to the Prospectus dated April 11, 2022 (the “Preliminary Prospectus Supplement”).</w:t>
      </w:r>
    </w:p>
    <w:p>
      <w:pPr>
        <w:sectPr>
          <w:pgSz w:w="11900" w:h="16838" w:orient="portrait"/>
          <w:cols w:equalWidth="0" w:num="1">
            <w:col w:w="11240"/>
          </w:cols>
          <w:pgMar w:left="320" w:top="1440" w:right="339" w:bottom="1440" w:gutter="0" w:footer="0" w:header="0"/>
        </w:sectPr>
      </w:pPr>
    </w:p>
    <w:p>
      <w:pPr>
        <w:spacing w:after="0" w:line="198"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JPMorgan Chase &amp; Co.</w:t>
      </w:r>
    </w:p>
    <w:p>
      <w:pPr>
        <w:spacing w:after="0" w:line="200" w:lineRule="exact"/>
        <w:rPr>
          <w:sz w:val="24"/>
          <w:szCs w:val="24"/>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4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color w:val="auto"/>
        </w:rPr>
        <w:t>Security Type:</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Registered Senior Notes</w:t>
      </w:r>
    </w:p>
    <w:p>
      <w:pPr>
        <w:spacing w:after="0" w:line="200" w:lineRule="exact"/>
        <w:rPr>
          <w:sz w:val="24"/>
          <w:szCs w:val="24"/>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4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color w:val="auto"/>
        </w:rPr>
        <w:t>Security:</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Fixed-to-Floating Rate Notes due 2030</w:t>
      </w:r>
    </w:p>
    <w:p>
      <w:pPr>
        <w:spacing w:after="0" w:line="200" w:lineRule="exact"/>
        <w:rPr>
          <w:sz w:val="24"/>
          <w:szCs w:val="24"/>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4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color w:val="auto"/>
        </w:rPr>
        <w:t>Currency:</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USD</w:t>
      </w:r>
    </w:p>
    <w:p>
      <w:pPr>
        <w:spacing w:after="0" w:line="200" w:lineRule="exact"/>
        <w:rPr>
          <w:sz w:val="24"/>
          <w:szCs w:val="24"/>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3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color w:val="auto"/>
        </w:rPr>
        <w:t>Size: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4500"/>
        <w:spacing w:after="0"/>
        <w:rPr>
          <w:sz w:val="20"/>
          <w:szCs w:val="20"/>
          <w:color w:val="auto"/>
        </w:rPr>
      </w:pPr>
      <w:r>
        <w:rPr>
          <w:rFonts w:ascii="Times New Roman" w:cs="Times New Roman" w:eastAsia="Times New Roman" w:hAnsi="Times New Roman"/>
          <w:sz w:val="21"/>
          <w:szCs w:val="21"/>
          <w:color w:val="auto"/>
        </w:rPr>
        <w:t>$2,500,000,000</w:t>
      </w:r>
    </w:p>
    <w:p>
      <w:pPr>
        <w:spacing w:after="0" w:line="200" w:lineRule="exact"/>
        <w:rPr>
          <w:sz w:val="24"/>
          <w:szCs w:val="24"/>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4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color w:val="auto"/>
        </w:rPr>
        <w:t>Maturity:</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4360"/>
        <w:spacing w:after="0"/>
        <w:rPr>
          <w:sz w:val="20"/>
          <w:szCs w:val="20"/>
          <w:color w:val="auto"/>
        </w:rPr>
      </w:pPr>
      <w:r>
        <w:rPr>
          <w:rFonts w:ascii="Times New Roman" w:cs="Times New Roman" w:eastAsia="Times New Roman" w:hAnsi="Times New Roman"/>
          <w:sz w:val="21"/>
          <w:szCs w:val="21"/>
          <w:color w:val="auto"/>
        </w:rPr>
        <w:t>January 23, 2030</w:t>
      </w:r>
    </w:p>
    <w:p>
      <w:pPr>
        <w:spacing w:after="0" w:line="200" w:lineRule="exact"/>
        <w:rPr>
          <w:sz w:val="24"/>
          <w:szCs w:val="24"/>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4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color w:val="auto"/>
        </w:rPr>
        <w:t>Fixed Rate Period:</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ind w:right="1040"/>
        <w:spacing w:after="0" w:line="271" w:lineRule="auto"/>
        <w:rPr>
          <w:sz w:val="20"/>
          <w:szCs w:val="20"/>
          <w:color w:val="auto"/>
        </w:rPr>
      </w:pPr>
      <w:r>
        <w:rPr>
          <w:rFonts w:ascii="Times New Roman" w:cs="Times New Roman" w:eastAsia="Times New Roman" w:hAnsi="Times New Roman"/>
          <w:sz w:val="22"/>
          <w:szCs w:val="22"/>
          <w:color w:val="auto"/>
        </w:rPr>
        <w:t>From and including January 23, 2024 to, but excluding, January 23, 2029</w:t>
      </w:r>
    </w:p>
    <w:p>
      <w:pPr>
        <w:spacing w:after="0" w:line="200" w:lineRule="exact"/>
        <w:rPr>
          <w:sz w:val="24"/>
          <w:szCs w:val="24"/>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20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color w:val="auto"/>
        </w:rPr>
        <w:t>Floating Rate Period:</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right="1040"/>
        <w:spacing w:after="0" w:line="271" w:lineRule="auto"/>
        <w:rPr>
          <w:sz w:val="20"/>
          <w:szCs w:val="20"/>
          <w:color w:val="auto"/>
        </w:rPr>
      </w:pPr>
      <w:r>
        <w:rPr>
          <w:rFonts w:ascii="Times New Roman" w:cs="Times New Roman" w:eastAsia="Times New Roman" w:hAnsi="Times New Roman"/>
          <w:sz w:val="22"/>
          <w:szCs w:val="22"/>
          <w:color w:val="auto"/>
        </w:rPr>
        <w:t>From and including January 23, 2029 to, but excluding, Maturity</w:t>
      </w:r>
    </w:p>
    <w:p>
      <w:pPr>
        <w:spacing w:after="0" w:line="200" w:lineRule="exact"/>
        <w:rPr>
          <w:sz w:val="24"/>
          <w:szCs w:val="24"/>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20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color w:val="auto"/>
        </w:rPr>
        <w:t>Payment Frequency:</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right="1000"/>
        <w:spacing w:after="0" w:line="271" w:lineRule="auto"/>
        <w:rPr>
          <w:sz w:val="20"/>
          <w:szCs w:val="20"/>
          <w:color w:val="auto"/>
        </w:rPr>
      </w:pPr>
      <w:r>
        <w:rPr>
          <w:rFonts w:ascii="Times New Roman" w:cs="Times New Roman" w:eastAsia="Times New Roman" w:hAnsi="Times New Roman"/>
          <w:sz w:val="22"/>
          <w:szCs w:val="22"/>
          <w:color w:val="auto"/>
        </w:rPr>
        <w:t>Semi-annual during the Fixed Rate Period and quarterly during the Floating Rate Period</w:t>
      </w:r>
    </w:p>
    <w:p>
      <w:pPr>
        <w:spacing w:after="0" w:line="200" w:lineRule="exact"/>
        <w:rPr>
          <w:sz w:val="24"/>
          <w:szCs w:val="24"/>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20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color w:val="auto"/>
        </w:rPr>
        <w:t>Day Count Fraction: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right="700"/>
        <w:spacing w:after="0" w:line="271" w:lineRule="auto"/>
        <w:rPr>
          <w:sz w:val="20"/>
          <w:szCs w:val="20"/>
          <w:color w:val="auto"/>
        </w:rPr>
      </w:pPr>
      <w:r>
        <w:rPr>
          <w:rFonts w:ascii="Times New Roman" w:cs="Times New Roman" w:eastAsia="Times New Roman" w:hAnsi="Times New Roman"/>
          <w:sz w:val="22"/>
          <w:szCs w:val="22"/>
          <w:color w:val="auto"/>
        </w:rPr>
        <w:t>30/360 during the Fixed Rate Period, Actual/360 during the Floating Rate Period</w:t>
      </w:r>
    </w:p>
    <w:p>
      <w:pPr>
        <w:spacing w:after="0" w:line="200" w:lineRule="exact"/>
        <w:rPr>
          <w:sz w:val="24"/>
          <w:szCs w:val="24"/>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20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color w:val="auto"/>
        </w:rPr>
        <w:t>Benchmark Treasury:</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3060"/>
        <w:spacing w:after="0"/>
        <w:rPr>
          <w:sz w:val="20"/>
          <w:szCs w:val="20"/>
          <w:color w:val="auto"/>
        </w:rPr>
      </w:pPr>
      <w:r>
        <w:rPr>
          <w:rFonts w:ascii="Times New Roman" w:cs="Times New Roman" w:eastAsia="Times New Roman" w:hAnsi="Times New Roman"/>
          <w:sz w:val="21"/>
          <w:szCs w:val="21"/>
          <w:color w:val="auto"/>
        </w:rPr>
        <w:t>3.750% due December 31, 2028</w:t>
      </w:r>
    </w:p>
    <w:p>
      <w:pPr>
        <w:spacing w:after="0" w:line="200" w:lineRule="exact"/>
        <w:rPr>
          <w:sz w:val="24"/>
          <w:szCs w:val="24"/>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4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color w:val="auto"/>
        </w:rPr>
        <w:t>Benchmark Treasury Yield:</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3.932%</w:t>
      </w:r>
    </w:p>
    <w:p>
      <w:pPr>
        <w:spacing w:after="0" w:line="200" w:lineRule="exact"/>
        <w:rPr>
          <w:sz w:val="24"/>
          <w:szCs w:val="24"/>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3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color w:val="auto"/>
        </w:rPr>
        <w:t>Spread to Benchmark Treasury: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+108 basis points</w:t>
      </w:r>
    </w:p>
    <w:p>
      <w:pPr>
        <w:spacing w:after="0" w:line="200" w:lineRule="exact"/>
        <w:rPr>
          <w:sz w:val="24"/>
          <w:szCs w:val="24"/>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4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1"/>
          <w:szCs w:val="21"/>
          <w:color w:val="auto"/>
        </w:rPr>
        <w:t>Reoffer Yield:</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5.012%</w:t>
      </w:r>
    </w:p>
    <w:p>
      <w:pPr>
        <w:sectPr>
          <w:pgSz w:w="11900" w:h="16838" w:orient="portrait"/>
          <w:cols w:equalWidth="0" w:num="2">
            <w:col w:w="4660" w:space="720"/>
            <w:col w:w="5860"/>
          </w:cols>
          <w:pgMar w:left="320" w:top="1440" w:right="3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Fixed Rate Coupon: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Floating Rate Coupon: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Floating Rate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Floating Rate Reset Frequency: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 to Public:</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Proceeds (Before Expenses) to Issuer:</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Business Day: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Business Day Convention: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Optional Redemption: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60"/>
        <w:spacing w:after="0" w:line="271" w:lineRule="auto"/>
        <w:rPr>
          <w:sz w:val="20"/>
          <w:szCs w:val="20"/>
          <w:color w:val="auto"/>
        </w:rPr>
      </w:pPr>
      <w:r>
        <w:rPr>
          <w:rFonts w:ascii="Times New Roman" w:cs="Times New Roman" w:eastAsia="Times New Roman" w:hAnsi="Times New Roman"/>
          <w:sz w:val="22"/>
          <w:szCs w:val="22"/>
          <w:color w:val="auto"/>
        </w:rPr>
        <w:t>5.012%, payable semiannually in arrears during the Fixed Rate Period.</w:t>
      </w:r>
    </w:p>
    <w:p>
      <w:pPr>
        <w:spacing w:after="0" w:line="200" w:lineRule="exact"/>
        <w:rPr>
          <w:sz w:val="20"/>
          <w:szCs w:val="20"/>
          <w:color w:val="auto"/>
        </w:rPr>
      </w:pPr>
    </w:p>
    <w:p>
      <w:pPr>
        <w:spacing w:after="0" w:line="228" w:lineRule="exact"/>
        <w:rPr>
          <w:sz w:val="20"/>
          <w:szCs w:val="20"/>
          <w:color w:val="auto"/>
        </w:rPr>
      </w:pPr>
    </w:p>
    <w:p>
      <w:pPr>
        <w:ind w:right="600"/>
        <w:spacing w:after="0" w:line="257" w:lineRule="auto"/>
        <w:rPr>
          <w:sz w:val="20"/>
          <w:szCs w:val="20"/>
          <w:color w:val="auto"/>
        </w:rPr>
      </w:pPr>
      <w:r>
        <w:rPr>
          <w:rFonts w:ascii="Times New Roman" w:cs="Times New Roman" w:eastAsia="Times New Roman" w:hAnsi="Times New Roman"/>
          <w:sz w:val="22"/>
          <w:szCs w:val="22"/>
          <w:color w:val="auto"/>
        </w:rPr>
        <w:t>An annual floating rate equal to the Floating Rate Index plus a spread of 1.310% per annum, payable quarterly in arrears during the Floating Rate Period.</w:t>
      </w:r>
    </w:p>
    <w:p>
      <w:pPr>
        <w:spacing w:after="0" w:line="200" w:lineRule="exact"/>
        <w:rPr>
          <w:sz w:val="20"/>
          <w:szCs w:val="20"/>
          <w:color w:val="auto"/>
        </w:rPr>
      </w:pPr>
    </w:p>
    <w:p>
      <w:pPr>
        <w:spacing w:after="0" w:line="256" w:lineRule="exact"/>
        <w:rPr>
          <w:sz w:val="20"/>
          <w:szCs w:val="20"/>
          <w:color w:val="auto"/>
        </w:rPr>
      </w:pPr>
    </w:p>
    <w:p>
      <w:pPr>
        <w:ind w:right="760"/>
        <w:spacing w:after="0" w:line="257" w:lineRule="auto"/>
        <w:rPr>
          <w:sz w:val="20"/>
          <w:szCs w:val="20"/>
          <w:color w:val="auto"/>
        </w:rPr>
      </w:pPr>
      <w:r>
        <w:rPr>
          <w:rFonts w:ascii="Times New Roman" w:cs="Times New Roman" w:eastAsia="Times New Roman" w:hAnsi="Times New Roman"/>
          <w:sz w:val="22"/>
          <w:szCs w:val="22"/>
          <w:color w:val="auto"/>
        </w:rPr>
        <w:t>Benchmark rate (expected to be Compounded SOFR as described under “Description of the Notes—Interest on the notes” in the Preliminary Prospectus Supplement).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Quarterly during the Floating Rate Period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of face amount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$2,491,250,000</w:t>
      </w:r>
    </w:p>
    <w:p>
      <w:pPr>
        <w:spacing w:after="0" w:line="200" w:lineRule="exact"/>
        <w:rPr>
          <w:sz w:val="20"/>
          <w:szCs w:val="20"/>
          <w:color w:val="auto"/>
        </w:rPr>
      </w:pPr>
    </w:p>
    <w:p>
      <w:pPr>
        <w:spacing w:after="0" w:line="276" w:lineRule="exact"/>
        <w:rPr>
          <w:sz w:val="20"/>
          <w:szCs w:val="20"/>
          <w:color w:val="auto"/>
        </w:rPr>
      </w:pPr>
    </w:p>
    <w:p>
      <w:pPr>
        <w:ind w:right="580"/>
        <w:spacing w:after="0" w:line="272" w:lineRule="auto"/>
        <w:rPr>
          <w:sz w:val="20"/>
          <w:szCs w:val="20"/>
          <w:color w:val="auto"/>
        </w:rPr>
      </w:pPr>
      <w:r>
        <w:rPr>
          <w:rFonts w:ascii="Times New Roman" w:cs="Times New Roman" w:eastAsia="Times New Roman" w:hAnsi="Times New Roman"/>
          <w:sz w:val="21"/>
          <w:szCs w:val="21"/>
          <w:color w:val="auto"/>
        </w:rPr>
        <w:t>During the Fixed Rate Period, each January 23 and July 23, beginning July 23, 2024 and including January 23, 2029, and during the Floating Rate Period, each of April 23, 2029, July 23, 2029, October 23, 2029 and January 23, 2030.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00" w:lineRule="exact"/>
        <w:rPr>
          <w:sz w:val="20"/>
          <w:szCs w:val="20"/>
          <w:color w:val="auto"/>
        </w:rPr>
      </w:pPr>
    </w:p>
    <w:p>
      <w:pPr>
        <w:spacing w:after="0" w:line="276" w:lineRule="exact"/>
        <w:rPr>
          <w:sz w:val="20"/>
          <w:szCs w:val="20"/>
          <w:color w:val="auto"/>
        </w:rPr>
      </w:pPr>
    </w:p>
    <w:p>
      <w:pPr>
        <w:ind w:right="1160"/>
        <w:spacing w:after="0" w:line="257" w:lineRule="auto"/>
        <w:rPr>
          <w:sz w:val="20"/>
          <w:szCs w:val="20"/>
          <w:color w:val="auto"/>
        </w:rPr>
      </w:pPr>
      <w:r>
        <w:rPr>
          <w:rFonts w:ascii="Times New Roman" w:cs="Times New Roman" w:eastAsia="Times New Roman" w:hAnsi="Times New Roman"/>
          <w:sz w:val="22"/>
          <w:szCs w:val="22"/>
          <w:color w:val="auto"/>
        </w:rPr>
        <w:t>During the Fixed Rate Period, following business day. During the Floating Rate Period, modified following business day.</w:t>
      </w:r>
    </w:p>
    <w:p>
      <w:pPr>
        <w:spacing w:after="0" w:line="200" w:lineRule="exact"/>
        <w:rPr>
          <w:sz w:val="20"/>
          <w:szCs w:val="20"/>
          <w:color w:val="auto"/>
        </w:rPr>
      </w:pPr>
    </w:p>
    <w:p>
      <w:pPr>
        <w:spacing w:after="0" w:line="256" w:lineRule="exact"/>
        <w:rPr>
          <w:sz w:val="20"/>
          <w:szCs w:val="20"/>
          <w:color w:val="auto"/>
        </w:rPr>
      </w:pPr>
    </w:p>
    <w:p>
      <w:pPr>
        <w:ind w:right="780"/>
        <w:spacing w:after="0" w:line="250" w:lineRule="auto"/>
        <w:rPr>
          <w:sz w:val="20"/>
          <w:szCs w:val="20"/>
          <w:color w:val="auto"/>
        </w:rPr>
      </w:pPr>
      <w:r>
        <w:rPr>
          <w:rFonts w:ascii="Times New Roman" w:cs="Times New Roman" w:eastAsia="Times New Roman" w:hAnsi="Times New Roman"/>
          <w:sz w:val="22"/>
          <w:szCs w:val="22"/>
          <w:color w:val="auto"/>
        </w:rPr>
        <w:t>We may redeem the notes, at our option, in whole at any time or in part from time to time, on or after July 23, 2024 and prior to January 23, 2029 upon at least 5 days’ but no more than 60 days’ notice to holders of the notes, at a redemption price equal to the greater of: (i) (a) the sum of the present values of the remaining scheduled payments of principal and interest on the notes to be</w:t>
      </w:r>
    </w:p>
    <w:p>
      <w:pPr>
        <w:sectPr>
          <w:pgSz w:w="11900" w:h="16838" w:orient="portrait"/>
          <w:cols w:equalWidth="0" w:num="2">
            <w:col w:w="4360" w:space="720"/>
            <w:col w:w="5860"/>
          </w:cols>
          <w:pgMar w:left="620" w:top="98"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redeemed discounted to the redemption date (assuming the</w:t>
      </w:r>
    </w:p>
    <w:p>
      <w:pPr>
        <w:spacing w:after="0" w:line="2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notes matured on January 23, 2029) on a semi-annual basis</w:t>
      </w:r>
    </w:p>
    <w:p>
      <w:pPr>
        <w:spacing w:after="0" w:line="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(assuming a 360-day year consisting of twelve 30-day</w:t>
      </w:r>
    </w:p>
    <w:p>
      <w:pPr>
        <w:spacing w:after="0" w:line="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months) at the “Treasury Rate” plus 20 basis points less</w:t>
      </w:r>
    </w:p>
    <w:p>
      <w:pPr>
        <w:spacing w:after="0" w:line="1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 interest accrued on those notes to the redemption date;</w:t>
      </w:r>
    </w:p>
    <w:p>
      <w:pPr>
        <w:spacing w:after="0" w:line="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and (ii) 100% of the principal amount of the notes to be</w:t>
      </w:r>
    </w:p>
    <w:p>
      <w:pPr>
        <w:spacing w:after="0" w:line="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redeemed; plus, in either case, accrued and unpaid interest</w:t>
      </w:r>
    </w:p>
    <w:p>
      <w:pPr>
        <w:spacing w:after="0" w:line="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on the notes to be redeemed to, but excluding, the</w:t>
      </w:r>
    </w:p>
    <w:p>
      <w:pPr>
        <w:spacing w:after="0" w:line="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redemption date.</w:t>
      </w:r>
    </w:p>
    <w:p>
      <w:pPr>
        <w:spacing w:after="0" w:line="200" w:lineRule="exact"/>
        <w:rPr>
          <w:sz w:val="20"/>
          <w:szCs w:val="20"/>
          <w:color w:val="auto"/>
        </w:rPr>
      </w:pPr>
    </w:p>
    <w:p>
      <w:pPr>
        <w:spacing w:after="0" w:line="3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In addition, we may redeem the notes, at our option, in</w:t>
      </w:r>
    </w:p>
    <w:p>
      <w:pPr>
        <w:spacing w:after="0" w:line="2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whole, but not in part, on January 23, 2029 upon at least 5</w:t>
      </w:r>
    </w:p>
    <w:p>
      <w:pPr>
        <w:spacing w:after="0" w:line="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days’ but no more than 60 days’ notice to holders of the</w:t>
      </w:r>
    </w:p>
    <w:p>
      <w:pPr>
        <w:spacing w:after="0" w:line="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notes, at a redemption price equal to 100% of the principal</w:t>
      </w:r>
    </w:p>
    <w:p>
      <w:pPr>
        <w:spacing w:after="0" w:line="1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amount of the notes to be redeemed plus accrued and unpaid</w:t>
      </w:r>
    </w:p>
    <w:p>
      <w:pPr>
        <w:spacing w:after="0" w:line="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interest thereon to, but excluding, the redemption date.</w:t>
      </w:r>
    </w:p>
    <w:p>
      <w:pPr>
        <w:spacing w:after="0" w:line="200" w:lineRule="exact"/>
        <w:rPr>
          <w:sz w:val="20"/>
          <w:szCs w:val="20"/>
          <w:color w:val="auto"/>
        </w:rPr>
      </w:pPr>
    </w:p>
    <w:p>
      <w:pPr>
        <w:spacing w:after="0" w:line="32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In addition, we may redeem the notes, at our option, in</w:t>
      </w:r>
    </w:p>
    <w:p>
      <w:pPr>
        <w:spacing w:after="0" w:line="2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whole at any time or in part from time to time, on or after</w:t>
      </w:r>
    </w:p>
    <w:p>
      <w:pPr>
        <w:spacing w:after="0" w:line="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December 23, 2029 upon at least 5 days’ but no more than</w:t>
      </w:r>
    </w:p>
    <w:p>
      <w:pPr>
        <w:spacing w:after="0" w:line="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60 days’ notice to holders of the notes, at a redemption price</w:t>
      </w:r>
    </w:p>
    <w:p>
      <w:pPr>
        <w:spacing w:after="0" w:line="1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equal to 100% of the principal amount of the notes to be</w:t>
      </w:r>
    </w:p>
    <w:p>
      <w:pPr>
        <w:spacing w:after="0" w:line="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redeemed plus accrued and unpaid interest thereon to, but</w:t>
      </w:r>
    </w:p>
    <w:p>
      <w:pPr>
        <w:spacing w:after="0" w:line="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excluding, the redemption date.</w:t>
      </w:r>
    </w:p>
    <w:p>
      <w:pPr>
        <w:spacing w:after="0" w:line="200" w:lineRule="exact"/>
        <w:rPr>
          <w:sz w:val="20"/>
          <w:szCs w:val="20"/>
          <w:color w:val="auto"/>
        </w:rPr>
      </w:pPr>
    </w:p>
    <w:p>
      <w:pPr>
        <w:spacing w:after="0" w:line="32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The foregoing supplements and supersedes the information</w:t>
      </w:r>
    </w:p>
    <w:p>
      <w:pPr>
        <w:spacing w:after="0" w:line="2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set forth under “Description of the Notes” in the Preliminary</w:t>
      </w:r>
    </w:p>
    <w:p>
      <w:pPr>
        <w:spacing w:after="0" w:line="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Prospectus Supplement.</w:t>
      </w:r>
    </w:p>
    <w:p>
      <w:pPr>
        <w:sectPr>
          <w:pgSz w:w="11900" w:h="16838" w:orient="portrait"/>
          <w:cols w:equalWidth="0" w:num="1">
            <w:col w:w="10940"/>
          </w:cols>
          <w:pgMar w:left="620" w:top="98"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CUSIP/ISIN: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46647PEB8 / US46647PEB85</w:t>
      </w:r>
    </w:p>
    <w:p>
      <w:pPr>
        <w:spacing w:after="0" w:line="200" w:lineRule="exact"/>
        <w:rPr>
          <w:sz w:val="20"/>
          <w:szCs w:val="20"/>
          <w:color w:val="auto"/>
        </w:rPr>
      </w:pPr>
    </w:p>
    <w:p>
      <w:pPr>
        <w:sectPr>
          <w:pgSz w:w="11900" w:h="16838" w:orient="portrait"/>
          <w:cols w:equalWidth="0" w:num="2">
            <w:col w:w="4420" w:space="720"/>
            <w:col w:w="5800"/>
          </w:cols>
          <w:pgMar w:left="620" w:top="98" w:right="33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Trade Date: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4360"/>
        <w:spacing w:after="0"/>
        <w:rPr>
          <w:sz w:val="20"/>
          <w:szCs w:val="20"/>
          <w:color w:val="auto"/>
        </w:rPr>
      </w:pPr>
      <w:r>
        <w:rPr>
          <w:rFonts w:ascii="Times New Roman" w:cs="Times New Roman" w:eastAsia="Times New Roman" w:hAnsi="Times New Roman"/>
          <w:sz w:val="21"/>
          <w:szCs w:val="21"/>
          <w:color w:val="auto"/>
        </w:rPr>
        <w:t>January 16, 2024</w:t>
      </w:r>
    </w:p>
    <w:p>
      <w:pPr>
        <w:spacing w:after="0" w:line="200" w:lineRule="exact"/>
        <w:rPr>
          <w:sz w:val="20"/>
          <w:szCs w:val="20"/>
          <w:color w:val="auto"/>
        </w:rPr>
      </w:pPr>
    </w:p>
    <w:p>
      <w:pPr>
        <w:sectPr>
          <w:pgSz w:w="11900" w:h="16838" w:orient="portrait"/>
          <w:cols w:equalWidth="0" w:num="2">
            <w:col w:w="4360" w:space="720"/>
            <w:col w:w="5860"/>
          </w:cols>
          <w:pgMar w:left="620" w:top="98" w:right="33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Settlement Date: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21"/>
          <w:szCs w:val="21"/>
          <w:color w:val="auto"/>
        </w:rPr>
        <w:t>January 23, 2024 (T+5)</w:t>
      </w:r>
    </w:p>
    <w:p>
      <w:pPr>
        <w:sectPr>
          <w:pgSz w:w="11900" w:h="16838" w:orient="portrait"/>
          <w:cols w:equalWidth="0" w:num="2">
            <w:col w:w="4360" w:space="720"/>
            <w:col w:w="5860"/>
          </w:cols>
          <w:pgMar w:left="620" w:top="98" w:right="339"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Denominations: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Concurrent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Sole Bookrunner: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Co-Managers: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 x $1,000</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addition to the notes described in this term sheet,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&amp; Co. is concurrently offering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$500,000,000 of floating rate notes due 2028,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$2,500,000,000 of fixed-to-floating rate notes due 2028 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$3,000,000,000 of fixed-to-floating rate notes due 2035.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consummation of each of these offerings is not contingent 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other offering.</w:t>
      </w:r>
    </w:p>
    <w:p>
      <w:pPr>
        <w:spacing w:after="0" w:line="200" w:lineRule="exact"/>
        <w:rPr>
          <w:sz w:val="20"/>
          <w:szCs w:val="20"/>
          <w:color w:val="auto"/>
        </w:rPr>
      </w:pPr>
    </w:p>
    <w:p>
      <w:pPr>
        <w:spacing w:after="0" w:line="293"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21"/>
          <w:szCs w:val="21"/>
          <w:color w:val="auto"/>
        </w:rPr>
        <w:t>J.P. Morgan Securities LLC</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of China Limited, London Branch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BBVA Securities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BMO Capital Markets Corp.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One Securities,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CIBC World Markets Corp.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Commonwealth Bank of Australia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Danske Markets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Fifth Third Securities,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Huntington Securities,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ING Financial Markets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Intesa Sanpaolo IMI Securities Corp.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KeyBanc Capital Markets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Lloyds Securities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Mizuho Securities USA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MUFG Securities Americas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Nordea Bank Abp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PNC Capital Markets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RB International Markets (USA)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RBC Capital Markets,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Regions Securities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Santander US Capital Markets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Scotia Capital (USA)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SG Americas Securities,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SMBC Nikko Securities America,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Standard Chartered Bank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TD Securities (USA)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Truist Securities,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Bancorp Investments,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Westpac Capital Markets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Academy Securities, Inc.</w:t>
      </w:r>
    </w:p>
    <w:p>
      <w:pPr>
        <w:sectPr>
          <w:pgSz w:w="11900" w:h="16838" w:orient="portrait"/>
          <w:cols w:equalWidth="0" w:num="2">
            <w:col w:w="4360" w:space="720"/>
            <w:col w:w="5860"/>
          </w:cols>
          <w:pgMar w:left="620" w:top="9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C.L. King &amp; Associates, Inc.</w:t>
      </w:r>
    </w:p>
    <w:p>
      <w:pPr>
        <w:spacing w:after="0" w:line="2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Cabrera Capital Markets LLC</w:t>
      </w:r>
    </w:p>
    <w:p>
      <w:pPr>
        <w:spacing w:after="0" w:line="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CastleOak Securities, L.P.</w:t>
      </w:r>
    </w:p>
    <w:p>
      <w:pPr>
        <w:spacing w:after="0" w:line="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Drexel Hamilton, LLC</w:t>
      </w:r>
    </w:p>
    <w:p>
      <w:pPr>
        <w:spacing w:after="0" w:line="1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Falcon Square Capital LLC</w:t>
      </w:r>
    </w:p>
    <w:p>
      <w:pPr>
        <w:spacing w:after="0" w:line="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Great Pacific Securities</w:t>
      </w:r>
    </w:p>
    <w:p>
      <w:pPr>
        <w:spacing w:after="0" w:line="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Loop Capital Markets LLC</w:t>
      </w:r>
    </w:p>
    <w:p>
      <w:pPr>
        <w:spacing w:after="0" w:line="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Mischler Financial Group, Inc.</w:t>
      </w:r>
    </w:p>
    <w:p>
      <w:pPr>
        <w:spacing w:after="0" w:line="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Penserra Securities LLC</w:t>
      </w:r>
    </w:p>
    <w:p>
      <w:pPr>
        <w:spacing w:after="0" w:line="1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R. Seelaus &amp; Co., LLC</w:t>
      </w:r>
    </w:p>
    <w:p>
      <w:pPr>
        <w:spacing w:after="0" w:line="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Roberts &amp; Ryan Investments, Inc.</w:t>
      </w:r>
    </w:p>
    <w:p>
      <w:pPr>
        <w:spacing w:after="0" w:line="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Samuel A. Ramirez &amp; Company, Inc.</w:t>
      </w:r>
    </w:p>
    <w:p>
      <w:pPr>
        <w:spacing w:after="0" w:line="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Siebert Williams Shank &amp; Co., LLC</w:t>
      </w:r>
    </w:p>
    <w:p>
      <w:pPr>
        <w:spacing w:after="0" w:line="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Telsey Advisory Group LLC</w:t>
      </w:r>
    </w:p>
    <w:p>
      <w:pPr>
        <w:spacing w:after="0" w:line="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Tigress Financial Partners, LLC</w:t>
      </w:r>
    </w:p>
    <w:p>
      <w:pPr>
        <w:spacing w:after="0" w:line="3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Certain of the underwriters are not U.S. registered broker-dealers, and will not effect any offers or sales of any notes in the United States unless it is through one or more U.S. registered broker-dealers as permitted by the regulations of the Financial Industry Regulatory Authority, Inc.</w:t>
      </w:r>
    </w:p>
    <w:p>
      <w:pPr>
        <w:spacing w:after="0" w:line="173"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22"/>
          <w:szCs w:val="22"/>
          <w:color w:val="auto"/>
        </w:rPr>
        <w:t>Settlement Period: The closing will occur on January 23, 2024 which will be more than two U.S. business days after the date of this pricing term sheet. Rule 15c6-1 under the Securities Exchange Act of 1934 generally requires that securities trades in the secondary market settle in two business days, unless the parties to a trade expressly agree otherwise.</w:t>
      </w:r>
    </w:p>
    <w:p>
      <w:pPr>
        <w:spacing w:after="0" w:line="16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JPMorgan Chase &amp; Co. has filed a registration statement (including a prospectus, as supplemented by a prospectus supplement) with the Securities and Exchange Commission, or SEC, for the offering to which this term sheet relates. Before you invest, you should read the prospectus in that registration statement, the prospectus supplement and any other documents relating to this offering that JPMorgan Chase &amp; Co. has filed with the SEC for more complete information about JPMorgan Chase &amp; Co. and this offering. You may get these documents without cost by visiting EDGAR on the SEC Web site at www.sec.gov. Alternatively, the issuer, any underwriter or any dealer participating in the offering will arrange to send you the prospectus if you request it by calling collect 1-212-834-4533.</w:t>
      </w:r>
    </w:p>
    <w:p>
      <w:pPr>
        <w:spacing w:after="0" w:line="180"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22"/>
          <w:szCs w:val="22"/>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2024-01-17T08:26:39Z</dcterms:created>
  <dcterms:modified xsi:type="dcterms:W3CDTF">2024-01-17T08:26:39Z</dcterms:modified>
</cp:coreProperties>
</file>