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tabs>
          <w:tab w:leader="none" w:pos="6420" w:val="left"/>
        </w:tabs>
        <w:rPr>
          <w:sz w:val="20"/>
          <w:szCs w:val="20"/>
          <w:color w:val="auto"/>
        </w:rPr>
      </w:pPr>
      <w:r>
        <w:rPr>
          <w:rFonts w:ascii="Arial" w:cs="Arial" w:eastAsia="Arial" w:hAnsi="Arial"/>
          <w:sz w:val="14"/>
          <w:szCs w:val="14"/>
          <w:color w:val="595959"/>
        </w:rPr>
        <w:t>November 21, 2022</w:t>
      </w:r>
      <w:r>
        <w:rPr>
          <w:sz w:val="20"/>
          <w:szCs w:val="20"/>
          <w:color w:val="auto"/>
        </w:rPr>
        <w:tab/>
      </w:r>
      <w:r>
        <w:rPr>
          <w:rFonts w:ascii="Arial" w:cs="Arial" w:eastAsia="Arial" w:hAnsi="Arial"/>
          <w:sz w:val="14"/>
          <w:szCs w:val="14"/>
          <w:color w:val="595959"/>
        </w:rPr>
        <w:t>Registration Statement Nos. 333-236659 and 333-236659-01;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273685</wp:posOffset>
            </wp:positionV>
            <wp:extent cx="7197090" cy="266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090" cy="26670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120"/>
        <w:spacing w:after="0"/>
        <w:rPr>
          <w:sz w:val="20"/>
          <w:szCs w:val="20"/>
          <w:color w:val="auto"/>
        </w:rPr>
      </w:pPr>
      <w:r>
        <w:rPr>
          <w:rFonts w:ascii="Arial" w:cs="Arial" w:eastAsia="Arial" w:hAnsi="Arial"/>
          <w:sz w:val="25"/>
          <w:szCs w:val="25"/>
          <w:color w:val="404040"/>
        </w:rPr>
        <w:t>JPMorgan Chase Financial Company LLC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25"/>
          <w:szCs w:val="25"/>
          <w:color w:val="404040"/>
        </w:rPr>
        <w:t>Structured Investments</w:t>
      </w:r>
    </w:p>
    <w:p>
      <w:pPr>
        <w:spacing w:after="0" w:line="107" w:lineRule="exact"/>
        <w:rPr>
          <w:sz w:val="24"/>
          <w:szCs w:val="24"/>
          <w:color w:val="auto"/>
        </w:rPr>
      </w:pPr>
    </w:p>
    <w:p>
      <w:pPr>
        <w:ind w:left="120" w:right="500"/>
        <w:spacing w:after="0" w:line="201" w:lineRule="auto"/>
        <w:rPr>
          <w:sz w:val="20"/>
          <w:szCs w:val="20"/>
          <w:color w:val="auto"/>
        </w:rPr>
      </w:pPr>
      <w:r>
        <w:rPr>
          <w:rFonts w:ascii="Arial" w:cs="Arial" w:eastAsia="Arial" w:hAnsi="Arial"/>
          <w:sz w:val="39"/>
          <w:szCs w:val="39"/>
          <w:color w:val="54301A"/>
        </w:rPr>
        <w:t>Return Notes Linked to the J.P. Morgan Kronos+</w:t>
      </w:r>
      <w:r>
        <w:rPr>
          <w:rFonts w:ascii="Arial" w:cs="Arial" w:eastAsia="Arial" w:hAnsi="Arial"/>
          <w:sz w:val="64"/>
          <w:szCs w:val="64"/>
          <w:color w:val="54301A"/>
          <w:vertAlign w:val="superscript"/>
        </w:rPr>
        <w:t>SM</w:t>
      </w:r>
      <w:r>
        <w:rPr>
          <w:rFonts w:ascii="Arial" w:cs="Arial" w:eastAsia="Arial" w:hAnsi="Arial"/>
          <w:sz w:val="39"/>
          <w:szCs w:val="39"/>
          <w:color w:val="54301A"/>
        </w:rPr>
        <w:t xml:space="preserve"> Index due November 5, 2025</w:t>
      </w:r>
    </w:p>
    <w:p>
      <w:pPr>
        <w:spacing w:after="0" w:line="84" w:lineRule="exact"/>
        <w:rPr>
          <w:sz w:val="24"/>
          <w:szCs w:val="24"/>
          <w:color w:val="auto"/>
        </w:rPr>
      </w:pPr>
    </w:p>
    <w:p>
      <w:pPr>
        <w:ind w:left="120"/>
        <w:spacing w:after="0"/>
        <w:rPr>
          <w:sz w:val="20"/>
          <w:szCs w:val="20"/>
          <w:color w:val="auto"/>
        </w:rPr>
      </w:pPr>
      <w:r>
        <w:rPr>
          <w:rFonts w:ascii="Arial" w:cs="Arial" w:eastAsia="Arial" w:hAnsi="Arial"/>
          <w:sz w:val="25"/>
          <w:szCs w:val="25"/>
          <w:color w:val="54301A"/>
        </w:rPr>
        <w:t>Fully and Unconditionally Guaranteed by JPMorgan Chase &amp; Co.</w:t>
      </w:r>
    </w:p>
    <w:p>
      <w:pPr>
        <w:spacing w:after="0" w:line="110" w:lineRule="exact"/>
        <w:rPr>
          <w:sz w:val="24"/>
          <w:szCs w:val="24"/>
          <w:color w:val="auto"/>
        </w:rPr>
      </w:pPr>
    </w:p>
    <w:p>
      <w:pPr>
        <w:ind w:left="120" w:right="580"/>
        <w:spacing w:after="0" w:line="252" w:lineRule="auto"/>
        <w:rPr>
          <w:sz w:val="20"/>
          <w:szCs w:val="20"/>
          <w:color w:val="auto"/>
        </w:rPr>
      </w:pPr>
      <w:r>
        <w:rPr>
          <w:rFonts w:ascii="Arial" w:cs="Arial" w:eastAsia="Arial" w:hAnsi="Arial"/>
          <w:sz w:val="16"/>
          <w:szCs w:val="16"/>
          <w:color w:val="auto"/>
        </w:rPr>
        <w:t>Notwithstanding anything to the contrary set forth in the pricing supplement dated October 31, 2022, related to the notes referred to above (the “pricing supplement”), the Initial Value is as follows:</w:t>
      </w:r>
    </w:p>
    <w:p>
      <w:pPr>
        <w:spacing w:after="0" w:line="110"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54301A"/>
        </w:rPr>
        <w:t xml:space="preserve">Initial Value: </w:t>
      </w:r>
      <w:r>
        <w:rPr>
          <w:rFonts w:ascii="Arial" w:cs="Arial" w:eastAsia="Arial" w:hAnsi="Arial"/>
          <w:sz w:val="16"/>
          <w:szCs w:val="16"/>
          <w:color w:val="000000"/>
        </w:rPr>
        <w:t>The closing level of the Index on the Pricing Date, which was 194.76</w:t>
      </w:r>
    </w:p>
    <w:p>
      <w:pPr>
        <w:spacing w:after="0" w:line="154" w:lineRule="exact"/>
        <w:rPr>
          <w:sz w:val="24"/>
          <w:szCs w:val="24"/>
          <w:color w:val="auto"/>
        </w:rPr>
      </w:pPr>
    </w:p>
    <w:p>
      <w:pPr>
        <w:ind w:left="120"/>
        <w:spacing w:after="0"/>
        <w:rPr>
          <w:sz w:val="20"/>
          <w:szCs w:val="20"/>
          <w:color w:val="auto"/>
        </w:rPr>
      </w:pPr>
      <w:r>
        <w:rPr>
          <w:rFonts w:ascii="Arial" w:cs="Arial" w:eastAsia="Arial" w:hAnsi="Arial"/>
          <w:sz w:val="16"/>
          <w:szCs w:val="16"/>
          <w:color w:val="262626"/>
        </w:rPr>
        <w:t>CUSIP: 48133NQN1</w:t>
      </w:r>
    </w:p>
    <w:p>
      <w:pPr>
        <w:spacing w:after="0" w:line="339" w:lineRule="exact"/>
        <w:rPr>
          <w:sz w:val="24"/>
          <w:szCs w:val="24"/>
          <w:color w:val="auto"/>
        </w:rPr>
      </w:pPr>
    </w:p>
    <w:p>
      <w:pPr>
        <w:ind w:right="320"/>
        <w:spacing w:after="0" w:line="260" w:lineRule="auto"/>
        <w:rPr>
          <w:sz w:val="20"/>
          <w:szCs w:val="20"/>
          <w:color w:val="auto"/>
        </w:rPr>
      </w:pPr>
      <w:r>
        <w:rPr>
          <w:rFonts w:ascii="Arial" w:cs="Arial" w:eastAsia="Arial" w:hAnsi="Arial"/>
          <w:sz w:val="16"/>
          <w:szCs w:val="16"/>
          <w:b w:val="1"/>
          <w:bCs w:val="1"/>
          <w:color w:val="auto"/>
        </w:rPr>
        <w:t>Investing in the notes involves a number of risks. See “Risk Factors” beginning on page S-2 of the accompanying prospectus supplement, “Risk Factors” beginning on page PS-12 of the accompanying product supplement, “Risk Factors” beginning on page US-5 of the accompanying underlying supplement and “Selected Risk Considerations” beginning on page PS-6 of the pricing supplement.</w:t>
      </w:r>
    </w:p>
    <w:p>
      <w:pPr>
        <w:spacing w:after="0" w:line="164" w:lineRule="exact"/>
        <w:rPr>
          <w:sz w:val="24"/>
          <w:szCs w:val="24"/>
          <w:color w:val="auto"/>
        </w:rPr>
      </w:pPr>
    </w:p>
    <w:p>
      <w:pPr>
        <w:ind w:right="220"/>
        <w:spacing w:after="0" w:line="247"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 notes or passed upon the accuracy or the adequacy of this amendment, the pricing supplement or the accompanying product supplement, underlying supplement, prospectus supplement and prospectus. Any representation to the contrary is a criminal offense.</w:t>
      </w:r>
    </w:p>
    <w:p>
      <w:pPr>
        <w:spacing w:after="0" w:line="264" w:lineRule="exact"/>
        <w:rPr>
          <w:sz w:val="24"/>
          <w:szCs w:val="24"/>
          <w:color w:val="auto"/>
        </w:rPr>
      </w:pPr>
    </w:p>
    <w:p>
      <w:pPr>
        <w:ind w:right="60"/>
        <w:spacing w:after="0" w:line="273" w:lineRule="auto"/>
        <w:rPr>
          <w:sz w:val="20"/>
          <w:szCs w:val="20"/>
          <w:color w:val="auto"/>
        </w:rPr>
      </w:pPr>
      <w:r>
        <w:rPr>
          <w:rFonts w:ascii="Arial" w:cs="Arial" w:eastAsia="Arial" w:hAnsi="Arial"/>
          <w:sz w:val="16"/>
          <w:szCs w:val="16"/>
          <w:i w:val="1"/>
          <w:iCs w:val="1"/>
          <w:color w:val="auto"/>
        </w:rPr>
        <w:t>The notes are not bank deposits, are not insured by the Federal Deposit Insurance Corporation or any other governmental agency and are not obligations of, or guaranteed by, a bank</w:t>
      </w:r>
    </w:p>
    <w:p>
      <w:pPr>
        <w:spacing w:after="0" w:line="154" w:lineRule="exact"/>
        <w:rPr>
          <w:sz w:val="24"/>
          <w:szCs w:val="24"/>
          <w:color w:val="auto"/>
        </w:rPr>
      </w:pPr>
    </w:p>
    <w:p>
      <w:pPr>
        <w:ind w:right="60"/>
        <w:spacing w:after="0" w:line="252" w:lineRule="auto"/>
        <w:rPr>
          <w:sz w:val="20"/>
          <w:szCs w:val="20"/>
          <w:color w:val="auto"/>
        </w:rPr>
      </w:pPr>
      <w:r>
        <w:rPr>
          <w:rFonts w:ascii="Arial" w:cs="Arial" w:eastAsia="Arial" w:hAnsi="Arial"/>
          <w:sz w:val="16"/>
          <w:szCs w:val="16"/>
          <w:color w:val="auto"/>
        </w:rPr>
        <w:t>You should read this amendment together with the pricing supplement and the related product supplement, underlying supplement, prospectus supplement and prospectus, each of which can be accessed via the hyperlinks below. Please also see “Additional Terms Specific to the Notes” in the pricing supplement.</w:t>
      </w:r>
    </w:p>
    <w:p>
      <w:pPr>
        <w:spacing w:after="0" w:line="236" w:lineRule="exact"/>
        <w:rPr>
          <w:sz w:val="24"/>
          <w:szCs w:val="24"/>
          <w:color w:val="auto"/>
        </w:rPr>
      </w:pPr>
    </w:p>
    <w:p>
      <w:pPr>
        <w:jc w:val="center"/>
        <w:ind w:right="-319"/>
        <w:spacing w:after="0"/>
        <w:rPr>
          <w:sz w:val="20"/>
          <w:szCs w:val="20"/>
          <w:color w:val="auto"/>
        </w:rPr>
      </w:pPr>
      <w:r>
        <w:rPr>
          <w:rFonts w:ascii="Arial" w:cs="Arial" w:eastAsia="Arial" w:hAnsi="Arial"/>
          <w:sz w:val="16"/>
          <w:szCs w:val="16"/>
          <w:color w:val="404040"/>
        </w:rPr>
        <w:t>Pricing supplement dated October 31, 2022:</w:t>
      </w:r>
    </w:p>
    <w:p>
      <w:pPr>
        <w:spacing w:after="0" w:line="2" w:lineRule="exact"/>
        <w:rPr>
          <w:sz w:val="24"/>
          <w:szCs w:val="24"/>
          <w:color w:val="auto"/>
        </w:rPr>
      </w:pPr>
    </w:p>
    <w:p>
      <w:pPr>
        <w:jc w:val="center"/>
        <w:ind w:right="-319"/>
        <w:spacing w:after="0"/>
        <w:rPr>
          <w:rFonts w:ascii="Arial" w:cs="Arial" w:eastAsia="Arial" w:hAnsi="Arial"/>
          <w:sz w:val="16"/>
          <w:szCs w:val="16"/>
          <w:color w:val="0000EE"/>
        </w:rPr>
      </w:pPr>
      <w:hyperlink r:id="rId9">
        <w:r>
          <w:rPr>
            <w:rFonts w:ascii="Arial" w:cs="Arial" w:eastAsia="Arial" w:hAnsi="Arial"/>
            <w:sz w:val="16"/>
            <w:szCs w:val="16"/>
            <w:color w:val="0000EE"/>
          </w:rPr>
          <w:t>http://www.sec.gov/Archives/edgar/data/1665650/000121390022068598/s145192_424b2.htm</w:t>
        </w:r>
      </w:hyperlink>
    </w:p>
    <w:p>
      <w:pPr>
        <w:spacing w:after="0" w:line="81" w:lineRule="exact"/>
        <w:rPr>
          <w:sz w:val="24"/>
          <w:szCs w:val="24"/>
          <w:color w:val="auto"/>
        </w:rPr>
      </w:pPr>
    </w:p>
    <w:p>
      <w:pPr>
        <w:jc w:val="center"/>
        <w:ind w:right="-319"/>
        <w:spacing w:after="0"/>
        <w:rPr>
          <w:sz w:val="20"/>
          <w:szCs w:val="20"/>
          <w:color w:val="auto"/>
        </w:rPr>
      </w:pPr>
      <w:r>
        <w:rPr>
          <w:rFonts w:ascii="Arial" w:cs="Arial" w:eastAsia="Arial" w:hAnsi="Arial"/>
          <w:sz w:val="16"/>
          <w:szCs w:val="16"/>
          <w:color w:val="404040"/>
        </w:rPr>
        <w:t>Product supplement no. 4-II dated November 4, 2020:</w:t>
      </w:r>
    </w:p>
    <w:p>
      <w:pPr>
        <w:spacing w:after="0" w:line="2" w:lineRule="exact"/>
        <w:rPr>
          <w:sz w:val="24"/>
          <w:szCs w:val="24"/>
          <w:color w:val="auto"/>
        </w:rPr>
      </w:pPr>
    </w:p>
    <w:p>
      <w:pPr>
        <w:jc w:val="center"/>
        <w:ind w:right="-319"/>
        <w:spacing w:after="0"/>
        <w:rPr>
          <w:rFonts w:ascii="Arial" w:cs="Arial" w:eastAsia="Arial" w:hAnsi="Arial"/>
          <w:sz w:val="16"/>
          <w:szCs w:val="16"/>
          <w:color w:val="0000EE"/>
        </w:rPr>
      </w:pPr>
      <w:hyperlink r:id="rId10">
        <w:r>
          <w:rPr>
            <w:rFonts w:ascii="Arial" w:cs="Arial" w:eastAsia="Arial" w:hAnsi="Arial"/>
            <w:sz w:val="16"/>
            <w:szCs w:val="16"/>
            <w:color w:val="0000EE"/>
          </w:rPr>
          <w:t>http://www.sec.gov/Archives/edgar/data/19617/000095010320021467/crt_dp139322-424b2.pdf</w:t>
        </w:r>
      </w:hyperlink>
    </w:p>
    <w:p>
      <w:pPr>
        <w:spacing w:after="0" w:line="108" w:lineRule="exact"/>
        <w:rPr>
          <w:sz w:val="24"/>
          <w:szCs w:val="24"/>
          <w:color w:val="auto"/>
        </w:rPr>
      </w:pPr>
    </w:p>
    <w:p>
      <w:pPr>
        <w:jc w:val="center"/>
        <w:ind w:right="-319"/>
        <w:spacing w:after="0"/>
        <w:rPr>
          <w:sz w:val="20"/>
          <w:szCs w:val="20"/>
          <w:color w:val="auto"/>
        </w:rPr>
      </w:pPr>
      <w:r>
        <w:rPr>
          <w:rFonts w:ascii="Arial" w:cs="Arial" w:eastAsia="Arial" w:hAnsi="Arial"/>
          <w:sz w:val="16"/>
          <w:szCs w:val="16"/>
          <w:color w:val="404040"/>
        </w:rPr>
        <w:t>Underlying supplement no. 6-III dated August 31, 2021:</w:t>
      </w:r>
    </w:p>
    <w:p>
      <w:pPr>
        <w:spacing w:after="0" w:line="2" w:lineRule="exact"/>
        <w:rPr>
          <w:sz w:val="24"/>
          <w:szCs w:val="24"/>
          <w:color w:val="auto"/>
        </w:rPr>
      </w:pPr>
    </w:p>
    <w:p>
      <w:pPr>
        <w:jc w:val="center"/>
        <w:ind w:right="-319"/>
        <w:spacing w:after="0"/>
        <w:rPr>
          <w:rFonts w:ascii="Arial" w:cs="Arial" w:eastAsia="Arial" w:hAnsi="Arial"/>
          <w:sz w:val="16"/>
          <w:szCs w:val="16"/>
          <w:color w:val="0000EE"/>
        </w:rPr>
      </w:pPr>
      <w:hyperlink r:id="rId11">
        <w:r>
          <w:rPr>
            <w:rFonts w:ascii="Arial" w:cs="Arial" w:eastAsia="Arial" w:hAnsi="Arial"/>
            <w:sz w:val="16"/>
            <w:szCs w:val="16"/>
            <w:color w:val="0000EE"/>
          </w:rPr>
          <w:t>http://www.sec.gov/Archives/edgar/data/0001665650/000095010321013320/crt_dp157266-424b2.pdf</w:t>
        </w:r>
      </w:hyperlink>
    </w:p>
    <w:p>
      <w:pPr>
        <w:spacing w:after="0" w:line="68" w:lineRule="exact"/>
        <w:rPr>
          <w:sz w:val="24"/>
          <w:szCs w:val="24"/>
          <w:color w:val="auto"/>
        </w:rPr>
      </w:pPr>
    </w:p>
    <w:p>
      <w:pPr>
        <w:jc w:val="center"/>
        <w:ind w:right="-319"/>
        <w:spacing w:after="0"/>
        <w:rPr>
          <w:sz w:val="20"/>
          <w:szCs w:val="20"/>
          <w:color w:val="auto"/>
        </w:rPr>
      </w:pPr>
      <w:r>
        <w:rPr>
          <w:rFonts w:ascii="Arial" w:cs="Arial" w:eastAsia="Arial" w:hAnsi="Arial"/>
          <w:sz w:val="16"/>
          <w:szCs w:val="16"/>
          <w:color w:val="auto"/>
        </w:rPr>
        <w:t>Prospectus supplement and prospectus, each dated April 8, 2020:</w:t>
      </w:r>
    </w:p>
    <w:p>
      <w:pPr>
        <w:spacing w:after="0" w:line="2" w:lineRule="exact"/>
        <w:rPr>
          <w:sz w:val="24"/>
          <w:szCs w:val="24"/>
          <w:color w:val="auto"/>
        </w:rPr>
      </w:pPr>
    </w:p>
    <w:p>
      <w:pPr>
        <w:ind w:left="2440"/>
        <w:spacing w:after="0"/>
        <w:rPr>
          <w:rFonts w:ascii="Arial" w:cs="Arial" w:eastAsia="Arial" w:hAnsi="Arial"/>
          <w:sz w:val="16"/>
          <w:szCs w:val="16"/>
          <w:color w:val="0000EE"/>
        </w:rPr>
      </w:pPr>
      <w:hyperlink r:id="rId12">
        <w:r>
          <w:rPr>
            <w:rFonts w:ascii="Arial" w:cs="Arial" w:eastAsia="Arial" w:hAnsi="Arial"/>
            <w:sz w:val="16"/>
            <w:szCs w:val="16"/>
            <w:color w:val="0000EE"/>
          </w:rPr>
          <w:t>http://www.sec.gov/Archives/edgar/data/19617/000095010320007214/crt_dp124361-424b2.pdf</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240"/>
        <w:spacing w:after="0" w:line="250" w:lineRule="auto"/>
        <w:rPr>
          <w:sz w:val="20"/>
          <w:szCs w:val="20"/>
          <w:color w:val="auto"/>
        </w:rPr>
      </w:pPr>
      <w:r>
        <w:rPr>
          <w:rFonts w:ascii="Arial" w:cs="Arial" w:eastAsia="Arial" w:hAnsi="Arial"/>
          <w:sz w:val="14"/>
          <w:szCs w:val="14"/>
          <w:color w:val="6D6E71"/>
        </w:rPr>
        <w:t>Amendment no. 1 to pricing supplement dated October 31, 2022 to product supplement no. 4-II dated November 4, 2020, underlying supplement no. 6-III dated August 31, 2021 and the prospectus and prospectus supplement, each dated April 8, 2020</w:t>
      </w:r>
    </w:p>
    <w:sectPr>
      <w:pgSz w:w="11900" w:h="16838" w:orient="portrait"/>
      <w:cols w:equalWidth="0" w:num="1">
        <w:col w:w="11260"/>
      </w:cols>
      <w:pgMar w:left="320" w:top="51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hyperlink" Target="http://www.sec.gov/Archives/edgar/data/1665650/000121390022068598/s145192_424b2.htm" TargetMode="External"/><Relationship Id="rId10" Type="http://schemas.openxmlformats.org/officeDocument/2006/relationships/hyperlink" Target="http://www.sec.gov/Archives/edgar/data/19617/000095010320021467/crt_dp139322-424b2.pdf" TargetMode="External"/><Relationship Id="rId11" Type="http://schemas.openxmlformats.org/officeDocument/2006/relationships/hyperlink" Target="http://www.sec.gov/Archives/edgar/data/0001665650/000095010321013320/crt_dp157266-424b2.pdf" TargetMode="External"/><Relationship Id="rId12" Type="http://schemas.openxmlformats.org/officeDocument/2006/relationships/hyperlink" Target="http://www.sec.gov/Archives/edgar/data/19617/000095010320007214/crt_dp124361-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2022-11-22T05:28:47Z</dcterms:created>
  <dcterms:modified xsi:type="dcterms:W3CDTF">2022-11-22T05:28:47Z</dcterms:modified>
</cp:coreProperties>
</file>