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JPMorgan Chase &amp; Co.</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924" w:type="dxa"/>
        <w:tblCellMar>
          <w:top w:w="0" w:type="dxa"/>
          <w:left w:w="0" w:type="dxa"/>
          <w:bottom w:w="0" w:type="dxa"/>
          <w:right w:w="0" w:type="dxa"/>
        </w:tblCellMar>
      </w:tblPr>
      <w:tr>
        <w:trPr>
          <w:trHeight w:val="214"/>
        </w:trPr>
        <w:tc>
          <w:tcPr>
            <w:tcW w:w="3660" w:type="dxa"/>
            <w:vAlign w:val="bottom"/>
          </w:tcPr>
          <w:p>
            <w:pPr>
              <w:jc w:val="center"/>
              <w:ind w:right="16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40" w:type="dxa"/>
            <w:vAlign w:val="bottom"/>
          </w:tcPr>
          <w:p>
            <w:pPr>
              <w:jc w:val="center"/>
              <w:ind w:right="282"/>
              <w:spacing w:after="0"/>
              <w:rPr>
                <w:sz w:val="20"/>
                <w:szCs w:val="20"/>
                <w:color w:val="auto"/>
              </w:rPr>
            </w:pPr>
            <w:r>
              <w:rPr>
                <w:rFonts w:ascii="Times New Roman" w:cs="Times New Roman" w:eastAsia="Times New Roman" w:hAnsi="Times New Roman"/>
                <w:sz w:val="18"/>
                <w:szCs w:val="18"/>
                <w:b w:val="1"/>
                <w:bCs w:val="1"/>
                <w:color w:val="auto"/>
              </w:rPr>
              <w:t>1-5805</w:t>
            </w:r>
          </w:p>
        </w:tc>
        <w:tc>
          <w:tcPr>
            <w:tcW w:w="2780" w:type="dxa"/>
            <w:vAlign w:val="bottom"/>
          </w:tcPr>
          <w:p>
            <w:pPr>
              <w:jc w:val="center"/>
              <w:ind w:left="1601"/>
              <w:spacing w:after="0"/>
              <w:rPr>
                <w:sz w:val="20"/>
                <w:szCs w:val="20"/>
                <w:color w:val="auto"/>
              </w:rPr>
            </w:pPr>
            <w:r>
              <w:rPr>
                <w:rFonts w:ascii="Times New Roman" w:cs="Times New Roman" w:eastAsia="Times New Roman" w:hAnsi="Times New Roman"/>
                <w:sz w:val="18"/>
                <w:szCs w:val="18"/>
                <w:b w:val="1"/>
                <w:bCs w:val="1"/>
                <w:color w:val="auto"/>
                <w:w w:val="98"/>
              </w:rPr>
              <w:t>13-2624428</w:t>
            </w:r>
          </w:p>
        </w:tc>
      </w:tr>
      <w:tr>
        <w:trPr>
          <w:trHeight w:val="149"/>
        </w:trPr>
        <w:tc>
          <w:tcPr>
            <w:tcW w:w="3660" w:type="dxa"/>
            <w:vAlign w:val="bottom"/>
          </w:tcPr>
          <w:p>
            <w:pPr>
              <w:jc w:val="center"/>
              <w:ind w:right="16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440" w:type="dxa"/>
            <w:vAlign w:val="bottom"/>
          </w:tcPr>
          <w:p>
            <w:pPr>
              <w:jc w:val="center"/>
              <w:ind w:right="282"/>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80" w:type="dxa"/>
            <w:vAlign w:val="bottom"/>
          </w:tcPr>
          <w:p>
            <w:pPr>
              <w:jc w:val="center"/>
              <w:ind w:left="16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60" w:type="dxa"/>
            <w:vAlign w:val="bottom"/>
          </w:tcPr>
          <w:p>
            <w:pPr>
              <w:jc w:val="center"/>
              <w:ind w:right="16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440" w:type="dxa"/>
            <w:vAlign w:val="bottom"/>
          </w:tcPr>
          <w:p>
            <w:pPr>
              <w:jc w:val="center"/>
              <w:ind w:right="282"/>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80" w:type="dxa"/>
            <w:vAlign w:val="bottom"/>
          </w:tcPr>
          <w:p>
            <w:pPr>
              <w:jc w:val="center"/>
              <w:ind w:left="16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270 Park Avenue,</w:t>
            </w:r>
          </w:p>
        </w:tc>
        <w:tc>
          <w:tcPr>
            <w:tcW w:w="24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27"/>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440" w:type="dxa"/>
            <w:vAlign w:val="bottom"/>
          </w:tcPr>
          <w:p>
            <w:pPr>
              <w:spacing w:after="0"/>
              <w:rPr>
                <w:sz w:val="19"/>
                <w:szCs w:val="19"/>
                <w:color w:val="auto"/>
              </w:rPr>
            </w:pPr>
          </w:p>
        </w:tc>
        <w:tc>
          <w:tcPr>
            <w:tcW w:w="2780" w:type="dxa"/>
            <w:vAlign w:val="bottom"/>
          </w:tcPr>
          <w:p>
            <w:pPr>
              <w:jc w:val="right"/>
              <w:ind w:right="1161"/>
              <w:spacing w:after="0"/>
              <w:rPr>
                <w:sz w:val="20"/>
                <w:szCs w:val="20"/>
                <w:color w:val="auto"/>
              </w:rPr>
            </w:pPr>
            <w:r>
              <w:rPr>
                <w:rFonts w:ascii="Times New Roman" w:cs="Times New Roman" w:eastAsia="Times New Roman" w:hAnsi="Times New Roman"/>
                <w:sz w:val="18"/>
                <w:szCs w:val="18"/>
                <w:b w:val="1"/>
                <w:bCs w:val="1"/>
                <w:color w:val="auto"/>
              </w:rPr>
              <w:t>10017</w:t>
            </w:r>
          </w:p>
        </w:tc>
      </w:tr>
      <w:tr>
        <w:trPr>
          <w:trHeight w:val="190"/>
        </w:trPr>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78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270-6000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left="4" w:right="12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60"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50" w:lineRule="exact"/>
        <w:rPr>
          <w:sz w:val="24"/>
          <w:szCs w:val="24"/>
          <w:color w:val="auto"/>
        </w:rPr>
      </w:pPr>
    </w:p>
    <w:tbl>
      <w:tblPr>
        <w:tblLayout w:type="fixed"/>
        <w:tblInd w:w="4" w:type="dxa"/>
        <w:tblCellMar>
          <w:top w:w="0" w:type="dxa"/>
          <w:left w:w="0" w:type="dxa"/>
          <w:bottom w:w="0" w:type="dxa"/>
          <w:right w:w="0" w:type="dxa"/>
        </w:tblCellMar>
      </w:tblPr>
      <w:tr>
        <w:trPr>
          <w:trHeight w:val="173"/>
        </w:trPr>
        <w:tc>
          <w:tcPr>
            <w:tcW w:w="6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20" w:type="dxa"/>
            <w:vAlign w:val="bottom"/>
          </w:tcPr>
          <w:p>
            <w:pPr>
              <w:spacing w:after="0"/>
              <w:rPr>
                <w:sz w:val="15"/>
                <w:szCs w:val="15"/>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91"/>
        </w:trPr>
        <w:tc>
          <w:tcPr>
            <w:tcW w:w="63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16"/>
                <w:szCs w:val="16"/>
                <w:color w:val="auto"/>
              </w:rPr>
            </w:pPr>
          </w:p>
        </w:tc>
        <w:tc>
          <w:tcPr>
            <w:tcW w:w="13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JPM</w:t>
            </w:r>
          </w:p>
        </w:tc>
        <w:tc>
          <w:tcPr>
            <w:tcW w:w="120" w:type="dxa"/>
            <w:vAlign w:val="bottom"/>
          </w:tcPr>
          <w:p>
            <w:pPr>
              <w:spacing w:after="0"/>
              <w:rPr>
                <w:sz w:val="16"/>
                <w:szCs w:val="16"/>
                <w:color w:val="auto"/>
              </w:rPr>
            </w:pPr>
          </w:p>
        </w:tc>
        <w:tc>
          <w:tcPr>
            <w:tcW w:w="30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The New York Stock Exchange</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Depositary Shares, each representing a one-four hundredth interest in a share of 5.75%</w:t>
            </w: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JPM PR D</w:t>
            </w:r>
          </w:p>
        </w:tc>
        <w:tc>
          <w:tcPr>
            <w:tcW w:w="1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The New York Stock Exchange</w:t>
            </w:r>
          </w:p>
        </w:tc>
      </w:tr>
      <w:tr>
        <w:trPr>
          <w:trHeight w:val="216"/>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Non-Cumulative Preferred Stock, Series DD</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Depositary Shares, each representing a one-four hundredth interest in a share of 6.00%</w:t>
            </w: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JPM PR C</w:t>
            </w:r>
          </w:p>
        </w:tc>
        <w:tc>
          <w:tcPr>
            <w:tcW w:w="1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The New York Stock Exchange</w:t>
            </w:r>
          </w:p>
        </w:tc>
      </w:tr>
      <w:tr>
        <w:trPr>
          <w:trHeight w:val="216"/>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Non-Cumulative Preferred Stock, Series EE</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Depositary Shares, each representing a one-four hundredth interest in a share of 4.75%</w:t>
            </w: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JPM PR J</w:t>
            </w:r>
          </w:p>
        </w:tc>
        <w:tc>
          <w:tcPr>
            <w:tcW w:w="1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The New York Stock Exchange</w:t>
            </w:r>
          </w:p>
        </w:tc>
      </w:tr>
      <w:tr>
        <w:trPr>
          <w:trHeight w:val="216"/>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Non-Cumulative Preferred Stock, Series GG</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Depositary Shares, each representing a one-four hundredth interest in a share of 4.55%</w:t>
            </w: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JPM PR K</w:t>
            </w:r>
          </w:p>
        </w:tc>
        <w:tc>
          <w:tcPr>
            <w:tcW w:w="1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The New York Stock Exchange</w:t>
            </w:r>
          </w:p>
        </w:tc>
      </w:tr>
      <w:tr>
        <w:trPr>
          <w:trHeight w:val="216"/>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Non-Cumulative Preferred Stock, Series JJ</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Depositary Shares, each representing a one-four hundredth interest in a share of 4.625%</w:t>
            </w: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JPM PR L</w:t>
            </w:r>
          </w:p>
        </w:tc>
        <w:tc>
          <w:tcPr>
            <w:tcW w:w="1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The New York Stock Exchange</w:t>
            </w:r>
          </w:p>
        </w:tc>
      </w:tr>
      <w:tr>
        <w:trPr>
          <w:trHeight w:val="216"/>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Non-Cumulative Preferred Stock, Series LL</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Depositary Shares, each representing a one-four hundredth interest in a share of 4.20%</w:t>
            </w: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JPM PR M</w:t>
            </w:r>
          </w:p>
        </w:tc>
        <w:tc>
          <w:tcPr>
            <w:tcW w:w="1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The New York Stock Exchange</w:t>
            </w:r>
          </w:p>
        </w:tc>
      </w:tr>
      <w:tr>
        <w:trPr>
          <w:trHeight w:val="216"/>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Non-Cumulative Preferred Stock, Series MM</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Guarantee of Callable Fixed Rate Notes due June 10, 2032 of JPMorgan Chase</w:t>
            </w: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JPM/32</w:t>
            </w:r>
          </w:p>
        </w:tc>
        <w:tc>
          <w:tcPr>
            <w:tcW w:w="1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The New York Stock Exchange</w:t>
            </w:r>
          </w:p>
        </w:tc>
      </w:tr>
      <w:tr>
        <w:trPr>
          <w:trHeight w:val="216"/>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Company LLC</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Guarantee of Alerian MLP Index ETNs due January 28, 2044 of JPMorgan Chase</w:t>
            </w: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AMJB</w:t>
            </w:r>
          </w:p>
        </w:tc>
        <w:tc>
          <w:tcPr>
            <w:tcW w:w="1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NYSE Arca, Inc.</w:t>
            </w:r>
          </w:p>
        </w:tc>
      </w:tr>
      <w:tr>
        <w:trPr>
          <w:trHeight w:val="216"/>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Company LLC</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Guarantee of Inverse VIX Short-Term Futures ETNs due March 22, 2045 of JPMorgan</w:t>
            </w: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VYLD</w:t>
            </w:r>
          </w:p>
        </w:tc>
        <w:tc>
          <w:tcPr>
            <w:tcW w:w="1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NYSE Arca, Inc.</w:t>
            </w:r>
          </w:p>
        </w:tc>
      </w:tr>
      <w:tr>
        <w:trPr>
          <w:trHeight w:val="234"/>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Chase Financial Company LLC</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tcPr>
          <w:p>
            <w:pPr>
              <w:spacing w:after="0"/>
              <w:rPr>
                <w:sz w:val="20"/>
                <w:szCs w:val="20"/>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ectPr>
          <w:pgSz w:w="11900" w:h="16838" w:orient="portrait"/>
          <w:cols w:equalWidth="0" w:num="1">
            <w:col w:w="11024"/>
          </w:cols>
          <w:pgMar w:left="436" w:top="376" w:right="439" w:bottom="96"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20"/>
          </w:cols>
          <w:pgMar w:left="440" w:top="121" w:right="739" w:bottom="1440" w:gutter="0" w:footer="0" w:header="0"/>
        </w:sectPr>
      </w:pPr>
    </w:p>
    <w:bookmarkStart w:id="2" w:name="page3"/>
    <w:bookmarkEnd w:id="2"/>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On January 22, 2026, JPMorgan Chase &amp; Co. closed public offerings of (i) $400,000,000 aggregate principal amount of Floating Rate Notes due 2032 (the “Floating Rate Notes”), (ii) $2,600,000,000 aggregate principal amount of Fixed-to-Floating Rate Notes due 2032 (the “2032 Fixed-to-Floating Rate Notes”) and (iii) $3,000,000,000 aggregate principal amount of Fixed-to-Floating Rate Notes due 2037 (together with the Floating Rate Notes and the 2032 Fixed-to-Floating Rate Notes, the “Notes”).</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offerings of the Notes were registered under the Securities Act of 1933, as amended, pursuant to a registration statement on Form S-3 (File</w:t>
      </w:r>
    </w:p>
    <w:p>
      <w:pPr>
        <w:spacing w:after="0" w:line="27" w:lineRule="exact"/>
        <w:rPr>
          <w:sz w:val="20"/>
          <w:szCs w:val="20"/>
          <w:color w:val="auto"/>
        </w:rPr>
      </w:pPr>
    </w:p>
    <w:p>
      <w:pPr>
        <w:ind w:left="4" w:right="220"/>
        <w:spacing w:after="0" w:line="260" w:lineRule="auto"/>
        <w:rPr>
          <w:sz w:val="20"/>
          <w:szCs w:val="20"/>
          <w:color w:val="auto"/>
        </w:rPr>
      </w:pPr>
      <w:r>
        <w:rPr>
          <w:rFonts w:ascii="Times New Roman" w:cs="Times New Roman" w:eastAsia="Times New Roman" w:hAnsi="Times New Roman"/>
          <w:sz w:val="18"/>
          <w:szCs w:val="18"/>
          <w:color w:val="auto"/>
        </w:rPr>
        <w:t>No. 333-285537), as amended. In connection with these offerings, the legal opinion as to the legality of the Notes is being filed as Exhibit 5.1 to this report.</w:t>
      </w:r>
    </w:p>
    <w:p>
      <w:pPr>
        <w:spacing w:after="0" w:line="32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ind w:left="4"/>
        <w:spacing w:after="0"/>
        <w:tabs>
          <w:tab w:leader="none" w:pos="644"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0000EE"/>
        </w:rPr>
        <w:t>Opinion of Simpson Thacher &amp; Bartlett LLP as to the legality of the Notes.</w:t>
      </w:r>
    </w:p>
    <w:p>
      <w:pPr>
        <w:spacing w:after="0" w:line="117" w:lineRule="exact"/>
        <w:rPr>
          <w:sz w:val="20"/>
          <w:szCs w:val="20"/>
          <w:color w:val="auto"/>
        </w:rPr>
      </w:pPr>
    </w:p>
    <w:p>
      <w:pPr>
        <w:ind w:left="4"/>
        <w:spacing w:after="0"/>
        <w:tabs>
          <w:tab w:leader="none" w:pos="644"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Simpson Thacher &amp; Bartlett LLP (included as part of Exhibit 5.1).</w:t>
      </w:r>
    </w:p>
    <w:p>
      <w:pPr>
        <w:spacing w:after="0" w:line="117" w:lineRule="exact"/>
        <w:rPr>
          <w:sz w:val="20"/>
          <w:szCs w:val="20"/>
          <w:color w:val="auto"/>
        </w:rPr>
      </w:pPr>
    </w:p>
    <w:p>
      <w:pPr>
        <w:ind w:left="664" w:hanging="664"/>
        <w:spacing w:after="0"/>
        <w:tabs>
          <w:tab w:leader="none" w:pos="6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406 of Regulation S-T, the cover page is formatted in Inline XBRL (Inline eXtensible Business Reporting Language).</w:t>
      </w:r>
    </w:p>
    <w:p>
      <w:pPr>
        <w:spacing w:after="0" w:line="117" w:lineRule="exact"/>
        <w:rPr>
          <w:rFonts w:ascii="Times New Roman" w:cs="Times New Roman" w:eastAsia="Times New Roman" w:hAnsi="Times New Roman"/>
          <w:sz w:val="18"/>
          <w:szCs w:val="18"/>
          <w:color w:val="auto"/>
        </w:rPr>
      </w:pPr>
    </w:p>
    <w:p>
      <w:pPr>
        <w:ind w:left="664" w:hanging="664"/>
        <w:spacing w:after="0"/>
        <w:tabs>
          <w:tab w:leader="none" w:pos="6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and included in Exhibit 101).</w:t>
      </w:r>
    </w:p>
    <w:p>
      <w:pPr>
        <w:sectPr>
          <w:pgSz w:w="11900" w:h="16838" w:orient="portrait"/>
          <w:cols w:equalWidth="0" w:num="1">
            <w:col w:w="10904"/>
          </w:cols>
          <w:pgMar w:left="436" w:top="293" w:right="559" w:bottom="1440" w:gutter="0" w:footer="0" w:header="0"/>
        </w:sectPr>
      </w:pPr>
    </w:p>
    <w:bookmarkStart w:id="3" w:name="page4"/>
    <w:bookmarkEnd w:id="3"/>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JPMORGAN CHASE &amp; CO.</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Jordan A. Costa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Jordan A. Costa</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22, 2026</w:t>
      </w:r>
    </w:p>
    <w:p>
      <w:pPr>
        <w:sectPr>
          <w:pgSz w:w="11900" w:h="16838" w:orient="portrait"/>
          <w:cols w:equalWidth="0" w:num="1">
            <w:col w:w="10320"/>
          </w:cols>
          <w:pgMar w:left="440" w:top="293" w:right="11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Simpson Thacher &amp; Bartlett LLP</w:t>
      </w: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425 </w:t>
      </w:r>
      <w:r>
        <w:rPr>
          <w:rFonts w:ascii="Times New Roman" w:cs="Times New Roman" w:eastAsia="Times New Roman" w:hAnsi="Times New Roman"/>
          <w:sz w:val="14"/>
          <w:szCs w:val="14"/>
          <w:color w:val="auto"/>
        </w:rPr>
        <w:t>LEXINGTON AVENUE</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NEW YORK</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 xml:space="preserve"> NY </w:t>
      </w:r>
      <w:r>
        <w:rPr>
          <w:rFonts w:ascii="Times New Roman" w:cs="Times New Roman" w:eastAsia="Times New Roman" w:hAnsi="Times New Roman"/>
          <w:sz w:val="17"/>
          <w:szCs w:val="17"/>
          <w:color w:val="auto"/>
        </w:rPr>
        <w:t>10017-3954</w:t>
      </w:r>
    </w:p>
    <w:p>
      <w:pPr>
        <w:spacing w:after="0" w:line="12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_______________</w:t>
      </w:r>
    </w:p>
    <w:p>
      <w:pPr>
        <w:spacing w:after="0" w:line="13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color w:val="auto"/>
        </w:rPr>
        <w:t>TELEPHONE</w:t>
      </w:r>
      <w:r>
        <w:rPr>
          <w:rFonts w:ascii="Times New Roman" w:cs="Times New Roman" w:eastAsia="Times New Roman" w:hAnsi="Times New Roman"/>
          <w:sz w:val="17"/>
          <w:szCs w:val="17"/>
          <w:color w:val="auto"/>
        </w:rPr>
        <w:t>: +1-212-455-2000</w:t>
      </w:r>
    </w:p>
    <w:p>
      <w:pPr>
        <w:spacing w:after="0" w:line="3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5"/>
          <w:szCs w:val="15"/>
          <w:color w:val="auto"/>
        </w:rPr>
        <w:t>FACSIMILE</w:t>
      </w:r>
      <w:r>
        <w:rPr>
          <w:rFonts w:ascii="Times New Roman" w:cs="Times New Roman" w:eastAsia="Times New Roman" w:hAnsi="Times New Roman"/>
          <w:sz w:val="17"/>
          <w:szCs w:val="17"/>
          <w:color w:val="auto"/>
        </w:rPr>
        <w:t>: +1-212-455-2502</w:t>
      </w:r>
    </w:p>
    <w:p>
      <w:pPr>
        <w:sectPr>
          <w:pgSz w:w="11900" w:h="16838" w:orient="portrait"/>
          <w:cols w:equalWidth="0" w:num="1">
            <w:col w:w="11020"/>
          </w:cols>
          <w:pgMar w:left="440" w:top="117" w:right="439" w:bottom="144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 Dial Number</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117" w:lineRule="exact"/>
        <w:rPr>
          <w:sz w:val="20"/>
          <w:szCs w:val="20"/>
          <w:color w:val="auto"/>
        </w:rPr>
      </w:pPr>
    </w:p>
    <w:p>
      <w:pPr>
        <w:sectPr>
          <w:pgSz w:w="11900" w:h="16838" w:orient="portrait"/>
          <w:cols w:equalWidth="0" w:num="2">
            <w:col w:w="9160" w:space="720"/>
            <w:col w:w="1140"/>
          </w:cols>
          <w:pgMar w:left="440" w:top="117" w:right="439" w:bottom="1440" w:gutter="0" w:footer="0" w:header="0"/>
          <w:type w:val="continuous"/>
        </w:sectPr>
      </w:pPr>
    </w:p>
    <w:p>
      <w:pPr>
        <w:ind w:left="9780"/>
        <w:spacing w:after="0"/>
        <w:rPr>
          <w:sz w:val="20"/>
          <w:szCs w:val="20"/>
          <w:color w:val="auto"/>
        </w:rPr>
      </w:pPr>
      <w:r>
        <w:rPr>
          <w:rFonts w:ascii="Times New Roman" w:cs="Times New Roman" w:eastAsia="Times New Roman" w:hAnsi="Times New Roman"/>
          <w:sz w:val="18"/>
          <w:szCs w:val="18"/>
          <w:color w:val="auto"/>
        </w:rPr>
        <w:t>January 22,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JPMorgan Chase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270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10017</w:t>
      </w:r>
    </w:p>
    <w:p>
      <w:pPr>
        <w:sectPr>
          <w:pgSz w:w="11900" w:h="16838" w:orient="portrait"/>
          <w:cols w:equalWidth="0" w:num="1">
            <w:col w:w="11020"/>
          </w:cols>
          <w:pgMar w:left="440" w:top="117" w:right="439"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Addressee Stated Above:</w:t>
      </w:r>
    </w:p>
    <w:p>
      <w:pPr>
        <w:spacing w:after="0" w:line="117"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We have acted as counsel to JPMorgan Chase &amp; Co., a Delaware corporation (the “Company”), in connection with the Registration Statement on Form S-3 (File No. 333-285537) (as amended, the “Registration Statement”) filed by the Company with the Securities and Exchange Commission (the “Commission”) under the Securities Act of 1933, as amended, and the issuance by the Company of $400,000,000 aggregate principal amount of Floating Rate Notes due 2032 (the “Floating Rate Notes”), $2,600,000,000 aggregate principal amount of Fixed-to-Floating Rate Notes due 2032 (the “2032 Fixed-to-Floating Rate Notes”) and $3,000,000,000 aggregate principal amount of Fixed-to-Floating Rate Notes due 2037 (together with the Floating Rate Notes and the 2032 Fixed-to-Floating Rate Notes, the “Notes”), pursuant to the Underwriting Agreement, dated January 14, 2026 (the “Underwriting Agreement”), between the Company and the several underwriters named therein. The Notes are being issued under the Indenture, dated as of October 21, 2010 (as amended by the First Supplemental Indenture, dated as of January 13, 2017, between the Company and Deutsche Bank Trust Company Americas (the “Trustee”), the “Indenture”), between the Company and the Trustee.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BEIJING   BOSTON   BRUSSELS   HONG KONG   HOUSTON   LONDON   LOS ANGELES   LUXEMBOURG   PALO ALTO   SAN FRANCISCO   SÃO PAULO   TOKYO   WASHINGTON, D.C.</w:t>
      </w:r>
    </w:p>
    <w:p>
      <w:pPr>
        <w:sectPr>
          <w:pgSz w:w="11900" w:h="16838" w:orient="portrait"/>
          <w:cols w:equalWidth="0" w:num="1">
            <w:col w:w="11020"/>
          </w:cols>
          <w:pgMar w:left="440" w:top="117" w:right="439" w:bottom="1440" w:gutter="0" w:footer="0" w:header="0"/>
          <w:type w:val="continuous"/>
        </w:sectPr>
      </w:pPr>
    </w:p>
    <w:bookmarkStart w:id="5" w:name="page6"/>
    <w:bookmarkEnd w:id="5"/>
    <w:p>
      <w:pPr>
        <w:spacing w:after="0"/>
        <w:tabs>
          <w:tab w:leader="none" w:pos="5580" w:val="left"/>
          <w:tab w:leader="none" w:pos="97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JPMorgan Chase &amp; Co.</w:t>
      </w:r>
      <w:r>
        <w:rPr>
          <w:sz w:val="20"/>
          <w:szCs w:val="20"/>
          <w:color w:val="auto"/>
        </w:rPr>
        <w:tab/>
      </w:r>
      <w:r>
        <w:rPr>
          <w:rFonts w:ascii="Times New Roman" w:cs="Times New Roman" w:eastAsia="Times New Roman" w:hAnsi="Times New Roman"/>
          <w:sz w:val="18"/>
          <w:szCs w:val="18"/>
          <w:color w:val="auto"/>
        </w:rPr>
        <w:t>- 2 -</w:t>
      </w:r>
      <w:r>
        <w:rPr>
          <w:sz w:val="20"/>
          <w:szCs w:val="20"/>
          <w:color w:val="auto"/>
        </w:rPr>
        <w:tab/>
      </w:r>
      <w:r>
        <w:rPr>
          <w:rFonts w:ascii="Times New Roman" w:cs="Times New Roman" w:eastAsia="Times New Roman" w:hAnsi="Times New Roman"/>
          <w:sz w:val="18"/>
          <w:szCs w:val="18"/>
          <w:color w:val="auto"/>
        </w:rPr>
        <w:t>January 22, 2026</w:t>
      </w:r>
    </w:p>
    <w:p>
      <w:pPr>
        <w:spacing w:after="0" w:line="158"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We have examined the Registration Statement; the Indenture; duplicates of the global notes representing the Notes; and the Underwriting Agreement. In addition, we have examined, and have relied as to matters of fact upon, originals, or duplicates or certified or conformed copies, of such records, agreements, documents and other instruments and such certificates or comparable documents of public officials and of officers and representatives of the Company and have made such other investigations as we have deemed relevant and necessary in connection with the opinions hereinafter set forth.</w:t>
      </w:r>
    </w:p>
    <w:p>
      <w:pPr>
        <w:spacing w:after="0" w:line="183" w:lineRule="exact"/>
        <w:rPr>
          <w:sz w:val="20"/>
          <w:szCs w:val="20"/>
          <w:color w:val="auto"/>
        </w:rPr>
      </w:pPr>
    </w:p>
    <w:p>
      <w:pPr>
        <w:jc w:val="both"/>
        <w:ind w:right="80" w:firstLine="440"/>
        <w:spacing w:after="0" w:line="261" w:lineRule="auto"/>
        <w:rPr>
          <w:sz w:val="20"/>
          <w:szCs w:val="20"/>
          <w:color w:val="auto"/>
        </w:rPr>
      </w:pPr>
      <w:r>
        <w:rPr>
          <w:rFonts w:ascii="Times New Roman" w:cs="Times New Roman" w:eastAsia="Times New Roman" w:hAnsi="Times New Roman"/>
          <w:sz w:val="18"/>
          <w:szCs w:val="18"/>
          <w:color w:val="auto"/>
        </w:rPr>
        <w:t>In rendering the opinion set forth below, we have assumed the genuineness of all signatures, including electronic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 We also have assumed that the Indenture is the valid and legally binding obligation of the Trustee.</w:t>
      </w:r>
    </w:p>
    <w:p>
      <w:pPr>
        <w:spacing w:after="0" w:line="180"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Based upon the foregoing, and subject to the qualifications, assumptions and limitations stated herein, we are of the opinion that the Notes have been duly authorized, executed and issued by the Company and, assuming due authentication thereof by the Trustee or The Bank of New York Mellon, as authenticating agent under the Indenture on behalf of the Trustee, upon payment and delivery in accordance with the provisions of the Underwriting Agreement, the Notes will constitute valid and legally binding obligations of the Company enforceable against the Company in accordance with their terms.</w:t>
      </w:r>
    </w:p>
    <w:p>
      <w:pPr>
        <w:spacing w:after="0" w:line="183"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Our opinion set forth above is subject to (i) the effects of bankruptcy, insolvency, fraudulent conveyance, reorganization, moratorium and other similar laws relating to or affecting</w:t>
      </w:r>
    </w:p>
    <w:p>
      <w:pPr>
        <w:sectPr>
          <w:pgSz w:w="11900" w:h="16838" w:orient="portrait"/>
          <w:cols w:equalWidth="0" w:num="1">
            <w:col w:w="11020"/>
          </w:cols>
          <w:pgMar w:left="440" w:top="270" w:right="439" w:bottom="1440" w:gutter="0" w:footer="0" w:header="0"/>
        </w:sectPr>
      </w:pPr>
    </w:p>
    <w:bookmarkStart w:id="6" w:name="page7"/>
    <w:bookmarkEnd w:id="6"/>
    <w:p>
      <w:pPr>
        <w:spacing w:after="0"/>
        <w:tabs>
          <w:tab w:leader="none" w:pos="5580" w:val="left"/>
          <w:tab w:leader="none" w:pos="97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JPMorgan Chase &amp; Co.</w:t>
      </w:r>
      <w:r>
        <w:rPr>
          <w:sz w:val="20"/>
          <w:szCs w:val="20"/>
          <w:color w:val="auto"/>
        </w:rPr>
        <w:tab/>
      </w:r>
      <w:r>
        <w:rPr>
          <w:rFonts w:ascii="Times New Roman" w:cs="Times New Roman" w:eastAsia="Times New Roman" w:hAnsi="Times New Roman"/>
          <w:sz w:val="18"/>
          <w:szCs w:val="18"/>
          <w:color w:val="auto"/>
        </w:rPr>
        <w:t>- 3 -</w:t>
      </w:r>
      <w:r>
        <w:rPr>
          <w:sz w:val="20"/>
          <w:szCs w:val="20"/>
          <w:color w:val="auto"/>
        </w:rPr>
        <w:tab/>
      </w:r>
      <w:r>
        <w:rPr>
          <w:rFonts w:ascii="Times New Roman" w:cs="Times New Roman" w:eastAsia="Times New Roman" w:hAnsi="Times New Roman"/>
          <w:sz w:val="18"/>
          <w:szCs w:val="18"/>
          <w:color w:val="auto"/>
        </w:rPr>
        <w:t>January 22, 2026</w:t>
      </w:r>
    </w:p>
    <w:p>
      <w:pPr>
        <w:spacing w:after="0" w:line="15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creditors’ rights generally, (ii) general equitable principles (whether considered in a proceeding in equity or at law) and (iii) an implied covenant of good faith and fair dealing.</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do not express any opinion herein concerning any law other than the law of the State of New York and the Delaware General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w:t>
      </w:r>
    </w:p>
    <w:p>
      <w:pPr>
        <w:spacing w:after="0" w:line="207"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We hereby consent to the filing of this opinion letter as Exhibit 5.1 to the Company’s Current Report on Form 8-K dated January 22, 2026 and to the use of our name under the caption “Legal Opinions” in the prospectus relating to the Notes included in the Registration Statement.</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Simpson Thacher &amp; Bartlett LLP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SIMPSON THACHER &amp; BARTLETT LLP</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1"/>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2026-01-22T15:20:50Z</dcterms:created>
  <dcterms:modified xsi:type="dcterms:W3CDTF">2026-01-22T15:20:50Z</dcterms:modified>
</cp:coreProperties>
</file>