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022-01_fwp.htm"/>
      <w:bookmarkStart w:id="1" w:name="ksea0304022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31,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3-Year SX5E/TPX/UKX/SMI/AS51 Basket Trigger PLUS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4720" w:type="dxa"/>
                              <w:jc w:val="left"/>
                              <w:tblInd w:w="0" w:type="dxa"/>
                              <w:tblLayout w:type="fixed"/>
                              <w:tblCellMar>
                                <w:top w:w="0" w:type="dxa"/>
                                <w:left w:w="0" w:type="dxa"/>
                                <w:bottom w:w="0" w:type="dxa"/>
                                <w:right w:w="0" w:type="dxa"/>
                              </w:tblCellMar>
                            </w:tblPr>
                            <w:tblGrid>
                              <w:gridCol w:w="725"/>
                              <w:gridCol w:w="3995"/>
                            </w:tblGrid>
                            <w:tr>
                              <w:trPr/>
                              <w:tc>
                                <w:tcPr>
                                  <w:tcW w:w="4720"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72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Issuer: </w:t>
                                  </w:r>
                                </w:p>
                              </w:tc>
                              <w:tc>
                                <w:tcPr>
                                  <w:tcW w:w="39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Guarantor:</w:t>
                                  </w:r>
                                </w:p>
                              </w:tc>
                              <w:tc>
                                <w:tcPr>
                                  <w:tcW w:w="399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&amp; Co.</w:t>
                                  </w:r>
                                </w:p>
                              </w:tc>
                            </w:tr>
                          </w:tbl>
                          <w:tbl>
                            <w:tblPr>
                              <w:tblW w:w="4430" w:type="dxa"/>
                              <w:jc w:val="left"/>
                              <w:tblInd w:w="0" w:type="dxa"/>
                              <w:tblLayout w:type="fixed"/>
                              <w:tblCellMar>
                                <w:top w:w="0" w:type="dxa"/>
                                <w:left w:w="0" w:type="dxa"/>
                                <w:bottom w:w="0" w:type="dxa"/>
                                <w:right w:w="0" w:type="dxa"/>
                              </w:tblCellMar>
                            </w:tblPr>
                            <w:tblGrid>
                              <w:gridCol w:w="515"/>
                              <w:gridCol w:w="2555"/>
                              <w:gridCol w:w="710"/>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71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w:t>
                                    <w:br/>
                                    <w:t xml:space="preserve">ticker </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710"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710"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710"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710"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710"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1519"/>
                              <w:gridCol w:w="8686"/>
                            </w:tblGrid>
                            <w:tr>
                              <w:trPr/>
                              <w:tc>
                                <w:tcPr>
                                  <w:tcW w:w="1519" w:type="dxa"/>
                                  <w:tcBorders/>
                                  <w:vAlign w:val="center"/>
                                </w:tcPr>
                                <w:p>
                                  <w:pPr>
                                    <w:pStyle w:val="TableContents"/>
                                    <w:bidi w:val="0"/>
                                    <w:spacing w:before="0" w:after="283"/>
                                    <w:jc w:val="left"/>
                                    <w:rPr/>
                                  </w:pPr>
                                  <w:r>
                                    <w:rPr/>
                                    <w:t> </w:t>
                                  </w:r>
                                </w:p>
                              </w:tc>
                              <w:tc>
                                <w:tcPr>
                                  <w:tcW w:w="8686"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Trigger PLUS and your payment at maturity will depend significantly on the performance of the SX5E Index.</w:t>
                                  </w:r>
                                </w:p>
                              </w:tc>
                            </w:tr>
                            <w:tr>
                              <w:trPr/>
                              <w:tc>
                                <w:tcPr>
                                  <w:tcW w:w="1519"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686"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leveraged upside payment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 xml:space="preserve">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w:t>
                                  </w:r>
                                  <w:r>
                                    <w:rPr>
                                      <w:rFonts w:ascii="Arial;Helvetica;Sans-Serif" w:hAnsi="Arial;Helvetica;Sans-Serif"/>
                                      <w:b w:val="false"/>
                                      <w:i w:val="false"/>
                                      <w:caps w:val="false"/>
                                      <w:smallCaps w:val="false"/>
                                      <w:sz w:val="14"/>
                                    </w:rPr>
                                    <w:t>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Trigger PLUS and will represent a loss of more than 20%, and possibly all, of your investment.</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Leveraged upside payment:</w:t>
                                  </w:r>
                                </w:p>
                              </w:tc>
                              <w:tc>
                                <w:tcPr>
                                  <w:tcW w:w="8686" w:type="dxa"/>
                                  <w:tcBorders/>
                                  <w:vAlign w:val="center"/>
                                </w:tcPr>
                                <w:p>
                                  <w:pPr>
                                    <w:pStyle w:val="TableContents"/>
                                    <w:bidi w:val="0"/>
                                    <w:spacing w:before="0" w:after="283"/>
                                    <w:jc w:val="left"/>
                                    <w:rPr>
                                      <w:sz w:val="14"/>
                                    </w:rPr>
                                  </w:pPr>
                                  <w:r>
                                    <w:rPr>
                                      <w:sz w:val="14"/>
                                    </w:rPr>
                                    <w:t>$1,000 × leverage factor × basket percent increase</w:t>
                                  </w:r>
                                </w:p>
                              </w:tc>
                            </w:tr>
                            <w:tr>
                              <w:trPr/>
                              <w:tc>
                                <w:tcPr>
                                  <w:tcW w:w="1519"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 increase:</w:t>
                                  </w:r>
                                </w:p>
                              </w:tc>
                              <w:tc>
                                <w:tcPr>
                                  <w:tcW w:w="8686"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686" w:type="dxa"/>
                                  <w:tcBorders/>
                                  <w:vAlign w:val="center"/>
                                </w:tcPr>
                                <w:p>
                                  <w:pPr>
                                    <w:pStyle w:val="TableContents"/>
                                    <w:bidi w:val="0"/>
                                    <w:spacing w:before="0" w:after="283"/>
                                    <w:jc w:val="left"/>
                                    <w:rPr>
                                      <w:sz w:val="14"/>
                                    </w:rPr>
                                  </w:pPr>
                                  <w:r>
                                    <w:rPr>
                                      <w:sz w:val="14"/>
                                    </w:rPr>
                                    <w:t>Set equal to 100 on the pricing date</w:t>
                                  </w:r>
                                </w:p>
                              </w:tc>
                            </w:tr>
                            <w:tr>
                              <w:trPr/>
                              <w:tc>
                                <w:tcPr>
                                  <w:tcW w:w="1519"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686"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1519"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686"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1519"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686"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Trigger level:</w:t>
                                  </w:r>
                                </w:p>
                              </w:tc>
                              <w:tc>
                                <w:tcPr>
                                  <w:tcW w:w="8686" w:type="dxa"/>
                                  <w:tcBorders/>
                                  <w:vAlign w:val="center"/>
                                </w:tcPr>
                                <w:p>
                                  <w:pPr>
                                    <w:pStyle w:val="TableContents"/>
                                    <w:bidi w:val="0"/>
                                    <w:spacing w:before="0" w:after="283"/>
                                    <w:jc w:val="left"/>
                                    <w:rPr>
                                      <w:sz w:val="14"/>
                                    </w:rPr>
                                  </w:pPr>
                                  <w:r>
                                    <w:rPr>
                                      <w:sz w:val="14"/>
                                    </w:rPr>
                                    <w:t>80, which is 80% of the initial basket value</w:t>
                                  </w:r>
                                </w:p>
                              </w:tc>
                            </w:tr>
                            <w:tr>
                              <w:trPr/>
                              <w:tc>
                                <w:tcPr>
                                  <w:tcW w:w="1519"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Leverage factor: </w:t>
                                  </w:r>
                                </w:p>
                              </w:tc>
                              <w:tc>
                                <w:tcPr>
                                  <w:tcW w:w="8686" w:type="dxa"/>
                                  <w:tcBorders/>
                                  <w:shd w:fill="DCEBF4" w:val="clear"/>
                                  <w:vAlign w:val="center"/>
                                </w:tcPr>
                                <w:p>
                                  <w:pPr>
                                    <w:pStyle w:val="TableContents"/>
                                    <w:bidi w:val="0"/>
                                    <w:spacing w:before="0" w:after="283"/>
                                    <w:jc w:val="left"/>
                                    <w:rPr>
                                      <w:sz w:val="14"/>
                                    </w:rPr>
                                  </w:pPr>
                                  <w:r>
                                    <w:rPr>
                                      <w:sz w:val="14"/>
                                    </w:rPr>
                                    <w:t>At least 152.00%</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performance factor:</w:t>
                                  </w:r>
                                </w:p>
                              </w:tc>
                              <w:tc>
                                <w:tcPr>
                                  <w:tcW w:w="8686" w:type="dxa"/>
                                  <w:tcBorders/>
                                  <w:vAlign w:val="center"/>
                                </w:tcPr>
                                <w:p>
                                  <w:pPr>
                                    <w:pStyle w:val="TableContents"/>
                                    <w:bidi w:val="0"/>
                                    <w:spacing w:before="0" w:after="283"/>
                                    <w:jc w:val="left"/>
                                    <w:rPr>
                                      <w:sz w:val="14"/>
                                    </w:rPr>
                                  </w:pPr>
                                  <w:r>
                                    <w:rPr>
                                      <w:sz w:val="14"/>
                                    </w:rPr>
                                    <w:t>final basket value / initial basket value</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8686" w:type="dxa"/>
                                  <w:tcBorders/>
                                  <w:shd w:fill="DCEBF0" w:val="clear"/>
                                  <w:vAlign w:val="center"/>
                                </w:tcPr>
                                <w:p>
                                  <w:pPr>
                                    <w:pStyle w:val="TableContents"/>
                                    <w:bidi w:val="0"/>
                                    <w:spacing w:before="0" w:after="283"/>
                                    <w:jc w:val="left"/>
                                    <w:rPr>
                                      <w:sz w:val="14"/>
                                    </w:rPr>
                                  </w:pPr>
                                  <w:r>
                                    <w:rPr>
                                      <w:sz w:val="14"/>
                                    </w:rPr>
                                    <w:t>$1,000 per Trigger PLUS</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686" w:type="dxa"/>
                                  <w:tcBorders/>
                                  <w:vAlign w:val="center"/>
                                </w:tcPr>
                                <w:p>
                                  <w:pPr>
                                    <w:pStyle w:val="TableContents"/>
                                    <w:bidi w:val="0"/>
                                    <w:spacing w:before="0" w:after="283"/>
                                    <w:jc w:val="left"/>
                                    <w:rPr>
                                      <w:sz w:val="14"/>
                                    </w:rPr>
                                  </w:pPr>
                                  <w:r>
                                    <w:rPr>
                                      <w:sz w:val="14"/>
                                    </w:rPr>
                                    <w:t>$1,000 per Trigger PLUS</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686" w:type="dxa"/>
                                  <w:tcBorders/>
                                  <w:shd w:fill="DCEBF0" w:val="clear"/>
                                  <w:vAlign w:val="center"/>
                                </w:tcPr>
                                <w:p>
                                  <w:pPr>
                                    <w:pStyle w:val="TableContents"/>
                                    <w:bidi w:val="0"/>
                                    <w:spacing w:before="0" w:after="283"/>
                                    <w:jc w:val="left"/>
                                    <w:rPr>
                                      <w:sz w:val="14"/>
                                    </w:rPr>
                                  </w:pPr>
                                  <w:r>
                                    <w:rPr>
                                      <w:sz w:val="14"/>
                                    </w:rPr>
                                    <w:t>Expected to be September 16, 2026</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686" w:type="dxa"/>
                                  <w:tcBorders/>
                                  <w:vAlign w:val="center"/>
                                </w:tcPr>
                                <w:p>
                                  <w:pPr>
                                    <w:pStyle w:val="TableContents"/>
                                    <w:bidi w:val="0"/>
                                    <w:spacing w:before="0" w:after="283"/>
                                    <w:jc w:val="left"/>
                                    <w:rPr>
                                      <w:sz w:val="14"/>
                                    </w:rPr>
                                  </w:pPr>
                                  <w:r>
                                    <w:rPr>
                                      <w:sz w:val="14"/>
                                    </w:rPr>
                                    <w:t>3 business days after the pricing date</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686" w:type="dxa"/>
                                  <w:tcBorders/>
                                  <w:shd w:fill="DCEBF0" w:val="clear"/>
                                  <w:vAlign w:val="center"/>
                                </w:tcPr>
                                <w:p>
                                  <w:pPr>
                                    <w:pStyle w:val="TableContents"/>
                                    <w:bidi w:val="0"/>
                                    <w:spacing w:before="0" w:after="283"/>
                                    <w:jc w:val="left"/>
                                    <w:rPr>
                                      <w:sz w:val="14"/>
                                    </w:rPr>
                                  </w:pPr>
                                  <w:r>
                                    <w:rPr>
                                      <w:sz w:val="14"/>
                                    </w:rPr>
                                    <w:t>September 28, 2029</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686" w:type="dxa"/>
                                  <w:tcBorders/>
                                  <w:vAlign w:val="center"/>
                                </w:tcPr>
                                <w:p>
                                  <w:pPr>
                                    <w:pStyle w:val="TableContents"/>
                                    <w:bidi w:val="0"/>
                                    <w:spacing w:before="0" w:after="283"/>
                                    <w:jc w:val="left"/>
                                    <w:rPr>
                                      <w:sz w:val="14"/>
                                    </w:rPr>
                                  </w:pPr>
                                  <w:r>
                                    <w:rPr>
                                      <w:sz w:val="14"/>
                                    </w:rPr>
                                    <w:t>October 3, 2029</w:t>
                                  </w:r>
                                </w:p>
                              </w:tc>
                            </w:tr>
                            <w:tr>
                              <w:trPr/>
                              <w:tc>
                                <w:tcPr>
                                  <w:tcW w:w="1519" w:type="dxa"/>
                                  <w:tcBorders/>
                                  <w:shd w:fill="DCEBF0" w:val="clear"/>
                                  <w:vAlign w:val="center"/>
                                </w:tcPr>
                                <w:p>
                                  <w:pPr>
                                    <w:pStyle w:val="TableContents"/>
                                    <w:bidi w:val="0"/>
                                    <w:spacing w:before="0" w:after="283"/>
                                    <w:jc w:val="left"/>
                                    <w:rPr>
                                      <w:b/>
                                      <w:color w:val="296DC1"/>
                                      <w:sz w:val="14"/>
                                    </w:rPr>
                                  </w:pPr>
                                  <w:r>
                                    <w:rPr>
                                      <w:b/>
                                      <w:color w:val="296DC1"/>
                                      <w:sz w:val="14"/>
                                    </w:rPr>
                                    <w:t>CUSIP / ISIN:</w:t>
                                  </w:r>
                                </w:p>
                              </w:tc>
                              <w:tc>
                                <w:tcPr>
                                  <w:tcW w:w="8686" w:type="dxa"/>
                                  <w:tcBorders/>
                                  <w:shd w:fill="DCEBF0" w:val="clear"/>
                                  <w:vAlign w:val="center"/>
                                </w:tcPr>
                                <w:p>
                                  <w:pPr>
                                    <w:pStyle w:val="TableContents"/>
                                    <w:bidi w:val="0"/>
                                    <w:spacing w:before="0" w:after="283"/>
                                    <w:jc w:val="left"/>
                                    <w:rPr>
                                      <w:sz w:val="14"/>
                                    </w:rPr>
                                  </w:pPr>
                                  <w:r>
                                    <w:rPr>
                                      <w:sz w:val="14"/>
                                    </w:rPr>
                                    <w:t>46661MKF0 / US46661MKF04</w:t>
                                  </w:r>
                                </w:p>
                              </w:tc>
                            </w:tr>
                            <w:tr>
                              <w:trPr/>
                              <w:tc>
                                <w:tcPr>
                                  <w:tcW w:w="1519"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686" w:type="dxa"/>
                                  <w:tcBorders/>
                                  <w:vAlign w:val="center"/>
                                </w:tcPr>
                                <w:p>
                                  <w:pPr>
                                    <w:pStyle w:val="TableContents"/>
                                    <w:bidi w:val="0"/>
                                    <w:spacing w:before="0" w:after="283"/>
                                    <w:jc w:val="left"/>
                                    <w:rPr/>
                                  </w:pPr>
                                  <w:hyperlink r:id="rId2">
                                    <w:r>
                                      <w:rPr>
                                        <w:rStyle w:val="InternetLink"/>
                                        <w:sz w:val="14"/>
                                      </w:rPr>
                                      <w:t>http://www.sec.gov/Archives/edgar/data/</w:t>
                                      <w:br/>
                                      <w:t>19617/000121390026095286/ea0303951-01_424b2.htm</w:t>
                                    </w:r>
                                  </w:hyperlink>
                                </w:p>
                              </w:tc>
                            </w:tr>
                          </w:tbl>
                          <w:p>
                            <w:pPr>
                              <w:pStyle w:val="TextBody"/>
                              <w:bidi w:val="0"/>
                              <w:spacing w:before="0" w:after="4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720" w:type="dxa"/>
                        <w:jc w:val="left"/>
                        <w:tblInd w:w="0" w:type="dxa"/>
                        <w:tblLayout w:type="fixed"/>
                        <w:tblCellMar>
                          <w:top w:w="0" w:type="dxa"/>
                          <w:left w:w="0" w:type="dxa"/>
                          <w:bottom w:w="0" w:type="dxa"/>
                          <w:right w:w="0" w:type="dxa"/>
                        </w:tblCellMar>
                      </w:tblPr>
                      <w:tblGrid>
                        <w:gridCol w:w="725"/>
                        <w:gridCol w:w="3995"/>
                      </w:tblGrid>
                      <w:tr>
                        <w:trPr/>
                        <w:tc>
                          <w:tcPr>
                            <w:tcW w:w="4720"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72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Issuer: </w:t>
                            </w:r>
                          </w:p>
                        </w:tc>
                        <w:tc>
                          <w:tcPr>
                            <w:tcW w:w="39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Guarantor:</w:t>
                            </w:r>
                          </w:p>
                        </w:tc>
                        <w:tc>
                          <w:tcPr>
                            <w:tcW w:w="399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&amp; Co.</w:t>
                            </w:r>
                          </w:p>
                        </w:tc>
                      </w:tr>
                    </w:tbl>
                    <w:tbl>
                      <w:tblPr>
                        <w:tblW w:w="4430" w:type="dxa"/>
                        <w:jc w:val="left"/>
                        <w:tblInd w:w="0" w:type="dxa"/>
                        <w:tblLayout w:type="fixed"/>
                        <w:tblCellMar>
                          <w:top w:w="0" w:type="dxa"/>
                          <w:left w:w="0" w:type="dxa"/>
                          <w:bottom w:w="0" w:type="dxa"/>
                          <w:right w:w="0" w:type="dxa"/>
                        </w:tblCellMar>
                      </w:tblPr>
                      <w:tblGrid>
                        <w:gridCol w:w="515"/>
                        <w:gridCol w:w="2555"/>
                        <w:gridCol w:w="710"/>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71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w:t>
                              <w:br/>
                              <w:t xml:space="preserve">ticker </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710"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710"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710"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710"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710"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1519"/>
                        <w:gridCol w:w="8686"/>
                      </w:tblGrid>
                      <w:tr>
                        <w:trPr/>
                        <w:tc>
                          <w:tcPr>
                            <w:tcW w:w="1519" w:type="dxa"/>
                            <w:tcBorders/>
                            <w:vAlign w:val="center"/>
                          </w:tcPr>
                          <w:p>
                            <w:pPr>
                              <w:pStyle w:val="TableContents"/>
                              <w:bidi w:val="0"/>
                              <w:spacing w:before="0" w:after="283"/>
                              <w:jc w:val="left"/>
                              <w:rPr/>
                            </w:pPr>
                            <w:r>
                              <w:rPr/>
                              <w:t> </w:t>
                            </w:r>
                          </w:p>
                        </w:tc>
                        <w:tc>
                          <w:tcPr>
                            <w:tcW w:w="8686"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Trigger PLUS and your payment at maturity will depend significantly on the performance of the SX5E Index.</w:t>
                            </w:r>
                          </w:p>
                        </w:tc>
                      </w:tr>
                      <w:tr>
                        <w:trPr/>
                        <w:tc>
                          <w:tcPr>
                            <w:tcW w:w="1519"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686"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leveraged upside payment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 xml:space="preserve">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w:t>
                            </w:r>
                            <w:r>
                              <w:rPr>
                                <w:rFonts w:ascii="Arial;Helvetica;Sans-Serif" w:hAnsi="Arial;Helvetica;Sans-Serif"/>
                                <w:b w:val="false"/>
                                <w:i w:val="false"/>
                                <w:caps w:val="false"/>
                                <w:smallCaps w:val="false"/>
                                <w:sz w:val="14"/>
                              </w:rPr>
                              <w:t>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Trigger PLUS and will represent a loss of more than 20%, and possibly all, of your investment.</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Leveraged upside payment:</w:t>
                            </w:r>
                          </w:p>
                        </w:tc>
                        <w:tc>
                          <w:tcPr>
                            <w:tcW w:w="8686" w:type="dxa"/>
                            <w:tcBorders/>
                            <w:vAlign w:val="center"/>
                          </w:tcPr>
                          <w:p>
                            <w:pPr>
                              <w:pStyle w:val="TableContents"/>
                              <w:bidi w:val="0"/>
                              <w:spacing w:before="0" w:after="283"/>
                              <w:jc w:val="left"/>
                              <w:rPr>
                                <w:sz w:val="14"/>
                              </w:rPr>
                            </w:pPr>
                            <w:r>
                              <w:rPr>
                                <w:sz w:val="14"/>
                              </w:rPr>
                              <w:t>$1,000 × leverage factor × basket percent increase</w:t>
                            </w:r>
                          </w:p>
                        </w:tc>
                      </w:tr>
                      <w:tr>
                        <w:trPr/>
                        <w:tc>
                          <w:tcPr>
                            <w:tcW w:w="1519"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 increase:</w:t>
                            </w:r>
                          </w:p>
                        </w:tc>
                        <w:tc>
                          <w:tcPr>
                            <w:tcW w:w="8686"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686" w:type="dxa"/>
                            <w:tcBorders/>
                            <w:vAlign w:val="center"/>
                          </w:tcPr>
                          <w:p>
                            <w:pPr>
                              <w:pStyle w:val="TableContents"/>
                              <w:bidi w:val="0"/>
                              <w:spacing w:before="0" w:after="283"/>
                              <w:jc w:val="left"/>
                              <w:rPr>
                                <w:sz w:val="14"/>
                              </w:rPr>
                            </w:pPr>
                            <w:r>
                              <w:rPr>
                                <w:sz w:val="14"/>
                              </w:rPr>
                              <w:t>Set equal to 100 on the pricing date</w:t>
                            </w:r>
                          </w:p>
                        </w:tc>
                      </w:tr>
                      <w:tr>
                        <w:trPr/>
                        <w:tc>
                          <w:tcPr>
                            <w:tcW w:w="1519"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686"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1519"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686"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1519"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686"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Trigger level:</w:t>
                            </w:r>
                          </w:p>
                        </w:tc>
                        <w:tc>
                          <w:tcPr>
                            <w:tcW w:w="8686" w:type="dxa"/>
                            <w:tcBorders/>
                            <w:vAlign w:val="center"/>
                          </w:tcPr>
                          <w:p>
                            <w:pPr>
                              <w:pStyle w:val="TableContents"/>
                              <w:bidi w:val="0"/>
                              <w:spacing w:before="0" w:after="283"/>
                              <w:jc w:val="left"/>
                              <w:rPr>
                                <w:sz w:val="14"/>
                              </w:rPr>
                            </w:pPr>
                            <w:r>
                              <w:rPr>
                                <w:sz w:val="14"/>
                              </w:rPr>
                              <w:t>80, which is 80% of the initial basket value</w:t>
                            </w:r>
                          </w:p>
                        </w:tc>
                      </w:tr>
                      <w:tr>
                        <w:trPr/>
                        <w:tc>
                          <w:tcPr>
                            <w:tcW w:w="1519"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Leverage factor: </w:t>
                            </w:r>
                          </w:p>
                        </w:tc>
                        <w:tc>
                          <w:tcPr>
                            <w:tcW w:w="8686" w:type="dxa"/>
                            <w:tcBorders/>
                            <w:shd w:fill="DCEBF4" w:val="clear"/>
                            <w:vAlign w:val="center"/>
                          </w:tcPr>
                          <w:p>
                            <w:pPr>
                              <w:pStyle w:val="TableContents"/>
                              <w:bidi w:val="0"/>
                              <w:spacing w:before="0" w:after="283"/>
                              <w:jc w:val="left"/>
                              <w:rPr>
                                <w:sz w:val="14"/>
                              </w:rPr>
                            </w:pPr>
                            <w:r>
                              <w:rPr>
                                <w:sz w:val="14"/>
                              </w:rPr>
                              <w:t>At least 152.00%</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performance factor:</w:t>
                            </w:r>
                          </w:p>
                        </w:tc>
                        <w:tc>
                          <w:tcPr>
                            <w:tcW w:w="8686" w:type="dxa"/>
                            <w:tcBorders/>
                            <w:vAlign w:val="center"/>
                          </w:tcPr>
                          <w:p>
                            <w:pPr>
                              <w:pStyle w:val="TableContents"/>
                              <w:bidi w:val="0"/>
                              <w:spacing w:before="0" w:after="283"/>
                              <w:jc w:val="left"/>
                              <w:rPr>
                                <w:sz w:val="14"/>
                              </w:rPr>
                            </w:pPr>
                            <w:r>
                              <w:rPr>
                                <w:sz w:val="14"/>
                              </w:rPr>
                              <w:t>final basket value / initial basket value</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8686" w:type="dxa"/>
                            <w:tcBorders/>
                            <w:shd w:fill="DCEBF0" w:val="clear"/>
                            <w:vAlign w:val="center"/>
                          </w:tcPr>
                          <w:p>
                            <w:pPr>
                              <w:pStyle w:val="TableContents"/>
                              <w:bidi w:val="0"/>
                              <w:spacing w:before="0" w:after="283"/>
                              <w:jc w:val="left"/>
                              <w:rPr>
                                <w:sz w:val="14"/>
                              </w:rPr>
                            </w:pPr>
                            <w:r>
                              <w:rPr>
                                <w:sz w:val="14"/>
                              </w:rPr>
                              <w:t>$1,000 per Trigger PLUS</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686" w:type="dxa"/>
                            <w:tcBorders/>
                            <w:vAlign w:val="center"/>
                          </w:tcPr>
                          <w:p>
                            <w:pPr>
                              <w:pStyle w:val="TableContents"/>
                              <w:bidi w:val="0"/>
                              <w:spacing w:before="0" w:after="283"/>
                              <w:jc w:val="left"/>
                              <w:rPr>
                                <w:sz w:val="14"/>
                              </w:rPr>
                            </w:pPr>
                            <w:r>
                              <w:rPr>
                                <w:sz w:val="14"/>
                              </w:rPr>
                              <w:t>$1,000 per Trigger PLUS</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686" w:type="dxa"/>
                            <w:tcBorders/>
                            <w:shd w:fill="DCEBF0" w:val="clear"/>
                            <w:vAlign w:val="center"/>
                          </w:tcPr>
                          <w:p>
                            <w:pPr>
                              <w:pStyle w:val="TableContents"/>
                              <w:bidi w:val="0"/>
                              <w:spacing w:before="0" w:after="283"/>
                              <w:jc w:val="left"/>
                              <w:rPr>
                                <w:sz w:val="14"/>
                              </w:rPr>
                            </w:pPr>
                            <w:r>
                              <w:rPr>
                                <w:sz w:val="14"/>
                              </w:rPr>
                              <w:t>Expected to be September 16, 2026</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686" w:type="dxa"/>
                            <w:tcBorders/>
                            <w:vAlign w:val="center"/>
                          </w:tcPr>
                          <w:p>
                            <w:pPr>
                              <w:pStyle w:val="TableContents"/>
                              <w:bidi w:val="0"/>
                              <w:spacing w:before="0" w:after="283"/>
                              <w:jc w:val="left"/>
                              <w:rPr>
                                <w:sz w:val="14"/>
                              </w:rPr>
                            </w:pPr>
                            <w:r>
                              <w:rPr>
                                <w:sz w:val="14"/>
                              </w:rPr>
                              <w:t>3 business days after the pricing date</w:t>
                            </w:r>
                          </w:p>
                        </w:tc>
                      </w:tr>
                      <w:tr>
                        <w:trPr/>
                        <w:tc>
                          <w:tcPr>
                            <w:tcW w:w="1519"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686" w:type="dxa"/>
                            <w:tcBorders/>
                            <w:shd w:fill="DCEBF0" w:val="clear"/>
                            <w:vAlign w:val="center"/>
                          </w:tcPr>
                          <w:p>
                            <w:pPr>
                              <w:pStyle w:val="TableContents"/>
                              <w:bidi w:val="0"/>
                              <w:spacing w:before="0" w:after="283"/>
                              <w:jc w:val="left"/>
                              <w:rPr>
                                <w:sz w:val="14"/>
                              </w:rPr>
                            </w:pPr>
                            <w:r>
                              <w:rPr>
                                <w:sz w:val="14"/>
                              </w:rPr>
                              <w:t>September 28, 2029</w:t>
                            </w:r>
                          </w:p>
                        </w:tc>
                      </w:tr>
                      <w:tr>
                        <w:trPr/>
                        <w:tc>
                          <w:tcPr>
                            <w:tcW w:w="1519"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686" w:type="dxa"/>
                            <w:tcBorders/>
                            <w:vAlign w:val="center"/>
                          </w:tcPr>
                          <w:p>
                            <w:pPr>
                              <w:pStyle w:val="TableContents"/>
                              <w:bidi w:val="0"/>
                              <w:spacing w:before="0" w:after="283"/>
                              <w:jc w:val="left"/>
                              <w:rPr>
                                <w:sz w:val="14"/>
                              </w:rPr>
                            </w:pPr>
                            <w:r>
                              <w:rPr>
                                <w:sz w:val="14"/>
                              </w:rPr>
                              <w:t>October 3, 2029</w:t>
                            </w:r>
                          </w:p>
                        </w:tc>
                      </w:tr>
                      <w:tr>
                        <w:trPr/>
                        <w:tc>
                          <w:tcPr>
                            <w:tcW w:w="1519" w:type="dxa"/>
                            <w:tcBorders/>
                            <w:shd w:fill="DCEBF0" w:val="clear"/>
                            <w:vAlign w:val="center"/>
                          </w:tcPr>
                          <w:p>
                            <w:pPr>
                              <w:pStyle w:val="TableContents"/>
                              <w:bidi w:val="0"/>
                              <w:spacing w:before="0" w:after="283"/>
                              <w:jc w:val="left"/>
                              <w:rPr>
                                <w:b/>
                                <w:color w:val="296DC1"/>
                                <w:sz w:val="14"/>
                              </w:rPr>
                            </w:pPr>
                            <w:r>
                              <w:rPr>
                                <w:b/>
                                <w:color w:val="296DC1"/>
                                <w:sz w:val="14"/>
                              </w:rPr>
                              <w:t>CUSIP / ISIN:</w:t>
                            </w:r>
                          </w:p>
                        </w:tc>
                        <w:tc>
                          <w:tcPr>
                            <w:tcW w:w="8686" w:type="dxa"/>
                            <w:tcBorders/>
                            <w:shd w:fill="DCEBF0" w:val="clear"/>
                            <w:vAlign w:val="center"/>
                          </w:tcPr>
                          <w:p>
                            <w:pPr>
                              <w:pStyle w:val="TableContents"/>
                              <w:bidi w:val="0"/>
                              <w:spacing w:before="0" w:after="283"/>
                              <w:jc w:val="left"/>
                              <w:rPr>
                                <w:sz w:val="14"/>
                              </w:rPr>
                            </w:pPr>
                            <w:r>
                              <w:rPr>
                                <w:sz w:val="14"/>
                              </w:rPr>
                              <w:t>46661MKF0 / US46661MKF04</w:t>
                            </w:r>
                          </w:p>
                        </w:tc>
                      </w:tr>
                      <w:tr>
                        <w:trPr/>
                        <w:tc>
                          <w:tcPr>
                            <w:tcW w:w="1519"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686" w:type="dxa"/>
                            <w:tcBorders/>
                            <w:vAlign w:val="center"/>
                          </w:tcPr>
                          <w:p>
                            <w:pPr>
                              <w:pStyle w:val="TableContents"/>
                              <w:bidi w:val="0"/>
                              <w:spacing w:before="0" w:after="283"/>
                              <w:jc w:val="left"/>
                              <w:rPr/>
                            </w:pPr>
                            <w:hyperlink r:id="rId3">
                              <w:r>
                                <w:rPr>
                                  <w:rStyle w:val="InternetLink"/>
                                  <w:sz w:val="14"/>
                                </w:rPr>
                                <w:t>http://www.sec.gov/Archives/edgar/data/</w:t>
                                <w:br/>
                                <w:t>19617/000121390026095286/ea0303951-01_424b2.htm</w:t>
                              </w:r>
                            </w:hyperlink>
                          </w:p>
                        </w:tc>
                      </w:tr>
                    </w:tbl>
                    <w:p>
                      <w:pPr>
                        <w:pStyle w:val="TextBody"/>
                        <w:bidi w:val="0"/>
                        <w:spacing w:before="0" w:after="4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780" w:type="dxa"/>
                              <w:jc w:val="left"/>
                              <w:tblInd w:w="0" w:type="dxa"/>
                              <w:tblLayout w:type="fixed"/>
                              <w:tblCellMar>
                                <w:top w:w="0" w:type="dxa"/>
                                <w:left w:w="0" w:type="dxa"/>
                                <w:bottom w:w="0" w:type="dxa"/>
                                <w:right w:w="0" w:type="dxa"/>
                              </w:tblCellMar>
                            </w:tblPr>
                            <w:tblGrid>
                              <w:gridCol w:w="6780"/>
                            </w:tblGrid>
                            <w:tr>
                              <w:trPr/>
                              <w:tc>
                                <w:tcPr>
                                  <w:tcW w:w="6780"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6780" w:type="dxa"/>
                                  <w:tcBorders/>
                                  <w:vAlign w:val="center"/>
                                </w:tcPr>
                                <w:p>
                                  <w:pPr>
                                    <w:pStyle w:val="TableContents"/>
                                    <w:bidi w:val="0"/>
                                    <w:spacing w:before="0" w:after="283"/>
                                    <w:jc w:val="center"/>
                                    <w:rPr/>
                                  </w:pPr>
                                  <w:r>
                                    <w:rPr/>
                                    <w:drawing>
                                      <wp:inline distT="0" distB="0" distL="0" distR="0">
                                        <wp:extent cx="4286250" cy="2457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286250" cy="2457450"/>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430"/>
                              <w:gridCol w:w="228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60.80%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45.60%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30.40%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-20.01%</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-20.01%</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jc w:val="left"/>
                              <w:rPr>
                                <w:caps w:val="false"/>
                                <w:smallCaps w:val="false"/>
                              </w:rPr>
                            </w:pPr>
                            <w:r>
                              <w:rPr>
                                <w:caps w:val="false"/>
                                <w:smallCaps w:val="false"/>
                              </w:rPr>
                              <w:t> </w:t>
                            </w:r>
                          </w:p>
                          <w:p>
                            <w:pPr>
                              <w:pStyle w:val="TextBody"/>
                              <w:bidi w:val="0"/>
                              <w:ind w:left="86" w:right="0" w:hanging="0"/>
                              <w:jc w:val="left"/>
                              <w:rPr>
                                <w:caps w:val="false"/>
                                <w:smallCaps w:val="false"/>
                              </w:rPr>
                            </w:pPr>
                            <w:r>
                              <w:rPr>
                                <w:caps w:val="false"/>
                                <w:smallCaps w:val="false"/>
                              </w:rPr>
                              <w:t> </w:t>
                            </w:r>
                          </w:p>
                          <w:p>
                            <w:pPr>
                              <w:pStyle w:val="TextBody"/>
                              <w:bidi w:val="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leverage factor of 152.00%. The actual leverage factor will be provided in the pricing supplement and will not be less than 152.00%.</w:t>
                            </w:r>
                          </w:p>
                          <w:p>
                            <w:pPr>
                              <w:pStyle w:val="TextBody"/>
                              <w:bidi w:val="0"/>
                              <w:spacing w:before="0" w:after="283"/>
                              <w:ind w:left="86"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780" w:type="dxa"/>
                        <w:jc w:val="left"/>
                        <w:tblInd w:w="0" w:type="dxa"/>
                        <w:tblLayout w:type="fixed"/>
                        <w:tblCellMar>
                          <w:top w:w="0" w:type="dxa"/>
                          <w:left w:w="0" w:type="dxa"/>
                          <w:bottom w:w="0" w:type="dxa"/>
                          <w:right w:w="0" w:type="dxa"/>
                        </w:tblCellMar>
                      </w:tblPr>
                      <w:tblGrid>
                        <w:gridCol w:w="6780"/>
                      </w:tblGrid>
                      <w:tr>
                        <w:trPr/>
                        <w:tc>
                          <w:tcPr>
                            <w:tcW w:w="6780"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6780" w:type="dxa"/>
                            <w:tcBorders/>
                            <w:vAlign w:val="center"/>
                          </w:tcPr>
                          <w:p>
                            <w:pPr>
                              <w:pStyle w:val="TableContents"/>
                              <w:bidi w:val="0"/>
                              <w:spacing w:before="0" w:after="283"/>
                              <w:jc w:val="center"/>
                              <w:rPr/>
                            </w:pPr>
                            <w:r>
                              <w:rPr/>
                              <w:drawing>
                                <wp:inline distT="0" distB="0" distL="0" distR="0">
                                  <wp:extent cx="4286250" cy="2457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286250" cy="2457450"/>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430"/>
                        <w:gridCol w:w="228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60.80%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45.60%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30.40%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-20.01%</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-20.01%</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14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2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jc w:val="left"/>
                        <w:rPr>
                          <w:caps w:val="false"/>
                          <w:smallCaps w:val="false"/>
                        </w:rPr>
                      </w:pPr>
                      <w:r>
                        <w:rPr>
                          <w:caps w:val="false"/>
                          <w:smallCaps w:val="false"/>
                        </w:rPr>
                        <w:t> </w:t>
                      </w:r>
                    </w:p>
                    <w:p>
                      <w:pPr>
                        <w:pStyle w:val="TextBody"/>
                        <w:bidi w:val="0"/>
                        <w:ind w:left="86" w:right="0" w:hanging="0"/>
                        <w:jc w:val="left"/>
                        <w:rPr>
                          <w:caps w:val="false"/>
                          <w:smallCaps w:val="false"/>
                        </w:rPr>
                      </w:pPr>
                      <w:r>
                        <w:rPr>
                          <w:caps w:val="false"/>
                          <w:smallCaps w:val="false"/>
                        </w:rPr>
                        <w:t> </w:t>
                      </w:r>
                    </w:p>
                    <w:p>
                      <w:pPr>
                        <w:pStyle w:val="TextBody"/>
                        <w:bidi w:val="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leverage factor of 152.00%. The actual leverage factor will be provided in the pricing supplement and will not be less than 152.00%.</w:t>
                      </w:r>
                    </w:p>
                    <w:p>
                      <w:pPr>
                        <w:pStyle w:val="TextBody"/>
                        <w:bidi w:val="0"/>
                        <w:spacing w:before="0" w:after="283"/>
                        <w:ind w:left="86" w:right="0" w:hanging="0"/>
                        <w:jc w:val="left"/>
                        <w:rPr>
                          <w:caps w:val="false"/>
                          <w:smallCaps w:val="false"/>
                        </w:rPr>
                      </w:pPr>
                      <w:r>
                        <w:rPr>
                          <w:caps w:val="false"/>
                          <w:smallCaps w:val="false"/>
                        </w:rPr>
                        <w:t> </w:t>
                      </w:r>
                    </w:p>
                  </w:txbxContent>
                </v:textbox>
                <w10:wrap type="square" side="left"/>
              </v:rect>
            </w:pict>
          </mc:Fallback>
        </mc:AlternateConten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3-Year SX5E/TPX/UKX/SMI/AS51 Basket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Basket and 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any underlying index, including historical performance information, see the accompanying preliminary pricing supplement.</w:t>
      </w:r>
    </w:p>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1" w:type="dxa"/>
            <w:tcBorders/>
            <w:vAlign w:val="center"/>
          </w:tcPr>
          <w:p>
            <w:pPr>
              <w:pStyle w:val="TableContents"/>
              <w:bidi w:val="0"/>
              <w:spacing w:before="0" w:after="283"/>
              <w:jc w:val="left"/>
              <w:rPr>
                <w:sz w:val="18"/>
              </w:rPr>
            </w:pPr>
            <w:r>
              <w:rPr>
                <w:sz w:val="18"/>
              </w:rPr>
              <w:t>The Trigger PLUS do not pay interest or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Correlation (or lack of correlation) of performances among the underlying indices may reduce the performance of the basket, and changes in the values of the underlying indices may offset each other</w:t>
            </w:r>
            <w:r>
              <w:rPr>
                <w:b/>
                <w:sz w:val="18"/>
              </w:rPr>
              <w:t>.</w:t>
            </w:r>
          </w:p>
        </w:tc>
      </w:tr>
    </w:tbl>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07" w:type="dxa"/>
            <w:tcBorders/>
            <w:vAlign w:val="center"/>
          </w:tcPr>
          <w:p>
            <w:pPr>
              <w:pStyle w:val="TableContents"/>
              <w:bidi w:val="0"/>
              <w:spacing w:before="0" w:after="283"/>
              <w:jc w:val="left"/>
              <w:rPr/>
            </w:pPr>
            <w:r>
              <w:rPr>
                <w:rFonts w:ascii="Arial;Helvetica;Sans-Serif" w:hAnsi="Arial;Helvetica;Sans-Serif"/>
                <w:b w:val="false"/>
                <w:sz w:val="18"/>
              </w:rPr>
              <w:t>The underlying indices are not equally weighted</w:t>
            </w:r>
            <w:r>
              <w:rPr/>
              <w:t>.</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0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basket or the underlying indices.</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any underlying index could adversely affect the value of the Trigger PLUS.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9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17/000121390026095286/ea0303951-01_424b2.htm" TargetMode="External"/><Relationship Id="rId3" Type="http://schemas.openxmlformats.org/officeDocument/2006/relationships/hyperlink" Target="https://www.sec.gov/Archives/edgar/data/19617/000121390026095286/ea0303951-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1424</Words>
  <Characters>7646</Characters>
  <CharactersWithSpaces>8925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