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965-01_fwp.htm"/>
      <w:bookmarkStart w:id="1" w:name="ksea030396501_fwp"/>
      <w:bookmarkStart w:id="2" w:name="ea0303965-01_fwp.htm"/>
      <w:bookmarkStart w:id="3" w:name="ksea030396501_fwp"/>
      <w:bookmarkEnd w:id="2"/>
      <w:bookmarkEnd w:id="3"/>
    </w:p>
    <w:tbl>
      <w:tblPr>
        <w:tblW w:w="10205" w:type="dxa"/>
        <w:jc w:val="left"/>
        <w:tblInd w:w="0" w:type="dxa"/>
        <w:tblLayout w:type="fixed"/>
        <w:tblCellMar>
          <w:top w:w="0" w:type="dxa"/>
          <w:left w:w="0" w:type="dxa"/>
          <w:bottom w:w="0" w:type="dxa"/>
          <w:right w:w="0" w:type="dxa"/>
        </w:tblCellMar>
      </w:tblPr>
      <w:tblGrid>
        <w:gridCol w:w="6995"/>
        <w:gridCol w:w="3210"/>
      </w:tblGrid>
      <w:tr>
        <w:trPr/>
        <w:tc>
          <w:tcPr>
            <w:tcW w:w="699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left"/>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1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and </w:t>
              <w:br/>
              <w:t>333-293684-01</w:t>
            </w:r>
          </w:p>
        </w:tc>
      </w:tr>
      <w:tr>
        <w:trPr/>
        <w:tc>
          <w:tcPr>
            <w:tcW w:w="6995" w:type="dxa"/>
            <w:vMerge w:val="continue"/>
            <w:tcBorders/>
            <w:vAlign w:val="center"/>
          </w:tcPr>
          <w:p>
            <w:pPr>
              <w:pStyle w:val="Normal"/>
              <w:bidi w:val="0"/>
              <w:jc w:val="left"/>
              <w:rPr/>
            </w:pPr>
            <w:r>
              <w:rPr/>
            </w:r>
          </w:p>
        </w:tc>
        <w:tc>
          <w:tcPr>
            <w:tcW w:w="3210"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Amphenol Corporation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28, 2026 to Preliminary Pricing Supplement dated August 28, 2026</w:t>
            </w:r>
          </w:p>
        </w:tc>
      </w:tr>
    </w:tbl>
    <w:p>
      <w:pPr>
        <w:pStyle w:val="TextBody"/>
        <w:bidi w:val="0"/>
        <w:spacing w:before="0" w:after="6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2906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2906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Amphenol Corporation (Bloomberg ticker: APH)</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25.65% of the principal amount (at least $256.50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46661MK86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w:t>
                                  </w:r>
                                  <w:r>
                                    <w:rPr>
                                      <w:rFonts w:ascii="Georgia;Times;Serif" w:hAnsi="Georgia;Times;Serif"/>
                                      <w:b w:val="false"/>
                                      <w:i w:val="false"/>
                                      <w:caps w:val="false"/>
                                      <w:smallCaps w:val="false"/>
                                      <w:sz w:val="18"/>
                                    </w:rPr>
                                    <w:t>.</w:t>
                                  </w:r>
                                  <w:r>
                                    <w:rPr>
                                      <w:rFonts w:ascii="Georgia;Times;Serif" w:hAnsi="Georgia;Times;Serif"/>
                                      <w:b w:val="false"/>
                                      <w:i w:val="false"/>
                                      <w:caps w:val="false"/>
                                      <w:smallCaps w:val="false"/>
                                      <w:sz w:val="16"/>
                                    </w:rPr>
                                    <w:t>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Amphenol Corporation (Bloomberg ticker: APH)</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25.65% of the principal amount (at least $256.50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46661MK86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w:t>
                            </w:r>
                            <w:r>
                              <w:rPr>
                                <w:rFonts w:ascii="Georgia;Times;Serif" w:hAnsi="Georgia;Times;Serif"/>
                                <w:b w:val="false"/>
                                <w:i w:val="false"/>
                                <w:caps w:val="false"/>
                                <w:smallCaps w:val="false"/>
                                <w:sz w:val="18"/>
                              </w:rPr>
                              <w:t>.</w:t>
                            </w:r>
                            <w:r>
                              <w:rPr>
                                <w:rFonts w:ascii="Georgia;Times;Serif" w:hAnsi="Georgia;Times;Serif"/>
                                <w:b w:val="false"/>
                                <w:i w:val="false"/>
                                <w:caps w:val="false"/>
                                <w:smallCaps w:val="false"/>
                                <w:sz w:val="16"/>
                              </w:rPr>
                              <w:t>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905500"/>
                <wp:effectExtent l="0" t="0" r="0" b="0"/>
                <wp:wrapSquare wrapText="left"/>
                <wp:docPr id="3" name="Frame2"/>
                <a:graphic xmlns:a="http://schemas.openxmlformats.org/drawingml/2006/main">
                  <a:graphicData uri="http://schemas.microsoft.com/office/word/2010/wordprocessingShape">
                    <wps:wsp>
                      <wps:cNvSpPr txBox="1"/>
                      <wps:spPr>
                        <a:xfrm>
                          <a:off x="0" y="0"/>
                          <a:ext cx="3175000" cy="590550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ind w:left="180" w:right="60" w:hanging="0"/>
                              <w:jc w:val="left"/>
                              <w:rPr>
                                <w:caps w:val="false"/>
                                <w:smallCaps w:val="false"/>
                              </w:rPr>
                            </w:pPr>
                            <w:r>
                              <w:rPr>
                                <w:caps w:val="false"/>
                                <w:smallCaps w:val="false"/>
                              </w:rPr>
                              <w:drawing>
                                <wp:inline distT="0" distB="0" distL="0" distR="0">
                                  <wp:extent cx="3057525" cy="18573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057525" cy="185737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$973.80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w:t>
                                <w:br/>
                                <w:t>000121390026095195/ea0303933-01_424b2.htm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ind w:left="180" w:right="60" w:hanging="0"/>
                        <w:jc w:val="left"/>
                        <w:rPr>
                          <w:caps w:val="false"/>
                          <w:smallCaps w:val="false"/>
                        </w:rPr>
                      </w:pPr>
                      <w:r>
                        <w:rPr>
                          <w:caps w:val="false"/>
                          <w:smallCaps w:val="false"/>
                        </w:rPr>
                        <w:drawing>
                          <wp:inline distT="0" distB="0" distL="0" distR="0">
                            <wp:extent cx="3057525" cy="1857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057525" cy="185737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$973.80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w:t>
                          <w:br/>
                          <w:t>000121390026095195/ea0303933-01_424b2.htm</w:t>
                        </w:r>
                      </w:hyperlink>
                    </w:p>
                  </w:txbxContent>
                </v:textbox>
                <w10:wrap type="square" side="left"/>
              </v:rect>
            </w:pict>
          </mc:Fallback>
        </mc:AlternateConten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84"/>
        <w:gridCol w:w="6221"/>
      </w:tblGrid>
      <w:tr>
        <w:trPr/>
        <w:tc>
          <w:tcPr>
            <w:tcW w:w="398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2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5195/ea030393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5195/ea030393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1270</Words>
  <Characters>6898</Characters>
  <CharactersWithSpaces>8202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