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014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14845"/>
                    </a:xfrm>
                    <a:prstGeom prst="rect">
                      <a:avLst/>
                    </a:prstGeom>
                    <a:noFill/>
                  </pic:spPr>
                </pic:pic>
              </a:graphicData>
            </a:graphic>
          </wp:anchor>
        </w:drawing>
      </w:r>
    </w:p>
    <w:p>
      <w:pPr>
        <w:spacing w:after="0" w:line="101" w:lineRule="exact"/>
        <w:rPr>
          <w:sz w:val="24"/>
          <w:szCs w:val="24"/>
          <w:color w:val="auto"/>
        </w:rPr>
      </w:pPr>
    </w:p>
    <w:p>
      <w:pPr>
        <w:sectPr>
          <w:pgSz w:w="11900" w:h="16879"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DIMON JAMES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383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JPMORGAN CHASE &amp;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JPM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45"/>
        <w:spacing w:after="0"/>
        <w:rPr>
          <w:sz w:val="20"/>
          <w:szCs w:val="20"/>
          <w:color w:val="auto"/>
        </w:rPr>
      </w:pPr>
      <w:r>
        <w:rPr>
          <w:rFonts w:ascii="Arial" w:cs="Arial" w:eastAsia="Arial" w:hAnsi="Arial"/>
          <w:sz w:val="17"/>
          <w:szCs w:val="17"/>
          <w:color w:val="0000FF"/>
        </w:rPr>
        <w:t>Chairman &amp; CEO</w:t>
      </w:r>
    </w:p>
    <w:p>
      <w:pPr>
        <w:spacing w:after="0" w:line="266" w:lineRule="exact"/>
        <w:rPr>
          <w:sz w:val="24"/>
          <w:szCs w:val="24"/>
          <w:color w:val="auto"/>
        </w:rPr>
      </w:pPr>
    </w:p>
    <w:p>
      <w:pPr>
        <w:sectPr>
          <w:pgSz w:w="11900" w:h="16879" w:orient="portrait"/>
          <w:cols w:equalWidth="0" w:num="3">
            <w:col w:w="3200" w:space="720"/>
            <w:col w:w="3095" w:space="720"/>
            <w:col w:w="3345"/>
          </w:cols>
          <w:pgMar w:left="460" w:top="225" w:right="35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7"/>
            <w:vMerge w:val="continue"/>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10179-0001</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80" w:type="dxa"/>
            <w:vAlign w:val="bottom"/>
            <w:gridSpan w:val="3"/>
            <w:vMerge w:val="restart"/>
          </w:tcPr>
          <w:p>
            <w:pPr>
              <w:ind w:left="820"/>
              <w:spacing w:after="0"/>
              <w:rPr>
                <w:sz w:val="20"/>
                <w:szCs w:val="20"/>
                <w:color w:val="auto"/>
              </w:rPr>
            </w:pPr>
            <w:r>
              <w:rPr>
                <w:rFonts w:ascii="Arial" w:cs="Arial" w:eastAsia="Arial" w:hAnsi="Arial"/>
                <w:sz w:val="17"/>
                <w:szCs w:val="17"/>
                <w:color w:val="0000FF"/>
              </w:rPr>
              <w:t>05/14/2021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6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9"/>
              </w:rPr>
              <w:t>9,552</w:t>
            </w:r>
          </w:p>
        </w:tc>
        <w:tc>
          <w:tcPr>
            <w:tcW w:w="440" w:type="dxa"/>
            <w:vAlign w:val="bottom"/>
            <w:vMerge w:val="restart"/>
          </w:tcPr>
          <w:p>
            <w:pPr>
              <w:jc w:val="right"/>
              <w:spacing w:after="0"/>
              <w:rPr>
                <w:sz w:val="20"/>
                <w:szCs w:val="20"/>
                <w:color w:val="auto"/>
              </w:rPr>
            </w:pPr>
            <w:r>
              <w:rPr>
                <w:rFonts w:ascii="Arial" w:cs="Arial" w:eastAsia="Arial" w:hAnsi="Arial"/>
                <w:sz w:val="34"/>
                <w:szCs w:val="34"/>
                <w:color w:val="0000FF"/>
                <w:vertAlign w:val="subscript"/>
              </w:rPr>
              <w:t>A</w:t>
            </w:r>
            <w:r>
              <w:rPr>
                <w:rFonts w:ascii="Arial" w:cs="Arial" w:eastAsia="Arial" w:hAnsi="Arial"/>
                <w:sz w:val="11"/>
                <w:szCs w:val="11"/>
                <w:color w:val="008000"/>
              </w:rPr>
              <w:t>(1)</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152,940</w:t>
            </w:r>
          </w:p>
        </w:tc>
        <w:tc>
          <w:tcPr>
            <w:tcW w:w="920" w:type="dxa"/>
            <w:vAlign w:val="bottom"/>
            <w:vMerge w:val="restart"/>
          </w:tcPr>
          <w:p>
            <w:pPr>
              <w:jc w:val="center"/>
              <w:ind w:right="48"/>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gridSpan w:val="3"/>
          </w:tcPr>
          <w:p>
            <w:pPr>
              <w:ind w:left="820"/>
              <w:spacing w:after="0"/>
              <w:rPr>
                <w:sz w:val="20"/>
                <w:szCs w:val="20"/>
                <w:color w:val="auto"/>
              </w:rPr>
            </w:pPr>
            <w:r>
              <w:rPr>
                <w:rFonts w:ascii="Arial" w:cs="Arial" w:eastAsia="Arial" w:hAnsi="Arial"/>
                <w:sz w:val="17"/>
                <w:szCs w:val="17"/>
                <w:color w:val="0000FF"/>
              </w:rPr>
              <w:t>05/12/2021</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60" w:type="dxa"/>
            <w:vAlign w:val="bottom"/>
          </w:tcPr>
          <w:p>
            <w:pPr>
              <w:ind w:left="120"/>
              <w:spacing w:after="0"/>
              <w:rPr>
                <w:sz w:val="20"/>
                <w:szCs w:val="20"/>
                <w:color w:val="auto"/>
              </w:rPr>
            </w:pPr>
            <w:r>
              <w:rPr>
                <w:rFonts w:ascii="Arial" w:cs="Arial" w:eastAsia="Arial" w:hAnsi="Arial"/>
                <w:sz w:val="13"/>
                <w:szCs w:val="13"/>
                <w:color w:val="0000FF"/>
              </w:rPr>
              <w:t>V</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9,552</w:t>
            </w:r>
          </w:p>
        </w:tc>
        <w:tc>
          <w:tcPr>
            <w:tcW w:w="440" w:type="dxa"/>
            <w:vAlign w:val="bottom"/>
          </w:tcPr>
          <w:p>
            <w:pPr>
              <w:jc w:val="right"/>
              <w:spacing w:after="0" w:line="213"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20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8"/>
              </w:rPr>
              <w:t>0.0000</w:t>
            </w:r>
            <w:r>
              <w:rPr>
                <w:rFonts w:ascii="Arial" w:cs="Arial" w:eastAsia="Arial" w:hAnsi="Arial"/>
                <w:sz w:val="22"/>
                <w:szCs w:val="22"/>
                <w:color w:val="008000"/>
                <w:w w:val="88"/>
                <w:vertAlign w:val="superscript"/>
              </w:rPr>
              <w:t>(3)</w:t>
            </w:r>
          </w:p>
        </w:tc>
        <w:tc>
          <w:tcPr>
            <w:tcW w:w="920" w:type="dxa"/>
            <w:vAlign w:val="bottom"/>
          </w:tcPr>
          <w:p>
            <w:pPr>
              <w:jc w:val="center"/>
              <w:ind w:right="48"/>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Spouse's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GRATs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349,756</w:t>
            </w:r>
            <w:r>
              <w:rPr>
                <w:rFonts w:ascii="Arial" w:cs="Arial" w:eastAsia="Arial" w:hAnsi="Arial"/>
                <w:sz w:val="22"/>
                <w:szCs w:val="22"/>
                <w:color w:val="008000"/>
                <w:w w:val="88"/>
                <w:vertAlign w:val="superscript"/>
              </w:rPr>
              <w:t>(4)</w:t>
            </w:r>
          </w:p>
        </w:tc>
        <w:tc>
          <w:tcPr>
            <w:tcW w:w="920" w:type="dxa"/>
            <w:vAlign w:val="bottom"/>
            <w:tcBorders>
              <w:bottom w:val="single" w:sz="8" w:color="2C2C2C"/>
            </w:tcBorders>
          </w:tcPr>
          <w:p>
            <w:pPr>
              <w:jc w:val="center"/>
              <w:ind w:right="4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8,110.7138</w:t>
            </w:r>
          </w:p>
        </w:tc>
        <w:tc>
          <w:tcPr>
            <w:tcW w:w="920" w:type="dxa"/>
            <w:vAlign w:val="bottom"/>
            <w:vMerge w:val="restart"/>
          </w:tcPr>
          <w:p>
            <w:pPr>
              <w:jc w:val="center"/>
              <w:ind w:right="48"/>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7"/>
              </w:rPr>
              <w:t>2,097,090</w:t>
            </w:r>
            <w:r>
              <w:rPr>
                <w:rFonts w:ascii="Arial" w:cs="Arial" w:eastAsia="Arial" w:hAnsi="Arial"/>
                <w:sz w:val="22"/>
                <w:szCs w:val="22"/>
                <w:color w:val="008000"/>
                <w:w w:val="87"/>
                <w:vertAlign w:val="superscript"/>
              </w:rPr>
              <w:t>(5)</w:t>
            </w:r>
          </w:p>
        </w:tc>
        <w:tc>
          <w:tcPr>
            <w:tcW w:w="920" w:type="dxa"/>
            <w:vAlign w:val="bottom"/>
          </w:tcPr>
          <w:p>
            <w:pPr>
              <w:jc w:val="center"/>
              <w:ind w:right="48"/>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4,828,594</w:t>
            </w:r>
            <w:r>
              <w:rPr>
                <w:rFonts w:ascii="Arial" w:cs="Arial" w:eastAsia="Arial" w:hAnsi="Arial"/>
                <w:sz w:val="22"/>
                <w:szCs w:val="22"/>
                <w:color w:val="008000"/>
                <w:w w:val="87"/>
                <w:vertAlign w:val="superscript"/>
              </w:rPr>
              <w:t>(6)</w:t>
            </w:r>
          </w:p>
        </w:tc>
        <w:tc>
          <w:tcPr>
            <w:tcW w:w="920" w:type="dxa"/>
            <w:vAlign w:val="bottom"/>
            <w:vMerge w:val="restart"/>
          </w:tcPr>
          <w:p>
            <w:pPr>
              <w:jc w:val="center"/>
              <w:ind w:right="48"/>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871,766</w:t>
            </w:r>
            <w:r>
              <w:rPr>
                <w:rFonts w:ascii="Arial" w:cs="Arial" w:eastAsia="Arial" w:hAnsi="Arial"/>
                <w:sz w:val="22"/>
                <w:szCs w:val="22"/>
                <w:color w:val="008000"/>
                <w:w w:val="88"/>
                <w:vertAlign w:val="superscript"/>
              </w:rPr>
              <w:t>(7)</w:t>
            </w:r>
          </w:p>
        </w:tc>
        <w:tc>
          <w:tcPr>
            <w:tcW w:w="920" w:type="dxa"/>
            <w:vAlign w:val="bottom"/>
            <w:vMerge w:val="restart"/>
          </w:tcPr>
          <w:p>
            <w:pPr>
              <w:jc w:val="center"/>
              <w:ind w:right="48"/>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36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termination of a Grantor Retained Annuity Trust, 9,552 shares were transferred to beneficiaries on May 12, 2021. A total of 9,552 shares were transferred from beneficiaries to Insider's Family LLC on May 14, 2021.</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disclaims beneficial ownership of such shares except to the extent of any pecuniary interest.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Balance reflects a) 180,887 shares transferred from a Grantor Retained Annuity Trust to the Grantor on May 3, 2021. This transfer is exempt from Section 16 pursuant to Rule 16a-13.</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Balance reflects a) 62,896 shares transferred from a Grantor Retained Annuity Trust (GRAT) to the Grantor on May 6, 2021, pursuant to an agreement entered into on February 11, 2021, under the terms of the GRAT; b) 729,529 shares transferred from a GRAT to the Grantor on May 10, 2021; c) 443,888 shares from a GRAT to the Grantor on May 12, 2021; and d) 1,506,744 shares transferred from the Grantor for funding of a GRAT on May 14, 2021. These transfers are exempt from Section 16 pursuant to Rule 16a-13.</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Balance reflects 70,605 shares transferred from a Grantor Annuity Retained Trust to the Grantor's Family Trust on May 11, 2021. This transfer is exempt from Section 16 pursuant to Rule 16a-13.</w:t>
      </w:r>
    </w:p>
    <w:p>
      <w:pPr>
        <w:spacing w:after="0" w:line="61" w:lineRule="exact"/>
        <w:rPr>
          <w:rFonts w:ascii="Arial" w:cs="Arial" w:eastAsia="Arial" w:hAnsi="Arial"/>
          <w:sz w:val="12"/>
          <w:szCs w:val="12"/>
          <w:color w:val="008000"/>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Balance reflects a) 62,896 shares transferred from a Grantor Retained Annuity Trust (GRAT) to the Grantor on May 6, 2021, pursuant to an agreement entered into on February 11, 2021, under the terms of the GRAT; b) 729,529 shares transferred from a GRAT to the Grantor on May 10, 2021; c) 70,605 from a GRAT to the Grantor's Family Trust on May 11, 2021; d) 443,888 shares from a GRAT to the Grantor on May 12, 2021; and e) 1,506,744 shares transferred from the Grantor for funding of a GRAT on May 14, 2021. These transfers are exempt from Section 16 pursuant to Rule 16a-13.</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Balance reflects 180,887 shares transferred from a Grantor Annuity Retained Trust to the Grantor on May 3, 2021. This transfer is exempt from Section 16 pursuant to Rule 16a-13.</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poadimon.txt</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David K.F. Gillis under</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10/01/2021</w:t>
            </w:r>
          </w:p>
        </w:tc>
        <w:tc>
          <w:tcPr>
            <w:tcW w:w="0" w:type="dxa"/>
            <w:vAlign w:val="bottom"/>
          </w:tcPr>
          <w:p>
            <w:pPr>
              <w:spacing w:after="0"/>
              <w:rPr>
                <w:sz w:val="1"/>
                <w:szCs w:val="1"/>
                <w:color w:val="auto"/>
              </w:rPr>
            </w:pPr>
          </w:p>
        </w:tc>
      </w:tr>
      <w:tr>
        <w:trPr>
          <w:trHeight w:val="87"/>
        </w:trPr>
        <w:tc>
          <w:tcPr>
            <w:tcW w:w="3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POA</w:t>
            </w:r>
          </w:p>
        </w:tc>
        <w:tc>
          <w:tcPr>
            <w:tcW w:w="148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79"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38" w:right="12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JPMorgan Chase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Preparing, Signing and Filing Certain Reports with the SEC</w:t>
      </w:r>
    </w:p>
    <w:p>
      <w:pPr>
        <w:spacing w:after="0" w:line="207" w:lineRule="exact"/>
        <w:rPr>
          <w:sz w:val="20"/>
          <w:szCs w:val="20"/>
          <w:color w:val="auto"/>
        </w:rPr>
      </w:pPr>
    </w:p>
    <w:p>
      <w:pPr>
        <w:ind w:right="14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in his or her capacity as an officer or director of JPMorgan Chase &amp; Co. ("JPMC") hereby constitutes and appoints each of Stacey Friedman, John H. Tribolati, David K.F. Gillis,</w:t>
      </w:r>
    </w:p>
    <w:p>
      <w:pPr>
        <w:ind w:right="2619"/>
        <w:spacing w:after="0" w:line="251" w:lineRule="auto"/>
        <w:rPr>
          <w:sz w:val="20"/>
          <w:szCs w:val="20"/>
          <w:color w:val="auto"/>
        </w:rPr>
      </w:pPr>
      <w:r>
        <w:rPr>
          <w:rFonts w:ascii="Courier New" w:cs="Courier New" w:eastAsia="Courier New" w:hAnsi="Courier New"/>
          <w:sz w:val="17"/>
          <w:szCs w:val="17"/>
          <w:color w:val="auto"/>
        </w:rPr>
        <w:t>Holly Youngwood, Carin S. Reddish,Jordan A. Costa and Stephen B. Grant, signing singly, his/her true and lawful attorney-in-fact to:</w:t>
      </w:r>
    </w:p>
    <w:p>
      <w:pPr>
        <w:spacing w:after="0" w:line="197" w:lineRule="exact"/>
        <w:rPr>
          <w:sz w:val="20"/>
          <w:szCs w:val="20"/>
          <w:color w:val="auto"/>
        </w:rPr>
      </w:pPr>
    </w:p>
    <w:p>
      <w:pPr>
        <w:ind w:right="135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connection with transactions in JPMC securities (a) any and all forms of report, including amendments to such reports, required to be made pursuant to Section 16(a) of the Securities Exchange Act of 1934 (the "Exchange Act") and related rules of the Securities and Exchange Commission ("SEC") and (b) any documents or reports</w:t>
      </w:r>
    </w:p>
    <w:p>
      <w:pPr>
        <w:ind w:right="17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which may be required under SEC Rule 144 to permit the undersigned to sell JPMC common stock without registration under the Securities Act of 1933 (the "1933 Act") in reliance on Rule 144 as amended from time to time;</w:t>
      </w:r>
    </w:p>
    <w:p>
      <w:pPr>
        <w:spacing w:after="0" w:line="197" w:lineRule="exact"/>
        <w:rPr>
          <w:rFonts w:ascii="Courier New" w:cs="Courier New" w:eastAsia="Courier New" w:hAnsi="Courier New"/>
          <w:sz w:val="17"/>
          <w:szCs w:val="17"/>
          <w:color w:val="auto"/>
        </w:rPr>
      </w:pPr>
    </w:p>
    <w:p>
      <w:pPr>
        <w:ind w:right="2199" w:firstLine="7"/>
        <w:spacing w:after="0" w:line="251"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apply for, if required, and administer Edgar codes on behalf of the undersigned to enable electronic filings with the SEC;</w:t>
      </w:r>
    </w:p>
    <w:p>
      <w:pPr>
        <w:spacing w:after="0" w:line="196" w:lineRule="exact"/>
        <w:rPr>
          <w:rFonts w:ascii="Courier New" w:cs="Courier New" w:eastAsia="Courier New" w:hAnsi="Courier New"/>
          <w:sz w:val="17"/>
          <w:szCs w:val="17"/>
          <w:color w:val="auto"/>
        </w:rPr>
      </w:pPr>
    </w:p>
    <w:p>
      <w:pPr>
        <w:ind w:right="147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for the preparation and timely filing of any such reports, documents and reports with the SEC, any United States stock exchange, and any other authority; and</w:t>
      </w:r>
    </w:p>
    <w:p>
      <w:pPr>
        <w:spacing w:after="0" w:line="200" w:lineRule="exact"/>
        <w:rPr>
          <w:rFonts w:ascii="Courier New" w:cs="Courier New" w:eastAsia="Courier New" w:hAnsi="Courier New"/>
          <w:sz w:val="17"/>
          <w:szCs w:val="17"/>
          <w:color w:val="auto"/>
        </w:rPr>
      </w:pPr>
    </w:p>
    <w:p>
      <w:pPr>
        <w:ind w:right="177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479" w:firstLine="832"/>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hereby granted. The undersigned acknowledges that none of the foregoing attorneys-in-fact in serving in such capacity at the request of the undersigned is assuming any of the undersigned's responsibilities to comply with either the Exchange Act or the 1933 Act.</w:t>
      </w:r>
    </w:p>
    <w:p>
      <w:pPr>
        <w:spacing w:after="0" w:line="201" w:lineRule="exact"/>
        <w:rPr>
          <w:sz w:val="20"/>
          <w:szCs w:val="20"/>
          <w:color w:val="auto"/>
        </w:rPr>
      </w:pPr>
    </w:p>
    <w:p>
      <w:pPr>
        <w:ind w:right="1479" w:firstLine="832"/>
        <w:spacing w:after="0" w:line="249" w:lineRule="auto"/>
        <w:rPr>
          <w:sz w:val="20"/>
          <w:szCs w:val="20"/>
          <w:color w:val="auto"/>
        </w:rPr>
      </w:pPr>
      <w:r>
        <w:rPr>
          <w:rFonts w:ascii="Courier New" w:cs="Courier New" w:eastAsia="Courier New" w:hAnsi="Courier New"/>
          <w:sz w:val="17"/>
          <w:szCs w:val="17"/>
          <w:color w:val="auto"/>
        </w:rPr>
        <w:t>The undersigned attests and agrees that the use of an electronic signature in any authentication document that includes the undersigned's typed,</w:t>
      </w:r>
    </w:p>
    <w:p>
      <w:pPr>
        <w:ind w:right="2619"/>
        <w:spacing w:after="0" w:line="249" w:lineRule="auto"/>
        <w:rPr>
          <w:sz w:val="20"/>
          <w:szCs w:val="20"/>
          <w:color w:val="auto"/>
        </w:rPr>
      </w:pPr>
      <w:r>
        <w:rPr>
          <w:rFonts w:ascii="Courier New" w:cs="Courier New" w:eastAsia="Courier New" w:hAnsi="Courier New"/>
          <w:sz w:val="17"/>
          <w:szCs w:val="17"/>
          <w:color w:val="auto"/>
        </w:rPr>
        <w:t>conformed signature, or that includes the typed, conformed signature of any attorney-in-fact of the undersigned, and that is filled with or furnished to the SEC by or on behalf of the undersigned, JPMC of any of</w:t>
      </w:r>
    </w:p>
    <w:p>
      <w:pPr>
        <w:ind w:right="2099"/>
        <w:spacing w:after="0" w:line="250" w:lineRule="auto"/>
        <w:rPr>
          <w:sz w:val="20"/>
          <w:szCs w:val="20"/>
          <w:color w:val="auto"/>
        </w:rPr>
      </w:pPr>
      <w:r>
        <w:rPr>
          <w:rFonts w:ascii="Courier New" w:cs="Courier New" w:eastAsia="Courier New" w:hAnsi="Courier New"/>
          <w:sz w:val="17"/>
          <w:szCs w:val="17"/>
          <w:color w:val="auto"/>
        </w:rPr>
        <w:t>its affiliates, constitutes the legal equivalent of the undersigned's manual signature for purposes of authenticating the undersigned's signature to any filing or submission for which it is provided.</w:t>
      </w:r>
    </w:p>
    <w:p>
      <w:pPr>
        <w:spacing w:after="0" w:line="198" w:lineRule="exact"/>
        <w:rPr>
          <w:sz w:val="20"/>
          <w:szCs w:val="20"/>
          <w:color w:val="auto"/>
        </w:rPr>
      </w:pPr>
    </w:p>
    <w:p>
      <w:pPr>
        <w:ind w:right="1879" w:firstLine="1663"/>
        <w:spacing w:after="0" w:line="251"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April 20, 2021.</w:t>
      </w:r>
    </w:p>
    <w:p>
      <w:pPr>
        <w:spacing w:after="0" w:line="197" w:lineRule="exact"/>
        <w:rPr>
          <w:sz w:val="20"/>
          <w:szCs w:val="20"/>
          <w:color w:val="auto"/>
        </w:rPr>
      </w:pPr>
    </w:p>
    <w:p>
      <w:pPr>
        <w:jc w:val="both"/>
        <w:ind w:left="5000"/>
        <w:spacing w:after="0"/>
        <w:tabs>
          <w:tab w:leader="none" w:pos="5500" w:val="left"/>
        </w:tabs>
        <w:rPr>
          <w:sz w:val="20"/>
          <w:szCs w:val="20"/>
          <w:color w:val="auto"/>
        </w:rPr>
      </w:pPr>
      <w:r>
        <w:rPr>
          <w:rFonts w:ascii="Courier New" w:cs="Courier New" w:eastAsia="Courier New" w:hAnsi="Courier New"/>
          <w:sz w:val="17"/>
          <w:szCs w:val="17"/>
          <w:color w:val="auto"/>
        </w:rPr>
        <w:t>/s/</w:t>
        <w:tab/>
        <w:t>James Dimon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7"/>
          <w:szCs w:val="17"/>
          <w:color w:val="auto"/>
        </w:rPr>
        <w:t>James Dimon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5345" TargetMode="External"/><Relationship Id="rId13" Type="http://schemas.openxmlformats.org/officeDocument/2006/relationships/hyperlink" Target="http://www.sec.gov/cgi-bin/browse-edgar?action=getcompany&amp;CIK=0000019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2021-10-01T15:21:20Z</dcterms:created>
  <dcterms:modified xsi:type="dcterms:W3CDTF">2021-10-01T15:21:20Z</dcterms:modified>
</cp:coreProperties>
</file>