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9273-01_fwp.htm"/>
      <w:bookmarkStart w:id="1" w:name="ksea0299273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24,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Worst-of NDX/SPX/RTY Contingent Income Callable Securities with 1-Year Initial Non-Call Period</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ind w:left="0" w:right="0" w:hanging="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18248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182485"/>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73"/>
                              <w:gridCol w:w="8932"/>
                            </w:tblGrid>
                            <w:tr>
                              <w:trPr/>
                              <w:tc>
                                <w:tcPr>
                                  <w:tcW w:w="127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32"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7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32" w:type="dxa"/>
                                  <w:tcBorders/>
                                  <w:shd w:fill="DCEBF4" w:val="clear"/>
                                  <w:vAlign w:val="center"/>
                                </w:tcPr>
                                <w:p>
                                  <w:pPr>
                                    <w:pStyle w:val="TableContents"/>
                                    <w:bidi w:val="0"/>
                                    <w:spacing w:before="0" w:after="283"/>
                                    <w:jc w:val="left"/>
                                    <w:rPr>
                                      <w:sz w:val="15"/>
                                    </w:rPr>
                                  </w:pPr>
                                  <w:r>
                                    <w:rPr>
                                      <w:sz w:val="15"/>
                                    </w:rPr>
                                    <w:t>JPMorgan Chase &amp; Co.</w:t>
                                  </w:r>
                                </w:p>
                              </w:tc>
                            </w:tr>
                            <w:tr>
                              <w:trPr/>
                              <w:tc>
                                <w:tcPr>
                                  <w:tcW w:w="127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32" w:type="dxa"/>
                                  <w:tcBorders/>
                                  <w:vAlign w:val="center"/>
                                </w:tcPr>
                                <w:p>
                                  <w:pPr>
                                    <w:pStyle w:val="TableContents"/>
                                    <w:bidi w:val="0"/>
                                    <w:spacing w:before="0" w:after="283"/>
                                    <w:jc w:val="left"/>
                                    <w:rPr>
                                      <w:sz w:val="15"/>
                                    </w:rPr>
                                  </w:pPr>
                                  <w:r>
                                    <w:rPr>
                                      <w:sz w:val="15"/>
                                    </w:rPr>
                                    <w:t>Nasdaq-100 Index</w:t>
                                  </w:r>
                                  <w:r>
                                    <w:rPr>
                                      <w:position w:val="5"/>
                                      <w:sz w:val="12"/>
                                      <w:sz w:val="15"/>
                                    </w:rPr>
                                    <w:t>®</w:t>
                                  </w:r>
                                  <w:r>
                                    <w:rPr>
                                      <w:sz w:val="15"/>
                                    </w:rPr>
                                    <w:t xml:space="preserve"> (Bloomberg ticker: NDX Index) (the “NDX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7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32"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second, third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7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32"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7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32" w:type="dxa"/>
                                  <w:tcBorders/>
                                  <w:shd w:fill="DCEBF4" w:val="clear"/>
                                  <w:vAlign w:val="center"/>
                                </w:tcPr>
                                <w:p>
                                  <w:pPr>
                                    <w:pStyle w:val="TableContents"/>
                                    <w:bidi w:val="0"/>
                                    <w:spacing w:before="20" w:after="0"/>
                                    <w:ind w:left="144" w:right="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$31.275 (at least 3.1275% of the stated principal amount) per security on the related contingent payment date. The actual contingent quarterly payment will be provided in the pricing supplement.</w:t>
                                  </w:r>
                                </w:p>
                                <w:p>
                                  <w:pPr>
                                    <w:pStyle w:val="TableContents"/>
                                    <w:bidi w:val="0"/>
                                    <w:spacing w:before="20" w:after="0"/>
                                    <w:ind w:left="144" w:right="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4"/>
                              <w:gridCol w:w="2744"/>
                              <w:gridCol w:w="6497"/>
                            </w:tblGrid>
                            <w:tr>
                              <w:trPr/>
                              <w:tc>
                                <w:tcPr>
                                  <w:tcW w:w="964"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4" w:type="dxa"/>
                                  <w:tcBorders/>
                                  <w:vAlign w:val="center"/>
                                </w:tcPr>
                                <w:p>
                                  <w:pPr>
                                    <w:pStyle w:val="TableContents"/>
                                    <w:bidi w:val="0"/>
                                    <w:spacing w:before="0" w:after="283"/>
                                    <w:ind w:left="0" w:right="0" w:hanging="147"/>
                                    <w:jc w:val="left"/>
                                    <w:rPr>
                                      <w:color w:val="296DC1"/>
                                    </w:rPr>
                                  </w:pPr>
                                  <w:r>
                                    <w:rPr>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5.55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73"/>
                        <w:gridCol w:w="8932"/>
                      </w:tblGrid>
                      <w:tr>
                        <w:trPr/>
                        <w:tc>
                          <w:tcPr>
                            <w:tcW w:w="127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32"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7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32" w:type="dxa"/>
                            <w:tcBorders/>
                            <w:shd w:fill="DCEBF4" w:val="clear"/>
                            <w:vAlign w:val="center"/>
                          </w:tcPr>
                          <w:p>
                            <w:pPr>
                              <w:pStyle w:val="TableContents"/>
                              <w:bidi w:val="0"/>
                              <w:spacing w:before="0" w:after="283"/>
                              <w:jc w:val="left"/>
                              <w:rPr>
                                <w:sz w:val="15"/>
                              </w:rPr>
                            </w:pPr>
                            <w:r>
                              <w:rPr>
                                <w:sz w:val="15"/>
                              </w:rPr>
                              <w:t>JPMorgan Chase &amp; Co.</w:t>
                            </w:r>
                          </w:p>
                        </w:tc>
                      </w:tr>
                      <w:tr>
                        <w:trPr/>
                        <w:tc>
                          <w:tcPr>
                            <w:tcW w:w="127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32" w:type="dxa"/>
                            <w:tcBorders/>
                            <w:vAlign w:val="center"/>
                          </w:tcPr>
                          <w:p>
                            <w:pPr>
                              <w:pStyle w:val="TableContents"/>
                              <w:bidi w:val="0"/>
                              <w:spacing w:before="0" w:after="283"/>
                              <w:jc w:val="left"/>
                              <w:rPr>
                                <w:sz w:val="15"/>
                              </w:rPr>
                            </w:pPr>
                            <w:r>
                              <w:rPr>
                                <w:sz w:val="15"/>
                              </w:rPr>
                              <w:t>Nasdaq-100 Index</w:t>
                            </w:r>
                            <w:r>
                              <w:rPr>
                                <w:position w:val="5"/>
                                <w:sz w:val="12"/>
                                <w:sz w:val="15"/>
                              </w:rPr>
                              <w:t>®</w:t>
                            </w:r>
                            <w:r>
                              <w:rPr>
                                <w:sz w:val="15"/>
                              </w:rPr>
                              <w:t xml:space="preserve"> (Bloomberg ticker: NDX Index) (the “NDX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7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32"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second, third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7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32"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r>
                        <w:trPr/>
                        <w:tc>
                          <w:tcPr>
                            <w:tcW w:w="127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32" w:type="dxa"/>
                            <w:tcBorders/>
                            <w:shd w:fill="DCEBF4" w:val="clear"/>
                            <w:vAlign w:val="center"/>
                          </w:tcPr>
                          <w:p>
                            <w:pPr>
                              <w:pStyle w:val="TableContents"/>
                              <w:bidi w:val="0"/>
                              <w:spacing w:before="20" w:after="0"/>
                              <w:ind w:left="144" w:right="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$31.275 (at least 3.1275% of the stated principal amount) per security on the related contingent payment date. The actual contingent quarterly payment will be provided in the pricing supplement.</w:t>
                            </w:r>
                          </w:p>
                          <w:p>
                            <w:pPr>
                              <w:pStyle w:val="TableContents"/>
                              <w:bidi w:val="0"/>
                              <w:spacing w:before="20" w:after="0"/>
                              <w:ind w:left="144" w:right="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4"/>
                        <w:gridCol w:w="2744"/>
                        <w:gridCol w:w="6497"/>
                      </w:tblGrid>
                      <w:tr>
                        <w:trPr/>
                        <w:tc>
                          <w:tcPr>
                            <w:tcW w:w="964"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4" w:type="dxa"/>
                            <w:tcBorders/>
                            <w:vAlign w:val="center"/>
                          </w:tcPr>
                          <w:p>
                            <w:pPr>
                              <w:pStyle w:val="TableContents"/>
                              <w:bidi w:val="0"/>
                              <w:spacing w:before="0" w:after="283"/>
                              <w:ind w:left="0" w:right="0" w:hanging="147"/>
                              <w:jc w:val="left"/>
                              <w:rPr>
                                <w:color w:val="296DC1"/>
                              </w:rPr>
                            </w:pPr>
                            <w:r>
                              <w:rPr>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707"/>
                              <w:gridCol w:w="7498"/>
                            </w:tblGrid>
                            <w:tr>
                              <w:trPr/>
                              <w:tc>
                                <w:tcPr>
                                  <w:tcW w:w="270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98" w:type="dxa"/>
                                  <w:tcBorders/>
                                  <w:shd w:fill="DCEBF4" w:val="clear"/>
                                  <w:vAlign w:val="center"/>
                                </w:tcPr>
                                <w:p>
                                  <w:pPr>
                                    <w:pStyle w:val="TableContents"/>
                                    <w:bidi w:val="0"/>
                                    <w:spacing w:before="0" w:after="283"/>
                                    <w:jc w:val="left"/>
                                    <w:rPr>
                                      <w:sz w:val="15"/>
                                    </w:rPr>
                                  </w:pPr>
                                  <w:r>
                                    <w:rPr>
                                      <w:sz w:val="15"/>
                                    </w:rPr>
                                    <w:t>$1,000 per security</w:t>
                                  </w:r>
                                </w:p>
                              </w:tc>
                            </w:tr>
                            <w:tr>
                              <w:trPr/>
                              <w:tc>
                                <w:tcPr>
                                  <w:tcW w:w="270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98" w:type="dxa"/>
                                  <w:tcBorders/>
                                  <w:vAlign w:val="center"/>
                                </w:tcPr>
                                <w:p>
                                  <w:pPr>
                                    <w:pStyle w:val="TableContents"/>
                                    <w:bidi w:val="0"/>
                                    <w:spacing w:before="0" w:after="283"/>
                                    <w:jc w:val="left"/>
                                    <w:rPr>
                                      <w:sz w:val="15"/>
                                    </w:rPr>
                                  </w:pPr>
                                  <w:r>
                                    <w:rPr>
                                      <w:sz w:val="15"/>
                                    </w:rPr>
                                    <w:t>$1,000 per security</w:t>
                                  </w:r>
                                </w:p>
                              </w:tc>
                            </w:tr>
                            <w:tr>
                              <w:trPr/>
                              <w:tc>
                                <w:tcPr>
                                  <w:tcW w:w="270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98" w:type="dxa"/>
                                  <w:tcBorders/>
                                  <w:shd w:fill="DCEBF4" w:val="clear"/>
                                  <w:vAlign w:val="center"/>
                                </w:tcPr>
                                <w:p>
                                  <w:pPr>
                                    <w:pStyle w:val="TableContents"/>
                                    <w:bidi w:val="0"/>
                                    <w:spacing w:before="0" w:after="283"/>
                                    <w:jc w:val="left"/>
                                    <w:rPr>
                                      <w:sz w:val="15"/>
                                    </w:rPr>
                                  </w:pPr>
                                  <w:r>
                                    <w:rPr>
                                      <w:sz w:val="15"/>
                                    </w:rPr>
                                    <w:t>Expected to be July 31, 2026</w:t>
                                  </w:r>
                                </w:p>
                              </w:tc>
                            </w:tr>
                            <w:tr>
                              <w:trPr/>
                              <w:tc>
                                <w:tcPr>
                                  <w:tcW w:w="270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98" w:type="dxa"/>
                                  <w:tcBorders/>
                                  <w:vAlign w:val="center"/>
                                </w:tcPr>
                                <w:p>
                                  <w:pPr>
                                    <w:pStyle w:val="TableContents"/>
                                    <w:bidi w:val="0"/>
                                    <w:spacing w:before="0" w:after="283"/>
                                    <w:jc w:val="left"/>
                                    <w:rPr>
                                      <w:sz w:val="15"/>
                                    </w:rPr>
                                  </w:pPr>
                                  <w:r>
                                    <w:rPr>
                                      <w:sz w:val="15"/>
                                    </w:rPr>
                                    <w:t>3 business days after the pricing date</w:t>
                                  </w:r>
                                </w:p>
                              </w:tc>
                            </w:tr>
                            <w:tr>
                              <w:trPr/>
                              <w:tc>
                                <w:tcPr>
                                  <w:tcW w:w="270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98" w:type="dxa"/>
                                  <w:tcBorders/>
                                  <w:shd w:fill="DCEBF4" w:val="clear"/>
                                  <w:vAlign w:val="center"/>
                                </w:tcPr>
                                <w:p>
                                  <w:pPr>
                                    <w:pStyle w:val="TableContents"/>
                                    <w:bidi w:val="0"/>
                                    <w:spacing w:before="0" w:after="283"/>
                                    <w:jc w:val="left"/>
                                    <w:rPr>
                                      <w:sz w:val="15"/>
                                    </w:rPr>
                                  </w:pPr>
                                  <w:r>
                                    <w:rPr>
                                      <w:sz w:val="15"/>
                                    </w:rPr>
                                    <w:t>November 2, 2026, February 1, 2027, April 30, 2027, August 2, 2027, November 1, 2027, January 31, 2028, May 1, 2028 and July 31, 2028</w:t>
                                  </w:r>
                                </w:p>
                              </w:tc>
                            </w:tr>
                            <w:tr>
                              <w:trPr/>
                              <w:tc>
                                <w:tcPr>
                                  <w:tcW w:w="270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98" w:type="dxa"/>
                                  <w:tcBorders/>
                                  <w:vAlign w:val="center"/>
                                </w:tcPr>
                                <w:p>
                                  <w:pPr>
                                    <w:pStyle w:val="TableContents"/>
                                    <w:bidi w:val="0"/>
                                    <w:spacing w:before="0" w:after="283"/>
                                    <w:jc w:val="left"/>
                                    <w:rPr>
                                      <w:sz w:val="15"/>
                                    </w:rPr>
                                  </w:pPr>
                                  <w:r>
                                    <w:rPr>
                                      <w:sz w:val="15"/>
                                    </w:rPr>
                                    <w:t>November 5, 2026, February 4, 2027, May 5, 2027, August 5, 2027, November 4, 2027, February 3, 2028, May 4, 2028 and the maturity date</w:t>
                                  </w:r>
                                </w:p>
                              </w:tc>
                            </w:tr>
                            <w:tr>
                              <w:trPr/>
                              <w:tc>
                                <w:tcPr>
                                  <w:tcW w:w="270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98" w:type="dxa"/>
                                  <w:tcBorders/>
                                  <w:shd w:fill="DCEBF4" w:val="clear"/>
                                  <w:vAlign w:val="center"/>
                                </w:tcPr>
                                <w:p>
                                  <w:pPr>
                                    <w:pStyle w:val="TableContents"/>
                                    <w:bidi w:val="0"/>
                                    <w:spacing w:before="0" w:after="283"/>
                                    <w:jc w:val="left"/>
                                    <w:rPr>
                                      <w:sz w:val="15"/>
                                    </w:rPr>
                                  </w:pPr>
                                  <w:r>
                                    <w:rPr>
                                      <w:sz w:val="15"/>
                                    </w:rPr>
                                    <w:t>August 3, 2028</w:t>
                                  </w:r>
                                </w:p>
                              </w:tc>
                            </w:tr>
                            <w:tr>
                              <w:trPr/>
                              <w:tc>
                                <w:tcPr>
                                  <w:tcW w:w="2707" w:type="dxa"/>
                                  <w:tcBorders/>
                                  <w:vAlign w:val="center"/>
                                </w:tcPr>
                                <w:p>
                                  <w:pPr>
                                    <w:pStyle w:val="TableContents"/>
                                    <w:bidi w:val="0"/>
                                    <w:spacing w:before="0" w:after="283"/>
                                    <w:jc w:val="left"/>
                                    <w:rPr>
                                      <w:b/>
                                      <w:color w:val="296DC1"/>
                                      <w:sz w:val="16"/>
                                    </w:rPr>
                                  </w:pPr>
                                  <w:r>
                                    <w:rPr>
                                      <w:b/>
                                      <w:color w:val="296DC1"/>
                                      <w:sz w:val="16"/>
                                    </w:rPr>
                                    <w:t>CUSIP / ISIN:</w:t>
                                  </w:r>
                                </w:p>
                              </w:tc>
                              <w:tc>
                                <w:tcPr>
                                  <w:tcW w:w="7498" w:type="dxa"/>
                                  <w:tcBorders/>
                                  <w:vAlign w:val="center"/>
                                </w:tcPr>
                                <w:p>
                                  <w:pPr>
                                    <w:pStyle w:val="TableContents"/>
                                    <w:bidi w:val="0"/>
                                    <w:spacing w:before="0" w:after="283"/>
                                    <w:jc w:val="left"/>
                                    <w:rPr>
                                      <w:sz w:val="15"/>
                                    </w:rPr>
                                  </w:pPr>
                                  <w:r>
                                    <w:rPr>
                                      <w:sz w:val="15"/>
                                    </w:rPr>
                                    <w:t>46661KWD6 / US46661KWD61</w:t>
                                  </w:r>
                                </w:p>
                              </w:tc>
                            </w:tr>
                            <w:tr>
                              <w:trPr/>
                              <w:tc>
                                <w:tcPr>
                                  <w:tcW w:w="270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98" w:type="dxa"/>
                                  <w:tcBorders/>
                                  <w:shd w:fill="DCEBF4" w:val="clear"/>
                                  <w:vAlign w:val="center"/>
                                </w:tcPr>
                                <w:p>
                                  <w:pPr>
                                    <w:pStyle w:val="TableContents"/>
                                    <w:bidi w:val="0"/>
                                    <w:spacing w:before="0" w:after="283"/>
                                    <w:jc w:val="left"/>
                                    <w:rPr/>
                                  </w:pPr>
                                  <w:hyperlink r:id="rId2">
                                    <w:r>
                                      <w:rPr>
                                        <w:rStyle w:val="InternetLink"/>
                                        <w:sz w:val="15"/>
                                      </w:rPr>
                                      <w:t>http://www.sec.gov/Archives/edgar/data/19617/</w:t>
                                      <w:br/>
                                      <w:t>000121390026081453/ ea0299173-01_424b2.htm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8470" w:type="dxa"/>
                              <w:jc w:val="left"/>
                              <w:tblInd w:w="0" w:type="dxa"/>
                              <w:tblLayout w:type="fixed"/>
                              <w:tblCellMar>
                                <w:top w:w="0" w:type="dxa"/>
                                <w:left w:w="0" w:type="dxa"/>
                                <w:bottom w:w="0" w:type="dxa"/>
                                <w:right w:w="0" w:type="dxa"/>
                              </w:tblCellMar>
                            </w:tblPr>
                            <w:tblGrid>
                              <w:gridCol w:w="3200"/>
                              <w:gridCol w:w="5270"/>
                            </w:tblGrid>
                            <w:tr>
                              <w:trPr/>
                              <w:tc>
                                <w:tcPr>
                                  <w:tcW w:w="8470"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527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Payment at Maturity (excluding any contingent quarterly payment </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707"/>
                        <w:gridCol w:w="7498"/>
                      </w:tblGrid>
                      <w:tr>
                        <w:trPr/>
                        <w:tc>
                          <w:tcPr>
                            <w:tcW w:w="2707"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98" w:type="dxa"/>
                            <w:tcBorders/>
                            <w:shd w:fill="DCEBF4" w:val="clear"/>
                            <w:vAlign w:val="center"/>
                          </w:tcPr>
                          <w:p>
                            <w:pPr>
                              <w:pStyle w:val="TableContents"/>
                              <w:bidi w:val="0"/>
                              <w:spacing w:before="0" w:after="283"/>
                              <w:jc w:val="left"/>
                              <w:rPr>
                                <w:sz w:val="15"/>
                              </w:rPr>
                            </w:pPr>
                            <w:r>
                              <w:rPr>
                                <w:sz w:val="15"/>
                              </w:rPr>
                              <w:t>$1,000 per security</w:t>
                            </w:r>
                          </w:p>
                        </w:tc>
                      </w:tr>
                      <w:tr>
                        <w:trPr/>
                        <w:tc>
                          <w:tcPr>
                            <w:tcW w:w="2707"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98" w:type="dxa"/>
                            <w:tcBorders/>
                            <w:vAlign w:val="center"/>
                          </w:tcPr>
                          <w:p>
                            <w:pPr>
                              <w:pStyle w:val="TableContents"/>
                              <w:bidi w:val="0"/>
                              <w:spacing w:before="0" w:after="283"/>
                              <w:jc w:val="left"/>
                              <w:rPr>
                                <w:sz w:val="15"/>
                              </w:rPr>
                            </w:pPr>
                            <w:r>
                              <w:rPr>
                                <w:sz w:val="15"/>
                              </w:rPr>
                              <w:t>$1,000 per security</w:t>
                            </w:r>
                          </w:p>
                        </w:tc>
                      </w:tr>
                      <w:tr>
                        <w:trPr/>
                        <w:tc>
                          <w:tcPr>
                            <w:tcW w:w="270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98" w:type="dxa"/>
                            <w:tcBorders/>
                            <w:shd w:fill="DCEBF4" w:val="clear"/>
                            <w:vAlign w:val="center"/>
                          </w:tcPr>
                          <w:p>
                            <w:pPr>
                              <w:pStyle w:val="TableContents"/>
                              <w:bidi w:val="0"/>
                              <w:spacing w:before="0" w:after="283"/>
                              <w:jc w:val="left"/>
                              <w:rPr>
                                <w:sz w:val="15"/>
                              </w:rPr>
                            </w:pPr>
                            <w:r>
                              <w:rPr>
                                <w:sz w:val="15"/>
                              </w:rPr>
                              <w:t>Expected to be July 31, 2026</w:t>
                            </w:r>
                          </w:p>
                        </w:tc>
                      </w:tr>
                      <w:tr>
                        <w:trPr/>
                        <w:tc>
                          <w:tcPr>
                            <w:tcW w:w="270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98" w:type="dxa"/>
                            <w:tcBorders/>
                            <w:vAlign w:val="center"/>
                          </w:tcPr>
                          <w:p>
                            <w:pPr>
                              <w:pStyle w:val="TableContents"/>
                              <w:bidi w:val="0"/>
                              <w:spacing w:before="0" w:after="283"/>
                              <w:jc w:val="left"/>
                              <w:rPr>
                                <w:sz w:val="15"/>
                              </w:rPr>
                            </w:pPr>
                            <w:r>
                              <w:rPr>
                                <w:sz w:val="15"/>
                              </w:rPr>
                              <w:t>3 business days after the pricing date</w:t>
                            </w:r>
                          </w:p>
                        </w:tc>
                      </w:tr>
                      <w:tr>
                        <w:trPr/>
                        <w:tc>
                          <w:tcPr>
                            <w:tcW w:w="270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98" w:type="dxa"/>
                            <w:tcBorders/>
                            <w:shd w:fill="DCEBF4" w:val="clear"/>
                            <w:vAlign w:val="center"/>
                          </w:tcPr>
                          <w:p>
                            <w:pPr>
                              <w:pStyle w:val="TableContents"/>
                              <w:bidi w:val="0"/>
                              <w:spacing w:before="0" w:after="283"/>
                              <w:jc w:val="left"/>
                              <w:rPr>
                                <w:sz w:val="15"/>
                              </w:rPr>
                            </w:pPr>
                            <w:r>
                              <w:rPr>
                                <w:sz w:val="15"/>
                              </w:rPr>
                              <w:t>November 2, 2026, February 1, 2027, April 30, 2027, August 2, 2027, November 1, 2027, January 31, 2028, May 1, 2028 and July 31, 2028</w:t>
                            </w:r>
                          </w:p>
                        </w:tc>
                      </w:tr>
                      <w:tr>
                        <w:trPr/>
                        <w:tc>
                          <w:tcPr>
                            <w:tcW w:w="270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98" w:type="dxa"/>
                            <w:tcBorders/>
                            <w:vAlign w:val="center"/>
                          </w:tcPr>
                          <w:p>
                            <w:pPr>
                              <w:pStyle w:val="TableContents"/>
                              <w:bidi w:val="0"/>
                              <w:spacing w:before="0" w:after="283"/>
                              <w:jc w:val="left"/>
                              <w:rPr>
                                <w:sz w:val="15"/>
                              </w:rPr>
                            </w:pPr>
                            <w:r>
                              <w:rPr>
                                <w:sz w:val="15"/>
                              </w:rPr>
                              <w:t>November 5, 2026, February 4, 2027, May 5, 2027, August 5, 2027, November 4, 2027, February 3, 2028, May 4, 2028 and the maturity date</w:t>
                            </w:r>
                          </w:p>
                        </w:tc>
                      </w:tr>
                      <w:tr>
                        <w:trPr/>
                        <w:tc>
                          <w:tcPr>
                            <w:tcW w:w="270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98" w:type="dxa"/>
                            <w:tcBorders/>
                            <w:shd w:fill="DCEBF4" w:val="clear"/>
                            <w:vAlign w:val="center"/>
                          </w:tcPr>
                          <w:p>
                            <w:pPr>
                              <w:pStyle w:val="TableContents"/>
                              <w:bidi w:val="0"/>
                              <w:spacing w:before="0" w:after="283"/>
                              <w:jc w:val="left"/>
                              <w:rPr>
                                <w:sz w:val="15"/>
                              </w:rPr>
                            </w:pPr>
                            <w:r>
                              <w:rPr>
                                <w:sz w:val="15"/>
                              </w:rPr>
                              <w:t>August 3, 2028</w:t>
                            </w:r>
                          </w:p>
                        </w:tc>
                      </w:tr>
                      <w:tr>
                        <w:trPr/>
                        <w:tc>
                          <w:tcPr>
                            <w:tcW w:w="2707" w:type="dxa"/>
                            <w:tcBorders/>
                            <w:vAlign w:val="center"/>
                          </w:tcPr>
                          <w:p>
                            <w:pPr>
                              <w:pStyle w:val="TableContents"/>
                              <w:bidi w:val="0"/>
                              <w:spacing w:before="0" w:after="283"/>
                              <w:jc w:val="left"/>
                              <w:rPr>
                                <w:b/>
                                <w:color w:val="296DC1"/>
                                <w:sz w:val="16"/>
                              </w:rPr>
                            </w:pPr>
                            <w:r>
                              <w:rPr>
                                <w:b/>
                                <w:color w:val="296DC1"/>
                                <w:sz w:val="16"/>
                              </w:rPr>
                              <w:t>CUSIP / ISIN:</w:t>
                            </w:r>
                          </w:p>
                        </w:tc>
                        <w:tc>
                          <w:tcPr>
                            <w:tcW w:w="7498" w:type="dxa"/>
                            <w:tcBorders/>
                            <w:vAlign w:val="center"/>
                          </w:tcPr>
                          <w:p>
                            <w:pPr>
                              <w:pStyle w:val="TableContents"/>
                              <w:bidi w:val="0"/>
                              <w:spacing w:before="0" w:after="283"/>
                              <w:jc w:val="left"/>
                              <w:rPr>
                                <w:sz w:val="15"/>
                              </w:rPr>
                            </w:pPr>
                            <w:r>
                              <w:rPr>
                                <w:sz w:val="15"/>
                              </w:rPr>
                              <w:t>46661KWD6 / US46661KWD61</w:t>
                            </w:r>
                          </w:p>
                        </w:tc>
                      </w:tr>
                      <w:tr>
                        <w:trPr/>
                        <w:tc>
                          <w:tcPr>
                            <w:tcW w:w="270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98" w:type="dxa"/>
                            <w:tcBorders/>
                            <w:shd w:fill="DCEBF4" w:val="clear"/>
                            <w:vAlign w:val="center"/>
                          </w:tcPr>
                          <w:p>
                            <w:pPr>
                              <w:pStyle w:val="TableContents"/>
                              <w:bidi w:val="0"/>
                              <w:spacing w:before="0" w:after="283"/>
                              <w:jc w:val="left"/>
                              <w:rPr/>
                            </w:pPr>
                            <w:hyperlink r:id="rId3">
                              <w:r>
                                <w:rPr>
                                  <w:rStyle w:val="InternetLink"/>
                                  <w:sz w:val="15"/>
                                </w:rPr>
                                <w:t>http://www.sec.gov/Archives/edgar/data/19617/</w:t>
                                <w:br/>
                                <w:t>000121390026081453/ ea0299173-01_424b2.htm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8470" w:type="dxa"/>
                        <w:jc w:val="left"/>
                        <w:tblInd w:w="0" w:type="dxa"/>
                        <w:tblLayout w:type="fixed"/>
                        <w:tblCellMar>
                          <w:top w:w="0" w:type="dxa"/>
                          <w:left w:w="0" w:type="dxa"/>
                          <w:bottom w:w="0" w:type="dxa"/>
                          <w:right w:w="0" w:type="dxa"/>
                        </w:tblCellMar>
                      </w:tblPr>
                      <w:tblGrid>
                        <w:gridCol w:w="3200"/>
                        <w:gridCol w:w="5270"/>
                      </w:tblGrid>
                      <w:tr>
                        <w:trPr/>
                        <w:tc>
                          <w:tcPr>
                            <w:tcW w:w="8470"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20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w:t>
                              <w:br/>
                              <w:t>Index</w:t>
                            </w:r>
                          </w:p>
                        </w:tc>
                        <w:tc>
                          <w:tcPr>
                            <w:tcW w:w="527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Payment at Maturity (excluding any contingent quarterly payment </w:t>
                              <w:br/>
                              <w:t>payable at maturity)</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32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52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32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52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Worst-of NDX/SPX/RTY Contingent Income Callable Securities with 1-Year Initial Non-Call Period</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 xml:space="preserve">The securities are subject to risks associated with securities issued by non-U.S. companies with respect to the NDX Index. </w:t>
            </w:r>
          </w:p>
        </w:tc>
      </w:tr>
    </w:tbl>
    <w:tbl>
      <w:tblPr>
        <w:tblW w:w="8883" w:type="dxa"/>
        <w:jc w:val="left"/>
        <w:tblInd w:w="0" w:type="dxa"/>
        <w:tblLayout w:type="fixed"/>
        <w:tblCellMar>
          <w:top w:w="0" w:type="dxa"/>
          <w:left w:w="0" w:type="dxa"/>
          <w:bottom w:w="0" w:type="dxa"/>
          <w:right w:w="0" w:type="dxa"/>
        </w:tblCellMar>
      </w:tblPr>
      <w:tblGrid>
        <w:gridCol w:w="38"/>
        <w:gridCol w:w="125"/>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20" w:type="dxa"/>
            <w:tcBorders/>
            <w:vAlign w:val="center"/>
          </w:tcPr>
          <w:p>
            <w:pPr>
              <w:pStyle w:val="TableContents"/>
              <w:bidi w:val="0"/>
              <w:spacing w:before="0" w:after="283"/>
              <w:jc w:val="both"/>
              <w:rPr>
                <w:sz w:val="18"/>
              </w:rPr>
            </w:pPr>
            <w:r>
              <w:rPr>
                <w:sz w:val="18"/>
              </w:rPr>
              <w:t>An investment in the securities is subject to risks associated with small capitalization stocks with respect to the RTY Index.</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1453/ea0299173-01_424b2.htm" TargetMode="External"/><Relationship Id="rId3" Type="http://schemas.openxmlformats.org/officeDocument/2006/relationships/hyperlink" Target="http://www.sec.gov/Archives/edgar/data/19617/000121390026081453/ea0299173-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1750</Words>
  <Characters>9620</Characters>
  <CharactersWithSpaces>11236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