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2174-01_fwp.htm"/>
      <w:bookmarkStart w:id="1" w:name="ksea0302174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14,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6-Year SX5E/TPX/UKX/SMI/AS51 Basket Market-Linked Notes</w:t>
      </w:r>
    </w:p>
    <w:p>
      <w:pPr>
        <w:pStyle w:val="TextBody"/>
        <w:bidi w:val="0"/>
        <w:spacing w:before="40" w:after="40"/>
        <w:ind w:left="86" w:right="4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notes.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4540" w:type="dxa"/>
                              <w:jc w:val="left"/>
                              <w:tblInd w:w="0" w:type="dxa"/>
                              <w:tblLayout w:type="fixed"/>
                              <w:tblCellMar>
                                <w:top w:w="0" w:type="dxa"/>
                                <w:left w:w="0" w:type="dxa"/>
                                <w:bottom w:w="0" w:type="dxa"/>
                                <w:right w:w="0" w:type="dxa"/>
                              </w:tblCellMar>
                            </w:tblPr>
                            <w:tblGrid>
                              <w:gridCol w:w="725"/>
                              <w:gridCol w:w="3815"/>
                            </w:tblGrid>
                            <w:tr>
                              <w:trPr/>
                              <w:tc>
                                <w:tcPr>
                                  <w:tcW w:w="725"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3815" w:type="dxa"/>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3815" w:type="dxa"/>
                                  <w:tcBorders/>
                                  <w:shd w:fill="DCEBF4" w:val="clear"/>
                                  <w:vAlign w:val="center"/>
                                </w:tcPr>
                                <w:p>
                                  <w:pPr>
                                    <w:pStyle w:val="TableContents"/>
                                    <w:bidi w:val="0"/>
                                    <w:spacing w:before="0" w:after="283"/>
                                    <w:jc w:val="left"/>
                                    <w:rPr>
                                      <w:sz w:val="14"/>
                                    </w:rPr>
                                  </w:pPr>
                                  <w:r>
                                    <w:rPr>
                                      <w:sz w:val="14"/>
                                    </w:rPr>
                                    <w:t>JPMorgan Chase &amp; Co.</w:t>
                                  </w:r>
                                </w:p>
                              </w:tc>
                            </w:tr>
                          </w:tbl>
                          <w:tbl>
                            <w:tblPr>
                              <w:tblW w:w="4475" w:type="dxa"/>
                              <w:jc w:val="left"/>
                              <w:tblInd w:w="0" w:type="dxa"/>
                              <w:tblLayout w:type="fixed"/>
                              <w:tblCellMar>
                                <w:top w:w="0" w:type="dxa"/>
                                <w:left w:w="0" w:type="dxa"/>
                                <w:bottom w:w="0" w:type="dxa"/>
                                <w:right w:w="0" w:type="dxa"/>
                              </w:tblCellMar>
                            </w:tblPr>
                            <w:tblGrid>
                              <w:gridCol w:w="515"/>
                              <w:gridCol w:w="2555"/>
                              <w:gridCol w:w="755"/>
                              <w:gridCol w:w="650"/>
                            </w:tblGrid>
                            <w:tr>
                              <w:trPr/>
                              <w:tc>
                                <w:tcPr>
                                  <w:tcW w:w="51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r>
                                </w:p>
                              </w:tc>
                              <w:tc>
                                <w:tcPr>
                                  <w:tcW w:w="25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7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Bloomberg </w:t>
                                    <w:br/>
                                    <w:t xml:space="preserve">ticker </w:t>
                                    <w:br/>
                                    <w:t>symbol</w:t>
                                  </w:r>
                                </w:p>
                              </w:tc>
                              <w:tc>
                                <w:tcPr>
                                  <w:tcW w:w="65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Basket </w:t>
                                    <w:br/>
                                    <w:t>weighting</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755" w:type="dxa"/>
                                  <w:tcBorders/>
                                  <w:vAlign w:val="center"/>
                                </w:tcPr>
                                <w:p>
                                  <w:pPr>
                                    <w:pStyle w:val="TableContents"/>
                                    <w:bidi w:val="0"/>
                                    <w:spacing w:before="0" w:after="283"/>
                                    <w:jc w:val="left"/>
                                    <w:rPr>
                                      <w:sz w:val="14"/>
                                    </w:rPr>
                                  </w:pPr>
                                  <w:r>
                                    <w:rPr>
                                      <w:sz w:val="14"/>
                                    </w:rPr>
                                    <w:t>SX5E</w:t>
                                  </w:r>
                                </w:p>
                              </w:tc>
                              <w:tc>
                                <w:tcPr>
                                  <w:tcW w:w="650" w:type="dxa"/>
                                  <w:tcBorders/>
                                  <w:vAlign w:val="center"/>
                                </w:tcPr>
                                <w:p>
                                  <w:pPr>
                                    <w:pStyle w:val="TableContents"/>
                                    <w:bidi w:val="0"/>
                                    <w:spacing w:before="0" w:after="283"/>
                                    <w:jc w:val="left"/>
                                    <w:rPr>
                                      <w:sz w:val="14"/>
                                    </w:rPr>
                                  </w:pPr>
                                  <w:r>
                                    <w:rPr>
                                      <w:sz w:val="14"/>
                                    </w:rPr>
                                    <w:t>40.00%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755" w:type="dxa"/>
                                  <w:tcBorders/>
                                  <w:vAlign w:val="center"/>
                                </w:tcPr>
                                <w:p>
                                  <w:pPr>
                                    <w:pStyle w:val="TableContents"/>
                                    <w:bidi w:val="0"/>
                                    <w:spacing w:before="0" w:after="283"/>
                                    <w:jc w:val="left"/>
                                    <w:rPr>
                                      <w:sz w:val="14"/>
                                    </w:rPr>
                                  </w:pPr>
                                  <w:r>
                                    <w:rPr>
                                      <w:sz w:val="14"/>
                                    </w:rPr>
                                    <w:t>TPX</w:t>
                                  </w:r>
                                </w:p>
                              </w:tc>
                              <w:tc>
                                <w:tcPr>
                                  <w:tcW w:w="650" w:type="dxa"/>
                                  <w:tcBorders/>
                                  <w:vAlign w:val="center"/>
                                </w:tcPr>
                                <w:p>
                                  <w:pPr>
                                    <w:pStyle w:val="TableContents"/>
                                    <w:bidi w:val="0"/>
                                    <w:spacing w:before="0" w:after="283"/>
                                    <w:jc w:val="left"/>
                                    <w:rPr>
                                      <w:sz w:val="14"/>
                                    </w:rPr>
                                  </w:pPr>
                                  <w:r>
                                    <w:rPr>
                                      <w:sz w:val="14"/>
                                    </w:rPr>
                                    <w:t>25.00%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755" w:type="dxa"/>
                                  <w:tcBorders/>
                                  <w:vAlign w:val="center"/>
                                </w:tcPr>
                                <w:p>
                                  <w:pPr>
                                    <w:pStyle w:val="TableContents"/>
                                    <w:bidi w:val="0"/>
                                    <w:spacing w:before="0" w:after="283"/>
                                    <w:jc w:val="left"/>
                                    <w:rPr>
                                      <w:sz w:val="14"/>
                                    </w:rPr>
                                  </w:pPr>
                                  <w:r>
                                    <w:rPr>
                                      <w:sz w:val="14"/>
                                    </w:rPr>
                                    <w:t>UKX</w:t>
                                  </w:r>
                                </w:p>
                              </w:tc>
                              <w:tc>
                                <w:tcPr>
                                  <w:tcW w:w="650" w:type="dxa"/>
                                  <w:tcBorders/>
                                  <w:vAlign w:val="center"/>
                                </w:tcPr>
                                <w:p>
                                  <w:pPr>
                                    <w:pStyle w:val="TableContents"/>
                                    <w:bidi w:val="0"/>
                                    <w:spacing w:before="0" w:after="283"/>
                                    <w:jc w:val="left"/>
                                    <w:rPr>
                                      <w:sz w:val="14"/>
                                    </w:rPr>
                                  </w:pPr>
                                  <w:r>
                                    <w:rPr>
                                      <w:sz w:val="14"/>
                                    </w:rPr>
                                    <w:t>17.50%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Swiss Market Index (the “SMI Index”)</w:t>
                                  </w:r>
                                </w:p>
                              </w:tc>
                              <w:tc>
                                <w:tcPr>
                                  <w:tcW w:w="755" w:type="dxa"/>
                                  <w:tcBorders/>
                                  <w:vAlign w:val="center"/>
                                </w:tcPr>
                                <w:p>
                                  <w:pPr>
                                    <w:pStyle w:val="TableContents"/>
                                    <w:bidi w:val="0"/>
                                    <w:spacing w:before="0" w:after="283"/>
                                    <w:jc w:val="left"/>
                                    <w:rPr>
                                      <w:sz w:val="14"/>
                                    </w:rPr>
                                  </w:pPr>
                                  <w:r>
                                    <w:rPr>
                                      <w:sz w:val="14"/>
                                    </w:rPr>
                                    <w:t>SMI</w:t>
                                  </w:r>
                                </w:p>
                              </w:tc>
                              <w:tc>
                                <w:tcPr>
                                  <w:tcW w:w="650" w:type="dxa"/>
                                  <w:tcBorders/>
                                  <w:vAlign w:val="center"/>
                                </w:tcPr>
                                <w:p>
                                  <w:pPr>
                                    <w:pStyle w:val="TableContents"/>
                                    <w:bidi w:val="0"/>
                                    <w:spacing w:before="0" w:after="283"/>
                                    <w:jc w:val="left"/>
                                    <w:rPr>
                                      <w:sz w:val="14"/>
                                    </w:rPr>
                                  </w:pPr>
                                  <w:r>
                                    <w:rPr>
                                      <w:sz w:val="14"/>
                                    </w:rPr>
                                    <w:t>10.00%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S&amp;P/ASX 200 Index (the “AS51 Index”)</w:t>
                                  </w:r>
                                </w:p>
                              </w:tc>
                              <w:tc>
                                <w:tcPr>
                                  <w:tcW w:w="755" w:type="dxa"/>
                                  <w:tcBorders/>
                                  <w:vAlign w:val="center"/>
                                </w:tcPr>
                                <w:p>
                                  <w:pPr>
                                    <w:pStyle w:val="TableContents"/>
                                    <w:bidi w:val="0"/>
                                    <w:spacing w:before="0" w:after="283"/>
                                    <w:jc w:val="left"/>
                                    <w:rPr>
                                      <w:sz w:val="14"/>
                                    </w:rPr>
                                  </w:pPr>
                                  <w:r>
                                    <w:rPr>
                                      <w:sz w:val="14"/>
                                    </w:rPr>
                                    <w:t>AS51</w:t>
                                  </w:r>
                                </w:p>
                              </w:tc>
                              <w:tc>
                                <w:tcPr>
                                  <w:tcW w:w="650" w:type="dxa"/>
                                  <w:tcBorders/>
                                  <w:vAlign w:val="center"/>
                                </w:tcPr>
                                <w:p>
                                  <w:pPr>
                                    <w:pStyle w:val="TableContents"/>
                                    <w:bidi w:val="0"/>
                                    <w:spacing w:before="0" w:after="283"/>
                                    <w:jc w:val="left"/>
                                    <w:rPr>
                                      <w:sz w:val="14"/>
                                    </w:rPr>
                                  </w:pPr>
                                  <w:r>
                                    <w:rPr>
                                      <w:sz w:val="14"/>
                                    </w:rPr>
                                    <w:t>7.50%</w:t>
                                  </w:r>
                                </w:p>
                              </w:tc>
                            </w:tr>
                          </w:tbl>
                          <w:tbl>
                            <w:tblPr>
                              <w:tblW w:w="10205" w:type="dxa"/>
                              <w:jc w:val="left"/>
                              <w:tblInd w:w="0" w:type="dxa"/>
                              <w:tblLayout w:type="fixed"/>
                              <w:tblCellMar>
                                <w:top w:w="0" w:type="dxa"/>
                                <w:left w:w="0" w:type="dxa"/>
                                <w:bottom w:w="0" w:type="dxa"/>
                                <w:right w:w="0" w:type="dxa"/>
                              </w:tblCellMar>
                            </w:tblPr>
                            <w:tblGrid>
                              <w:gridCol w:w="1376"/>
                              <w:gridCol w:w="8829"/>
                            </w:tblGrid>
                            <w:tr>
                              <w:trPr/>
                              <w:tc>
                                <w:tcPr>
                                  <w:tcW w:w="1376" w:type="dxa"/>
                                  <w:tcBorders/>
                                  <w:vAlign w:val="center"/>
                                </w:tcPr>
                                <w:p>
                                  <w:pPr>
                                    <w:pStyle w:val="TableContents"/>
                                    <w:bidi w:val="0"/>
                                    <w:spacing w:before="0" w:after="283"/>
                                    <w:jc w:val="left"/>
                                    <w:rPr/>
                                  </w:pPr>
                                  <w:r>
                                    <w:rPr/>
                                    <w:t> </w:t>
                                  </w:r>
                                </w:p>
                              </w:tc>
                              <w:tc>
                                <w:tcPr>
                                  <w:tcW w:w="8829" w:type="dxa"/>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notes and your payment at maturity will depend significantly on the performance of the SX5E Index.</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Payment at maturity: </w:t>
                                  </w:r>
                                </w:p>
                              </w:tc>
                              <w:tc>
                                <w:tcPr>
                                  <w:tcW w:w="8829"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supplemental redemption amount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In no event will the payment at maturity be less than the stated principal amount of $1,000 per note. You are entitled to repayment of principal in full at maturity, subject to the credit risks of JPMorgan Financial and JPMorgan Chase &amp; Co.</w:t>
                                  </w:r>
                                </w:p>
                              </w:tc>
                            </w:tr>
                            <w:tr>
                              <w:trPr/>
                              <w:tc>
                                <w:tcPr>
                                  <w:tcW w:w="137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Supplemental</w:t>
                                    <w:br/>
                                    <w:t>redemption amount:</w:t>
                                  </w:r>
                                </w:p>
                              </w:tc>
                              <w:tc>
                                <w:tcPr>
                                  <w:tcW w:w="8829" w:type="dxa"/>
                                  <w:tcBorders/>
                                  <w:vAlign w:val="center"/>
                                </w:tcPr>
                                <w:p>
                                  <w:pPr>
                                    <w:pStyle w:val="TableContents"/>
                                    <w:bidi w:val="0"/>
                                    <w:spacing w:before="0" w:after="283"/>
                                    <w:jc w:val="left"/>
                                    <w:rPr>
                                      <w:sz w:val="14"/>
                                    </w:rPr>
                                  </w:pPr>
                                  <w:r>
                                    <w:rPr>
                                      <w:sz w:val="14"/>
                                    </w:rPr>
                                    <w:t>$1,000 × participation rate × basket percent increase</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percent</w:t>
                                    <w:br/>
                                    <w:t>increase:</w:t>
                                  </w:r>
                                </w:p>
                              </w:tc>
                              <w:tc>
                                <w:tcPr>
                                  <w:tcW w:w="8829"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137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Initial basket value: </w:t>
                                  </w:r>
                                </w:p>
                              </w:tc>
                              <w:tc>
                                <w:tcPr>
                                  <w:tcW w:w="8829" w:type="dxa"/>
                                  <w:tcBorders/>
                                  <w:vAlign w:val="center"/>
                                </w:tcPr>
                                <w:p>
                                  <w:pPr>
                                    <w:pStyle w:val="TableContents"/>
                                    <w:bidi w:val="0"/>
                                    <w:spacing w:before="0" w:after="283"/>
                                    <w:jc w:val="left"/>
                                    <w:rPr>
                                      <w:sz w:val="14"/>
                                    </w:rPr>
                                  </w:pPr>
                                  <w:r>
                                    <w:rPr>
                                      <w:sz w:val="14"/>
                                    </w:rPr>
                                    <w:t>Set equal to 100 on the pricing date</w:t>
                                  </w:r>
                                </w:p>
                              </w:tc>
                            </w:tr>
                            <w:tr>
                              <w:trPr/>
                              <w:tc>
                                <w:tcPr>
                                  <w:tcW w:w="1376"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Final basket value: </w:t>
                                  </w:r>
                                </w:p>
                              </w:tc>
                              <w:tc>
                                <w:tcPr>
                                  <w:tcW w:w="8829" w:type="dxa"/>
                                  <w:tcBorders/>
                                  <w:shd w:fill="DCEBF4" w:val="clear"/>
                                  <w:vAlign w:val="center"/>
                                </w:tcPr>
                                <w:p>
                                  <w:pPr>
                                    <w:pStyle w:val="TableContents"/>
                                    <w:bidi w:val="0"/>
                                    <w:spacing w:before="0" w:after="283"/>
                                    <w:jc w:val="left"/>
                                    <w:rPr>
                                      <w:sz w:val="14"/>
                                    </w:rPr>
                                  </w:pPr>
                                  <w:r>
                                    <w:rPr>
                                      <w:sz w:val="14"/>
                                    </w:rPr>
                                    <w:t>The basket closing value on the valuation date</w:t>
                                  </w:r>
                                </w:p>
                              </w:tc>
                            </w:tr>
                            <w:tr>
                              <w:trPr/>
                              <w:tc>
                                <w:tcPr>
                                  <w:tcW w:w="1376" w:type="dxa"/>
                                  <w:tcBorders/>
                                  <w:vAlign w:val="center"/>
                                </w:tcPr>
                                <w:p>
                                  <w:pPr>
                                    <w:pStyle w:val="TableContents"/>
                                    <w:bidi w:val="0"/>
                                    <w:spacing w:before="0" w:after="283"/>
                                    <w:jc w:val="left"/>
                                    <w:rPr>
                                      <w:b/>
                                      <w:color w:val="296DC1"/>
                                      <w:sz w:val="14"/>
                                    </w:rPr>
                                  </w:pPr>
                                  <w:r>
                                    <w:rPr>
                                      <w:b/>
                                      <w:color w:val="296DC1"/>
                                      <w:sz w:val="14"/>
                                    </w:rPr>
                                    <w:t xml:space="preserve">Initial index value: </w:t>
                                  </w:r>
                                </w:p>
                              </w:tc>
                              <w:tc>
                                <w:tcPr>
                                  <w:tcW w:w="8829" w:type="dxa"/>
                                  <w:tcBorders/>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1376" w:type="dxa"/>
                                  <w:tcBorders/>
                                  <w:shd w:fill="DEEAF6" w:val="clear"/>
                                  <w:vAlign w:val="center"/>
                                </w:tcPr>
                                <w:p>
                                  <w:pPr>
                                    <w:pStyle w:val="TableContents"/>
                                    <w:bidi w:val="0"/>
                                    <w:spacing w:before="0" w:after="283"/>
                                    <w:jc w:val="left"/>
                                    <w:rPr>
                                      <w:b/>
                                      <w:color w:val="296DC1"/>
                                      <w:sz w:val="14"/>
                                    </w:rPr>
                                  </w:pPr>
                                  <w:r>
                                    <w:rPr>
                                      <w:b/>
                                      <w:color w:val="296DC1"/>
                                      <w:sz w:val="14"/>
                                    </w:rPr>
                                    <w:t xml:space="preserve">Final index value: </w:t>
                                  </w:r>
                                </w:p>
                              </w:tc>
                              <w:tc>
                                <w:tcPr>
                                  <w:tcW w:w="8829"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Participation rate: </w:t>
                                  </w:r>
                                </w:p>
                              </w:tc>
                              <w:tc>
                                <w:tcPr>
                                  <w:tcW w:w="8829" w:type="dxa"/>
                                  <w:tcBorders/>
                                  <w:shd w:fill="FFFFFF" w:val="clear"/>
                                  <w:vAlign w:val="center"/>
                                </w:tcPr>
                                <w:p>
                                  <w:pPr>
                                    <w:pStyle w:val="TableContents"/>
                                    <w:bidi w:val="0"/>
                                    <w:spacing w:before="0" w:after="283"/>
                                    <w:jc w:val="left"/>
                                    <w:rPr>
                                      <w:sz w:val="14"/>
                                    </w:rPr>
                                  </w:pPr>
                                  <w:r>
                                    <w:rPr>
                                      <w:sz w:val="14"/>
                                    </w:rPr>
                                    <w:t>At least 140.50%</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w:t>
                                    <w:br/>
                                    <w:t>amount:</w:t>
                                  </w:r>
                                </w:p>
                              </w:tc>
                              <w:tc>
                                <w:tcPr>
                                  <w:tcW w:w="8829" w:type="dxa"/>
                                  <w:tcBorders/>
                                  <w:shd w:fill="DCEBF4" w:val="clear"/>
                                  <w:vAlign w:val="center"/>
                                </w:tcPr>
                                <w:p>
                                  <w:pPr>
                                    <w:pStyle w:val="TableContents"/>
                                    <w:bidi w:val="0"/>
                                    <w:spacing w:before="0" w:after="283"/>
                                    <w:jc w:val="left"/>
                                    <w:rPr>
                                      <w:sz w:val="14"/>
                                    </w:rPr>
                                  </w:pPr>
                                  <w:r>
                                    <w:rPr>
                                      <w:sz w:val="14"/>
                                    </w:rPr>
                                    <w:t>$1,000 per note</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829" w:type="dxa"/>
                                  <w:tcBorders/>
                                  <w:shd w:fill="FFFFFF" w:val="clear"/>
                                  <w:vAlign w:val="center"/>
                                </w:tcPr>
                                <w:p>
                                  <w:pPr>
                                    <w:pStyle w:val="TableContents"/>
                                    <w:bidi w:val="0"/>
                                    <w:spacing w:before="0" w:after="283"/>
                                    <w:jc w:val="left"/>
                                    <w:rPr>
                                      <w:sz w:val="14"/>
                                    </w:rPr>
                                  </w:pPr>
                                  <w:r>
                                    <w:rPr>
                                      <w:sz w:val="14"/>
                                    </w:rPr>
                                    <w:t>$1,000 per note</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829" w:type="dxa"/>
                                  <w:tcBorders/>
                                  <w:shd w:fill="DCEBF4" w:val="clear"/>
                                  <w:vAlign w:val="center"/>
                                </w:tcPr>
                                <w:p>
                                  <w:pPr>
                                    <w:pStyle w:val="TableContents"/>
                                    <w:bidi w:val="0"/>
                                    <w:spacing w:before="0" w:after="283"/>
                                    <w:jc w:val="left"/>
                                    <w:rPr>
                                      <w:sz w:val="14"/>
                                    </w:rPr>
                                  </w:pPr>
                                  <w:r>
                                    <w:rPr>
                                      <w:sz w:val="14"/>
                                    </w:rPr>
                                    <w:t>Expected to be August 28, 2026</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Original issue date</w:t>
                                    <w:br/>
                                    <w:t xml:space="preserve">(settlement date): </w:t>
                                  </w:r>
                                </w:p>
                              </w:tc>
                              <w:tc>
                                <w:tcPr>
                                  <w:tcW w:w="8829" w:type="dxa"/>
                                  <w:tcBorders/>
                                  <w:shd w:fill="FFFFFF" w:val="clear"/>
                                  <w:vAlign w:val="center"/>
                                </w:tcPr>
                                <w:p>
                                  <w:pPr>
                                    <w:pStyle w:val="TableContents"/>
                                    <w:bidi w:val="0"/>
                                    <w:spacing w:before="0" w:after="283"/>
                                    <w:jc w:val="left"/>
                                    <w:rPr>
                                      <w:sz w:val="14"/>
                                    </w:rPr>
                                  </w:pPr>
                                  <w:r>
                                    <w:rPr>
                                      <w:sz w:val="14"/>
                                    </w:rPr>
                                    <w:t>4 business days after the pricing date</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Valuation date</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829" w:type="dxa"/>
                                  <w:tcBorders/>
                                  <w:shd w:fill="DCEBF4" w:val="clear"/>
                                  <w:vAlign w:val="center"/>
                                </w:tcPr>
                                <w:p>
                                  <w:pPr>
                                    <w:pStyle w:val="TableContents"/>
                                    <w:bidi w:val="0"/>
                                    <w:spacing w:before="0" w:after="283"/>
                                    <w:jc w:val="left"/>
                                    <w:rPr>
                                      <w:sz w:val="14"/>
                                    </w:rPr>
                                  </w:pPr>
                                  <w:r>
                                    <w:rPr>
                                      <w:sz w:val="14"/>
                                    </w:rPr>
                                    <w:t>August 31, 2032</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829" w:type="dxa"/>
                                  <w:tcBorders/>
                                  <w:shd w:fill="FFFFFF" w:val="clear"/>
                                  <w:vAlign w:val="center"/>
                                </w:tcPr>
                                <w:p>
                                  <w:pPr>
                                    <w:pStyle w:val="TableContents"/>
                                    <w:bidi w:val="0"/>
                                    <w:spacing w:before="0" w:after="283"/>
                                    <w:jc w:val="left"/>
                                    <w:rPr>
                                      <w:sz w:val="14"/>
                                    </w:rPr>
                                  </w:pPr>
                                  <w:r>
                                    <w:rPr>
                                      <w:sz w:val="14"/>
                                    </w:rPr>
                                    <w:t>September 3, 2032</w:t>
                                  </w:r>
                                </w:p>
                              </w:tc>
                            </w:tr>
                            <w:tr>
                              <w:trPr/>
                              <w:tc>
                                <w:tcPr>
                                  <w:tcW w:w="1376" w:type="dxa"/>
                                  <w:tcBorders/>
                                  <w:shd w:fill="DCEBF4" w:val="clear"/>
                                  <w:vAlign w:val="center"/>
                                </w:tcPr>
                                <w:p>
                                  <w:pPr>
                                    <w:pStyle w:val="TableContents"/>
                                    <w:bidi w:val="0"/>
                                    <w:spacing w:before="0" w:after="283"/>
                                    <w:jc w:val="left"/>
                                    <w:rPr>
                                      <w:b/>
                                      <w:color w:val="296DC1"/>
                                      <w:sz w:val="14"/>
                                    </w:rPr>
                                  </w:pPr>
                                  <w:r>
                                    <w:rPr>
                                      <w:b/>
                                      <w:color w:val="296DC1"/>
                                      <w:sz w:val="14"/>
                                    </w:rPr>
                                    <w:t>CUSIP / ISIN:</w:t>
                                  </w:r>
                                </w:p>
                              </w:tc>
                              <w:tc>
                                <w:tcPr>
                                  <w:tcW w:w="8829" w:type="dxa"/>
                                  <w:tcBorders/>
                                  <w:shd w:fill="DCEBF4" w:val="clear"/>
                                  <w:vAlign w:val="center"/>
                                </w:tcPr>
                                <w:p>
                                  <w:pPr>
                                    <w:pStyle w:val="TableContents"/>
                                    <w:bidi w:val="0"/>
                                    <w:spacing w:before="0" w:after="283"/>
                                    <w:jc w:val="left"/>
                                    <w:rPr>
                                      <w:sz w:val="14"/>
                                    </w:rPr>
                                  </w:pPr>
                                  <w:r>
                                    <w:rPr>
                                      <w:sz w:val="14"/>
                                    </w:rPr>
                                    <w:t>46661KLS5 / US46661KLS59</w:t>
                                  </w:r>
                                </w:p>
                              </w:tc>
                            </w:tr>
                            <w:tr>
                              <w:trPr/>
                              <w:tc>
                                <w:tcPr>
                                  <w:tcW w:w="1376" w:type="dxa"/>
                                  <w:tcBorders/>
                                  <w:shd w:fill="FFFFFF" w:val="clear"/>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829" w:type="dxa"/>
                                  <w:tcBorders/>
                                  <w:shd w:fill="FFFFFF" w:val="clear"/>
                                  <w:vAlign w:val="center"/>
                                </w:tcPr>
                                <w:p>
                                  <w:pPr>
                                    <w:pStyle w:val="TableContents"/>
                                    <w:bidi w:val="0"/>
                                    <w:spacing w:before="0" w:after="283"/>
                                    <w:jc w:val="left"/>
                                    <w:rPr/>
                                  </w:pPr>
                                  <w:hyperlink r:id="rId2">
                                    <w:r>
                                      <w:rPr>
                                        <w:rStyle w:val="InternetLink"/>
                                        <w:sz w:val="14"/>
                                      </w:rPr>
                                      <w:t>http://www.sec.gov/Archives/edgar/data/</w:t>
                                      <w:br/>
                                      <w:t>19617/000121390026089370/ea0302104-01_424b2.htm</w:t>
                                    </w:r>
                                  </w:hyperlink>
                                  <w:r>
                                    <w:rPr>
                                      <w:sz w:val="14"/>
                                    </w:rPr>
                                    <w:t xml:space="preserve">   </w:t>
                                  </w:r>
                                </w:p>
                              </w:tc>
                            </w:tr>
                          </w:tbl>
                          <w:p>
                            <w:pPr>
                              <w:pStyle w:val="TextBody"/>
                              <w:bidi w:val="0"/>
                              <w:spacing w:before="0" w:after="40"/>
                              <w:ind w:left="108"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notes on the pricing date will be provided in the pricing supplement and will not be less than $920.00 per $1,000 stated principal amount note. For information about the estimated value of the notes, which likely will be lower than the price you paid for the notes,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notes is subject to the credit risk of JPMorgan Financial, as issuer of the notes, and the credit risk of JPMorgan Chase &amp; Co., as guarantor of the notes.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4540" w:type="dxa"/>
                        <w:jc w:val="left"/>
                        <w:tblInd w:w="0" w:type="dxa"/>
                        <w:tblLayout w:type="fixed"/>
                        <w:tblCellMar>
                          <w:top w:w="0" w:type="dxa"/>
                          <w:left w:w="0" w:type="dxa"/>
                          <w:bottom w:w="0" w:type="dxa"/>
                          <w:right w:w="0" w:type="dxa"/>
                        </w:tblCellMar>
                      </w:tblPr>
                      <w:tblGrid>
                        <w:gridCol w:w="725"/>
                        <w:gridCol w:w="3815"/>
                      </w:tblGrid>
                      <w:tr>
                        <w:trPr/>
                        <w:tc>
                          <w:tcPr>
                            <w:tcW w:w="725"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Issuer: </w:t>
                            </w:r>
                          </w:p>
                        </w:tc>
                        <w:tc>
                          <w:tcPr>
                            <w:tcW w:w="3815" w:type="dxa"/>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725"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Guarantor:</w:t>
                            </w:r>
                          </w:p>
                        </w:tc>
                        <w:tc>
                          <w:tcPr>
                            <w:tcW w:w="3815" w:type="dxa"/>
                            <w:tcBorders/>
                            <w:shd w:fill="DCEBF4" w:val="clear"/>
                            <w:vAlign w:val="center"/>
                          </w:tcPr>
                          <w:p>
                            <w:pPr>
                              <w:pStyle w:val="TableContents"/>
                              <w:bidi w:val="0"/>
                              <w:spacing w:before="0" w:after="283"/>
                              <w:jc w:val="left"/>
                              <w:rPr>
                                <w:sz w:val="14"/>
                              </w:rPr>
                            </w:pPr>
                            <w:r>
                              <w:rPr>
                                <w:sz w:val="14"/>
                              </w:rPr>
                              <w:t>JPMorgan Chase &amp; Co.</w:t>
                            </w:r>
                          </w:p>
                        </w:tc>
                      </w:tr>
                    </w:tbl>
                    <w:tbl>
                      <w:tblPr>
                        <w:tblW w:w="4475" w:type="dxa"/>
                        <w:jc w:val="left"/>
                        <w:tblInd w:w="0" w:type="dxa"/>
                        <w:tblLayout w:type="fixed"/>
                        <w:tblCellMar>
                          <w:top w:w="0" w:type="dxa"/>
                          <w:left w:w="0" w:type="dxa"/>
                          <w:bottom w:w="0" w:type="dxa"/>
                          <w:right w:w="0" w:type="dxa"/>
                        </w:tblCellMar>
                      </w:tblPr>
                      <w:tblGrid>
                        <w:gridCol w:w="515"/>
                        <w:gridCol w:w="2555"/>
                        <w:gridCol w:w="755"/>
                        <w:gridCol w:w="650"/>
                      </w:tblGrid>
                      <w:tr>
                        <w:trPr/>
                        <w:tc>
                          <w:tcPr>
                            <w:tcW w:w="51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r>
                          </w:p>
                        </w:tc>
                        <w:tc>
                          <w:tcPr>
                            <w:tcW w:w="25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755"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Bloomberg </w:t>
                              <w:br/>
                              <w:t xml:space="preserve">ticker </w:t>
                              <w:br/>
                              <w:t>symbol</w:t>
                            </w:r>
                          </w:p>
                        </w:tc>
                        <w:tc>
                          <w:tcPr>
                            <w:tcW w:w="650"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Basket </w:t>
                              <w:br/>
                              <w:t>weighting</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755" w:type="dxa"/>
                            <w:tcBorders/>
                            <w:vAlign w:val="center"/>
                          </w:tcPr>
                          <w:p>
                            <w:pPr>
                              <w:pStyle w:val="TableContents"/>
                              <w:bidi w:val="0"/>
                              <w:spacing w:before="0" w:after="283"/>
                              <w:jc w:val="left"/>
                              <w:rPr>
                                <w:sz w:val="14"/>
                              </w:rPr>
                            </w:pPr>
                            <w:r>
                              <w:rPr>
                                <w:sz w:val="14"/>
                              </w:rPr>
                              <w:t>SX5E</w:t>
                            </w:r>
                          </w:p>
                        </w:tc>
                        <w:tc>
                          <w:tcPr>
                            <w:tcW w:w="650" w:type="dxa"/>
                            <w:tcBorders/>
                            <w:vAlign w:val="center"/>
                          </w:tcPr>
                          <w:p>
                            <w:pPr>
                              <w:pStyle w:val="TableContents"/>
                              <w:bidi w:val="0"/>
                              <w:spacing w:before="0" w:after="283"/>
                              <w:jc w:val="left"/>
                              <w:rPr>
                                <w:sz w:val="14"/>
                              </w:rPr>
                            </w:pPr>
                            <w:r>
                              <w:rPr>
                                <w:sz w:val="14"/>
                              </w:rPr>
                              <w:t>40.00%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755" w:type="dxa"/>
                            <w:tcBorders/>
                            <w:vAlign w:val="center"/>
                          </w:tcPr>
                          <w:p>
                            <w:pPr>
                              <w:pStyle w:val="TableContents"/>
                              <w:bidi w:val="0"/>
                              <w:spacing w:before="0" w:after="283"/>
                              <w:jc w:val="left"/>
                              <w:rPr>
                                <w:sz w:val="14"/>
                              </w:rPr>
                            </w:pPr>
                            <w:r>
                              <w:rPr>
                                <w:sz w:val="14"/>
                              </w:rPr>
                              <w:t>TPX</w:t>
                            </w:r>
                          </w:p>
                        </w:tc>
                        <w:tc>
                          <w:tcPr>
                            <w:tcW w:w="650" w:type="dxa"/>
                            <w:tcBorders/>
                            <w:vAlign w:val="center"/>
                          </w:tcPr>
                          <w:p>
                            <w:pPr>
                              <w:pStyle w:val="TableContents"/>
                              <w:bidi w:val="0"/>
                              <w:spacing w:before="0" w:after="283"/>
                              <w:jc w:val="left"/>
                              <w:rPr>
                                <w:sz w:val="14"/>
                              </w:rPr>
                            </w:pPr>
                            <w:r>
                              <w:rPr>
                                <w:sz w:val="14"/>
                              </w:rPr>
                              <w:t>25.00%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755" w:type="dxa"/>
                            <w:tcBorders/>
                            <w:vAlign w:val="center"/>
                          </w:tcPr>
                          <w:p>
                            <w:pPr>
                              <w:pStyle w:val="TableContents"/>
                              <w:bidi w:val="0"/>
                              <w:spacing w:before="0" w:after="283"/>
                              <w:jc w:val="left"/>
                              <w:rPr>
                                <w:sz w:val="14"/>
                              </w:rPr>
                            </w:pPr>
                            <w:r>
                              <w:rPr>
                                <w:sz w:val="14"/>
                              </w:rPr>
                              <w:t>UKX</w:t>
                            </w:r>
                          </w:p>
                        </w:tc>
                        <w:tc>
                          <w:tcPr>
                            <w:tcW w:w="650" w:type="dxa"/>
                            <w:tcBorders/>
                            <w:vAlign w:val="center"/>
                          </w:tcPr>
                          <w:p>
                            <w:pPr>
                              <w:pStyle w:val="TableContents"/>
                              <w:bidi w:val="0"/>
                              <w:spacing w:before="0" w:after="283"/>
                              <w:jc w:val="left"/>
                              <w:rPr>
                                <w:sz w:val="14"/>
                              </w:rPr>
                            </w:pPr>
                            <w:r>
                              <w:rPr>
                                <w:sz w:val="14"/>
                              </w:rPr>
                              <w:t>17.50%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Swiss Market Index (the “SMI Index”)</w:t>
                            </w:r>
                          </w:p>
                        </w:tc>
                        <w:tc>
                          <w:tcPr>
                            <w:tcW w:w="755" w:type="dxa"/>
                            <w:tcBorders/>
                            <w:vAlign w:val="center"/>
                          </w:tcPr>
                          <w:p>
                            <w:pPr>
                              <w:pStyle w:val="TableContents"/>
                              <w:bidi w:val="0"/>
                              <w:spacing w:before="0" w:after="283"/>
                              <w:jc w:val="left"/>
                              <w:rPr>
                                <w:sz w:val="14"/>
                              </w:rPr>
                            </w:pPr>
                            <w:r>
                              <w:rPr>
                                <w:sz w:val="14"/>
                              </w:rPr>
                              <w:t>SMI</w:t>
                            </w:r>
                          </w:p>
                        </w:tc>
                        <w:tc>
                          <w:tcPr>
                            <w:tcW w:w="650" w:type="dxa"/>
                            <w:tcBorders/>
                            <w:vAlign w:val="center"/>
                          </w:tcPr>
                          <w:p>
                            <w:pPr>
                              <w:pStyle w:val="TableContents"/>
                              <w:bidi w:val="0"/>
                              <w:spacing w:before="0" w:after="283"/>
                              <w:jc w:val="left"/>
                              <w:rPr>
                                <w:sz w:val="14"/>
                              </w:rPr>
                            </w:pPr>
                            <w:r>
                              <w:rPr>
                                <w:sz w:val="14"/>
                              </w:rPr>
                              <w:t>10.00%</w:t>
                            </w:r>
                          </w:p>
                        </w:tc>
                      </w:tr>
                      <w:tr>
                        <w:trPr/>
                        <w:tc>
                          <w:tcPr>
                            <w:tcW w:w="51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sz w:val="14"/>
                              </w:rPr>
                            </w:pPr>
                            <w:r>
                              <w:rPr>
                                <w:sz w:val="14"/>
                              </w:rPr>
                              <w:t>S&amp;P/ASX 200 Index (the “AS51 Index”)</w:t>
                            </w:r>
                          </w:p>
                        </w:tc>
                        <w:tc>
                          <w:tcPr>
                            <w:tcW w:w="755" w:type="dxa"/>
                            <w:tcBorders/>
                            <w:vAlign w:val="center"/>
                          </w:tcPr>
                          <w:p>
                            <w:pPr>
                              <w:pStyle w:val="TableContents"/>
                              <w:bidi w:val="0"/>
                              <w:spacing w:before="0" w:after="283"/>
                              <w:jc w:val="left"/>
                              <w:rPr>
                                <w:sz w:val="14"/>
                              </w:rPr>
                            </w:pPr>
                            <w:r>
                              <w:rPr>
                                <w:sz w:val="14"/>
                              </w:rPr>
                              <w:t>AS51</w:t>
                            </w:r>
                          </w:p>
                        </w:tc>
                        <w:tc>
                          <w:tcPr>
                            <w:tcW w:w="650" w:type="dxa"/>
                            <w:tcBorders/>
                            <w:vAlign w:val="center"/>
                          </w:tcPr>
                          <w:p>
                            <w:pPr>
                              <w:pStyle w:val="TableContents"/>
                              <w:bidi w:val="0"/>
                              <w:spacing w:before="0" w:after="283"/>
                              <w:jc w:val="left"/>
                              <w:rPr>
                                <w:sz w:val="14"/>
                              </w:rPr>
                            </w:pPr>
                            <w:r>
                              <w:rPr>
                                <w:sz w:val="14"/>
                              </w:rPr>
                              <w:t>7.50%</w:t>
                            </w:r>
                          </w:p>
                        </w:tc>
                      </w:tr>
                    </w:tbl>
                    <w:tbl>
                      <w:tblPr>
                        <w:tblW w:w="10205" w:type="dxa"/>
                        <w:jc w:val="left"/>
                        <w:tblInd w:w="0" w:type="dxa"/>
                        <w:tblLayout w:type="fixed"/>
                        <w:tblCellMar>
                          <w:top w:w="0" w:type="dxa"/>
                          <w:left w:w="0" w:type="dxa"/>
                          <w:bottom w:w="0" w:type="dxa"/>
                          <w:right w:w="0" w:type="dxa"/>
                        </w:tblCellMar>
                      </w:tblPr>
                      <w:tblGrid>
                        <w:gridCol w:w="1376"/>
                        <w:gridCol w:w="8829"/>
                      </w:tblGrid>
                      <w:tr>
                        <w:trPr/>
                        <w:tc>
                          <w:tcPr>
                            <w:tcW w:w="1376" w:type="dxa"/>
                            <w:tcBorders/>
                            <w:vAlign w:val="center"/>
                          </w:tcPr>
                          <w:p>
                            <w:pPr>
                              <w:pStyle w:val="TableContents"/>
                              <w:bidi w:val="0"/>
                              <w:spacing w:before="0" w:after="283"/>
                              <w:jc w:val="left"/>
                              <w:rPr/>
                            </w:pPr>
                            <w:r>
                              <w:rPr/>
                              <w:t> </w:t>
                            </w:r>
                          </w:p>
                        </w:tc>
                        <w:tc>
                          <w:tcPr>
                            <w:tcW w:w="8829" w:type="dxa"/>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notes and your payment at maturity will depend significantly on the performance of the SX5E Index.</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Payment at maturity: </w:t>
                            </w:r>
                          </w:p>
                        </w:tc>
                        <w:tc>
                          <w:tcPr>
                            <w:tcW w:w="8829" w:type="dxa"/>
                            <w:tcBorders/>
                            <w:shd w:fill="DCEBF4" w:val="clear"/>
                            <w:vAlign w:val="center"/>
                          </w:tcPr>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w:t>
                            </w:r>
                            <w:r>
                              <w:rPr>
                                <w:rFonts w:ascii="Arial;Helvetica;Sans-Serif" w:hAnsi="Arial;Helvetica;Sans-Serif"/>
                                <w:b w:val="false"/>
                                <w:i w:val="false"/>
                                <w:caps w:val="false"/>
                                <w:smallCaps w:val="false"/>
                                <w:sz w:val="14"/>
                              </w:rPr>
                              <w:t xml:space="preserve"> 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supplemental redemption amount</w:t>
                            </w:r>
                          </w:p>
                          <w:p>
                            <w:pPr>
                              <w:pStyle w:val="TableContents"/>
                              <w:bidi w:val="0"/>
                              <w:ind w:left="249" w:right="249"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 xml:space="preserve">less than or equal to </w:t>
                            </w:r>
                            <w:r>
                              <w:rPr>
                                <w:rFonts w:ascii="Arial;Helvetica;Sans-Serif" w:hAnsi="Arial;Helvetica;Sans-Serif"/>
                                <w:b w:val="false"/>
                                <w:i w:val="false"/>
                                <w:caps w:val="false"/>
                                <w:smallCaps w:val="false"/>
                                <w:sz w:val="14"/>
                              </w:rPr>
                              <w:t>the initial basket value, for each $1,000 stated principal amount note:</w:t>
                            </w:r>
                          </w:p>
                          <w:p>
                            <w:pPr>
                              <w:pStyle w:val="TableContents"/>
                              <w:bidi w:val="0"/>
                              <w:ind w:left="249" w:right="249"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w:t>
                            </w:r>
                          </w:p>
                          <w:p>
                            <w:pPr>
                              <w:pStyle w:val="TableContents"/>
                              <w:bidi w:val="0"/>
                              <w:spacing w:before="0" w:after="283"/>
                              <w:ind w:left="249" w:right="249"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In no event will the payment at maturity be less than the stated principal amount of $1,000 per note. You are entitled to repayment of principal in full at maturity, subject to the credit risks of JPMorgan Financial and JPMorgan Chase &amp; Co.</w:t>
                            </w:r>
                          </w:p>
                        </w:tc>
                      </w:tr>
                      <w:tr>
                        <w:trPr/>
                        <w:tc>
                          <w:tcPr>
                            <w:tcW w:w="137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Supplemental</w:t>
                              <w:br/>
                              <w:t>redemption amount:</w:t>
                            </w:r>
                          </w:p>
                        </w:tc>
                        <w:tc>
                          <w:tcPr>
                            <w:tcW w:w="8829" w:type="dxa"/>
                            <w:tcBorders/>
                            <w:vAlign w:val="center"/>
                          </w:tcPr>
                          <w:p>
                            <w:pPr>
                              <w:pStyle w:val="TableContents"/>
                              <w:bidi w:val="0"/>
                              <w:spacing w:before="0" w:after="283"/>
                              <w:jc w:val="left"/>
                              <w:rPr>
                                <w:sz w:val="14"/>
                              </w:rPr>
                            </w:pPr>
                            <w:r>
                              <w:rPr>
                                <w:sz w:val="14"/>
                              </w:rPr>
                              <w:t>$1,000 × participation rate × basket percent increase</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 percent</w:t>
                              <w:br/>
                              <w:t>increase:</w:t>
                            </w:r>
                          </w:p>
                        </w:tc>
                        <w:tc>
                          <w:tcPr>
                            <w:tcW w:w="8829"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1376"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Initial basket value: </w:t>
                            </w:r>
                          </w:p>
                        </w:tc>
                        <w:tc>
                          <w:tcPr>
                            <w:tcW w:w="8829" w:type="dxa"/>
                            <w:tcBorders/>
                            <w:vAlign w:val="center"/>
                          </w:tcPr>
                          <w:p>
                            <w:pPr>
                              <w:pStyle w:val="TableContents"/>
                              <w:bidi w:val="0"/>
                              <w:spacing w:before="0" w:after="283"/>
                              <w:jc w:val="left"/>
                              <w:rPr>
                                <w:sz w:val="14"/>
                              </w:rPr>
                            </w:pPr>
                            <w:r>
                              <w:rPr>
                                <w:sz w:val="14"/>
                              </w:rPr>
                              <w:t>Set equal to 100 on the pricing date</w:t>
                            </w:r>
                          </w:p>
                        </w:tc>
                      </w:tr>
                      <w:tr>
                        <w:trPr/>
                        <w:tc>
                          <w:tcPr>
                            <w:tcW w:w="1376" w:type="dxa"/>
                            <w:tcBorders/>
                            <w:shd w:fill="DEEAF6"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Final basket value: </w:t>
                            </w:r>
                          </w:p>
                        </w:tc>
                        <w:tc>
                          <w:tcPr>
                            <w:tcW w:w="8829" w:type="dxa"/>
                            <w:tcBorders/>
                            <w:shd w:fill="DCEBF4" w:val="clear"/>
                            <w:vAlign w:val="center"/>
                          </w:tcPr>
                          <w:p>
                            <w:pPr>
                              <w:pStyle w:val="TableContents"/>
                              <w:bidi w:val="0"/>
                              <w:spacing w:before="0" w:after="283"/>
                              <w:jc w:val="left"/>
                              <w:rPr>
                                <w:sz w:val="14"/>
                              </w:rPr>
                            </w:pPr>
                            <w:r>
                              <w:rPr>
                                <w:sz w:val="14"/>
                              </w:rPr>
                              <w:t>The basket closing value on the valuation date</w:t>
                            </w:r>
                          </w:p>
                        </w:tc>
                      </w:tr>
                      <w:tr>
                        <w:trPr/>
                        <w:tc>
                          <w:tcPr>
                            <w:tcW w:w="1376" w:type="dxa"/>
                            <w:tcBorders/>
                            <w:vAlign w:val="center"/>
                          </w:tcPr>
                          <w:p>
                            <w:pPr>
                              <w:pStyle w:val="TableContents"/>
                              <w:bidi w:val="0"/>
                              <w:spacing w:before="0" w:after="283"/>
                              <w:jc w:val="left"/>
                              <w:rPr>
                                <w:b/>
                                <w:color w:val="296DC1"/>
                                <w:sz w:val="14"/>
                              </w:rPr>
                            </w:pPr>
                            <w:r>
                              <w:rPr>
                                <w:b/>
                                <w:color w:val="296DC1"/>
                                <w:sz w:val="14"/>
                              </w:rPr>
                              <w:t xml:space="preserve">Initial index value: </w:t>
                            </w:r>
                          </w:p>
                        </w:tc>
                        <w:tc>
                          <w:tcPr>
                            <w:tcW w:w="8829" w:type="dxa"/>
                            <w:tcBorders/>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1376" w:type="dxa"/>
                            <w:tcBorders/>
                            <w:shd w:fill="DEEAF6" w:val="clear"/>
                            <w:vAlign w:val="center"/>
                          </w:tcPr>
                          <w:p>
                            <w:pPr>
                              <w:pStyle w:val="TableContents"/>
                              <w:bidi w:val="0"/>
                              <w:spacing w:before="0" w:after="283"/>
                              <w:jc w:val="left"/>
                              <w:rPr>
                                <w:b/>
                                <w:color w:val="296DC1"/>
                                <w:sz w:val="14"/>
                              </w:rPr>
                            </w:pPr>
                            <w:r>
                              <w:rPr>
                                <w:b/>
                                <w:color w:val="296DC1"/>
                                <w:sz w:val="14"/>
                              </w:rPr>
                              <w:t xml:space="preserve">Final index value: </w:t>
                            </w:r>
                          </w:p>
                        </w:tc>
                        <w:tc>
                          <w:tcPr>
                            <w:tcW w:w="8829"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 xml:space="preserve">Participation rate: </w:t>
                            </w:r>
                          </w:p>
                        </w:tc>
                        <w:tc>
                          <w:tcPr>
                            <w:tcW w:w="8829" w:type="dxa"/>
                            <w:tcBorders/>
                            <w:shd w:fill="FFFFFF" w:val="clear"/>
                            <w:vAlign w:val="center"/>
                          </w:tcPr>
                          <w:p>
                            <w:pPr>
                              <w:pStyle w:val="TableContents"/>
                              <w:bidi w:val="0"/>
                              <w:spacing w:before="0" w:after="283"/>
                              <w:jc w:val="left"/>
                              <w:rPr>
                                <w:sz w:val="14"/>
                              </w:rPr>
                            </w:pPr>
                            <w:r>
                              <w:rPr>
                                <w:sz w:val="14"/>
                              </w:rPr>
                              <w:t>At least 140.50%</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Stated principal</w:t>
                              <w:br/>
                              <w:t>amount:</w:t>
                            </w:r>
                          </w:p>
                        </w:tc>
                        <w:tc>
                          <w:tcPr>
                            <w:tcW w:w="8829" w:type="dxa"/>
                            <w:tcBorders/>
                            <w:shd w:fill="DCEBF4" w:val="clear"/>
                            <w:vAlign w:val="center"/>
                          </w:tcPr>
                          <w:p>
                            <w:pPr>
                              <w:pStyle w:val="TableContents"/>
                              <w:bidi w:val="0"/>
                              <w:spacing w:before="0" w:after="283"/>
                              <w:jc w:val="left"/>
                              <w:rPr>
                                <w:sz w:val="14"/>
                              </w:rPr>
                            </w:pPr>
                            <w:r>
                              <w:rPr>
                                <w:sz w:val="14"/>
                              </w:rPr>
                              <w:t>$1,000 per note</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Issue price:</w:t>
                            </w:r>
                          </w:p>
                        </w:tc>
                        <w:tc>
                          <w:tcPr>
                            <w:tcW w:w="8829" w:type="dxa"/>
                            <w:tcBorders/>
                            <w:shd w:fill="FFFFFF" w:val="clear"/>
                            <w:vAlign w:val="center"/>
                          </w:tcPr>
                          <w:p>
                            <w:pPr>
                              <w:pStyle w:val="TableContents"/>
                              <w:bidi w:val="0"/>
                              <w:spacing w:before="0" w:after="283"/>
                              <w:jc w:val="left"/>
                              <w:rPr>
                                <w:sz w:val="14"/>
                              </w:rPr>
                            </w:pPr>
                            <w:r>
                              <w:rPr>
                                <w:sz w:val="14"/>
                              </w:rPr>
                              <w:t>$1,000 per note</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Pricing date:</w:t>
                            </w:r>
                          </w:p>
                        </w:tc>
                        <w:tc>
                          <w:tcPr>
                            <w:tcW w:w="8829" w:type="dxa"/>
                            <w:tcBorders/>
                            <w:shd w:fill="DCEBF4" w:val="clear"/>
                            <w:vAlign w:val="center"/>
                          </w:tcPr>
                          <w:p>
                            <w:pPr>
                              <w:pStyle w:val="TableContents"/>
                              <w:bidi w:val="0"/>
                              <w:spacing w:before="0" w:after="283"/>
                              <w:jc w:val="left"/>
                              <w:rPr>
                                <w:sz w:val="14"/>
                              </w:rPr>
                            </w:pPr>
                            <w:r>
                              <w:rPr>
                                <w:sz w:val="14"/>
                              </w:rPr>
                              <w:t>Expected to be August 28, 2026</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Original issue date</w:t>
                              <w:br/>
                              <w:t xml:space="preserve">(settlement date): </w:t>
                            </w:r>
                          </w:p>
                        </w:tc>
                        <w:tc>
                          <w:tcPr>
                            <w:tcW w:w="8829" w:type="dxa"/>
                            <w:tcBorders/>
                            <w:shd w:fill="FFFFFF" w:val="clear"/>
                            <w:vAlign w:val="center"/>
                          </w:tcPr>
                          <w:p>
                            <w:pPr>
                              <w:pStyle w:val="TableContents"/>
                              <w:bidi w:val="0"/>
                              <w:spacing w:before="0" w:after="283"/>
                              <w:jc w:val="left"/>
                              <w:rPr>
                                <w:sz w:val="14"/>
                              </w:rPr>
                            </w:pPr>
                            <w:r>
                              <w:rPr>
                                <w:sz w:val="14"/>
                              </w:rPr>
                              <w:t>4 business days after the pricing date</w:t>
                            </w:r>
                          </w:p>
                        </w:tc>
                      </w:tr>
                      <w:tr>
                        <w:trPr/>
                        <w:tc>
                          <w:tcPr>
                            <w:tcW w:w="1376" w:type="dxa"/>
                            <w:tcBorders/>
                            <w:shd w:fill="DCEBF4"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Valuation date</w:t>
                            </w:r>
                            <w:r>
                              <w:rPr>
                                <w:rFonts w:ascii="Arial;Helvetica;Sans-Serif" w:hAnsi="Arial;Helvetica;Sans-Serif"/>
                                <w:b/>
                                <w:color w:val="296DC1"/>
                                <w:position w:val="5"/>
                                <w:sz w:val="11"/>
                                <w:sz w:val="14"/>
                              </w:rPr>
                              <w:t>†</w:t>
                            </w:r>
                            <w:r>
                              <w:rPr>
                                <w:rFonts w:ascii="Arial;Helvetica;Sans-Serif" w:hAnsi="Arial;Helvetica;Sans-Serif"/>
                                <w:b/>
                                <w:color w:val="296DC1"/>
                                <w:sz w:val="14"/>
                              </w:rPr>
                              <w:t>:</w:t>
                            </w:r>
                          </w:p>
                        </w:tc>
                        <w:tc>
                          <w:tcPr>
                            <w:tcW w:w="8829" w:type="dxa"/>
                            <w:tcBorders/>
                            <w:shd w:fill="DCEBF4" w:val="clear"/>
                            <w:vAlign w:val="center"/>
                          </w:tcPr>
                          <w:p>
                            <w:pPr>
                              <w:pStyle w:val="TableContents"/>
                              <w:bidi w:val="0"/>
                              <w:spacing w:before="0" w:after="283"/>
                              <w:jc w:val="left"/>
                              <w:rPr>
                                <w:sz w:val="14"/>
                              </w:rPr>
                            </w:pPr>
                            <w:r>
                              <w:rPr>
                                <w:sz w:val="14"/>
                              </w:rPr>
                              <w:t>August 31, 2032</w:t>
                            </w:r>
                          </w:p>
                        </w:tc>
                      </w:tr>
                      <w:tr>
                        <w:trPr/>
                        <w:tc>
                          <w:tcPr>
                            <w:tcW w:w="1376" w:type="dxa"/>
                            <w:tcBorders/>
                            <w:shd w:fill="FFFFFF" w:val="clear"/>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Maturity date</w:t>
                            </w:r>
                            <w:r>
                              <w:rPr>
                                <w:rFonts w:ascii="Arial;Helvetica;Sans-Serif" w:hAnsi="Arial;Helvetica;Sans-Serif"/>
                                <w:b/>
                                <w:color w:val="296DC1"/>
                                <w:position w:val="5"/>
                                <w:sz w:val="11"/>
                                <w:sz w:val="14"/>
                              </w:rPr>
                              <w:t>†</w:t>
                            </w:r>
                            <w:r>
                              <w:rPr>
                                <w:rFonts w:ascii="Arial;Helvetica;Sans-Serif" w:hAnsi="Arial;Helvetica;Sans-Serif"/>
                                <w:b/>
                                <w:color w:val="296DC1"/>
                                <w:sz w:val="14"/>
                              </w:rPr>
                              <w:t xml:space="preserve">: </w:t>
                            </w:r>
                          </w:p>
                        </w:tc>
                        <w:tc>
                          <w:tcPr>
                            <w:tcW w:w="8829" w:type="dxa"/>
                            <w:tcBorders/>
                            <w:shd w:fill="FFFFFF" w:val="clear"/>
                            <w:vAlign w:val="center"/>
                          </w:tcPr>
                          <w:p>
                            <w:pPr>
                              <w:pStyle w:val="TableContents"/>
                              <w:bidi w:val="0"/>
                              <w:spacing w:before="0" w:after="283"/>
                              <w:jc w:val="left"/>
                              <w:rPr>
                                <w:sz w:val="14"/>
                              </w:rPr>
                            </w:pPr>
                            <w:r>
                              <w:rPr>
                                <w:sz w:val="14"/>
                              </w:rPr>
                              <w:t>September 3, 2032</w:t>
                            </w:r>
                          </w:p>
                        </w:tc>
                      </w:tr>
                      <w:tr>
                        <w:trPr/>
                        <w:tc>
                          <w:tcPr>
                            <w:tcW w:w="1376" w:type="dxa"/>
                            <w:tcBorders/>
                            <w:shd w:fill="DCEBF4" w:val="clear"/>
                            <w:vAlign w:val="center"/>
                          </w:tcPr>
                          <w:p>
                            <w:pPr>
                              <w:pStyle w:val="TableContents"/>
                              <w:bidi w:val="0"/>
                              <w:spacing w:before="0" w:after="283"/>
                              <w:jc w:val="left"/>
                              <w:rPr>
                                <w:b/>
                                <w:color w:val="296DC1"/>
                                <w:sz w:val="14"/>
                              </w:rPr>
                            </w:pPr>
                            <w:r>
                              <w:rPr>
                                <w:b/>
                                <w:color w:val="296DC1"/>
                                <w:sz w:val="14"/>
                              </w:rPr>
                              <w:t>CUSIP / ISIN:</w:t>
                            </w:r>
                          </w:p>
                        </w:tc>
                        <w:tc>
                          <w:tcPr>
                            <w:tcW w:w="8829" w:type="dxa"/>
                            <w:tcBorders/>
                            <w:shd w:fill="DCEBF4" w:val="clear"/>
                            <w:vAlign w:val="center"/>
                          </w:tcPr>
                          <w:p>
                            <w:pPr>
                              <w:pStyle w:val="TableContents"/>
                              <w:bidi w:val="0"/>
                              <w:spacing w:before="0" w:after="283"/>
                              <w:jc w:val="left"/>
                              <w:rPr>
                                <w:sz w:val="14"/>
                              </w:rPr>
                            </w:pPr>
                            <w:r>
                              <w:rPr>
                                <w:sz w:val="14"/>
                              </w:rPr>
                              <w:t>46661KLS5 / US46661KLS59</w:t>
                            </w:r>
                          </w:p>
                        </w:tc>
                      </w:tr>
                      <w:tr>
                        <w:trPr/>
                        <w:tc>
                          <w:tcPr>
                            <w:tcW w:w="1376" w:type="dxa"/>
                            <w:tcBorders/>
                            <w:shd w:fill="FFFFFF" w:val="clear"/>
                            <w:vAlign w:val="center"/>
                          </w:tcPr>
                          <w:p>
                            <w:pPr>
                              <w:pStyle w:val="TableContents"/>
                              <w:bidi w:val="0"/>
                              <w:spacing w:before="0" w:after="283"/>
                              <w:jc w:val="left"/>
                              <w:rPr>
                                <w:b/>
                                <w:color w:val="296DC1"/>
                                <w:sz w:val="14"/>
                              </w:rPr>
                            </w:pPr>
                            <w:r>
                              <w:rPr>
                                <w:b/>
                                <w:color w:val="296DC1"/>
                                <w:sz w:val="14"/>
                              </w:rPr>
                              <w:t xml:space="preserve">Preliminary pricing supplement: </w:t>
                            </w:r>
                          </w:p>
                        </w:tc>
                        <w:tc>
                          <w:tcPr>
                            <w:tcW w:w="8829" w:type="dxa"/>
                            <w:tcBorders/>
                            <w:shd w:fill="FFFFFF" w:val="clear"/>
                            <w:vAlign w:val="center"/>
                          </w:tcPr>
                          <w:p>
                            <w:pPr>
                              <w:pStyle w:val="TableContents"/>
                              <w:bidi w:val="0"/>
                              <w:spacing w:before="0" w:after="283"/>
                              <w:jc w:val="left"/>
                              <w:rPr/>
                            </w:pPr>
                            <w:hyperlink r:id="rId3">
                              <w:r>
                                <w:rPr>
                                  <w:rStyle w:val="InternetLink"/>
                                  <w:sz w:val="14"/>
                                </w:rPr>
                                <w:t>http://www.sec.gov/Archives/edgar/data/</w:t>
                                <w:br/>
                                <w:t>19617/000121390026089370/ea0302104-01_424b2.htm</w:t>
                              </w:r>
                            </w:hyperlink>
                            <w:r>
                              <w:rPr>
                                <w:sz w:val="14"/>
                              </w:rPr>
                              <w:t xml:space="preserve">   </w:t>
                            </w:r>
                          </w:p>
                        </w:tc>
                      </w:tr>
                    </w:tbl>
                    <w:p>
                      <w:pPr>
                        <w:pStyle w:val="TextBody"/>
                        <w:bidi w:val="0"/>
                        <w:spacing w:before="0" w:after="40"/>
                        <w:ind w:left="108"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notes on the pricing date will be provided in the pricing supplement and will not be less than $920.00 per $1,000 stated principal amount note. For information about the estimated value of the notes, which likely will be lower than the price you paid for the notes,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notes is subject to the credit risk of JPMorgan Financial, as issuer of the notes, and the credit risk of JPMorgan Chase &amp; Co., as guarantor of the notes.</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521825"/>
                <wp:effectExtent l="0" t="0" r="0" b="0"/>
                <wp:wrapSquare wrapText="left"/>
                <wp:docPr id="2" name="Frame2"/>
                <a:graphic xmlns:a="http://schemas.openxmlformats.org/drawingml/2006/main">
                  <a:graphicData uri="http://schemas.microsoft.com/office/word/2010/wordprocessingShape">
                    <wps:wsp>
                      <wps:cNvSpPr txBox="1"/>
                      <wps:spPr>
                        <a:xfrm>
                          <a:off x="0" y="0"/>
                          <a:ext cx="3175000" cy="9521825"/>
                        </a:xfrm>
                        <a:prstGeom prst="rect"/>
                        <a:solidFill>
                          <a:srgbClr val="FFFFFF"/>
                        </a:solidFill>
                      </wps:spPr>
                      <wps:txbx>
                        <w:txbxContent>
                          <w:tbl>
                            <w:tblPr>
                              <w:tblW w:w="7080" w:type="dxa"/>
                              <w:jc w:val="left"/>
                              <w:tblInd w:w="0" w:type="dxa"/>
                              <w:tblLayout w:type="fixed"/>
                              <w:tblCellMar>
                                <w:top w:w="0" w:type="dxa"/>
                                <w:left w:w="0" w:type="dxa"/>
                                <w:bottom w:w="0" w:type="dxa"/>
                                <w:right w:w="0" w:type="dxa"/>
                              </w:tblCellMar>
                            </w:tblPr>
                            <w:tblGrid>
                              <w:gridCol w:w="7080"/>
                            </w:tblGrid>
                            <w:tr>
                              <w:trPr/>
                              <w:tc>
                                <w:tcPr>
                                  <w:tcW w:w="708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Notes Payoff Diagram*</w:t>
                                  </w:r>
                                </w:p>
                              </w:tc>
                            </w:tr>
                            <w:tr>
                              <w:trPr/>
                              <w:tc>
                                <w:tcPr>
                                  <w:tcW w:w="7080" w:type="dxa"/>
                                  <w:tcBorders/>
                                  <w:vAlign w:val="center"/>
                                </w:tcPr>
                                <w:p>
                                  <w:pPr>
                                    <w:pStyle w:val="TableContents"/>
                                    <w:bidi w:val="0"/>
                                    <w:spacing w:before="0" w:after="283"/>
                                    <w:jc w:val="center"/>
                                    <w:rPr/>
                                  </w:pPr>
                                  <w:r>
                                    <w:rPr/>
                                    <w:drawing>
                                      <wp:inline distT="0" distB="0" distL="0" distR="0">
                                        <wp:extent cx="4476750" cy="2581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476750" cy="2581275"/>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430"/>
                              <w:gridCol w:w="1700"/>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17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Notes*</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70.250%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56.200%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42.150%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28.100%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14.050%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7.025%</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1.405%</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 xml:space="preserve">*Assumes a participation rate of 140.50%. The actual participation will be provided in the pricing supplement and will not be less than 140.50%.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9.75pt;mso-wrap-distance-left:0pt;mso-wrap-distance-right:0pt;mso-wrap-distance-top:0pt;mso-wrap-distance-bottom:0pt;margin-top:0pt;mso-position-vertical:top;mso-position-vertical-relative:text;margin-left:260.25pt;mso-position-horizontal:right;mso-position-horizontal-relative:text">
                <v:textbox>
                  <w:txbxContent>
                    <w:tbl>
                      <w:tblPr>
                        <w:tblW w:w="7080" w:type="dxa"/>
                        <w:jc w:val="left"/>
                        <w:tblInd w:w="0" w:type="dxa"/>
                        <w:tblLayout w:type="fixed"/>
                        <w:tblCellMar>
                          <w:top w:w="0" w:type="dxa"/>
                          <w:left w:w="0" w:type="dxa"/>
                          <w:bottom w:w="0" w:type="dxa"/>
                          <w:right w:w="0" w:type="dxa"/>
                        </w:tblCellMar>
                      </w:tblPr>
                      <w:tblGrid>
                        <w:gridCol w:w="7080"/>
                      </w:tblGrid>
                      <w:tr>
                        <w:trPr/>
                        <w:tc>
                          <w:tcPr>
                            <w:tcW w:w="7080"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Notes Payoff Diagram*</w:t>
                            </w:r>
                          </w:p>
                        </w:tc>
                      </w:tr>
                      <w:tr>
                        <w:trPr/>
                        <w:tc>
                          <w:tcPr>
                            <w:tcW w:w="7080" w:type="dxa"/>
                            <w:tcBorders/>
                            <w:vAlign w:val="center"/>
                          </w:tcPr>
                          <w:p>
                            <w:pPr>
                              <w:pStyle w:val="TableContents"/>
                              <w:bidi w:val="0"/>
                              <w:spacing w:before="0" w:after="283"/>
                              <w:jc w:val="center"/>
                              <w:rPr/>
                            </w:pPr>
                            <w:r>
                              <w:rPr/>
                              <w:drawing>
                                <wp:inline distT="0" distB="0" distL="0" distR="0">
                                  <wp:extent cx="4476750" cy="2581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476750" cy="2581275"/>
                                          </a:xfrm>
                                          <a:prstGeom prst="rect">
                                            <a:avLst/>
                                          </a:prstGeom>
                                        </pic:spPr>
                                      </pic:pic>
                                    </a:graphicData>
                                  </a:graphic>
                                </wp:inline>
                              </w:drawing>
                            </w:r>
                          </w:p>
                        </w:tc>
                      </w:tr>
                    </w:tbl>
                    <w:p>
                      <w:pPr>
                        <w:pStyle w:val="TextBody"/>
                        <w:bidi w:val="0"/>
                        <w:ind w:left="72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430"/>
                        <w:gridCol w:w="1700"/>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17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Notes*</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70.250%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56.200%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42.150%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28.100%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14.050%</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7.025%</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1.405%</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r>
                        <w:trPr/>
                        <w:tc>
                          <w:tcPr>
                            <w:tcW w:w="14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70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0.000%</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 xml:space="preserve">*Assumes a participation rate of 140.50%. The actual participation will be provided in the pricing supplement and will not be less than 140.50%. </w:t>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0"/>
        </w:rPr>
      </w:pPr>
      <w:r>
        <w:rPr>
          <w:rFonts w:ascii="Arial;Helvetica;Sans-Serif" w:hAnsi="Arial;Helvetica;Sans-Serif"/>
          <w:b w:val="false"/>
          <w:i w:val="false"/>
          <w:caps w:val="false"/>
          <w:smallCaps w:val="false"/>
          <w:color w:val="296DC1"/>
          <w:sz w:val="30"/>
        </w:rPr>
        <w:t>6-Year SX5E/TPX/UKX/SMI/AS51 Basket Market Linked-Notes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Basket and 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any underlying index, including historical performance information, see the accompanying preliminary pricing supplement.</w:t>
      </w:r>
    </w:p>
    <w:p>
      <w:pPr>
        <w:pStyle w:val="TextBody"/>
        <w:bidi w:val="0"/>
        <w:spacing w:before="0" w:after="6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Notes Generally</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7" w:type="dxa"/>
            <w:tcBorders/>
            <w:vAlign w:val="center"/>
          </w:tcPr>
          <w:p>
            <w:pPr>
              <w:pStyle w:val="TableContents"/>
              <w:bidi w:val="0"/>
              <w:spacing w:before="0" w:after="283"/>
              <w:jc w:val="left"/>
              <w:rPr>
                <w:sz w:val="18"/>
              </w:rPr>
            </w:pPr>
            <w:r>
              <w:rPr>
                <w:sz w:val="18"/>
              </w:rPr>
              <w:t>The notes do not pay interest and may not pay more than the stated principal amount.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notes are subject to the credit risks of JPMorgan Financial and JPMorgan Chase &amp; Co., and any actual or anticipated changes to our or JPMorgan Chase &amp; Co.’s credit ratings or credit spreads may adversely affect the market value of the notes.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Correlation (or lack of correlation) of performances among the underlying indices may reduce the performance of the basket, and changes in the values of the underlying indices may offset each other</w:t>
            </w:r>
            <w:r>
              <w:rPr>
                <w:b/>
                <w:sz w:val="18"/>
              </w:rPr>
              <w:t>.</w:t>
            </w:r>
          </w:p>
        </w:tc>
      </w:tr>
    </w:tbl>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07" w:type="dxa"/>
            <w:tcBorders/>
            <w:vAlign w:val="center"/>
          </w:tcPr>
          <w:p>
            <w:pPr>
              <w:pStyle w:val="TableContents"/>
              <w:bidi w:val="0"/>
              <w:spacing w:before="0" w:after="283"/>
              <w:jc w:val="left"/>
              <w:rPr/>
            </w:pPr>
            <w:r>
              <w:rPr>
                <w:rFonts w:ascii="Arial;Helvetica;Sans-Serif" w:hAnsi="Arial;Helvetica;Sans-Serif"/>
                <w:b w:val="false"/>
                <w:sz w:val="18"/>
              </w:rPr>
              <w:t>The underlying indices are not equally weighted</w:t>
            </w:r>
            <w:r>
              <w:rPr/>
              <w:t>.</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notes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6"/>
        <w:gridCol w:w="184"/>
        <w:gridCol w:w="9965"/>
      </w:tblGrid>
      <w:tr>
        <w:trPr/>
        <w:tc>
          <w:tcPr>
            <w:tcW w:w="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5" w:type="dxa"/>
            <w:tcBorders/>
            <w:vAlign w:val="center"/>
          </w:tcPr>
          <w:p>
            <w:pPr>
              <w:pStyle w:val="TableContents"/>
              <w:bidi w:val="0"/>
              <w:spacing w:before="0" w:after="283"/>
              <w:jc w:val="left"/>
              <w:rPr>
                <w:sz w:val="18"/>
              </w:rPr>
            </w:pPr>
            <w:r>
              <w:rPr>
                <w:sz w:val="18"/>
              </w:rPr>
              <w:t>The final terms and estimated valuation of the notes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80"/>
        <w:gridCol w:w="266"/>
        <w:gridCol w:w="9859"/>
      </w:tblGrid>
      <w:tr>
        <w:trPr/>
        <w:tc>
          <w:tcPr>
            <w:tcW w:w="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59" w:type="dxa"/>
            <w:tcBorders/>
            <w:vAlign w:val="center"/>
          </w:tcPr>
          <w:p>
            <w:pPr>
              <w:pStyle w:val="TableContents"/>
              <w:bidi w:val="0"/>
              <w:spacing w:before="0" w:after="283"/>
              <w:jc w:val="left"/>
              <w:rPr>
                <w:sz w:val="18"/>
              </w:rPr>
            </w:pPr>
            <w:r>
              <w:rPr>
                <w:sz w:val="18"/>
              </w:rPr>
              <w:t>The tax consequences of an investment in the notes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notes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8"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notes.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Notes</w:t>
      </w:r>
    </w:p>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sz w:val="18"/>
              </w:rPr>
            </w:pPr>
            <w:r>
              <w:rPr>
                <w:sz w:val="18"/>
              </w:rPr>
              <w:t>The estimated value of the notes will be lower than the original issue price (price to public) of the notes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7" w:type="dxa"/>
            <w:tcBorders/>
            <w:vAlign w:val="center"/>
          </w:tcPr>
          <w:p>
            <w:pPr>
              <w:pStyle w:val="TableContents"/>
              <w:bidi w:val="0"/>
              <w:spacing w:before="0" w:after="283"/>
              <w:jc w:val="left"/>
              <w:rPr>
                <w:sz w:val="18"/>
              </w:rPr>
            </w:pPr>
            <w:r>
              <w:rPr>
                <w:sz w:val="18"/>
              </w:rPr>
              <w:t>The estimated value of the notes does not represent future values of the notes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6"/>
        <w:gridCol w:w="186"/>
        <w:gridCol w:w="9963"/>
      </w:tblGrid>
      <w:tr>
        <w:trPr/>
        <w:tc>
          <w:tcPr>
            <w:tcW w:w="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6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notes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notes </w:t>
            </w:r>
            <w:r>
              <w:rPr>
                <w:rFonts w:ascii="Arial;Helvetica;Sans-Serif" w:hAnsi="Arial;Helvetica;Sans-Serif"/>
                <w:b w:val="false"/>
                <w:sz w:val="18"/>
              </w:rPr>
              <w:t>as published by J.P. Morgan Securities LLC (and which may be reflected on customer account statements) may be higher than the then-current estimated value of the notes for a limited time period.</w:t>
            </w:r>
          </w:p>
        </w:tc>
      </w:tr>
    </w:tbl>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3" w:type="dxa"/>
            <w:tcBorders/>
            <w:vAlign w:val="center"/>
          </w:tcPr>
          <w:p>
            <w:pPr>
              <w:pStyle w:val="TableContents"/>
              <w:bidi w:val="0"/>
              <w:spacing w:before="0" w:after="283"/>
              <w:jc w:val="left"/>
              <w:rPr>
                <w:sz w:val="18"/>
              </w:rPr>
            </w:pPr>
            <w:r>
              <w:rPr>
                <w:sz w:val="18"/>
              </w:rPr>
              <w:t>Secondary market prices of the notes will likely be lower than the original issue price of the notes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9"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notes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notes is not equivalent to investing in the basket or the underlying indices.</w:t>
            </w:r>
          </w:p>
        </w:tc>
      </w:tr>
    </w:tbl>
    <w:tbl>
      <w:tblPr>
        <w:tblW w:w="5000" w:type="pct"/>
        <w:jc w:val="left"/>
        <w:tblInd w:w="0" w:type="dxa"/>
        <w:tblLayout w:type="fixed"/>
        <w:tblCellMar>
          <w:top w:w="0" w:type="dxa"/>
          <w:left w:w="0" w:type="dxa"/>
          <w:bottom w:w="0" w:type="dxa"/>
          <w:right w:w="0" w:type="dxa"/>
        </w:tblCellMar>
      </w:tblPr>
      <w:tblGrid>
        <w:gridCol w:w="56"/>
        <w:gridCol w:w="188"/>
        <w:gridCol w:w="9961"/>
      </w:tblGrid>
      <w:tr>
        <w:trPr/>
        <w:tc>
          <w:tcPr>
            <w:tcW w:w="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any underlying index could adversely affect the value of the notes.</w:t>
            </w:r>
          </w:p>
        </w:tc>
      </w:tr>
    </w:tbl>
    <w:tbl>
      <w:tblPr>
        <w:tblW w:w="5000" w:type="pct"/>
        <w:jc w:val="left"/>
        <w:tblInd w:w="0" w:type="dxa"/>
        <w:tblLayout w:type="fixed"/>
        <w:tblCellMar>
          <w:top w:w="0" w:type="dxa"/>
          <w:left w:w="0" w:type="dxa"/>
          <w:bottom w:w="0" w:type="dxa"/>
          <w:right w:w="0" w:type="dxa"/>
        </w:tblCellMar>
      </w:tblPr>
      <w:tblGrid>
        <w:gridCol w:w="53"/>
        <w:gridCol w:w="175"/>
        <w:gridCol w:w="9977"/>
      </w:tblGrid>
      <w:tr>
        <w:trPr/>
        <w:tc>
          <w:tcPr>
            <w:tcW w:w="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7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notes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61"/>
        <w:gridCol w:w="201"/>
        <w:gridCol w:w="9943"/>
      </w:tblGrid>
      <w:tr>
        <w:trPr/>
        <w:tc>
          <w:tcPr>
            <w:tcW w:w="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4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notes are not directly exposed to fluctuations in foreign exchange rates.</w:t>
            </w:r>
          </w:p>
        </w:tc>
      </w:tr>
    </w:tbl>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3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Governmental legislative and regulatory actions, including sanctions, could adversely affect your investment in the notes.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Notes — Tax considerations” concerning the U.S. federal income tax consequences of an investment in the notes,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36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9370/ea0302104-01_424b2.htm" TargetMode="External"/><Relationship Id="rId3" Type="http://schemas.openxmlformats.org/officeDocument/2006/relationships/hyperlink" Target="http://www.sec.gov/Archives/edgar/data/19617/000121390026089370/ea0302104-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1314</Words>
  <Characters>7092</Characters>
  <CharactersWithSpaces>8281</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