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28"/>
          <w:szCs w:val="28"/>
          <w:b w:val="1"/>
          <w:bCs w:val="1"/>
          <w:color w:val="BB0826"/>
        </w:rPr>
        <w:t>JPMorgan Chase Financial Company LLC</w:t>
      </w:r>
    </w:p>
    <w:p>
      <w:pPr>
        <w:spacing w:after="0"/>
        <w:rPr>
          <w:sz w:val="20"/>
          <w:szCs w:val="20"/>
          <w:color w:val="auto"/>
        </w:rPr>
      </w:pPr>
      <w:r>
        <w:rPr>
          <w:rFonts w:ascii="Verdana" w:cs="Verdana" w:eastAsia="Verdana" w:hAnsi="Verdana"/>
          <w:sz w:val="18"/>
          <w:szCs w:val="18"/>
          <w:b w:val="1"/>
          <w:bCs w:val="1"/>
          <w:i w:val="1"/>
          <w:iCs w:val="1"/>
          <w:color w:val="BB0826"/>
        </w:rPr>
        <w:t>Fully and Unconditionally Guaranteed by JPMorgan Chase &amp; Co.</w:t>
      </w:r>
    </w:p>
    <w:p>
      <w:pPr>
        <w:spacing w:after="0" w:line="2" w:lineRule="exact"/>
        <w:rPr>
          <w:sz w:val="24"/>
          <w:szCs w:val="24"/>
          <w:color w:val="auto"/>
        </w:rPr>
      </w:pPr>
    </w:p>
    <w:p>
      <w:pPr>
        <w:spacing w:after="0"/>
        <w:rPr>
          <w:sz w:val="20"/>
          <w:szCs w:val="20"/>
          <w:color w:val="auto"/>
        </w:rPr>
      </w:pPr>
      <w:r>
        <w:rPr>
          <w:rFonts w:ascii="Verdana" w:cs="Verdana" w:eastAsia="Verdana" w:hAnsi="Verdana"/>
          <w:sz w:val="22"/>
          <w:szCs w:val="22"/>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ind w:right="120"/>
        <w:spacing w:after="0" w:line="233" w:lineRule="auto"/>
        <w:rPr>
          <w:sz w:val="20"/>
          <w:szCs w:val="20"/>
          <w:color w:val="auto"/>
        </w:rPr>
      </w:pPr>
      <w:r>
        <w:rPr>
          <w:rFonts w:ascii="Verdana" w:cs="Verdana" w:eastAsia="Verdana" w:hAnsi="Verdana"/>
          <w:sz w:val="13"/>
          <w:szCs w:val="13"/>
          <w:color w:val="auto"/>
        </w:rPr>
        <w:t>Filed Pursuant to Rule 433 Registration Statement Nos. 333-293684 and 333-293684-01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335915</wp:posOffset>
            </wp:positionH>
            <wp:positionV relativeFrom="paragraph">
              <wp:posOffset>233680</wp:posOffset>
            </wp:positionV>
            <wp:extent cx="156845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0" cy="411480"/>
                    </a:xfrm>
                    <a:prstGeom prst="rect">
                      <a:avLst/>
                    </a:prstGeom>
                    <a:noFill/>
                  </pic:spPr>
                </pic:pic>
              </a:graphicData>
            </a:graphic>
          </wp:anchor>
        </w:drawing>
      </w:r>
    </w:p>
    <w:p>
      <w:pPr>
        <w:spacing w:after="0" w:line="564" w:lineRule="exact"/>
        <w:rPr>
          <w:sz w:val="24"/>
          <w:szCs w:val="24"/>
          <w:color w:val="auto"/>
        </w:rPr>
      </w:pPr>
    </w:p>
    <w:p>
      <w:pPr>
        <w:sectPr>
          <w:pgSz w:w="11900" w:h="16838" w:orient="portrait"/>
          <w:cols w:equalWidth="0" w:num="2">
            <w:col w:w="7520" w:space="720"/>
            <w:col w:w="3000"/>
          </w:cols>
          <w:pgMar w:left="320" w:top="239" w:right="339" w:bottom="1440" w:gutter="0" w:footer="0" w:header="0"/>
        </w:sectPr>
      </w:pPr>
    </w:p>
    <w:p>
      <w:pPr>
        <w:spacing w:after="0" w:line="200" w:lineRule="exact"/>
        <w:rPr>
          <w:sz w:val="24"/>
          <w:szCs w:val="24"/>
          <w:color w:val="auto"/>
        </w:rPr>
      </w:pPr>
    </w:p>
    <w:p>
      <w:pPr>
        <w:spacing w:after="0" w:line="287" w:lineRule="exact"/>
        <w:rPr>
          <w:sz w:val="24"/>
          <w:szCs w:val="24"/>
          <w:color w:val="auto"/>
        </w:rPr>
      </w:pPr>
    </w:p>
    <w:p>
      <w:pPr>
        <w:ind w:left="100" w:right="920"/>
        <w:spacing w:after="0" w:line="282" w:lineRule="auto"/>
        <w:rPr>
          <w:sz w:val="20"/>
          <w:szCs w:val="20"/>
          <w:color w:val="auto"/>
        </w:rPr>
      </w:pPr>
      <w:r>
        <w:rPr>
          <w:rFonts w:ascii="Verdana" w:cs="Verdana" w:eastAsia="Verdana" w:hAnsi="Verdana"/>
          <w:sz w:val="17"/>
          <w:szCs w:val="17"/>
          <w:color w:val="FFFFFF"/>
        </w:rPr>
        <w:t>Market Linked Securities—Auto-Callable with Contingent Coupon with Memory Feature and Contingent Downside Principal at Risk Securities Linked to the Class A Common Stock of Meta Platforms, Inc. due November 1, 2029 Fact Sheet dated October 26, 2026 to Preliminary Pricing Supplement dated October 26, 2026</w:t>
      </w:r>
    </w:p>
    <w:p>
      <w:pPr>
        <w:ind w:left="80"/>
        <w:spacing w:after="0"/>
        <w:tabs>
          <w:tab w:leader="none" w:pos="5740" w:val="left"/>
        </w:tabs>
        <w:rPr>
          <w:sz w:val="20"/>
          <w:szCs w:val="20"/>
          <w:color w:val="auto"/>
        </w:rPr>
      </w:pPr>
      <w:r>
        <w:rPr>
          <w:rFonts w:ascii="Verdana" w:cs="Verdana" w:eastAsia="Verdana" w:hAnsi="Verdana"/>
          <w:sz w:val="23"/>
          <w:szCs w:val="23"/>
          <w:color w:val="8F8F8F"/>
        </w:rPr>
        <w:t>Summary of Terms</w:t>
      </w:r>
      <w:r>
        <w:rPr>
          <w:sz w:val="20"/>
          <w:szCs w:val="20"/>
          <w:color w:val="auto"/>
        </w:rPr>
        <w:tab/>
      </w:r>
      <w:r>
        <w:rPr>
          <w:rFonts w:ascii="Verdana" w:cs="Verdana" w:eastAsia="Verdana" w:hAnsi="Verdana"/>
          <w:sz w:val="23"/>
          <w:szCs w:val="23"/>
          <w:color w:val="8F8F8F"/>
        </w:rPr>
        <w:t>Summary of Terms (continued)</w:t>
      </w:r>
    </w:p>
    <w:p>
      <w:pPr>
        <w:sectPr>
          <w:pgSz w:w="11900" w:h="16838" w:orient="portrait"/>
          <w:cols w:equalWidth="0" w:num="1">
            <w:col w:w="11240"/>
          </w:cols>
          <w:pgMar w:left="320" w:top="239" w:right="339" w:bottom="1440" w:gutter="0" w:footer="0" w:header="0"/>
          <w:type w:val="continuous"/>
        </w:sectPr>
      </w:pP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142"/>
        </w:trPr>
        <w:tc>
          <w:tcPr>
            <w:tcW w:w="1980" w:type="dxa"/>
            <w:vAlign w:val="bottom"/>
            <w:tcBorders>
              <w:top w:val="single" w:sz="8" w:color="auto"/>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Issuer:</w:t>
            </w:r>
          </w:p>
        </w:tc>
        <w:tc>
          <w:tcPr>
            <w:tcW w:w="3580" w:type="dxa"/>
            <w:vAlign w:val="bottom"/>
            <w:tcBorders>
              <w:top w:val="single" w:sz="8" w:color="auto"/>
              <w:bottom w:val="single" w:sz="8" w:color="auto"/>
              <w:right w:val="single" w:sz="8" w:color="auto"/>
            </w:tcBorders>
            <w:gridSpan w:val="3"/>
          </w:tcPr>
          <w:p>
            <w:pPr>
              <w:ind w:left="80"/>
              <w:spacing w:after="0" w:line="142" w:lineRule="exact"/>
              <w:rPr>
                <w:sz w:val="20"/>
                <w:szCs w:val="20"/>
                <w:color w:val="auto"/>
              </w:rPr>
            </w:pPr>
            <w:r>
              <w:rPr>
                <w:rFonts w:ascii="Georgia" w:cs="Georgia" w:eastAsia="Georgia" w:hAnsi="Georgia"/>
                <w:sz w:val="13"/>
                <w:szCs w:val="13"/>
                <w:color w:val="auto"/>
              </w:rPr>
              <w:t>JPMorgan Chase Financial Company LLC</w:t>
            </w:r>
          </w:p>
        </w:tc>
        <w:tc>
          <w:tcPr>
            <w:tcW w:w="0" w:type="dxa"/>
            <w:vAlign w:val="bottom"/>
          </w:tcPr>
          <w:p>
            <w:pPr>
              <w:spacing w:after="0"/>
              <w:rPr>
                <w:sz w:val="1"/>
                <w:szCs w:val="1"/>
                <w:color w:val="auto"/>
              </w:rPr>
            </w:pP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Guarantor:</w:t>
            </w:r>
          </w:p>
        </w:tc>
        <w:tc>
          <w:tcPr>
            <w:tcW w:w="3580" w:type="dxa"/>
            <w:vAlign w:val="bottom"/>
            <w:tcBorders>
              <w:bottom w:val="single" w:sz="8" w:color="auto"/>
              <w:right w:val="single" w:sz="8" w:color="auto"/>
            </w:tcBorders>
            <w:gridSpan w:val="3"/>
          </w:tcPr>
          <w:p>
            <w:pPr>
              <w:ind w:left="80"/>
              <w:spacing w:after="0" w:line="142" w:lineRule="exact"/>
              <w:rPr>
                <w:sz w:val="20"/>
                <w:szCs w:val="20"/>
                <w:color w:val="auto"/>
              </w:rPr>
            </w:pPr>
            <w:r>
              <w:rPr>
                <w:rFonts w:ascii="Georgia" w:cs="Georgia" w:eastAsia="Georgia" w:hAnsi="Georgia"/>
                <w:sz w:val="13"/>
                <w:szCs w:val="13"/>
                <w:color w:val="auto"/>
              </w:rPr>
              <w:t>JPMorgan Chase &amp; Co.</w:t>
            </w:r>
          </w:p>
        </w:tc>
        <w:tc>
          <w:tcPr>
            <w:tcW w:w="0" w:type="dxa"/>
            <w:vAlign w:val="bottom"/>
          </w:tcPr>
          <w:p>
            <w:pPr>
              <w:spacing w:after="0"/>
              <w:rPr>
                <w:sz w:val="1"/>
                <w:szCs w:val="1"/>
                <w:color w:val="auto"/>
              </w:rPr>
            </w:pPr>
          </w:p>
        </w:tc>
      </w:tr>
      <w:tr>
        <w:trPr>
          <w:trHeight w:val="140"/>
        </w:trPr>
        <w:tc>
          <w:tcPr>
            <w:tcW w:w="198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Underlying Stock:</w:t>
            </w:r>
          </w:p>
        </w:tc>
        <w:tc>
          <w:tcPr>
            <w:tcW w:w="3580" w:type="dxa"/>
            <w:vAlign w:val="bottom"/>
            <w:tcBorders>
              <w:right w:val="single" w:sz="8" w:color="auto"/>
            </w:tcBorders>
            <w:gridSpan w:val="3"/>
          </w:tcPr>
          <w:p>
            <w:pPr>
              <w:ind w:left="80"/>
              <w:spacing w:after="0" w:line="140" w:lineRule="exact"/>
              <w:rPr>
                <w:sz w:val="20"/>
                <w:szCs w:val="20"/>
                <w:color w:val="auto"/>
              </w:rPr>
            </w:pPr>
            <w:r>
              <w:rPr>
                <w:rFonts w:ascii="Georgia" w:cs="Georgia" w:eastAsia="Georgia" w:hAnsi="Georgia"/>
                <w:sz w:val="13"/>
                <w:szCs w:val="13"/>
                <w:color w:val="auto"/>
              </w:rPr>
              <w:t>The Class A common stock of Meta Platforms, Inc.</w:t>
            </w:r>
          </w:p>
        </w:tc>
        <w:tc>
          <w:tcPr>
            <w:tcW w:w="0" w:type="dxa"/>
            <w:vAlign w:val="bottom"/>
          </w:tcPr>
          <w:p>
            <w:pPr>
              <w:spacing w:after="0"/>
              <w:rPr>
                <w:sz w:val="1"/>
                <w:szCs w:val="1"/>
                <w:color w:val="auto"/>
              </w:rPr>
            </w:pPr>
          </w:p>
        </w:tc>
      </w:tr>
      <w:tr>
        <w:trPr>
          <w:trHeight w:val="144"/>
        </w:trPr>
        <w:tc>
          <w:tcPr>
            <w:tcW w:w="1980" w:type="dxa"/>
            <w:vAlign w:val="bottom"/>
            <w:tcBorders>
              <w:left w:val="single" w:sz="8" w:color="auto"/>
              <w:bottom w:val="single" w:sz="8" w:color="auto"/>
              <w:right w:val="single" w:sz="8" w:color="auto"/>
            </w:tcBorders>
          </w:tcPr>
          <w:p>
            <w:pPr>
              <w:spacing w:after="0"/>
              <w:rPr>
                <w:sz w:val="12"/>
                <w:szCs w:val="12"/>
                <w:color w:val="auto"/>
              </w:rPr>
            </w:pPr>
          </w:p>
        </w:tc>
        <w:tc>
          <w:tcPr>
            <w:tcW w:w="3580" w:type="dxa"/>
            <w:vAlign w:val="bottom"/>
            <w:tcBorders>
              <w:bottom w:val="single" w:sz="8" w:color="auto"/>
              <w:right w:val="single" w:sz="8" w:color="auto"/>
            </w:tcBorders>
            <w:gridSpan w:val="3"/>
          </w:tcPr>
          <w:p>
            <w:pPr>
              <w:ind w:left="80"/>
              <w:spacing w:after="0" w:line="138" w:lineRule="exact"/>
              <w:rPr>
                <w:sz w:val="20"/>
                <w:szCs w:val="20"/>
                <w:color w:val="auto"/>
              </w:rPr>
            </w:pPr>
            <w:r>
              <w:rPr>
                <w:rFonts w:ascii="Georgia" w:cs="Georgia" w:eastAsia="Georgia" w:hAnsi="Georgia"/>
                <w:sz w:val="13"/>
                <w:szCs w:val="13"/>
                <w:color w:val="auto"/>
              </w:rPr>
              <w:t>(Bloomberg ticker: META) (the “Underlying Stock”)</w:t>
            </w:r>
          </w:p>
        </w:tc>
        <w:tc>
          <w:tcPr>
            <w:tcW w:w="0" w:type="dxa"/>
            <w:vAlign w:val="bottom"/>
          </w:tcPr>
          <w:p>
            <w:pPr>
              <w:spacing w:after="0"/>
              <w:rPr>
                <w:sz w:val="1"/>
                <w:szCs w:val="1"/>
                <w:color w:val="auto"/>
              </w:rPr>
            </w:pPr>
          </w:p>
        </w:tc>
      </w:tr>
      <w:tr>
        <w:trPr>
          <w:trHeight w:val="189"/>
        </w:trPr>
        <w:tc>
          <w:tcPr>
            <w:tcW w:w="1980" w:type="dxa"/>
            <w:vAlign w:val="bottom"/>
            <w:tcBorders>
              <w:left w:val="single" w:sz="8" w:color="auto"/>
              <w:bottom w:val="single" w:sz="8" w:color="auto"/>
              <w:right w:val="single" w:sz="8" w:color="auto"/>
            </w:tcBorders>
          </w:tcPr>
          <w:p>
            <w:pPr>
              <w:ind w:left="120"/>
              <w:spacing w:after="0" w:line="189"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2"/>
                <w:szCs w:val="22"/>
                <w:color w:val="auto"/>
                <w:vertAlign w:val="superscript"/>
              </w:rPr>
              <w:t>1</w:t>
            </w:r>
            <w:r>
              <w:rPr>
                <w:rFonts w:ascii="Georgia" w:cs="Georgia" w:eastAsia="Georgia" w:hAnsi="Georgia"/>
                <w:sz w:val="13"/>
                <w:szCs w:val="13"/>
                <w:color w:val="auto"/>
              </w:rPr>
              <w:t>:</w:t>
            </w: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October 29, 2026</w:t>
            </w: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November 3, 2026</w:t>
            </w: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November 1, 2029</w:t>
            </w:r>
          </w:p>
        </w:tc>
        <w:tc>
          <w:tcPr>
            <w:tcW w:w="0" w:type="dxa"/>
            <w:vAlign w:val="bottom"/>
          </w:tcPr>
          <w:p>
            <w:pPr>
              <w:spacing w:after="0"/>
              <w:rPr>
                <w:sz w:val="1"/>
                <w:szCs w:val="1"/>
                <w:color w:val="auto"/>
              </w:rPr>
            </w:pP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Principal Amount:</w:t>
            </w:r>
          </w:p>
        </w:tc>
        <w:tc>
          <w:tcPr>
            <w:tcW w:w="3580" w:type="dxa"/>
            <w:vAlign w:val="bottom"/>
            <w:tcBorders>
              <w:bottom w:val="single" w:sz="8" w:color="auto"/>
              <w:right w:val="single" w:sz="8" w:color="auto"/>
            </w:tcBorders>
            <w:gridSpan w:val="3"/>
          </w:tcPr>
          <w:p>
            <w:pPr>
              <w:ind w:left="80"/>
              <w:spacing w:after="0" w:line="142" w:lineRule="exact"/>
              <w:rPr>
                <w:sz w:val="20"/>
                <w:szCs w:val="20"/>
                <w:color w:val="auto"/>
              </w:rPr>
            </w:pPr>
            <w:r>
              <w:rPr>
                <w:rFonts w:ascii="Georgia" w:cs="Georgia" w:eastAsia="Georgia" w:hAnsi="Georgia"/>
                <w:sz w:val="13"/>
                <w:szCs w:val="13"/>
                <w:color w:val="auto"/>
              </w:rPr>
              <w:t>$1,000 per security (100% of par)</w:t>
            </w:r>
          </w:p>
        </w:tc>
        <w:tc>
          <w:tcPr>
            <w:tcW w:w="0" w:type="dxa"/>
            <w:vAlign w:val="bottom"/>
          </w:tcPr>
          <w:p>
            <w:pPr>
              <w:spacing w:after="0"/>
              <w:rPr>
                <w:sz w:val="1"/>
                <w:szCs w:val="1"/>
                <w:color w:val="auto"/>
              </w:rPr>
            </w:pPr>
          </w:p>
        </w:tc>
      </w:tr>
      <w:tr>
        <w:trPr>
          <w:trHeight w:val="153"/>
        </w:trPr>
        <w:tc>
          <w:tcPr>
            <w:tcW w:w="198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Contingent Coupon</w:t>
            </w: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On each contingent coupon payment date, you will</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Payment:</w:t>
            </w: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receive a contingent coupon payment at a per annum</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 xml:space="preserve">rate equal to the contingent coupon rate if, </w:t>
            </w:r>
            <w:r>
              <w:rPr>
                <w:rFonts w:ascii="Georgia" w:cs="Georgia" w:eastAsia="Georgia" w:hAnsi="Georgia"/>
                <w:sz w:val="13"/>
                <w:szCs w:val="13"/>
                <w:b w:val="1"/>
                <w:bCs w:val="1"/>
                <w:color w:val="auto"/>
              </w:rPr>
              <w:t>and only if</w:t>
            </w:r>
            <w:r>
              <w:rPr>
                <w:rFonts w:ascii="Georgia" w:cs="Georgia" w:eastAsia="Georgia" w:hAnsi="Georgia"/>
                <w:sz w:val="13"/>
                <w:szCs w:val="13"/>
                <w:color w:val="auto"/>
              </w:rPr>
              <w: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the stock closing price of the Underlying Stock on the</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related calculation day is greater than or equal to the</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threshold price. In addition, if the stock closing price of</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the Underlying Stock on one or more calculation days is</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less than the threshold price and, on a subsequent</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calculation day, the stock closing price of the Underlying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Stock is greater than or equal to the threshold price, on</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the contingent coupon payment date related to that</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subsequent calculation day, you will receive the</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contingent coupon payment due for that subsequent</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 xml:space="preserve">calculation day </w:t>
            </w:r>
            <w:r>
              <w:rPr>
                <w:rFonts w:ascii="Georgia" w:cs="Georgia" w:eastAsia="Georgia" w:hAnsi="Georgia"/>
                <w:sz w:val="13"/>
                <w:szCs w:val="13"/>
                <w:i w:val="1"/>
                <w:iCs w:val="1"/>
                <w:color w:val="auto"/>
              </w:rPr>
              <w:t>plus</w:t>
            </w:r>
            <w:r>
              <w:rPr>
                <w:rFonts w:ascii="Georgia" w:cs="Georgia" w:eastAsia="Georgia" w:hAnsi="Georgia"/>
                <w:sz w:val="13"/>
                <w:szCs w:val="13"/>
                <w:color w:val="auto"/>
              </w:rPr>
              <w:t xml:space="preserve"> all previously unpaid contingent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coupon payments (without interest on amounts</w:t>
            </w:r>
          </w:p>
        </w:tc>
        <w:tc>
          <w:tcPr>
            <w:tcW w:w="0" w:type="dxa"/>
            <w:vAlign w:val="bottom"/>
          </w:tcPr>
          <w:p>
            <w:pPr>
              <w:spacing w:after="0"/>
              <w:rPr>
                <w:sz w:val="1"/>
                <w:szCs w:val="1"/>
                <w:color w:val="auto"/>
              </w:rPr>
            </w:pPr>
          </w:p>
        </w:tc>
      </w:tr>
      <w:tr>
        <w:trPr>
          <w:trHeight w:val="137"/>
        </w:trPr>
        <w:tc>
          <w:tcPr>
            <w:tcW w:w="1980" w:type="dxa"/>
            <w:vAlign w:val="bottom"/>
            <w:tcBorders>
              <w:left w:val="single" w:sz="8" w:color="auto"/>
              <w:right w:val="single" w:sz="8" w:color="auto"/>
            </w:tcBorders>
          </w:tcPr>
          <w:p>
            <w:pPr>
              <w:spacing w:after="0"/>
              <w:rPr>
                <w:sz w:val="11"/>
                <w:szCs w:val="11"/>
                <w:color w:val="auto"/>
              </w:rPr>
            </w:pPr>
          </w:p>
        </w:tc>
        <w:tc>
          <w:tcPr>
            <w:tcW w:w="3580" w:type="dxa"/>
            <w:vAlign w:val="bottom"/>
            <w:tcBorders>
              <w:right w:val="single" w:sz="8" w:color="auto"/>
            </w:tcBorders>
            <w:gridSpan w:val="3"/>
          </w:tcPr>
          <w:p>
            <w:pPr>
              <w:ind w:left="80"/>
              <w:spacing w:after="0" w:line="138" w:lineRule="exact"/>
              <w:rPr>
                <w:sz w:val="20"/>
                <w:szCs w:val="20"/>
                <w:color w:val="auto"/>
              </w:rPr>
            </w:pPr>
            <w:r>
              <w:rPr>
                <w:rFonts w:ascii="Georgia" w:cs="Georgia" w:eastAsia="Georgia" w:hAnsi="Georgia"/>
                <w:sz w:val="13"/>
                <w:szCs w:val="13"/>
                <w:color w:val="auto"/>
              </w:rPr>
              <w:t>previously unpaid). Each “contingent coupon payment,”</w:t>
            </w:r>
          </w:p>
        </w:tc>
        <w:tc>
          <w:tcPr>
            <w:tcW w:w="0" w:type="dxa"/>
            <w:vAlign w:val="bottom"/>
          </w:tcPr>
          <w:p>
            <w:pPr>
              <w:spacing w:after="0"/>
              <w:rPr>
                <w:sz w:val="1"/>
                <w:szCs w:val="1"/>
                <w:color w:val="auto"/>
              </w:rPr>
            </w:pPr>
          </w:p>
        </w:tc>
      </w:tr>
      <w:tr>
        <w:trPr>
          <w:trHeight w:val="20"/>
        </w:trPr>
        <w:tc>
          <w:tcPr>
            <w:tcW w:w="1980" w:type="dxa"/>
            <w:vAlign w:val="bottom"/>
            <w:tcBorders>
              <w:left w:val="single" w:sz="8" w:color="auto"/>
              <w:right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980" w:type="dxa"/>
            <w:vAlign w:val="bottom"/>
            <w:tcBorders>
              <w:left w:val="single" w:sz="8" w:color="auto"/>
              <w:right w:val="single" w:sz="8" w:color="auto"/>
            </w:tcBorders>
          </w:tcPr>
          <w:p>
            <w:pPr>
              <w:spacing w:after="0"/>
              <w:rPr>
                <w:sz w:val="12"/>
                <w:szCs w:val="12"/>
                <w:color w:val="auto"/>
              </w:rPr>
            </w:pPr>
          </w:p>
        </w:tc>
        <w:tc>
          <w:tcPr>
            <w:tcW w:w="3320" w:type="dxa"/>
            <w:vAlign w:val="bottom"/>
            <w:gridSpan w:val="2"/>
          </w:tcPr>
          <w:p>
            <w:pPr>
              <w:ind w:left="80"/>
              <w:spacing w:after="0" w:line="146" w:lineRule="exact"/>
              <w:rPr>
                <w:sz w:val="20"/>
                <w:szCs w:val="20"/>
                <w:color w:val="auto"/>
              </w:rPr>
            </w:pPr>
            <w:r>
              <w:rPr>
                <w:rFonts w:ascii="Georgia" w:cs="Georgia" w:eastAsia="Georgia" w:hAnsi="Georgia"/>
                <w:sz w:val="13"/>
                <w:szCs w:val="13"/>
                <w:color w:val="auto"/>
              </w:rPr>
              <w:t>if any, will be calculated per security as follows:</w:t>
            </w:r>
          </w:p>
        </w:tc>
        <w:tc>
          <w:tcPr>
            <w:tcW w:w="2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bottom w:val="single" w:sz="8" w:color="auto"/>
              <w:right w:val="single" w:sz="8" w:color="auto"/>
            </w:tcBorders>
          </w:tcPr>
          <w:p>
            <w:pPr>
              <w:spacing w:after="0"/>
              <w:rPr>
                <w:sz w:val="14"/>
                <w:szCs w:val="14"/>
                <w:color w:val="auto"/>
              </w:rPr>
            </w:pPr>
          </w:p>
        </w:tc>
        <w:tc>
          <w:tcPr>
            <w:tcW w:w="3580" w:type="dxa"/>
            <w:vAlign w:val="bottom"/>
            <w:tcBorders>
              <w:bottom w:val="single" w:sz="8" w:color="auto"/>
              <w:right w:val="single" w:sz="8" w:color="auto"/>
            </w:tcBorders>
            <w:gridSpan w:val="3"/>
          </w:tcPr>
          <w:p>
            <w:pPr>
              <w:ind w:left="640"/>
              <w:spacing w:after="0"/>
              <w:rPr>
                <w:sz w:val="20"/>
                <w:szCs w:val="20"/>
                <w:color w:val="auto"/>
              </w:rPr>
            </w:pPr>
            <w:r>
              <w:rPr>
                <w:rFonts w:ascii="Georgia" w:cs="Georgia" w:eastAsia="Georgia" w:hAnsi="Georgia"/>
                <w:sz w:val="13"/>
                <w:szCs w:val="13"/>
                <w:color w:val="auto"/>
              </w:rPr>
              <w:t>($1,000 × contingent coupon rate) / 4</w:t>
            </w:r>
          </w:p>
        </w:tc>
        <w:tc>
          <w:tcPr>
            <w:tcW w:w="0" w:type="dxa"/>
            <w:vAlign w:val="bottom"/>
          </w:tcPr>
          <w:p>
            <w:pPr>
              <w:spacing w:after="0"/>
              <w:rPr>
                <w:sz w:val="1"/>
                <w:szCs w:val="1"/>
                <w:color w:val="auto"/>
              </w:rPr>
            </w:pPr>
          </w:p>
        </w:tc>
      </w:tr>
      <w:tr>
        <w:trPr>
          <w:trHeight w:val="140"/>
        </w:trPr>
        <w:tc>
          <w:tcPr>
            <w:tcW w:w="198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Contingent Coupon Payment</w:t>
            </w:r>
          </w:p>
        </w:tc>
        <w:tc>
          <w:tcPr>
            <w:tcW w:w="3580" w:type="dxa"/>
            <w:vAlign w:val="bottom"/>
            <w:tcBorders>
              <w:right w:val="single" w:sz="8" w:color="auto"/>
            </w:tcBorders>
            <w:gridSpan w:val="3"/>
          </w:tcPr>
          <w:p>
            <w:pPr>
              <w:ind w:left="80"/>
              <w:spacing w:after="0" w:line="140" w:lineRule="exact"/>
              <w:rPr>
                <w:sz w:val="20"/>
                <w:szCs w:val="20"/>
                <w:color w:val="auto"/>
              </w:rPr>
            </w:pPr>
            <w:r>
              <w:rPr>
                <w:rFonts w:ascii="Georgia" w:cs="Georgia" w:eastAsia="Georgia" w:hAnsi="Georgia"/>
                <w:sz w:val="13"/>
                <w:szCs w:val="13"/>
                <w:color w:val="auto"/>
              </w:rPr>
              <w:t>Quarterly, on the third business day following each</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ind w:left="120"/>
              <w:spacing w:after="0" w:line="149" w:lineRule="exact"/>
              <w:rPr>
                <w:sz w:val="20"/>
                <w:szCs w:val="20"/>
                <w:color w:val="auto"/>
              </w:rPr>
            </w:pPr>
            <w:r>
              <w:rPr>
                <w:rFonts w:ascii="Georgia" w:cs="Georgia" w:eastAsia="Georgia" w:hAnsi="Georgia"/>
                <w:sz w:val="11"/>
                <w:szCs w:val="11"/>
                <w:color w:val="auto"/>
              </w:rPr>
              <w:t>Dates</w:t>
            </w:r>
            <w:r>
              <w:rPr>
                <w:rFonts w:ascii="Georgia" w:cs="Georgia" w:eastAsia="Georgia" w:hAnsi="Georgia"/>
                <w:sz w:val="17"/>
                <w:szCs w:val="17"/>
                <w:color w:val="auto"/>
                <w:vertAlign w:val="superscript"/>
              </w:rPr>
              <w:t>1, 2</w:t>
            </w:r>
            <w:r>
              <w:rPr>
                <w:rFonts w:ascii="Georgia" w:cs="Georgia" w:eastAsia="Georgia" w:hAnsi="Georgia"/>
                <w:sz w:val="11"/>
                <w:szCs w:val="11"/>
                <w:color w:val="auto"/>
              </w:rPr>
              <w:t>:</w:t>
            </w: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 xml:space="preserve">calculation day, </w:t>
            </w:r>
            <w:r>
              <w:rPr>
                <w:rFonts w:ascii="Georgia" w:cs="Georgia" w:eastAsia="Georgia" w:hAnsi="Georgia"/>
                <w:sz w:val="13"/>
                <w:szCs w:val="13"/>
                <w:i w:val="1"/>
                <w:iCs w:val="1"/>
                <w:color w:val="auto"/>
              </w:rPr>
              <w:t>provided</w:t>
            </w:r>
            <w:r>
              <w:rPr>
                <w:rFonts w:ascii="Georgia" w:cs="Georgia" w:eastAsia="Georgia" w:hAnsi="Georgia"/>
                <w:sz w:val="13"/>
                <w:szCs w:val="13"/>
                <w:color w:val="auto"/>
              </w:rPr>
              <w:t xml:space="preserve"> that the contingent coupon</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payment date with respect to the final calculation day</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will be the stated maturity date</w:t>
            </w:r>
          </w:p>
        </w:tc>
        <w:tc>
          <w:tcPr>
            <w:tcW w:w="0" w:type="dxa"/>
            <w:vAlign w:val="bottom"/>
          </w:tcPr>
          <w:p>
            <w:pPr>
              <w:spacing w:after="0"/>
              <w:rPr>
                <w:sz w:val="1"/>
                <w:szCs w:val="1"/>
                <w:color w:val="auto"/>
              </w:rPr>
            </w:pPr>
          </w:p>
        </w:tc>
      </w:tr>
      <w:tr>
        <w:trPr>
          <w:trHeight w:val="153"/>
        </w:trPr>
        <w:tc>
          <w:tcPr>
            <w:tcW w:w="198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Contingent Coupon Rate:</w:t>
            </w: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At least 10.15% per annum (to be provided in the pricing</w:t>
            </w:r>
          </w:p>
        </w:tc>
        <w:tc>
          <w:tcPr>
            <w:tcW w:w="0" w:type="dxa"/>
            <w:vAlign w:val="bottom"/>
          </w:tcPr>
          <w:p>
            <w:pPr>
              <w:spacing w:after="0"/>
              <w:rPr>
                <w:sz w:val="1"/>
                <w:szCs w:val="1"/>
                <w:color w:val="auto"/>
              </w:rPr>
            </w:pPr>
          </w:p>
        </w:tc>
      </w:tr>
      <w:tr>
        <w:trPr>
          <w:trHeight w:val="152"/>
        </w:trPr>
        <w:tc>
          <w:tcPr>
            <w:tcW w:w="1980" w:type="dxa"/>
            <w:vAlign w:val="bottom"/>
            <w:tcBorders>
              <w:left w:val="single" w:sz="8" w:color="auto"/>
              <w:right w:val="single" w:sz="8" w:color="auto"/>
            </w:tcBorders>
          </w:tcPr>
          <w:p>
            <w:pPr>
              <w:spacing w:after="0"/>
              <w:rPr>
                <w:sz w:val="13"/>
                <w:szCs w:val="13"/>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supplement)</w:t>
            </w:r>
          </w:p>
        </w:tc>
        <w:tc>
          <w:tcPr>
            <w:tcW w:w="0" w:type="dxa"/>
            <w:vAlign w:val="bottom"/>
          </w:tcPr>
          <w:p>
            <w:pPr>
              <w:spacing w:after="0"/>
              <w:rPr>
                <w:sz w:val="1"/>
                <w:szCs w:val="1"/>
                <w:color w:val="auto"/>
              </w:rPr>
            </w:pPr>
          </w:p>
        </w:tc>
      </w:tr>
      <w:tr>
        <w:trPr>
          <w:trHeight w:val="26"/>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198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Automatic Call:</w:t>
            </w:r>
          </w:p>
        </w:tc>
        <w:tc>
          <w:tcPr>
            <w:tcW w:w="3580" w:type="dxa"/>
            <w:vAlign w:val="bottom"/>
            <w:tcBorders>
              <w:right w:val="single" w:sz="8" w:color="auto"/>
            </w:tcBorders>
            <w:gridSpan w:val="3"/>
          </w:tcPr>
          <w:p>
            <w:pPr>
              <w:ind w:left="80"/>
              <w:spacing w:after="0" w:line="140" w:lineRule="exact"/>
              <w:rPr>
                <w:sz w:val="20"/>
                <w:szCs w:val="20"/>
                <w:color w:val="auto"/>
              </w:rPr>
            </w:pPr>
            <w:r>
              <w:rPr>
                <w:rFonts w:ascii="Georgia" w:cs="Georgia" w:eastAsia="Georgia" w:hAnsi="Georgia"/>
                <w:sz w:val="13"/>
                <w:szCs w:val="13"/>
                <w:color w:val="auto"/>
              </w:rPr>
              <w:t>If the stock closing price of the Underlying Stock on any</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of the calculation days from January 2027 to July 2029,</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inclusive, is greater than or equal to the starting price,</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the securities will be automatically called, and on the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related call settlement date you will be entitled to receive</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a cash payment per security in U.S. dollars equal to the</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 xml:space="preserve">principal amount per security </w:t>
            </w:r>
            <w:r>
              <w:rPr>
                <w:rFonts w:ascii="Georgia" w:cs="Georgia" w:eastAsia="Georgia" w:hAnsi="Georgia"/>
                <w:sz w:val="13"/>
                <w:szCs w:val="13"/>
                <w:i w:val="1"/>
                <w:iCs w:val="1"/>
                <w:color w:val="auto"/>
              </w:rPr>
              <w:t>plus</w:t>
            </w:r>
            <w:r>
              <w:rPr>
                <w:rFonts w:ascii="Georgia" w:cs="Georgia" w:eastAsia="Georgia" w:hAnsi="Georgia"/>
                <w:sz w:val="13"/>
                <w:szCs w:val="13"/>
                <w:color w:val="auto"/>
              </w:rPr>
              <w:t xml:space="preserve"> a final contingent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coupon payment and any previously unpaid contingent</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coupon payments.</w:t>
            </w: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right w:val="single" w:sz="8" w:color="auto"/>
            </w:tcBorders>
          </w:tcPr>
          <w:p>
            <w:pPr>
              <w:ind w:left="120"/>
              <w:spacing w:after="0" w:line="180" w:lineRule="exact"/>
              <w:rPr>
                <w:sz w:val="20"/>
                <w:szCs w:val="20"/>
                <w:color w:val="auto"/>
              </w:rPr>
            </w:pPr>
            <w:r>
              <w:rPr>
                <w:rFonts w:ascii="Georgia" w:cs="Georgia" w:eastAsia="Georgia" w:hAnsi="Georgia"/>
                <w:sz w:val="13"/>
                <w:szCs w:val="13"/>
                <w:color w:val="auto"/>
              </w:rPr>
              <w:t>Calculation Days</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580" w:type="dxa"/>
            <w:vAlign w:val="bottom"/>
            <w:tcBorders>
              <w:right w:val="single" w:sz="8" w:color="auto"/>
            </w:tcBorders>
            <w:gridSpan w:val="3"/>
          </w:tcPr>
          <w:p>
            <w:pPr>
              <w:ind w:left="80"/>
              <w:spacing w:after="0" w:line="180" w:lineRule="exact"/>
              <w:rPr>
                <w:sz w:val="20"/>
                <w:szCs w:val="20"/>
                <w:color w:val="auto"/>
              </w:rPr>
            </w:pPr>
            <w:r>
              <w:rPr>
                <w:rFonts w:ascii="Georgia" w:cs="Georgia" w:eastAsia="Georgia" w:hAnsi="Georgia"/>
                <w:sz w:val="13"/>
                <w:szCs w:val="13"/>
                <w:color w:val="auto"/>
              </w:rPr>
              <w:t>Quarterly, on the 28</w:t>
            </w:r>
            <w:r>
              <w:rPr>
                <w:rFonts w:ascii="Georgia" w:cs="Georgia" w:eastAsia="Georgia" w:hAnsi="Georgia"/>
                <w:sz w:val="21"/>
                <w:szCs w:val="21"/>
                <w:color w:val="auto"/>
                <w:vertAlign w:val="superscript"/>
              </w:rPr>
              <w:t>th</w:t>
            </w:r>
            <w:r>
              <w:rPr>
                <w:rFonts w:ascii="Georgia" w:cs="Georgia" w:eastAsia="Georgia" w:hAnsi="Georgia"/>
                <w:sz w:val="13"/>
                <w:szCs w:val="13"/>
                <w:color w:val="auto"/>
              </w:rPr>
              <w:t xml:space="preserve"> day of each January, April, July</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and October, commencing January 2027 and ending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 xml:space="preserve">October 2029, </w:t>
            </w:r>
            <w:r>
              <w:rPr>
                <w:rFonts w:ascii="Georgia" w:cs="Georgia" w:eastAsia="Georgia" w:hAnsi="Georgia"/>
                <w:sz w:val="13"/>
                <w:szCs w:val="13"/>
                <w:i w:val="1"/>
                <w:iCs w:val="1"/>
                <w:color w:val="auto"/>
              </w:rPr>
              <w:t>provided</w:t>
            </w:r>
            <w:r>
              <w:rPr>
                <w:rFonts w:ascii="Georgia" w:cs="Georgia" w:eastAsia="Georgia" w:hAnsi="Georgia"/>
                <w:sz w:val="13"/>
                <w:szCs w:val="13"/>
                <w:color w:val="auto"/>
              </w:rPr>
              <w:t xml:space="preserve"> that the October 2029</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calculation day will be October 29, 2029. We refer to</w:t>
            </w:r>
          </w:p>
        </w:tc>
        <w:tc>
          <w:tcPr>
            <w:tcW w:w="0" w:type="dxa"/>
            <w:vAlign w:val="bottom"/>
          </w:tcPr>
          <w:p>
            <w:pPr>
              <w:spacing w:after="0"/>
              <w:rPr>
                <w:sz w:val="1"/>
                <w:szCs w:val="1"/>
                <w:color w:val="auto"/>
              </w:rPr>
            </w:pPr>
          </w:p>
        </w:tc>
      </w:tr>
      <w:tr>
        <w:trPr>
          <w:trHeight w:val="144"/>
        </w:trPr>
        <w:tc>
          <w:tcPr>
            <w:tcW w:w="1980" w:type="dxa"/>
            <w:vAlign w:val="bottom"/>
            <w:tcBorders>
              <w:left w:val="single" w:sz="8" w:color="auto"/>
              <w:bottom w:val="single" w:sz="8" w:color="auto"/>
              <w:right w:val="single" w:sz="8" w:color="auto"/>
            </w:tcBorders>
          </w:tcPr>
          <w:p>
            <w:pPr>
              <w:spacing w:after="0"/>
              <w:rPr>
                <w:sz w:val="12"/>
                <w:szCs w:val="12"/>
                <w:color w:val="auto"/>
              </w:rPr>
            </w:pPr>
          </w:p>
        </w:tc>
        <w:tc>
          <w:tcPr>
            <w:tcW w:w="3580" w:type="dxa"/>
            <w:vAlign w:val="bottom"/>
            <w:tcBorders>
              <w:bottom w:val="single" w:sz="8" w:color="auto"/>
              <w:right w:val="single" w:sz="8" w:color="auto"/>
            </w:tcBorders>
            <w:gridSpan w:val="3"/>
          </w:tcPr>
          <w:p>
            <w:pPr>
              <w:ind w:left="80"/>
              <w:spacing w:after="0" w:line="138" w:lineRule="exact"/>
              <w:rPr>
                <w:sz w:val="20"/>
                <w:szCs w:val="20"/>
                <w:color w:val="auto"/>
              </w:rPr>
            </w:pPr>
            <w:r>
              <w:rPr>
                <w:rFonts w:ascii="Georgia" w:cs="Georgia" w:eastAsia="Georgia" w:hAnsi="Georgia"/>
                <w:sz w:val="13"/>
                <w:szCs w:val="13"/>
                <w:color w:val="auto"/>
              </w:rPr>
              <w:t>October 29, 2029 as the “final calculation day.”</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bottom w:val="single" w:sz="8" w:color="auto"/>
              <w:right w:val="single" w:sz="8" w:color="auto"/>
            </w:tcBorders>
          </w:tcPr>
          <w:p>
            <w:pPr>
              <w:ind w:left="120"/>
              <w:spacing w:after="0" w:line="230"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2"/>
                <w:szCs w:val="22"/>
                <w:color w:val="auto"/>
                <w:vertAlign w:val="superscript"/>
              </w:rPr>
              <w:t>1, 2</w:t>
            </w:r>
            <w:r>
              <w:rPr>
                <w:rFonts w:ascii="Georgia" w:cs="Georgia" w:eastAsia="Georgia" w:hAnsi="Georgia"/>
                <w:sz w:val="13"/>
                <w:szCs w:val="13"/>
                <w:color w:val="auto"/>
              </w:rPr>
              <w:t>:</w:t>
            </w: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Three business days after the applicable calculation day</w:t>
            </w:r>
          </w:p>
        </w:tc>
        <w:tc>
          <w:tcPr>
            <w:tcW w:w="0" w:type="dxa"/>
            <w:vAlign w:val="bottom"/>
          </w:tcPr>
          <w:p>
            <w:pPr>
              <w:spacing w:after="0"/>
              <w:rPr>
                <w:sz w:val="1"/>
                <w:szCs w:val="1"/>
                <w:color w:val="auto"/>
              </w:rPr>
            </w:pPr>
          </w:p>
        </w:tc>
      </w:tr>
      <w:tr>
        <w:trPr>
          <w:trHeight w:val="140"/>
        </w:trPr>
        <w:tc>
          <w:tcPr>
            <w:tcW w:w="198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Maturity Payment Amount</w:t>
            </w:r>
          </w:p>
        </w:tc>
        <w:tc>
          <w:tcPr>
            <w:tcW w:w="3580" w:type="dxa"/>
            <w:vAlign w:val="bottom"/>
            <w:tcBorders>
              <w:right w:val="single" w:sz="8" w:color="auto"/>
            </w:tcBorders>
            <w:gridSpan w:val="3"/>
          </w:tcPr>
          <w:p>
            <w:pPr>
              <w:ind w:left="80"/>
              <w:spacing w:after="0" w:line="140" w:lineRule="exact"/>
              <w:rPr>
                <w:sz w:val="20"/>
                <w:szCs w:val="20"/>
                <w:color w:val="auto"/>
              </w:rPr>
            </w:pPr>
            <w:r>
              <w:rPr>
                <w:rFonts w:ascii="Georgia" w:cs="Georgia" w:eastAsia="Georgia" w:hAnsi="Georgia"/>
                <w:sz w:val="13"/>
                <w:szCs w:val="13"/>
                <w:color w:val="auto"/>
              </w:rPr>
              <w:t>If the securities are not automatically called:</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(per Security):</w:t>
            </w:r>
          </w:p>
        </w:tc>
        <w:tc>
          <w:tcPr>
            <w:tcW w:w="3580" w:type="dxa"/>
            <w:vAlign w:val="bottom"/>
            <w:tcBorders>
              <w:right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 xml:space="preserve">·  </w:t>
            </w:r>
            <w:r>
              <w:rPr>
                <w:rFonts w:ascii="Georgia" w:cs="Georgia" w:eastAsia="Georgia" w:hAnsi="Georgia"/>
                <w:sz w:val="13"/>
                <w:szCs w:val="13"/>
                <w:color w:val="auto"/>
              </w:rPr>
              <w:t>If the ending price is greater than or equal to the</w:t>
            </w:r>
          </w:p>
        </w:tc>
        <w:tc>
          <w:tcPr>
            <w:tcW w:w="0" w:type="dxa"/>
            <w:vAlign w:val="bottom"/>
          </w:tcPr>
          <w:p>
            <w:pPr>
              <w:spacing w:after="0"/>
              <w:rPr>
                <w:sz w:val="1"/>
                <w:szCs w:val="1"/>
                <w:color w:val="auto"/>
              </w:rPr>
            </w:pPr>
          </w:p>
        </w:tc>
      </w:tr>
      <w:tr>
        <w:trPr>
          <w:trHeight w:val="152"/>
        </w:trPr>
        <w:tc>
          <w:tcPr>
            <w:tcW w:w="1980" w:type="dxa"/>
            <w:vAlign w:val="bottom"/>
            <w:tcBorders>
              <w:left w:val="single" w:sz="8" w:color="auto"/>
              <w:right w:val="single" w:sz="8" w:color="auto"/>
            </w:tcBorders>
          </w:tcPr>
          <w:p>
            <w:pPr>
              <w:spacing w:after="0"/>
              <w:rPr>
                <w:sz w:val="13"/>
                <w:szCs w:val="13"/>
                <w:color w:val="auto"/>
              </w:rPr>
            </w:pPr>
          </w:p>
        </w:tc>
        <w:tc>
          <w:tcPr>
            <w:tcW w:w="3580" w:type="dxa"/>
            <w:vAlign w:val="bottom"/>
            <w:tcBorders>
              <w:right w:val="single" w:sz="8" w:color="auto"/>
            </w:tcBorders>
            <w:gridSpan w:val="3"/>
          </w:tcPr>
          <w:p>
            <w:pPr>
              <w:ind w:left="240"/>
              <w:spacing w:after="0"/>
              <w:rPr>
                <w:sz w:val="20"/>
                <w:szCs w:val="20"/>
                <w:color w:val="auto"/>
              </w:rPr>
            </w:pPr>
            <w:r>
              <w:rPr>
                <w:rFonts w:ascii="Georgia" w:cs="Georgia" w:eastAsia="Georgia" w:hAnsi="Georgia"/>
                <w:sz w:val="13"/>
                <w:szCs w:val="13"/>
                <w:color w:val="auto"/>
              </w:rPr>
              <w:t>threshold price: $1,000; or</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 xml:space="preserve">·  </w:t>
            </w:r>
            <w:r>
              <w:rPr>
                <w:rFonts w:ascii="Georgia" w:cs="Georgia" w:eastAsia="Georgia" w:hAnsi="Georgia"/>
                <w:sz w:val="13"/>
                <w:szCs w:val="13"/>
                <w:color w:val="auto"/>
              </w:rPr>
              <w:t>If the ending price is less than the threshold price:</w:t>
            </w:r>
          </w:p>
        </w:tc>
        <w:tc>
          <w:tcPr>
            <w:tcW w:w="0" w:type="dxa"/>
            <w:vAlign w:val="bottom"/>
          </w:tcPr>
          <w:p>
            <w:pPr>
              <w:spacing w:after="0"/>
              <w:rPr>
                <w:sz w:val="1"/>
                <w:szCs w:val="1"/>
                <w:color w:val="auto"/>
              </w:rPr>
            </w:pPr>
          </w:p>
        </w:tc>
      </w:tr>
      <w:tr>
        <w:trPr>
          <w:trHeight w:val="203"/>
        </w:trPr>
        <w:tc>
          <w:tcPr>
            <w:tcW w:w="1980" w:type="dxa"/>
            <w:vAlign w:val="bottom"/>
            <w:tcBorders>
              <w:left w:val="single" w:sz="8" w:color="auto"/>
              <w:right w:val="single" w:sz="8" w:color="auto"/>
            </w:tcBorders>
          </w:tcPr>
          <w:p>
            <w:pPr>
              <w:spacing w:after="0"/>
              <w:rPr>
                <w:sz w:val="17"/>
                <w:szCs w:val="17"/>
                <w:color w:val="auto"/>
              </w:rPr>
            </w:pPr>
          </w:p>
        </w:tc>
        <w:tc>
          <w:tcPr>
            <w:tcW w:w="3580" w:type="dxa"/>
            <w:vAlign w:val="bottom"/>
            <w:tcBorders>
              <w:right w:val="single" w:sz="8" w:color="auto"/>
            </w:tcBorders>
            <w:gridSpan w:val="3"/>
          </w:tcPr>
          <w:p>
            <w:pPr>
              <w:ind w:left="780"/>
              <w:spacing w:after="0"/>
              <w:rPr>
                <w:sz w:val="20"/>
                <w:szCs w:val="20"/>
                <w:color w:val="auto"/>
              </w:rPr>
            </w:pPr>
            <w:r>
              <w:rPr>
                <w:rFonts w:ascii="Georgia" w:cs="Georgia" w:eastAsia="Georgia" w:hAnsi="Georgia"/>
                <w:sz w:val="13"/>
                <w:szCs w:val="13"/>
                <w:color w:val="auto"/>
              </w:rPr>
              <w:t>$1,000 + ($1,000 × stock return)</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98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Starting Price:</w:t>
            </w:r>
          </w:p>
        </w:tc>
        <w:tc>
          <w:tcPr>
            <w:tcW w:w="3580" w:type="dxa"/>
            <w:vAlign w:val="bottom"/>
            <w:tcBorders>
              <w:right w:val="single" w:sz="8" w:color="auto"/>
            </w:tcBorders>
            <w:gridSpan w:val="3"/>
          </w:tcPr>
          <w:p>
            <w:pPr>
              <w:ind w:left="80"/>
              <w:spacing w:after="0" w:line="140" w:lineRule="exact"/>
              <w:rPr>
                <w:sz w:val="20"/>
                <w:szCs w:val="20"/>
                <w:color w:val="auto"/>
              </w:rPr>
            </w:pPr>
            <w:r>
              <w:rPr>
                <w:rFonts w:ascii="Georgia" w:cs="Georgia" w:eastAsia="Georgia" w:hAnsi="Georgia"/>
                <w:sz w:val="13"/>
                <w:szCs w:val="13"/>
                <w:color w:val="auto"/>
              </w:rPr>
              <w:t>The stock closing price of the Underlying Stock on the</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pricing date</w:t>
            </w:r>
          </w:p>
        </w:tc>
        <w:tc>
          <w:tcPr>
            <w:tcW w:w="0" w:type="dxa"/>
            <w:vAlign w:val="bottom"/>
          </w:tcPr>
          <w:p>
            <w:pPr>
              <w:spacing w:after="0"/>
              <w:rPr>
                <w:sz w:val="1"/>
                <w:szCs w:val="1"/>
                <w:color w:val="auto"/>
              </w:rPr>
            </w:pPr>
          </w:p>
        </w:tc>
      </w:tr>
      <w:tr>
        <w:trPr>
          <w:trHeight w:val="140"/>
        </w:trPr>
        <w:tc>
          <w:tcPr>
            <w:tcW w:w="198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Ending Price:</w:t>
            </w:r>
          </w:p>
        </w:tc>
        <w:tc>
          <w:tcPr>
            <w:tcW w:w="3580" w:type="dxa"/>
            <w:vAlign w:val="bottom"/>
            <w:tcBorders>
              <w:right w:val="single" w:sz="8" w:color="auto"/>
            </w:tcBorders>
            <w:gridSpan w:val="3"/>
          </w:tcPr>
          <w:p>
            <w:pPr>
              <w:ind w:left="80"/>
              <w:spacing w:after="0" w:line="140" w:lineRule="exact"/>
              <w:rPr>
                <w:sz w:val="20"/>
                <w:szCs w:val="20"/>
                <w:color w:val="auto"/>
              </w:rPr>
            </w:pPr>
            <w:r>
              <w:rPr>
                <w:rFonts w:ascii="Georgia" w:cs="Georgia" w:eastAsia="Georgia" w:hAnsi="Georgia"/>
                <w:sz w:val="13"/>
                <w:szCs w:val="13"/>
                <w:color w:val="auto"/>
              </w:rPr>
              <w:t>The stock closing price of the Underlying Stock on the</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final calculation day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2"/>
        </w:trPr>
        <w:tc>
          <w:tcPr>
            <w:tcW w:w="1960" w:type="dxa"/>
            <w:vAlign w:val="bottom"/>
            <w:tcBorders>
              <w:top w:val="single" w:sz="8" w:color="auto"/>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Stock Return:</w:t>
            </w:r>
          </w:p>
        </w:tc>
        <w:tc>
          <w:tcPr>
            <w:tcW w:w="3600" w:type="dxa"/>
            <w:vAlign w:val="bottom"/>
            <w:tcBorders>
              <w:top w:val="single" w:sz="8" w:color="auto"/>
              <w:bottom w:val="single" w:sz="8" w:color="auto"/>
              <w:right w:val="single" w:sz="8" w:color="auto"/>
            </w:tcBorders>
            <w:gridSpan w:val="5"/>
          </w:tcPr>
          <w:p>
            <w:pPr>
              <w:ind w:left="100"/>
              <w:spacing w:after="0" w:line="142" w:lineRule="exact"/>
              <w:rPr>
                <w:sz w:val="20"/>
                <w:szCs w:val="20"/>
                <w:color w:val="auto"/>
              </w:rPr>
            </w:pPr>
            <w:r>
              <w:rPr>
                <w:rFonts w:ascii="Georgia" w:cs="Georgia" w:eastAsia="Georgia" w:hAnsi="Georgia"/>
                <w:sz w:val="13"/>
                <w:szCs w:val="13"/>
                <w:color w:val="auto"/>
              </w:rPr>
              <w:t>(ending price – starting price) / starting price</w:t>
            </w:r>
          </w:p>
        </w:tc>
        <w:tc>
          <w:tcPr>
            <w:tcW w:w="0" w:type="dxa"/>
            <w:vAlign w:val="bottom"/>
          </w:tcPr>
          <w:p>
            <w:pPr>
              <w:spacing w:after="0"/>
              <w:rPr>
                <w:sz w:val="1"/>
                <w:szCs w:val="1"/>
                <w:color w:val="auto"/>
              </w:rPr>
            </w:pPr>
          </w:p>
        </w:tc>
      </w:tr>
      <w:tr>
        <w:trPr>
          <w:trHeight w:val="142"/>
        </w:trPr>
        <w:tc>
          <w:tcPr>
            <w:tcW w:w="1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Threshold Price:</w:t>
            </w:r>
          </w:p>
        </w:tc>
        <w:tc>
          <w:tcPr>
            <w:tcW w:w="3600" w:type="dxa"/>
            <w:vAlign w:val="bottom"/>
            <w:tcBorders>
              <w:bottom w:val="single" w:sz="8" w:color="auto"/>
              <w:right w:val="single" w:sz="8" w:color="auto"/>
            </w:tcBorders>
            <w:gridSpan w:val="5"/>
          </w:tcPr>
          <w:p>
            <w:pPr>
              <w:ind w:left="100"/>
              <w:spacing w:after="0" w:line="142" w:lineRule="exact"/>
              <w:rPr>
                <w:sz w:val="20"/>
                <w:szCs w:val="20"/>
                <w:color w:val="auto"/>
              </w:rPr>
            </w:pPr>
            <w:r>
              <w:rPr>
                <w:rFonts w:ascii="Georgia" w:cs="Georgia" w:eastAsia="Georgia" w:hAnsi="Georgia"/>
                <w:sz w:val="13"/>
                <w:szCs w:val="13"/>
                <w:color w:val="auto"/>
              </w:rPr>
              <w:t>60% of the starting price</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Georgia" w:cs="Georgia" w:eastAsia="Georgia" w:hAnsi="Georgia"/>
                <w:sz w:val="13"/>
                <w:szCs w:val="13"/>
                <w:color w:val="auto"/>
              </w:rPr>
              <w:t>Calculation Agent:</w:t>
            </w:r>
          </w:p>
        </w:tc>
        <w:tc>
          <w:tcPr>
            <w:tcW w:w="3600" w:type="dxa"/>
            <w:vAlign w:val="bottom"/>
            <w:tcBorders>
              <w:bottom w:val="single" w:sz="8" w:color="auto"/>
              <w:right w:val="single" w:sz="8" w:color="auto"/>
            </w:tcBorders>
            <w:gridSpan w:val="5"/>
          </w:tcPr>
          <w:p>
            <w:pPr>
              <w:ind w:left="100"/>
              <w:spacing w:after="0" w:line="129" w:lineRule="exact"/>
              <w:rPr>
                <w:sz w:val="20"/>
                <w:szCs w:val="20"/>
                <w:color w:val="auto"/>
              </w:rPr>
            </w:pPr>
            <w:r>
              <w:rPr>
                <w:rFonts w:ascii="Georgia" w:cs="Georgia" w:eastAsia="Georgia" w:hAnsi="Georgia"/>
                <w:sz w:val="13"/>
                <w:szCs w:val="13"/>
                <w:color w:val="auto"/>
              </w:rPr>
              <w:t>J.P. Morgan Securities LLC (“JPMS”)</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Denominations:</w:t>
            </w:r>
          </w:p>
        </w:tc>
        <w:tc>
          <w:tcPr>
            <w:tcW w:w="360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3"/>
                <w:szCs w:val="13"/>
                <w:color w:val="auto"/>
              </w:rPr>
              <w:t>$1,000 and any integral multiple of $1,000</w:t>
            </w:r>
          </w:p>
        </w:tc>
        <w:tc>
          <w:tcPr>
            <w:tcW w:w="0" w:type="dxa"/>
            <w:vAlign w:val="bottom"/>
          </w:tcPr>
          <w:p>
            <w:pPr>
              <w:spacing w:after="0"/>
              <w:rPr>
                <w:sz w:val="1"/>
                <w:szCs w:val="1"/>
                <w:color w:val="auto"/>
              </w:rPr>
            </w:pPr>
          </w:p>
        </w:tc>
      </w:tr>
      <w:tr>
        <w:trPr>
          <w:trHeight w:val="142"/>
        </w:trPr>
        <w:tc>
          <w:tcPr>
            <w:tcW w:w="1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CUSIP:</w:t>
            </w:r>
          </w:p>
        </w:tc>
        <w:tc>
          <w:tcPr>
            <w:tcW w:w="3600" w:type="dxa"/>
            <w:vAlign w:val="bottom"/>
            <w:tcBorders>
              <w:bottom w:val="single" w:sz="8" w:color="auto"/>
              <w:right w:val="single" w:sz="8" w:color="auto"/>
            </w:tcBorders>
            <w:gridSpan w:val="5"/>
          </w:tcPr>
          <w:p>
            <w:pPr>
              <w:ind w:left="100"/>
              <w:spacing w:after="0" w:line="142" w:lineRule="exact"/>
              <w:rPr>
                <w:sz w:val="20"/>
                <w:szCs w:val="20"/>
                <w:color w:val="auto"/>
              </w:rPr>
            </w:pPr>
            <w:r>
              <w:rPr>
                <w:rFonts w:ascii="Georgia" w:cs="Georgia" w:eastAsia="Georgia" w:hAnsi="Georgia"/>
                <w:sz w:val="13"/>
                <w:szCs w:val="13"/>
                <w:color w:val="auto"/>
              </w:rPr>
              <w:t>46661QRD9</w:t>
            </w:r>
          </w:p>
        </w:tc>
        <w:tc>
          <w:tcPr>
            <w:tcW w:w="0" w:type="dxa"/>
            <w:vAlign w:val="bottom"/>
          </w:tcPr>
          <w:p>
            <w:pPr>
              <w:spacing w:after="0"/>
              <w:rPr>
                <w:sz w:val="1"/>
                <w:szCs w:val="1"/>
                <w:color w:val="auto"/>
              </w:rPr>
            </w:pPr>
          </w:p>
        </w:tc>
      </w:tr>
      <w:tr>
        <w:trPr>
          <w:trHeight w:val="128"/>
        </w:trPr>
        <w:tc>
          <w:tcPr>
            <w:tcW w:w="1960" w:type="dxa"/>
            <w:vAlign w:val="bottom"/>
            <w:tcBorders>
              <w:left w:val="single" w:sz="8" w:color="auto"/>
              <w:right w:val="single" w:sz="8" w:color="auto"/>
            </w:tcBorders>
          </w:tcPr>
          <w:p>
            <w:pPr>
              <w:ind w:left="120"/>
              <w:spacing w:after="0" w:line="129" w:lineRule="exact"/>
              <w:rPr>
                <w:sz w:val="20"/>
                <w:szCs w:val="20"/>
                <w:color w:val="auto"/>
              </w:rPr>
            </w:pPr>
            <w:r>
              <w:rPr>
                <w:rFonts w:ascii="Georgia" w:cs="Georgia" w:eastAsia="Georgia" w:hAnsi="Georgia"/>
                <w:sz w:val="13"/>
                <w:szCs w:val="13"/>
                <w:color w:val="auto"/>
              </w:rPr>
              <w:t>Fees and Commissions:</w:t>
            </w:r>
          </w:p>
        </w:tc>
        <w:tc>
          <w:tcPr>
            <w:tcW w:w="3600" w:type="dxa"/>
            <w:vAlign w:val="bottom"/>
            <w:tcBorders>
              <w:right w:val="single" w:sz="8" w:color="auto"/>
            </w:tcBorders>
            <w:gridSpan w:val="5"/>
          </w:tcPr>
          <w:p>
            <w:pPr>
              <w:ind w:left="100"/>
              <w:spacing w:after="0" w:line="129" w:lineRule="exact"/>
              <w:rPr>
                <w:sz w:val="20"/>
                <w:szCs w:val="20"/>
                <w:color w:val="auto"/>
              </w:rPr>
            </w:pPr>
            <w:r>
              <w:rPr>
                <w:rFonts w:ascii="Georgia" w:cs="Georgia" w:eastAsia="Georgia" w:hAnsi="Georgia"/>
                <w:sz w:val="13"/>
                <w:szCs w:val="13"/>
                <w:color w:val="auto"/>
              </w:rPr>
              <w:t>Up to 2.325% for Wells Fargo Securities, LLC (“WFS”);</w:t>
            </w:r>
          </w:p>
        </w:tc>
        <w:tc>
          <w:tcPr>
            <w:tcW w:w="0" w:type="dxa"/>
            <w:vAlign w:val="bottom"/>
          </w:tcPr>
          <w:p>
            <w:pPr>
              <w:spacing w:after="0"/>
              <w:rPr>
                <w:sz w:val="1"/>
                <w:szCs w:val="1"/>
                <w:color w:val="auto"/>
              </w:rPr>
            </w:pPr>
          </w:p>
        </w:tc>
      </w:tr>
      <w:tr>
        <w:trPr>
          <w:trHeight w:val="20"/>
        </w:trPr>
        <w:tc>
          <w:tcPr>
            <w:tcW w:w="1960" w:type="dxa"/>
            <w:vAlign w:val="bottom"/>
            <w:tcBorders>
              <w:left w:val="single" w:sz="8" w:color="auto"/>
              <w:right w:val="single" w:sz="8" w:color="auto"/>
            </w:tcBorders>
          </w:tcPr>
          <w:p>
            <w:pPr>
              <w:spacing w:after="0" w:line="20" w:lineRule="exact"/>
              <w:rPr>
                <w:sz w:val="1"/>
                <w:szCs w:val="1"/>
                <w:color w:val="auto"/>
              </w:rPr>
            </w:pPr>
          </w:p>
        </w:tc>
        <w:tc>
          <w:tcPr>
            <w:tcW w:w="2920" w:type="dxa"/>
            <w:vAlign w:val="bottom"/>
            <w:gridSpan w:val="3"/>
            <w:vMerge w:val="restart"/>
          </w:tcPr>
          <w:p>
            <w:pPr>
              <w:ind w:left="100"/>
              <w:spacing w:after="0"/>
              <w:rPr>
                <w:sz w:val="20"/>
                <w:szCs w:val="20"/>
                <w:color w:val="auto"/>
              </w:rPr>
            </w:pPr>
            <w:r>
              <w:rPr>
                <w:rFonts w:ascii="Georgia" w:cs="Georgia" w:eastAsia="Georgia" w:hAnsi="Georgia"/>
                <w:sz w:val="13"/>
                <w:szCs w:val="13"/>
                <w:color w:val="auto"/>
                <w:w w:val="99"/>
              </w:rPr>
              <w:t>WFS has advised us that dealers, including Wells</w:t>
            </w:r>
          </w:p>
        </w:tc>
        <w:tc>
          <w:tcPr>
            <w:tcW w:w="3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960" w:type="dxa"/>
            <w:vAlign w:val="bottom"/>
            <w:tcBorders>
              <w:left w:val="single" w:sz="8" w:color="auto"/>
              <w:right w:val="single" w:sz="8" w:color="auto"/>
            </w:tcBorders>
          </w:tcPr>
          <w:p>
            <w:pPr>
              <w:spacing w:after="0"/>
              <w:rPr>
                <w:sz w:val="12"/>
                <w:szCs w:val="12"/>
                <w:color w:val="auto"/>
              </w:rPr>
            </w:pPr>
          </w:p>
        </w:tc>
        <w:tc>
          <w:tcPr>
            <w:tcW w:w="2920" w:type="dxa"/>
            <w:vAlign w:val="bottom"/>
            <w:gridSpan w:val="3"/>
            <w:vMerge w:val="continue"/>
          </w:tcPr>
          <w:p>
            <w:pPr>
              <w:spacing w:after="0"/>
              <w:rPr>
                <w:sz w:val="12"/>
                <w:szCs w:val="12"/>
                <w:color w:val="auto"/>
              </w:rPr>
            </w:pPr>
          </w:p>
        </w:tc>
        <w:tc>
          <w:tcPr>
            <w:tcW w:w="680" w:type="dxa"/>
            <w:vAlign w:val="bottom"/>
            <w:tcBorders>
              <w:right w:val="single" w:sz="8" w:color="auto"/>
            </w:tcBorders>
            <w:gridSpan w:val="2"/>
          </w:tcPr>
          <w:p>
            <w:pPr>
              <w:ind w:left="120"/>
              <w:spacing w:after="0" w:line="140" w:lineRule="exact"/>
              <w:rPr>
                <w:sz w:val="20"/>
                <w:szCs w:val="20"/>
                <w:color w:val="auto"/>
              </w:rPr>
            </w:pPr>
            <w:r>
              <w:rPr>
                <w:rFonts w:ascii="Georgia" w:cs="Georgia" w:eastAsia="Georgia" w:hAnsi="Georgia"/>
                <w:sz w:val="13"/>
                <w:szCs w:val="13"/>
                <w:color w:val="auto"/>
              </w:rPr>
              <w:t>Fargo</w:t>
            </w:r>
          </w:p>
        </w:tc>
        <w:tc>
          <w:tcPr>
            <w:tcW w:w="0" w:type="dxa"/>
            <w:vAlign w:val="bottom"/>
          </w:tcPr>
          <w:p>
            <w:pPr>
              <w:spacing w:after="0"/>
              <w:rPr>
                <w:sz w:val="1"/>
                <w:szCs w:val="1"/>
                <w:color w:val="auto"/>
              </w:rPr>
            </w:pPr>
          </w:p>
        </w:tc>
      </w:tr>
      <w:tr>
        <w:trPr>
          <w:trHeight w:val="137"/>
        </w:trPr>
        <w:tc>
          <w:tcPr>
            <w:tcW w:w="1960" w:type="dxa"/>
            <w:vAlign w:val="bottom"/>
            <w:tcBorders>
              <w:left w:val="single" w:sz="8" w:color="auto"/>
              <w:right w:val="single" w:sz="8" w:color="auto"/>
            </w:tcBorders>
          </w:tcPr>
          <w:p>
            <w:pPr>
              <w:spacing w:after="0"/>
              <w:rPr>
                <w:sz w:val="11"/>
                <w:szCs w:val="11"/>
                <w:color w:val="auto"/>
              </w:rPr>
            </w:pPr>
          </w:p>
        </w:tc>
        <w:tc>
          <w:tcPr>
            <w:tcW w:w="3600" w:type="dxa"/>
            <w:vAlign w:val="bottom"/>
            <w:tcBorders>
              <w:right w:val="single" w:sz="8" w:color="auto"/>
            </w:tcBorders>
            <w:gridSpan w:val="5"/>
          </w:tcPr>
          <w:p>
            <w:pPr>
              <w:ind w:left="100"/>
              <w:spacing w:after="0" w:line="138" w:lineRule="exact"/>
              <w:rPr>
                <w:sz w:val="20"/>
                <w:szCs w:val="20"/>
                <w:color w:val="auto"/>
              </w:rPr>
            </w:pPr>
            <w:r>
              <w:rPr>
                <w:rFonts w:ascii="Georgia" w:cs="Georgia" w:eastAsia="Georgia" w:hAnsi="Georgia"/>
                <w:sz w:val="13"/>
                <w:szCs w:val="13"/>
                <w:color w:val="auto"/>
              </w:rPr>
              <w:t>Advisors (“WFA”), may receive 1.75% of WFS’s fee, and</w:t>
            </w:r>
          </w:p>
        </w:tc>
        <w:tc>
          <w:tcPr>
            <w:tcW w:w="0" w:type="dxa"/>
            <w:vAlign w:val="bottom"/>
          </w:tcPr>
          <w:p>
            <w:pPr>
              <w:spacing w:after="0"/>
              <w:rPr>
                <w:sz w:val="1"/>
                <w:szCs w:val="1"/>
                <w:color w:val="auto"/>
              </w:rPr>
            </w:pPr>
          </w:p>
        </w:tc>
      </w:tr>
      <w:tr>
        <w:trPr>
          <w:trHeight w:val="140"/>
        </w:trPr>
        <w:tc>
          <w:tcPr>
            <w:tcW w:w="1960" w:type="dxa"/>
            <w:vAlign w:val="bottom"/>
            <w:tcBorders>
              <w:left w:val="single" w:sz="8" w:color="auto"/>
              <w:right w:val="single" w:sz="8" w:color="auto"/>
            </w:tcBorders>
          </w:tcPr>
          <w:p>
            <w:pPr>
              <w:spacing w:after="0"/>
              <w:rPr>
                <w:sz w:val="12"/>
                <w:szCs w:val="12"/>
                <w:color w:val="auto"/>
              </w:rPr>
            </w:pPr>
          </w:p>
        </w:tc>
        <w:tc>
          <w:tcPr>
            <w:tcW w:w="760" w:type="dxa"/>
            <w:vAlign w:val="bottom"/>
          </w:tcPr>
          <w:p>
            <w:pPr>
              <w:ind w:left="100"/>
              <w:spacing w:after="0" w:line="140" w:lineRule="exact"/>
              <w:rPr>
                <w:sz w:val="20"/>
                <w:szCs w:val="20"/>
                <w:color w:val="auto"/>
              </w:rPr>
            </w:pPr>
            <w:r>
              <w:rPr>
                <w:rFonts w:ascii="Georgia" w:cs="Georgia" w:eastAsia="Georgia" w:hAnsi="Georgia"/>
                <w:sz w:val="13"/>
                <w:szCs w:val="13"/>
                <w:color w:val="auto"/>
              </w:rPr>
              <w:t>WFA may</w:t>
            </w:r>
          </w:p>
        </w:tc>
        <w:tc>
          <w:tcPr>
            <w:tcW w:w="300" w:type="dxa"/>
            <w:vAlign w:val="bottom"/>
            <w:tcBorders>
              <w:top w:val="single" w:sz="8" w:color="auto"/>
            </w:tcBorders>
          </w:tcPr>
          <w:p>
            <w:pPr>
              <w:spacing w:after="0" w:line="140" w:lineRule="exact"/>
              <w:rPr>
                <w:sz w:val="20"/>
                <w:szCs w:val="20"/>
                <w:color w:val="auto"/>
              </w:rPr>
            </w:pPr>
            <w:r>
              <w:rPr>
                <w:rFonts w:ascii="Georgia" w:cs="Georgia" w:eastAsia="Georgia" w:hAnsi="Georgia"/>
                <w:sz w:val="13"/>
                <w:szCs w:val="13"/>
                <w:color w:val="auto"/>
              </w:rPr>
              <w:t>also</w:t>
            </w:r>
          </w:p>
        </w:tc>
        <w:tc>
          <w:tcPr>
            <w:tcW w:w="2540" w:type="dxa"/>
            <w:vAlign w:val="bottom"/>
            <w:tcBorders>
              <w:right w:val="single" w:sz="8" w:color="auto"/>
            </w:tcBorders>
            <w:gridSpan w:val="3"/>
          </w:tcPr>
          <w:p>
            <w:pPr>
              <w:spacing w:after="0" w:line="140" w:lineRule="exact"/>
              <w:rPr>
                <w:sz w:val="20"/>
                <w:szCs w:val="20"/>
                <w:color w:val="auto"/>
              </w:rPr>
            </w:pPr>
            <w:r>
              <w:rPr>
                <w:rFonts w:ascii="Georgia" w:cs="Georgia" w:eastAsia="Georgia" w:hAnsi="Georgia"/>
                <w:sz w:val="13"/>
                <w:szCs w:val="13"/>
                <w:color w:val="auto"/>
              </w:rPr>
              <w:t>receive a distribution expense fee of</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3"/>
                <w:szCs w:val="13"/>
                <w:color w:val="auto"/>
              </w:rPr>
              <w:t>0.075%. In addition, in respect of certain securities sold</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3"/>
                <w:szCs w:val="13"/>
                <w:color w:val="auto"/>
              </w:rPr>
              <w:t>in this offering, JPMS may pay a fee of up to 0.30% to</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3"/>
                <w:szCs w:val="13"/>
                <w:color w:val="auto"/>
              </w:rPr>
              <w:t>selected dealers in consideration for marketing and</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3"/>
                <w:szCs w:val="13"/>
                <w:color w:val="auto"/>
              </w:rPr>
              <w:t>other services in connection with the distribution of the</w:t>
            </w:r>
          </w:p>
        </w:tc>
        <w:tc>
          <w:tcPr>
            <w:tcW w:w="0" w:type="dxa"/>
            <w:vAlign w:val="bottom"/>
          </w:tcPr>
          <w:p>
            <w:pPr>
              <w:spacing w:after="0"/>
              <w:rPr>
                <w:sz w:val="1"/>
                <w:szCs w:val="1"/>
                <w:color w:val="auto"/>
              </w:rPr>
            </w:pPr>
          </w:p>
        </w:tc>
      </w:tr>
      <w:tr>
        <w:trPr>
          <w:trHeight w:val="151"/>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3"/>
                <w:szCs w:val="13"/>
                <w:color w:val="auto"/>
              </w:rPr>
              <w:t>securities to other dealers.</w:t>
            </w:r>
          </w:p>
        </w:tc>
        <w:tc>
          <w:tcPr>
            <w:tcW w:w="0" w:type="dxa"/>
            <w:vAlign w:val="bottom"/>
          </w:tcPr>
          <w:p>
            <w:pPr>
              <w:spacing w:after="0"/>
              <w:rPr>
                <w:sz w:val="1"/>
                <w:szCs w:val="1"/>
                <w:color w:val="auto"/>
              </w:rPr>
            </w:pPr>
          </w:p>
        </w:tc>
      </w:tr>
      <w:tr>
        <w:trPr>
          <w:trHeight w:val="142"/>
        </w:trPr>
        <w:tc>
          <w:tcPr>
            <w:tcW w:w="1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Tax Considerations:</w:t>
            </w:r>
          </w:p>
        </w:tc>
        <w:tc>
          <w:tcPr>
            <w:tcW w:w="3600" w:type="dxa"/>
            <w:vAlign w:val="bottom"/>
            <w:tcBorders>
              <w:bottom w:val="single" w:sz="8" w:color="auto"/>
              <w:right w:val="single" w:sz="8" w:color="auto"/>
            </w:tcBorders>
            <w:gridSpan w:val="5"/>
          </w:tcPr>
          <w:p>
            <w:pPr>
              <w:ind w:left="100"/>
              <w:spacing w:after="0" w:line="142" w:lineRule="exact"/>
              <w:rPr>
                <w:sz w:val="20"/>
                <w:szCs w:val="20"/>
                <w:color w:val="auto"/>
              </w:rPr>
            </w:pPr>
            <w:r>
              <w:rPr>
                <w:rFonts w:ascii="Georgia" w:cs="Georgia" w:eastAsia="Georgia" w:hAnsi="Georgia"/>
                <w:sz w:val="13"/>
                <w:szCs w:val="13"/>
                <w:color w:val="auto"/>
              </w:rPr>
              <w:t>See the preliminary pricing supplement.</w:t>
            </w:r>
          </w:p>
        </w:tc>
        <w:tc>
          <w:tcPr>
            <w:tcW w:w="0" w:type="dxa"/>
            <w:vAlign w:val="bottom"/>
          </w:tcPr>
          <w:p>
            <w:pPr>
              <w:spacing w:after="0"/>
              <w:rPr>
                <w:sz w:val="1"/>
                <w:szCs w:val="1"/>
                <w:color w:val="auto"/>
              </w:rPr>
            </w:pPr>
          </w:p>
        </w:tc>
      </w:tr>
      <w:tr>
        <w:trPr>
          <w:trHeight w:val="201"/>
        </w:trPr>
        <w:tc>
          <w:tcPr>
            <w:tcW w:w="1960" w:type="dxa"/>
            <w:vAlign w:val="bottom"/>
            <w:tcBorders>
              <w:left w:val="single" w:sz="8" w:color="auto"/>
            </w:tcBorders>
          </w:tcPr>
          <w:p>
            <w:pPr>
              <w:ind w:left="120"/>
              <w:spacing w:after="0" w:line="200" w:lineRule="exact"/>
              <w:rPr>
                <w:sz w:val="20"/>
                <w:szCs w:val="20"/>
                <w:color w:val="auto"/>
              </w:rPr>
            </w:pPr>
            <w:r>
              <w:rPr>
                <w:rFonts w:ascii="Georgia" w:cs="Georgia" w:eastAsia="Georgia" w:hAnsi="Georgia"/>
                <w:sz w:val="22"/>
                <w:szCs w:val="22"/>
                <w:color w:val="auto"/>
                <w:vertAlign w:val="superscript"/>
              </w:rPr>
              <w:t>1</w:t>
            </w:r>
            <w:r>
              <w:rPr>
                <w:rFonts w:ascii="Georgia" w:cs="Georgia" w:eastAsia="Georgia" w:hAnsi="Georgia"/>
                <w:sz w:val="13"/>
                <w:szCs w:val="13"/>
                <w:color w:val="auto"/>
              </w:rPr>
              <w:t xml:space="preserve"> Subject to change</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60" w:type="dxa"/>
            <w:vAlign w:val="bottom"/>
            <w:tcBorders>
              <w:left w:val="single" w:sz="8" w:color="auto"/>
              <w:bottom w:val="single" w:sz="8" w:color="auto"/>
            </w:tcBorders>
          </w:tcPr>
          <w:p>
            <w:pPr>
              <w:ind w:left="12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60" w:right="100" w:hanging="10"/>
        <w:spacing w:after="0" w:line="265" w:lineRule="auto"/>
        <w:rPr>
          <w:sz w:val="20"/>
          <w:szCs w:val="20"/>
          <w:color w:val="auto"/>
        </w:rPr>
      </w:pPr>
      <w:r>
        <w:rPr>
          <w:rFonts w:ascii="Verdana" w:cs="Verdana" w:eastAsia="Verdana" w:hAnsi="Verdana"/>
          <w:sz w:val="23"/>
          <w:szCs w:val="23"/>
          <w:color w:val="8F8F8F"/>
        </w:rPr>
        <w:t>Hypothetical Payout Profile (Maturity Payment Amount)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wp:posOffset>
            </wp:positionH>
            <wp:positionV relativeFrom="paragraph">
              <wp:posOffset>5715</wp:posOffset>
            </wp:positionV>
            <wp:extent cx="3094355" cy="192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1928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both"/>
        <w:ind w:left="120" w:right="60"/>
        <w:spacing w:after="0" w:line="237" w:lineRule="auto"/>
        <w:rPr>
          <w:sz w:val="20"/>
          <w:szCs w:val="20"/>
          <w:color w:val="auto"/>
        </w:rPr>
      </w:pPr>
      <w:r>
        <w:rPr>
          <w:rFonts w:ascii="Georgia" w:cs="Georgia" w:eastAsia="Georgia" w:hAnsi="Georgia"/>
          <w:sz w:val="13"/>
          <w:szCs w:val="13"/>
          <w:b w:val="1"/>
          <w:bCs w:val="1"/>
          <w:color w:val="auto"/>
        </w:rPr>
        <w:t>If the securities are not automatically called prior to maturity and the ending price is less than the threshold price, you will lose more than 40%, and possibly all, of the principal amount of your securities at maturity.</w:t>
      </w:r>
    </w:p>
    <w:p>
      <w:pPr>
        <w:spacing w:after="0" w:line="8" w:lineRule="exact"/>
        <w:rPr>
          <w:sz w:val="24"/>
          <w:szCs w:val="24"/>
          <w:color w:val="auto"/>
        </w:rPr>
      </w:pPr>
    </w:p>
    <w:p>
      <w:pPr>
        <w:ind w:left="120" w:right="60"/>
        <w:spacing w:after="0" w:line="261" w:lineRule="auto"/>
        <w:rPr>
          <w:sz w:val="20"/>
          <w:szCs w:val="20"/>
          <w:color w:val="auto"/>
        </w:rPr>
      </w:pPr>
      <w:r>
        <w:rPr>
          <w:rFonts w:ascii="Georgia" w:cs="Georgia" w:eastAsia="Georgia" w:hAnsi="Georgia"/>
          <w:sz w:val="12"/>
          <w:szCs w:val="12"/>
          <w:b w:val="1"/>
          <w:bCs w:val="1"/>
          <w:color w:val="auto"/>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spacing w:after="0" w:line="1" w:lineRule="exact"/>
        <w:rPr>
          <w:sz w:val="24"/>
          <w:szCs w:val="24"/>
          <w:color w:val="auto"/>
        </w:rPr>
      </w:pPr>
    </w:p>
    <w:p>
      <w:pPr>
        <w:ind w:left="120" w:right="100"/>
        <w:spacing w:after="0" w:line="238" w:lineRule="auto"/>
        <w:rPr>
          <w:sz w:val="20"/>
          <w:szCs w:val="20"/>
          <w:color w:val="auto"/>
        </w:rPr>
      </w:pPr>
      <w:r>
        <w:rPr>
          <w:rFonts w:ascii="Georgia" w:cs="Georgia" w:eastAsia="Georgia" w:hAnsi="Georgia"/>
          <w:sz w:val="13"/>
          <w:szCs w:val="13"/>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3"/>
          <w:szCs w:val="13"/>
          <w:b w:val="1"/>
          <w:bCs w:val="1"/>
          <w:color w:val="auto"/>
        </w:rPr>
        <w:t>Any payment on the securities is</w:t>
      </w:r>
      <w:r>
        <w:rPr>
          <w:rFonts w:ascii="Georgia" w:cs="Georgia" w:eastAsia="Georgia" w:hAnsi="Georgia"/>
          <w:sz w:val="13"/>
          <w:szCs w:val="13"/>
          <w:color w:val="auto"/>
        </w:rPr>
        <w:t xml:space="preserve"> </w:t>
      </w:r>
      <w:r>
        <w:rPr>
          <w:rFonts w:ascii="Georgia" w:cs="Georgia" w:eastAsia="Georgia" w:hAnsi="Georgia"/>
          <w:sz w:val="13"/>
          <w:szCs w:val="13"/>
          <w:b w:val="1"/>
          <w:bCs w:val="1"/>
          <w:color w:val="auto"/>
        </w:rPr>
        <w:t>subject to the credit risk of JPMorgan Financial, as issuer of the securities, and the credit risk of JPMorgan Chase &amp; Co., as guarantor of the securities.</w:t>
      </w:r>
    </w:p>
    <w:p>
      <w:pPr>
        <w:spacing w:after="0" w:line="10" w:lineRule="exact"/>
        <w:rPr>
          <w:sz w:val="24"/>
          <w:szCs w:val="24"/>
          <w:color w:val="auto"/>
        </w:rPr>
      </w:pPr>
    </w:p>
    <w:p>
      <w:pPr>
        <w:ind w:left="120" w:right="260"/>
        <w:spacing w:after="0" w:line="239" w:lineRule="auto"/>
        <w:rPr>
          <w:sz w:val="20"/>
          <w:szCs w:val="20"/>
          <w:color w:val="auto"/>
        </w:rPr>
      </w:pPr>
      <w:r>
        <w:rPr>
          <w:rFonts w:ascii="Georgia" w:cs="Georgia" w:eastAsia="Georgia" w:hAnsi="Georgia"/>
          <w:sz w:val="13"/>
          <w:szCs w:val="13"/>
          <w:color w:val="auto"/>
        </w:rPr>
        <w:t>If the securities priced on the date of the accompanying preliminary pricing supplement, the estimated value of the securities would be approximately $958.20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 Preliminary Pricing Supplement:</w:t>
      </w:r>
    </w:p>
    <w:p>
      <w:pPr>
        <w:spacing w:after="0" w:line="2" w:lineRule="exact"/>
        <w:rPr>
          <w:sz w:val="24"/>
          <w:szCs w:val="24"/>
          <w:color w:val="auto"/>
        </w:rPr>
      </w:pPr>
    </w:p>
    <w:p>
      <w:pPr>
        <w:ind w:left="120"/>
        <w:spacing w:after="0"/>
        <w:rPr>
          <w:rFonts w:ascii="Georgia" w:cs="Georgia" w:eastAsia="Georgia" w:hAnsi="Georgia"/>
          <w:sz w:val="13"/>
          <w:szCs w:val="13"/>
          <w:u w:val="single" w:color="auto"/>
          <w:color w:val="0000EE"/>
        </w:rPr>
      </w:pPr>
      <w:hyperlink r:id="rId11">
        <w:r>
          <w:rPr>
            <w:rFonts w:ascii="Georgia" w:cs="Georgia" w:eastAsia="Georgia" w:hAnsi="Georgia"/>
            <w:sz w:val="13"/>
            <w:szCs w:val="13"/>
            <w:u w:val="single" w:color="auto"/>
            <w:color w:val="0000EE"/>
          </w:rPr>
          <w:t>http://www.sec.gov/Archives/edgar/data/19617/000121390026112524/</w:t>
        </w:r>
      </w:hyperlink>
    </w:p>
    <w:p>
      <w:pPr>
        <w:spacing w:after="0" w:line="1" w:lineRule="exact"/>
        <w:rPr>
          <w:sz w:val="24"/>
          <w:szCs w:val="24"/>
          <w:color w:val="auto"/>
        </w:rPr>
      </w:pPr>
    </w:p>
    <w:p>
      <w:pPr>
        <w:ind w:left="120"/>
        <w:spacing w:after="0"/>
        <w:rPr>
          <w:rFonts w:ascii="Georgia" w:cs="Georgia" w:eastAsia="Georgia" w:hAnsi="Georgia"/>
          <w:sz w:val="13"/>
          <w:szCs w:val="13"/>
          <w:u w:val="single" w:color="auto"/>
          <w:color w:val="0000EE"/>
        </w:rPr>
      </w:pPr>
      <w:hyperlink r:id="rId11">
        <w:r>
          <w:rPr>
            <w:rFonts w:ascii="Georgia" w:cs="Georgia" w:eastAsia="Georgia" w:hAnsi="Georgia"/>
            <w:sz w:val="13"/>
            <w:szCs w:val="13"/>
            <w:u w:val="single" w:color="auto"/>
            <w:color w:val="0000EE"/>
          </w:rPr>
          <w:t>ea0309702-01_424b2.htm</w:t>
        </w:r>
      </w:hyperlink>
    </w:p>
    <w:p>
      <w:pPr>
        <w:spacing w:after="0" w:line="166" w:lineRule="exact"/>
        <w:rPr>
          <w:sz w:val="24"/>
          <w:szCs w:val="24"/>
          <w:color w:val="auto"/>
        </w:rPr>
      </w:pPr>
    </w:p>
    <w:p>
      <w:pPr>
        <w:sectPr>
          <w:pgSz w:w="11900" w:h="16838" w:orient="portrait"/>
          <w:cols w:equalWidth="0" w:num="2">
            <w:col w:w="5560" w:space="120"/>
            <w:col w:w="5560"/>
          </w:cols>
          <w:pgMar w:left="320" w:top="239" w:right="339" w:bottom="1440" w:gutter="0" w:footer="0" w:header="0"/>
          <w:type w:val="continuous"/>
        </w:sectPr>
      </w:pPr>
    </w:p>
    <w:p>
      <w:pPr>
        <w:ind w:right="20"/>
        <w:spacing w:after="0" w:line="244"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1" w:lineRule="exact"/>
        <w:rPr>
          <w:sz w:val="24"/>
          <w:szCs w:val="24"/>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4"/>
          <w:szCs w:val="24"/>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and product supplement.</w:t>
      </w:r>
    </w:p>
    <w:p>
      <w:pPr>
        <w:sectPr>
          <w:pgSz w:w="11900" w:h="16838" w:orient="portrait"/>
          <w:cols w:equalWidth="0" w:num="1">
            <w:col w:w="11240"/>
          </w:cols>
          <w:pgMar w:left="320" w:top="239"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200"/>
        <w:spacing w:after="0" w:line="250"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pacing w:after="0" w:line="106"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If the Securities Are Not Automatically Called and the Ending</w:t>
            </w:r>
          </w:p>
        </w:tc>
        <w:tc>
          <w:tcPr>
            <w:tcW w:w="5520" w:type="dxa"/>
            <w:vAlign w:val="bottom"/>
          </w:tcPr>
          <w:p>
            <w:pPr>
              <w:ind w:left="100"/>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The Estimated Value of the Securities Does Not Represent</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5320" w:type="dxa"/>
            <w:vAlign w:val="bottom"/>
          </w:tcPr>
          <w:p>
            <w:pPr>
              <w:ind w:left="120"/>
              <w:spacing w:after="0"/>
              <w:rPr>
                <w:sz w:val="20"/>
                <w:szCs w:val="20"/>
                <w:color w:val="auto"/>
              </w:rPr>
            </w:pPr>
            <w:r>
              <w:rPr>
                <w:rFonts w:ascii="Georgia" w:cs="Georgia" w:eastAsia="Georgia" w:hAnsi="Georgia"/>
                <w:sz w:val="16"/>
                <w:szCs w:val="16"/>
                <w:b w:val="1"/>
                <w:bCs w:val="1"/>
                <w:color w:val="auto"/>
              </w:rPr>
              <w:t>Price Is Less Than the Threshold Price, You Will Lose More</w:t>
            </w:r>
          </w:p>
        </w:tc>
        <w:tc>
          <w:tcPr>
            <w:tcW w:w="5520" w:type="dxa"/>
            <w:vAlign w:val="bottom"/>
          </w:tcPr>
          <w:p>
            <w:pPr>
              <w:ind w:left="420"/>
              <w:spacing w:after="0"/>
              <w:rPr>
                <w:sz w:val="20"/>
                <w:szCs w:val="20"/>
                <w:color w:val="auto"/>
              </w:rPr>
            </w:pPr>
            <w:r>
              <w:rPr>
                <w:rFonts w:ascii="Georgia" w:cs="Georgia" w:eastAsia="Georgia" w:hAnsi="Georgia"/>
                <w:sz w:val="16"/>
                <w:szCs w:val="16"/>
                <w:b w:val="1"/>
                <w:bCs w:val="1"/>
                <w:color w:val="auto"/>
              </w:rPr>
              <w:t>Future Values of the Securities and May Differ from Others’</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5320" w:type="dxa"/>
            <w:vAlign w:val="bottom"/>
          </w:tcPr>
          <w:p>
            <w:pPr>
              <w:ind w:left="120"/>
              <w:spacing w:after="0"/>
              <w:rPr>
                <w:sz w:val="20"/>
                <w:szCs w:val="20"/>
                <w:color w:val="auto"/>
              </w:rPr>
            </w:pPr>
            <w:r>
              <w:rPr>
                <w:rFonts w:ascii="Georgia" w:cs="Georgia" w:eastAsia="Georgia" w:hAnsi="Georgia"/>
                <w:sz w:val="16"/>
                <w:szCs w:val="16"/>
                <w:b w:val="1"/>
                <w:bCs w:val="1"/>
                <w:color w:val="auto"/>
              </w:rPr>
              <w:t>Than 40%, and Possibly All, of the Principal Amount of Your</w:t>
            </w:r>
          </w:p>
        </w:tc>
        <w:tc>
          <w:tcPr>
            <w:tcW w:w="5520" w:type="dxa"/>
            <w:vAlign w:val="bottom"/>
          </w:tcPr>
          <w:p>
            <w:pPr>
              <w:ind w:left="420"/>
              <w:spacing w:after="0"/>
              <w:rPr>
                <w:sz w:val="20"/>
                <w:szCs w:val="20"/>
                <w:color w:val="auto"/>
              </w:rPr>
            </w:pPr>
            <w:r>
              <w:rPr>
                <w:rFonts w:ascii="Georgia" w:cs="Georgia" w:eastAsia="Georgia" w:hAnsi="Georgia"/>
                <w:sz w:val="16"/>
                <w:szCs w:val="16"/>
                <w:b w:val="1"/>
                <w:bCs w:val="1"/>
                <w:color w:val="auto"/>
              </w:rPr>
              <w:t>Estimates.</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5320" w:type="dxa"/>
            <w:vAlign w:val="bottom"/>
          </w:tcPr>
          <w:p>
            <w:pPr>
              <w:ind w:left="120"/>
              <w:spacing w:after="0"/>
              <w:rPr>
                <w:sz w:val="20"/>
                <w:szCs w:val="20"/>
                <w:color w:val="auto"/>
              </w:rPr>
            </w:pPr>
            <w:r>
              <w:rPr>
                <w:rFonts w:ascii="Georgia" w:cs="Georgia" w:eastAsia="Georgia" w:hAnsi="Georgia"/>
                <w:sz w:val="16"/>
                <w:szCs w:val="16"/>
                <w:b w:val="1"/>
                <w:bCs w:val="1"/>
                <w:color w:val="auto"/>
              </w:rPr>
              <w:t>Securities at Maturity.</w:t>
            </w:r>
          </w:p>
        </w:tc>
        <w:tc>
          <w:tcPr>
            <w:tcW w:w="5520" w:type="dxa"/>
            <w:vAlign w:val="bottom"/>
          </w:tcPr>
          <w:p>
            <w:pPr>
              <w:ind w:left="100"/>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The Estimated Value of the Securities Is Derived by</w:t>
            </w:r>
          </w:p>
        </w:tc>
        <w:tc>
          <w:tcPr>
            <w:tcW w:w="0" w:type="dxa"/>
            <w:vAlign w:val="bottom"/>
          </w:tcPr>
          <w:p>
            <w:pPr>
              <w:spacing w:after="0"/>
              <w:rPr>
                <w:sz w:val="1"/>
                <w:szCs w:val="1"/>
                <w:color w:val="auto"/>
              </w:rPr>
            </w:pPr>
          </w:p>
        </w:tc>
      </w:tr>
      <w:tr>
        <w:trPr>
          <w:trHeight w:val="197"/>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The Securities Do Not Guarantee the Payment of Interest and</w:t>
            </w:r>
          </w:p>
        </w:tc>
        <w:tc>
          <w:tcPr>
            <w:tcW w:w="5520" w:type="dxa"/>
            <w:vAlign w:val="bottom"/>
          </w:tcPr>
          <w:p>
            <w:pPr>
              <w:ind w:left="420"/>
              <w:spacing w:after="0"/>
              <w:rPr>
                <w:sz w:val="20"/>
                <w:szCs w:val="20"/>
                <w:color w:val="auto"/>
              </w:rPr>
            </w:pPr>
            <w:r>
              <w:rPr>
                <w:rFonts w:ascii="Georgia" w:cs="Georgia" w:eastAsia="Georgia" w:hAnsi="Georgia"/>
                <w:sz w:val="16"/>
                <w:szCs w:val="16"/>
                <w:b w:val="1"/>
                <w:bCs w:val="1"/>
                <w:color w:val="auto"/>
              </w:rPr>
              <w:t>Reference to an Internal Funding Rate.</w:t>
            </w:r>
          </w:p>
        </w:tc>
        <w:tc>
          <w:tcPr>
            <w:tcW w:w="0" w:type="dxa"/>
            <w:vAlign w:val="bottom"/>
          </w:tcPr>
          <w:p>
            <w:pPr>
              <w:spacing w:after="0"/>
              <w:rPr>
                <w:sz w:val="1"/>
                <w:szCs w:val="1"/>
                <w:color w:val="auto"/>
              </w:rPr>
            </w:pPr>
          </w:p>
        </w:tc>
      </w:tr>
      <w:tr>
        <w:trPr>
          <w:trHeight w:val="235"/>
        </w:trPr>
        <w:tc>
          <w:tcPr>
            <w:tcW w:w="200" w:type="dxa"/>
            <w:vAlign w:val="bottom"/>
          </w:tcPr>
          <w:p>
            <w:pPr>
              <w:spacing w:after="0"/>
              <w:rPr>
                <w:sz w:val="20"/>
                <w:szCs w:val="20"/>
                <w:color w:val="auto"/>
              </w:rPr>
            </w:pPr>
          </w:p>
        </w:tc>
        <w:tc>
          <w:tcPr>
            <w:tcW w:w="5320" w:type="dxa"/>
            <w:vAlign w:val="bottom"/>
          </w:tcPr>
          <w:p>
            <w:pPr>
              <w:ind w:left="120"/>
              <w:spacing w:after="0"/>
              <w:rPr>
                <w:sz w:val="20"/>
                <w:szCs w:val="20"/>
                <w:color w:val="auto"/>
              </w:rPr>
            </w:pPr>
            <w:r>
              <w:rPr>
                <w:rFonts w:ascii="Georgia" w:cs="Georgia" w:eastAsia="Georgia" w:hAnsi="Georgia"/>
                <w:sz w:val="16"/>
                <w:szCs w:val="16"/>
                <w:b w:val="1"/>
                <w:bCs w:val="1"/>
                <w:color w:val="auto"/>
              </w:rPr>
              <w:t>May Not Pay Any Interest at All.</w:t>
            </w:r>
          </w:p>
        </w:tc>
        <w:tc>
          <w:tcPr>
            <w:tcW w:w="5520" w:type="dxa"/>
            <w:vAlign w:val="bottom"/>
          </w:tcPr>
          <w:p>
            <w:pPr>
              <w:ind w:left="100"/>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The Value of the Securities as Published by JPMS (and Which</w:t>
            </w:r>
          </w:p>
        </w:tc>
        <w:tc>
          <w:tcPr>
            <w:tcW w:w="0" w:type="dxa"/>
            <w:vAlign w:val="bottom"/>
          </w:tcPr>
          <w:p>
            <w:pPr>
              <w:spacing w:after="0"/>
              <w:rPr>
                <w:sz w:val="1"/>
                <w:szCs w:val="1"/>
                <w:color w:val="auto"/>
              </w:rPr>
            </w:pPr>
          </w:p>
        </w:tc>
      </w:tr>
      <w:tr>
        <w:trPr>
          <w:trHeight w:val="197"/>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The Potential Return on the Securities Is Limited to the Sum</w:t>
            </w:r>
          </w:p>
        </w:tc>
        <w:tc>
          <w:tcPr>
            <w:tcW w:w="5520" w:type="dxa"/>
            <w:vAlign w:val="bottom"/>
          </w:tcPr>
          <w:p>
            <w:pPr>
              <w:ind w:left="420"/>
              <w:spacing w:after="0"/>
              <w:rPr>
                <w:sz w:val="20"/>
                <w:szCs w:val="20"/>
                <w:color w:val="auto"/>
              </w:rPr>
            </w:pPr>
            <w:r>
              <w:rPr>
                <w:rFonts w:ascii="Georgia" w:cs="Georgia" w:eastAsia="Georgia" w:hAnsi="Georgia"/>
                <w:sz w:val="16"/>
                <w:szCs w:val="16"/>
                <w:b w:val="1"/>
                <w:bCs w:val="1"/>
                <w:color w:val="auto"/>
              </w:rPr>
              <w:t>May Be Reflected on Customer Account Statements) May Be</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5320" w:type="dxa"/>
            <w:vAlign w:val="bottom"/>
          </w:tcPr>
          <w:p>
            <w:pPr>
              <w:ind w:left="120"/>
              <w:spacing w:after="0"/>
              <w:rPr>
                <w:sz w:val="20"/>
                <w:szCs w:val="20"/>
                <w:color w:val="auto"/>
              </w:rPr>
            </w:pPr>
            <w:r>
              <w:rPr>
                <w:rFonts w:ascii="Georgia" w:cs="Georgia" w:eastAsia="Georgia" w:hAnsi="Georgia"/>
                <w:sz w:val="16"/>
                <w:szCs w:val="16"/>
                <w:b w:val="1"/>
                <w:bCs w:val="1"/>
                <w:color w:val="auto"/>
              </w:rPr>
              <w:t>of Any Contingent Coupon Payments and You Will Not</w:t>
            </w:r>
          </w:p>
        </w:tc>
        <w:tc>
          <w:tcPr>
            <w:tcW w:w="5520" w:type="dxa"/>
            <w:vAlign w:val="bottom"/>
          </w:tcPr>
          <w:p>
            <w:pPr>
              <w:ind w:left="420"/>
              <w:spacing w:after="0"/>
              <w:rPr>
                <w:sz w:val="20"/>
                <w:szCs w:val="20"/>
                <w:color w:val="auto"/>
              </w:rPr>
            </w:pPr>
            <w:r>
              <w:rPr>
                <w:rFonts w:ascii="Georgia" w:cs="Georgia" w:eastAsia="Georgia" w:hAnsi="Georgia"/>
                <w:sz w:val="16"/>
                <w:szCs w:val="16"/>
                <w:b w:val="1"/>
                <w:bCs w:val="1"/>
                <w:color w:val="auto"/>
              </w:rPr>
              <w:t>Higher Than the Then-Current Estimated Value of the</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5320" w:type="dxa"/>
            <w:vAlign w:val="bottom"/>
          </w:tcPr>
          <w:p>
            <w:pPr>
              <w:ind w:left="120"/>
              <w:spacing w:after="0"/>
              <w:rPr>
                <w:sz w:val="20"/>
                <w:szCs w:val="20"/>
                <w:color w:val="auto"/>
              </w:rPr>
            </w:pPr>
            <w:r>
              <w:rPr>
                <w:rFonts w:ascii="Georgia" w:cs="Georgia" w:eastAsia="Georgia" w:hAnsi="Georgia"/>
                <w:sz w:val="16"/>
                <w:szCs w:val="16"/>
                <w:b w:val="1"/>
                <w:bCs w:val="1"/>
                <w:color w:val="auto"/>
              </w:rPr>
              <w:t>Participate in Any Appreciation of the Underlying Stock.</w:t>
            </w:r>
          </w:p>
        </w:tc>
        <w:tc>
          <w:tcPr>
            <w:tcW w:w="5520" w:type="dxa"/>
            <w:vAlign w:val="bottom"/>
          </w:tcPr>
          <w:p>
            <w:pPr>
              <w:ind w:left="420"/>
              <w:spacing w:after="0"/>
              <w:rPr>
                <w:sz w:val="20"/>
                <w:szCs w:val="20"/>
                <w:color w:val="auto"/>
              </w:rPr>
            </w:pPr>
            <w:r>
              <w:rPr>
                <w:rFonts w:ascii="Georgia" w:cs="Georgia" w:eastAsia="Georgia" w:hAnsi="Georgia"/>
                <w:sz w:val="16"/>
                <w:szCs w:val="16"/>
                <w:b w:val="1"/>
                <w:bCs w:val="1"/>
                <w:color w:val="auto"/>
              </w:rPr>
              <w:t>Securities for a Limited Time Period.</w:t>
            </w: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You Will Be Subject to Reinvestment Risk.</w:t>
            </w:r>
          </w:p>
        </w:tc>
        <w:tc>
          <w:tcPr>
            <w:tcW w:w="5520" w:type="dxa"/>
            <w:vAlign w:val="bottom"/>
          </w:tcPr>
          <w:p>
            <w:pPr>
              <w:ind w:left="100"/>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Secondary Market Prices of the Securities Will Likely Be</w:t>
            </w: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The Securities Are Subject to the Credit Risks of JPMorgan</w:t>
            </w:r>
          </w:p>
        </w:tc>
        <w:tc>
          <w:tcPr>
            <w:tcW w:w="5520" w:type="dxa"/>
            <w:vAlign w:val="bottom"/>
          </w:tcPr>
          <w:p>
            <w:pPr>
              <w:ind w:left="420"/>
              <w:spacing w:after="0"/>
              <w:rPr>
                <w:sz w:val="20"/>
                <w:szCs w:val="20"/>
                <w:color w:val="auto"/>
              </w:rPr>
            </w:pPr>
            <w:r>
              <w:rPr>
                <w:rFonts w:ascii="Georgia" w:cs="Georgia" w:eastAsia="Georgia" w:hAnsi="Georgia"/>
                <w:sz w:val="16"/>
                <w:szCs w:val="16"/>
                <w:b w:val="1"/>
                <w:bCs w:val="1"/>
                <w:color w:val="auto"/>
              </w:rPr>
              <w:t>Lower Than the Original Issue Price of the Securities.</w:t>
            </w:r>
          </w:p>
        </w:tc>
        <w:tc>
          <w:tcPr>
            <w:tcW w:w="0" w:type="dxa"/>
            <w:vAlign w:val="bottom"/>
          </w:tcPr>
          <w:p>
            <w:pPr>
              <w:spacing w:after="0"/>
              <w:rPr>
                <w:sz w:val="1"/>
                <w:szCs w:val="1"/>
                <w:color w:val="auto"/>
              </w:rPr>
            </w:pPr>
          </w:p>
        </w:tc>
      </w:tr>
      <w:tr>
        <w:trPr>
          <w:trHeight w:val="197"/>
        </w:trPr>
        <w:tc>
          <w:tcPr>
            <w:tcW w:w="200" w:type="dxa"/>
            <w:vAlign w:val="bottom"/>
          </w:tcPr>
          <w:p>
            <w:pPr>
              <w:spacing w:after="0"/>
              <w:rPr>
                <w:sz w:val="17"/>
                <w:szCs w:val="17"/>
                <w:color w:val="auto"/>
              </w:rPr>
            </w:pPr>
          </w:p>
        </w:tc>
        <w:tc>
          <w:tcPr>
            <w:tcW w:w="5320" w:type="dxa"/>
            <w:vAlign w:val="bottom"/>
          </w:tcPr>
          <w:p>
            <w:pPr>
              <w:ind w:left="120"/>
              <w:spacing w:after="0"/>
              <w:rPr>
                <w:sz w:val="20"/>
                <w:szCs w:val="20"/>
                <w:color w:val="auto"/>
              </w:rPr>
            </w:pPr>
            <w:r>
              <w:rPr>
                <w:rFonts w:ascii="Georgia" w:cs="Georgia" w:eastAsia="Georgia" w:hAnsi="Georgia"/>
                <w:sz w:val="16"/>
                <w:szCs w:val="16"/>
                <w:b w:val="1"/>
                <w:bCs w:val="1"/>
                <w:color w:val="auto"/>
              </w:rPr>
              <w:t>Financial and JPMorgan Chase &amp; Co.</w:t>
            </w:r>
          </w:p>
        </w:tc>
        <w:tc>
          <w:tcPr>
            <w:tcW w:w="5520" w:type="dxa"/>
            <w:vAlign w:val="bottom"/>
          </w:tcPr>
          <w:p>
            <w:pPr>
              <w:ind w:left="100"/>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Many Economic and Market Factors Will Impact the Value of</w:t>
            </w:r>
          </w:p>
        </w:tc>
        <w:tc>
          <w:tcPr>
            <w:tcW w:w="0" w:type="dxa"/>
            <w:vAlign w:val="bottom"/>
          </w:tcPr>
          <w:p>
            <w:pPr>
              <w:spacing w:after="0"/>
              <w:rPr>
                <w:sz w:val="1"/>
                <w:szCs w:val="1"/>
                <w:color w:val="auto"/>
              </w:rPr>
            </w:pPr>
          </w:p>
        </w:tc>
      </w:tr>
      <w:tr>
        <w:trPr>
          <w:trHeight w:val="235"/>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As a Finance Subsidiary, JPMorgan Financial Has No</w:t>
            </w:r>
          </w:p>
        </w:tc>
        <w:tc>
          <w:tcPr>
            <w:tcW w:w="5520" w:type="dxa"/>
            <w:vAlign w:val="bottom"/>
          </w:tcPr>
          <w:p>
            <w:pPr>
              <w:ind w:left="420"/>
              <w:spacing w:after="0"/>
              <w:rPr>
                <w:sz w:val="20"/>
                <w:szCs w:val="20"/>
                <w:color w:val="auto"/>
              </w:rPr>
            </w:pPr>
            <w:r>
              <w:rPr>
                <w:rFonts w:ascii="Georgia" w:cs="Georgia" w:eastAsia="Georgia" w:hAnsi="Georgia"/>
                <w:sz w:val="16"/>
                <w:szCs w:val="16"/>
                <w:b w:val="1"/>
                <w:bCs w:val="1"/>
                <w:color w:val="auto"/>
              </w:rPr>
              <w:t>the Securities.</w:t>
            </w:r>
          </w:p>
        </w:tc>
        <w:tc>
          <w:tcPr>
            <w:tcW w:w="0" w:type="dxa"/>
            <w:vAlign w:val="bottom"/>
          </w:tcPr>
          <w:p>
            <w:pPr>
              <w:spacing w:after="0"/>
              <w:rPr>
                <w:sz w:val="1"/>
                <w:szCs w:val="1"/>
                <w:color w:val="auto"/>
              </w:rPr>
            </w:pPr>
          </w:p>
        </w:tc>
      </w:tr>
      <w:tr>
        <w:trPr>
          <w:trHeight w:val="197"/>
        </w:trPr>
        <w:tc>
          <w:tcPr>
            <w:tcW w:w="200" w:type="dxa"/>
            <w:vAlign w:val="bottom"/>
          </w:tcPr>
          <w:p>
            <w:pPr>
              <w:spacing w:after="0"/>
              <w:rPr>
                <w:sz w:val="17"/>
                <w:szCs w:val="17"/>
                <w:color w:val="auto"/>
              </w:rPr>
            </w:pPr>
          </w:p>
        </w:tc>
        <w:tc>
          <w:tcPr>
            <w:tcW w:w="5320" w:type="dxa"/>
            <w:vAlign w:val="bottom"/>
          </w:tcPr>
          <w:p>
            <w:pPr>
              <w:ind w:left="120"/>
              <w:spacing w:after="0"/>
              <w:rPr>
                <w:sz w:val="20"/>
                <w:szCs w:val="20"/>
                <w:color w:val="auto"/>
              </w:rPr>
            </w:pPr>
            <w:r>
              <w:rPr>
                <w:rFonts w:ascii="Georgia" w:cs="Georgia" w:eastAsia="Georgia" w:hAnsi="Georgia"/>
                <w:sz w:val="16"/>
                <w:szCs w:val="16"/>
                <w:b w:val="1"/>
                <w:bCs w:val="1"/>
                <w:color w:val="auto"/>
              </w:rPr>
              <w:t>Independent Activities and Has Limited Assets.</w:t>
            </w:r>
          </w:p>
        </w:tc>
        <w:tc>
          <w:tcPr>
            <w:tcW w:w="5520" w:type="dxa"/>
            <w:vAlign w:val="bottom"/>
          </w:tcPr>
          <w:p>
            <w:pPr>
              <w:ind w:left="100"/>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No Affiliation with the Underlying Stock Issuer.</w:t>
            </w: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Higher Contingent Coupon Rates Are Associated with</w:t>
            </w:r>
          </w:p>
        </w:tc>
        <w:tc>
          <w:tcPr>
            <w:tcW w:w="5520" w:type="dxa"/>
            <w:vAlign w:val="bottom"/>
          </w:tcPr>
          <w:p>
            <w:pPr>
              <w:ind w:left="100"/>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The Anti-Dilution Protection Is Limited and May Be</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5320" w:type="dxa"/>
            <w:vAlign w:val="bottom"/>
          </w:tcPr>
          <w:p>
            <w:pPr>
              <w:ind w:left="120"/>
              <w:spacing w:after="0"/>
              <w:rPr>
                <w:sz w:val="20"/>
                <w:szCs w:val="20"/>
                <w:color w:val="auto"/>
              </w:rPr>
            </w:pPr>
            <w:r>
              <w:rPr>
                <w:rFonts w:ascii="Georgia" w:cs="Georgia" w:eastAsia="Georgia" w:hAnsi="Georgia"/>
                <w:sz w:val="16"/>
                <w:szCs w:val="16"/>
                <w:b w:val="1"/>
                <w:bCs w:val="1"/>
                <w:color w:val="auto"/>
              </w:rPr>
              <w:t>Greater Risk.</w:t>
            </w:r>
          </w:p>
        </w:tc>
        <w:tc>
          <w:tcPr>
            <w:tcW w:w="5520" w:type="dxa"/>
            <w:vAlign w:val="bottom"/>
          </w:tcPr>
          <w:p>
            <w:pPr>
              <w:ind w:left="420"/>
              <w:spacing w:after="0"/>
              <w:rPr>
                <w:sz w:val="20"/>
                <w:szCs w:val="20"/>
                <w:color w:val="auto"/>
              </w:rPr>
            </w:pPr>
            <w:r>
              <w:rPr>
                <w:rFonts w:ascii="Georgia" w:cs="Georgia" w:eastAsia="Georgia" w:hAnsi="Georgia"/>
                <w:sz w:val="16"/>
                <w:szCs w:val="16"/>
                <w:b w:val="1"/>
                <w:bCs w:val="1"/>
                <w:color w:val="auto"/>
              </w:rPr>
              <w:t>Discretionary.</w:t>
            </w: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The Benefit Provided by the Threshold Price May Terminate</w:t>
            </w:r>
          </w:p>
        </w:tc>
        <w:tc>
          <w:tcPr>
            <w:tcW w:w="5520" w:type="dxa"/>
            <w:vAlign w:val="bottom"/>
          </w:tcPr>
          <w:p>
            <w:pPr>
              <w:ind w:left="100"/>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Any Payment on the Securities Will Depend upon the</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5320" w:type="dxa"/>
            <w:vAlign w:val="bottom"/>
          </w:tcPr>
          <w:p>
            <w:pPr>
              <w:ind w:left="120"/>
              <w:spacing w:after="0"/>
              <w:rPr>
                <w:sz w:val="20"/>
                <w:szCs w:val="20"/>
                <w:color w:val="auto"/>
              </w:rPr>
            </w:pPr>
            <w:r>
              <w:rPr>
                <w:rFonts w:ascii="Georgia" w:cs="Georgia" w:eastAsia="Georgia" w:hAnsi="Georgia"/>
                <w:sz w:val="16"/>
                <w:szCs w:val="16"/>
                <w:b w:val="1"/>
                <w:bCs w:val="1"/>
                <w:color w:val="auto"/>
              </w:rPr>
              <w:t>on the Final Calculation Day.</w:t>
            </w:r>
          </w:p>
        </w:tc>
        <w:tc>
          <w:tcPr>
            <w:tcW w:w="5520" w:type="dxa"/>
            <w:vAlign w:val="bottom"/>
          </w:tcPr>
          <w:p>
            <w:pPr>
              <w:ind w:left="420"/>
              <w:spacing w:after="0"/>
              <w:rPr>
                <w:sz w:val="20"/>
                <w:szCs w:val="20"/>
                <w:color w:val="auto"/>
              </w:rPr>
            </w:pPr>
            <w:r>
              <w:rPr>
                <w:rFonts w:ascii="Georgia" w:cs="Georgia" w:eastAsia="Georgia" w:hAnsi="Georgia"/>
                <w:sz w:val="16"/>
                <w:szCs w:val="16"/>
                <w:b w:val="1"/>
                <w:bCs w:val="1"/>
                <w:color w:val="auto"/>
              </w:rPr>
              <w:t>Performance of the Underlying Stock and Therefore the</w:t>
            </w:r>
          </w:p>
        </w:tc>
        <w:tc>
          <w:tcPr>
            <w:tcW w:w="0" w:type="dxa"/>
            <w:vAlign w:val="bottom"/>
          </w:tcPr>
          <w:p>
            <w:pPr>
              <w:spacing w:after="0"/>
              <w:rPr>
                <w:sz w:val="1"/>
                <w:szCs w:val="1"/>
                <w:color w:val="auto"/>
              </w:rPr>
            </w:pPr>
          </w:p>
        </w:tc>
      </w:tr>
      <w:tr>
        <w:trPr>
          <w:trHeight w:val="209"/>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No Dividend Payments or Voting Rights</w:t>
            </w:r>
          </w:p>
        </w:tc>
        <w:tc>
          <w:tcPr>
            <w:tcW w:w="5520" w:type="dxa"/>
            <w:vAlign w:val="bottom"/>
          </w:tcPr>
          <w:p>
            <w:pPr>
              <w:ind w:left="420"/>
              <w:spacing w:after="0"/>
              <w:rPr>
                <w:sz w:val="20"/>
                <w:szCs w:val="20"/>
                <w:color w:val="auto"/>
              </w:rPr>
            </w:pPr>
            <w:r>
              <w:rPr>
                <w:rFonts w:ascii="Georgia" w:cs="Georgia" w:eastAsia="Georgia" w:hAnsi="Georgia"/>
                <w:sz w:val="16"/>
                <w:szCs w:val="16"/>
                <w:b w:val="1"/>
                <w:bCs w:val="1"/>
                <w:color w:val="auto"/>
              </w:rPr>
              <w:t>Securities Are Subject to the Risks Associated with the</w:t>
            </w:r>
          </w:p>
        </w:tc>
        <w:tc>
          <w:tcPr>
            <w:tcW w:w="0" w:type="dxa"/>
            <w:vAlign w:val="bottom"/>
          </w:tcPr>
          <w:p>
            <w:pPr>
              <w:spacing w:after="0"/>
              <w:rPr>
                <w:sz w:val="1"/>
                <w:szCs w:val="1"/>
                <w:color w:val="auto"/>
              </w:rPr>
            </w:pPr>
          </w:p>
        </w:tc>
      </w:tr>
      <w:tr>
        <w:trPr>
          <w:trHeight w:val="175"/>
        </w:trPr>
        <w:tc>
          <w:tcPr>
            <w:tcW w:w="20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5320" w:type="dxa"/>
            <w:vAlign w:val="bottom"/>
            <w:vMerge w:val="restart"/>
          </w:tcPr>
          <w:p>
            <w:pPr>
              <w:ind w:left="120"/>
              <w:spacing w:after="0"/>
              <w:rPr>
                <w:sz w:val="20"/>
                <w:szCs w:val="20"/>
                <w:color w:val="auto"/>
              </w:rPr>
            </w:pPr>
            <w:r>
              <w:rPr>
                <w:rFonts w:ascii="Georgia" w:cs="Georgia" w:eastAsia="Georgia" w:hAnsi="Georgia"/>
                <w:sz w:val="16"/>
                <w:szCs w:val="16"/>
                <w:b w:val="1"/>
                <w:bCs w:val="1"/>
                <w:color w:val="auto"/>
              </w:rPr>
              <w:t>Lack of Liquidity</w:t>
            </w:r>
          </w:p>
        </w:tc>
        <w:tc>
          <w:tcPr>
            <w:tcW w:w="5520" w:type="dxa"/>
            <w:vAlign w:val="bottom"/>
          </w:tcPr>
          <w:p>
            <w:pPr>
              <w:ind w:left="420"/>
              <w:spacing w:after="0" w:line="175" w:lineRule="exact"/>
              <w:rPr>
                <w:sz w:val="20"/>
                <w:szCs w:val="20"/>
                <w:color w:val="auto"/>
              </w:rPr>
            </w:pPr>
            <w:r>
              <w:rPr>
                <w:rFonts w:ascii="Georgia" w:cs="Georgia" w:eastAsia="Georgia" w:hAnsi="Georgia"/>
                <w:sz w:val="16"/>
                <w:szCs w:val="16"/>
                <w:b w:val="1"/>
                <w:bCs w:val="1"/>
                <w:color w:val="auto"/>
              </w:rPr>
              <w:t>Underlying Stock, Each as Discussed in the Accompanying</w:t>
            </w:r>
          </w:p>
        </w:tc>
        <w:tc>
          <w:tcPr>
            <w:tcW w:w="0" w:type="dxa"/>
            <w:vAlign w:val="bottom"/>
          </w:tcPr>
          <w:p>
            <w:pPr>
              <w:spacing w:after="0"/>
              <w:rPr>
                <w:sz w:val="1"/>
                <w:szCs w:val="1"/>
                <w:color w:val="auto"/>
              </w:rPr>
            </w:pPr>
          </w:p>
        </w:tc>
      </w:tr>
      <w:tr>
        <w:trPr>
          <w:trHeight w:val="102"/>
        </w:trPr>
        <w:tc>
          <w:tcPr>
            <w:tcW w:w="200" w:type="dxa"/>
            <w:vAlign w:val="bottom"/>
            <w:vMerge w:val="continue"/>
          </w:tcPr>
          <w:p>
            <w:pPr>
              <w:spacing w:after="0"/>
              <w:rPr>
                <w:sz w:val="8"/>
                <w:szCs w:val="8"/>
                <w:color w:val="auto"/>
              </w:rPr>
            </w:pPr>
          </w:p>
        </w:tc>
        <w:tc>
          <w:tcPr>
            <w:tcW w:w="5320" w:type="dxa"/>
            <w:vAlign w:val="bottom"/>
            <w:vMerge w:val="continue"/>
          </w:tcPr>
          <w:p>
            <w:pPr>
              <w:spacing w:after="0"/>
              <w:rPr>
                <w:sz w:val="8"/>
                <w:szCs w:val="8"/>
                <w:color w:val="auto"/>
              </w:rPr>
            </w:pPr>
          </w:p>
        </w:tc>
        <w:tc>
          <w:tcPr>
            <w:tcW w:w="5520" w:type="dxa"/>
            <w:vAlign w:val="bottom"/>
            <w:vMerge w:val="restart"/>
          </w:tcPr>
          <w:p>
            <w:pPr>
              <w:ind w:left="420"/>
              <w:spacing w:after="0"/>
              <w:rPr>
                <w:sz w:val="20"/>
                <w:szCs w:val="20"/>
                <w:color w:val="auto"/>
              </w:rPr>
            </w:pPr>
            <w:r>
              <w:rPr>
                <w:rFonts w:ascii="Georgia" w:cs="Georgia" w:eastAsia="Georgia" w:hAnsi="Georgia"/>
                <w:sz w:val="16"/>
                <w:szCs w:val="16"/>
                <w:b w:val="1"/>
                <w:bCs w:val="1"/>
                <w:color w:val="auto"/>
              </w:rPr>
              <w:t>Preliminary Pricing Supplement and Product Supplement.</w:t>
            </w:r>
          </w:p>
        </w:tc>
        <w:tc>
          <w:tcPr>
            <w:tcW w:w="0" w:type="dxa"/>
            <w:vAlign w:val="bottom"/>
          </w:tcPr>
          <w:p>
            <w:pPr>
              <w:spacing w:after="0"/>
              <w:rPr>
                <w:sz w:val="1"/>
                <w:szCs w:val="1"/>
                <w:color w:val="auto"/>
              </w:rPr>
            </w:pPr>
          </w:p>
        </w:tc>
      </w:tr>
      <w:tr>
        <w:trPr>
          <w:trHeight w:val="81"/>
        </w:trPr>
        <w:tc>
          <w:tcPr>
            <w:tcW w:w="5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The Final Terms and Estimated Valuation of the Securities</w:t>
            </w:r>
          </w:p>
        </w:tc>
        <w:tc>
          <w:tcPr>
            <w:tcW w:w="5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5520" w:type="dxa"/>
            <w:vAlign w:val="bottom"/>
            <w:gridSpan w:val="2"/>
            <w:vMerge w:val="continue"/>
          </w:tcPr>
          <w:p>
            <w:pPr>
              <w:spacing w:after="0"/>
              <w:rPr>
                <w:sz w:val="12"/>
                <w:szCs w:val="12"/>
                <w:color w:val="auto"/>
              </w:rPr>
            </w:pPr>
          </w:p>
        </w:tc>
        <w:tc>
          <w:tcPr>
            <w:tcW w:w="5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5320" w:type="dxa"/>
            <w:vAlign w:val="bottom"/>
          </w:tcPr>
          <w:p>
            <w:pPr>
              <w:ind w:left="120"/>
              <w:spacing w:after="0"/>
              <w:rPr>
                <w:sz w:val="20"/>
                <w:szCs w:val="20"/>
                <w:color w:val="auto"/>
              </w:rPr>
            </w:pPr>
            <w:r>
              <w:rPr>
                <w:rFonts w:ascii="Georgia" w:cs="Georgia" w:eastAsia="Georgia" w:hAnsi="Georgia"/>
                <w:sz w:val="16"/>
                <w:szCs w:val="16"/>
                <w:b w:val="1"/>
                <w:bCs w:val="1"/>
                <w:color w:val="auto"/>
              </w:rPr>
              <w:t>Will Be Provided in the Pricing Supplement.</w:t>
            </w:r>
          </w:p>
        </w:tc>
        <w:tc>
          <w:tcPr>
            <w:tcW w:w="5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The U.S. Federal Tax Consequences of the Securities Are</w:t>
            </w:r>
          </w:p>
        </w:tc>
        <w:tc>
          <w:tcPr>
            <w:tcW w:w="5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5320" w:type="dxa"/>
            <w:vAlign w:val="bottom"/>
          </w:tcPr>
          <w:p>
            <w:pPr>
              <w:ind w:left="120"/>
              <w:spacing w:after="0"/>
              <w:rPr>
                <w:sz w:val="20"/>
                <w:szCs w:val="20"/>
                <w:color w:val="auto"/>
              </w:rPr>
            </w:pPr>
            <w:r>
              <w:rPr>
                <w:rFonts w:ascii="Georgia" w:cs="Georgia" w:eastAsia="Georgia" w:hAnsi="Georgia"/>
                <w:sz w:val="16"/>
                <w:szCs w:val="16"/>
                <w:b w:val="1"/>
                <w:bCs w:val="1"/>
                <w:color w:val="auto"/>
              </w:rPr>
              <w:t>Uncertain, and May Be Adverse to a Holder of the Securities.</w:t>
            </w:r>
          </w:p>
        </w:tc>
        <w:tc>
          <w:tcPr>
            <w:tcW w:w="5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r>
              <w:rPr>
                <w:rFonts w:ascii="Arial" w:cs="Arial" w:eastAsia="Arial" w:hAnsi="Arial"/>
                <w:sz w:val="16"/>
                <w:szCs w:val="16"/>
                <w:b w:val="1"/>
                <w:bCs w:val="1"/>
                <w:color w:val="auto"/>
              </w:rPr>
              <w:t>·</w:t>
            </w:r>
          </w:p>
        </w:tc>
        <w:tc>
          <w:tcPr>
            <w:tcW w:w="5320" w:type="dxa"/>
            <w:vAlign w:val="bottom"/>
          </w:tcPr>
          <w:p>
            <w:pPr>
              <w:ind w:left="120"/>
              <w:spacing w:after="0"/>
              <w:rPr>
                <w:sz w:val="20"/>
                <w:szCs w:val="20"/>
                <w:color w:val="auto"/>
              </w:rPr>
            </w:pPr>
            <w:r>
              <w:rPr>
                <w:rFonts w:ascii="Georgia" w:cs="Georgia" w:eastAsia="Georgia" w:hAnsi="Georgia"/>
                <w:sz w:val="16"/>
                <w:szCs w:val="16"/>
                <w:b w:val="1"/>
                <w:bCs w:val="1"/>
                <w:color w:val="auto"/>
              </w:rPr>
              <w:t>Potential Conflicts</w:t>
            </w:r>
          </w:p>
        </w:tc>
        <w:tc>
          <w:tcPr>
            <w:tcW w:w="5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6"/>
                <w:szCs w:val="16"/>
                <w:b w:val="1"/>
                <w:bCs w:val="1"/>
                <w:color w:val="auto"/>
              </w:rPr>
              <w:t>The Estimated Value of the Securities Will Be Lower Than</w:t>
            </w:r>
          </w:p>
        </w:tc>
        <w:tc>
          <w:tcPr>
            <w:tcW w:w="5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5320" w:type="dxa"/>
            <w:vAlign w:val="bottom"/>
          </w:tcPr>
          <w:p>
            <w:pPr>
              <w:ind w:left="120"/>
              <w:spacing w:after="0"/>
              <w:rPr>
                <w:sz w:val="20"/>
                <w:szCs w:val="20"/>
                <w:color w:val="auto"/>
              </w:rPr>
            </w:pPr>
            <w:r>
              <w:rPr>
                <w:rFonts w:ascii="Georgia" w:cs="Georgia" w:eastAsia="Georgia" w:hAnsi="Georgia"/>
                <w:sz w:val="16"/>
                <w:szCs w:val="16"/>
                <w:b w:val="1"/>
                <w:bCs w:val="1"/>
                <w:color w:val="auto"/>
              </w:rPr>
              <w:t>the Original Issue Price (Price to Public) of the Securities.</w:t>
            </w:r>
          </w:p>
        </w:tc>
        <w:tc>
          <w:tcPr>
            <w:tcW w:w="5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Chase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70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6112524/ea0309702-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2026-10-27T06:18:53Z</dcterms:created>
  <dcterms:modified xsi:type="dcterms:W3CDTF">2026-10-27T06:18:53Z</dcterms:modified>
</cp:coreProperties>
</file>