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9340-01_fwp.htm"/>
      <w:bookmarkStart w:id="1" w:name="ksea030934001_fwp"/>
      <w:bookmarkStart w:id="2" w:name="ea0309340-01_fwp.htm"/>
      <w:bookmarkStart w:id="3" w:name="ksea030934001_fwp"/>
      <w:bookmarkEnd w:id="2"/>
      <w:bookmarkEnd w:id="3"/>
    </w:p>
    <w:tbl>
      <w:tblPr>
        <w:tblW w:w="10205" w:type="dxa"/>
        <w:jc w:val="left"/>
        <w:tblInd w:w="0" w:type="dxa"/>
        <w:tblLayout w:type="fixed"/>
        <w:tblCellMar>
          <w:top w:w="0" w:type="dxa"/>
          <w:left w:w="0" w:type="dxa"/>
          <w:bottom w:w="0" w:type="dxa"/>
          <w:right w:w="0" w:type="dxa"/>
        </w:tblCellMar>
      </w:tblPr>
      <w:tblGrid>
        <w:gridCol w:w="5615"/>
        <w:gridCol w:w="4590"/>
      </w:tblGrid>
      <w:tr>
        <w:trPr/>
        <w:tc>
          <w:tcPr>
            <w:tcW w:w="5615"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0"/>
              </w:rPr>
            </w:pPr>
            <w:r>
              <w:rPr>
                <w:rFonts w:ascii="Verdana;Helvetica;Sans-Serif" w:hAnsi="Verdana;Helvetica;Sans-Serif"/>
                <w:b/>
                <w:i w:val="false"/>
                <w:caps w:val="false"/>
                <w:smallCaps w:val="false"/>
                <w:color w:val="BB0826"/>
                <w:sz w:val="30"/>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18"/>
              </w:rPr>
            </w:pPr>
            <w:r>
              <w:rPr>
                <w:rFonts w:ascii="Verdana;Helvetica;Sans-Serif" w:hAnsi="Verdana;Helvetica;Sans-Serif"/>
                <w:b/>
                <w:i/>
                <w:caps w:val="false"/>
                <w:smallCaps w:val="false"/>
                <w:color w:val="BB0826"/>
                <w:sz w:val="18"/>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2"/>
              </w:rPr>
            </w:pPr>
            <w:r>
              <w:rPr>
                <w:rFonts w:ascii="Verdana;Helvetica;Sans-Serif" w:hAnsi="Verdana;Helvetica;Sans-Serif"/>
                <w:b/>
                <w:i w:val="false"/>
                <w:caps w:val="false"/>
                <w:smallCaps w:val="false"/>
                <w:color w:val="BB0826"/>
                <w:sz w:val="22"/>
              </w:rPr>
              <w:t>Market Linked Securities</w:t>
            </w:r>
          </w:p>
        </w:tc>
        <w:tc>
          <w:tcPr>
            <w:tcW w:w="4590"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5615" w:type="dxa"/>
            <w:vMerge w:val="continue"/>
            <w:tcBorders/>
            <w:vAlign w:val="center"/>
          </w:tcPr>
          <w:p>
            <w:pPr>
              <w:pStyle w:val="Normal"/>
              <w:bidi w:val="0"/>
              <w:jc w:val="left"/>
              <w:rPr/>
            </w:pPr>
            <w:r>
              <w:rPr/>
            </w:r>
          </w:p>
        </w:tc>
        <w:tc>
          <w:tcPr>
            <w:tcW w:w="4590"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tc>
      </w:tr>
      <w:tr>
        <w:trPr/>
        <w:tc>
          <w:tcPr>
            <w:tcW w:w="10205" w:type="dxa"/>
            <w:gridSpan w:val="2"/>
            <w:tcBorders/>
            <w:shd w:fill="8F8F8F" w:val="clear"/>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Market Linked Securities— Auto-Callable with Upside Participation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Principal at Risk Securities Linked to the Lowest Performing of the Class A Common Stock of CoreWeave, Inc. and the Class A Common Stock of Space Exploration Technologies Corp. due November 2, 2029</w:t>
            </w:r>
          </w:p>
          <w:p>
            <w:pPr>
              <w:pStyle w:val="TableContents"/>
              <w:bidi w:val="0"/>
              <w:spacing w:before="0" w:after="12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Fact Sheet dated October 19, 2026 to Preliminary Pricing Supplement dated October 19, 2026</w:t>
            </w:r>
          </w:p>
        </w:tc>
      </w:tr>
    </w:tbl>
    <w:p>
      <w:pPr>
        <w:pStyle w:val="TextBody"/>
        <w:bidi w:val="0"/>
        <w:spacing w:before="60" w:after="60"/>
        <w:ind w:left="60" w:right="60" w:hanging="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429"/>
                              <w:gridCol w:w="8776"/>
                            </w:tblGrid>
                            <w:tr>
                              <w:trPr/>
                              <w:tc>
                                <w:tcPr>
                                  <w:tcW w:w="14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877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Co.</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Class A common stock of CoreWeave, Inc. (Bloomberg ticker: CRWV) and the Class A common stock of Space Exploration Technologies Corp. (Bloomberg ticker: SPCX)</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30,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November 4,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Final Calculation Day</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30,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November 2,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Automatic Call:</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lowest performing Underlying Stock on the call date is greater than or equal to its call value, the securities will be automatically called, and on the call settlement date, investors will receive the principal amount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the call premium.</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Premium:</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49.00% of the principal amount (the actual call premium will be provided in the pricing supplement)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November 4, 2027</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call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 on the call date, the “</w:t>
                                  </w:r>
                                  <w:r>
                                    <w:rPr>
                                      <w:rFonts w:ascii="Georgia;Times;Serif" w:hAnsi="Georgia;Times;Serif"/>
                                      <w:b w:val="false"/>
                                      <w:i w:val="false"/>
                                      <w:caps w:val="false"/>
                                      <w:smallCaps w:val="false"/>
                                      <w:sz w:val="15"/>
                                      <w:u w:val="single"/>
                                    </w:rPr>
                                    <w:t>maturity payment amount</w:t>
                                  </w:r>
                                  <w:r>
                                    <w:rPr>
                                      <w:rFonts w:ascii="Georgia;Times;Serif" w:hAnsi="Georgia;Times;Serif"/>
                                      <w:b w:val="false"/>
                                      <w:i w:val="false"/>
                                      <w:caps w:val="false"/>
                                      <w:smallCaps w:val="false"/>
                                      <w:sz w:val="15"/>
                                    </w:rPr>
                                    <w:t>” per security will equal:</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greater than its starting price:</w:t>
                                  </w:r>
                                </w:p>
                                <w:p>
                                  <w:pPr>
                                    <w:pStyle w:val="TableContents"/>
                                    <w:bidi w:val="0"/>
                                    <w:ind w:left="360"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 × upside participation rate);</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or equal to its starting price, but greater than or equal to its threshold price: $1,000; or</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its threshold price:</w:t>
                                  </w:r>
                                </w:p>
                                <w:p>
                                  <w:pPr>
                                    <w:pStyle w:val="TableContents"/>
                                    <w:bidi w:val="0"/>
                                    <w:spacing w:before="0" w:after="283"/>
                                    <w:ind w:left="360"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Lowest Performing Underlying Stock:</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On the call date or the final calculation day, the Underlying Stock with the lowest stock return on that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pricing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Upside Participation Rate: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Value: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72% of its starting price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For each Underlying Stock, 72% of its starting price </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the call date or the final calculation day and for each Underlying Stock: (stock closing price on that day – starting price) / starting price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46661QM28</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2.575%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429"/>
                        <w:gridCol w:w="8776"/>
                      </w:tblGrid>
                      <w:tr>
                        <w:trPr/>
                        <w:tc>
                          <w:tcPr>
                            <w:tcW w:w="14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877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Co.</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Class A common stock of CoreWeave, Inc. (Bloomberg ticker: CRWV) and the Class A common stock of Space Exploration Technologies Corp. (Bloomberg ticker: SPCX)</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30,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November 4,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Final Calculation Day</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30,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November 2,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Automatic Call:</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lowest performing Underlying Stock on the call date is greater than or equal to its call value, the securities will be automatically called, and on the call settlement date, investors will receive the principal amount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the call premium.</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Premium:</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49.00% of the principal amount (the actual call premium will be provided in the pricing supplement)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November 4, 2027</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call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 on the call date, the “</w:t>
                            </w:r>
                            <w:r>
                              <w:rPr>
                                <w:rFonts w:ascii="Georgia;Times;Serif" w:hAnsi="Georgia;Times;Serif"/>
                                <w:b w:val="false"/>
                                <w:i w:val="false"/>
                                <w:caps w:val="false"/>
                                <w:smallCaps w:val="false"/>
                                <w:sz w:val="15"/>
                                <w:u w:val="single"/>
                              </w:rPr>
                              <w:t>maturity payment amount</w:t>
                            </w:r>
                            <w:r>
                              <w:rPr>
                                <w:rFonts w:ascii="Georgia;Times;Serif" w:hAnsi="Georgia;Times;Serif"/>
                                <w:b w:val="false"/>
                                <w:i w:val="false"/>
                                <w:caps w:val="false"/>
                                <w:smallCaps w:val="false"/>
                                <w:sz w:val="15"/>
                              </w:rPr>
                              <w:t>” per security will equal:</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greater than its starting price:</w:t>
                            </w:r>
                          </w:p>
                          <w:p>
                            <w:pPr>
                              <w:pStyle w:val="TableContents"/>
                              <w:bidi w:val="0"/>
                              <w:ind w:left="360"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 × upside participation rate);</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or equal to its starting price, but greater than or equal to its threshold price: $1,000; or</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its threshold price:</w:t>
                            </w:r>
                          </w:p>
                          <w:p>
                            <w:pPr>
                              <w:pStyle w:val="TableContents"/>
                              <w:bidi w:val="0"/>
                              <w:spacing w:before="0" w:after="283"/>
                              <w:ind w:left="360"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Lowest Performing Underlying Stock:</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On the call date or the final calculation day, the Underlying Stock with the lowest stock return on that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pricing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Upside Participation Rate: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Value: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72% of its starting price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For each Underlying Stock, 72% of its starting price </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the call date or the final calculation day and for each Underlying Stock: (stock closing price on that day – starting price) / starting price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46661QM28</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2.575%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7050405"/>
                <wp:effectExtent l="0" t="0" r="0" b="0"/>
                <wp:wrapSquare wrapText="left"/>
                <wp:docPr id="3" name="Frame2"/>
                <a:graphic xmlns:a="http://schemas.openxmlformats.org/drawingml/2006/main">
                  <a:graphicData uri="http://schemas.microsoft.com/office/word/2010/wordprocessingShape">
                    <wps:wsp>
                      <wps:cNvSpPr txBox="1"/>
                      <wps:spPr>
                        <a:xfrm>
                          <a:off x="0" y="0"/>
                          <a:ext cx="3175000" cy="705040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center"/>
                              <w:rPr>
                                <w:caps w:val="false"/>
                                <w:smallCaps w:val="false"/>
                                <w:color w:val="8F8F8F"/>
                              </w:rPr>
                            </w:pPr>
                            <w:r>
                              <w:rPr>
                                <w:caps w:val="false"/>
                                <w:smallCaps w:val="false"/>
                                <w:color w:val="8F8F8F"/>
                              </w:rPr>
                              <w:drawing>
                                <wp:inline distT="0" distB="0" distL="0" distR="0">
                                  <wp:extent cx="3533775" cy="22002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533775" cy="2200275"/>
                                          </a:xfrm>
                                          <a:prstGeom prst="rect">
                                            <a:avLst/>
                                          </a:prstGeom>
                                        </pic:spPr>
                                      </pic:pic>
                                    </a:graphicData>
                                  </a:graphic>
                                </wp:inline>
                              </w:drawing>
                            </w:r>
                          </w:p>
                          <w:p>
                            <w:pPr>
                              <w:pStyle w:val="TextBody"/>
                              <w:bidi w:val="0"/>
                              <w:spacing w:before="0" w:after="60"/>
                              <w:ind w:left="108"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*Assumes a call premium equal to the lowest possible call premium that may be determined on the pricing date</w:t>
                            </w:r>
                          </w:p>
                          <w:p>
                            <w:pPr>
                              <w:pStyle w:val="TextBody"/>
                              <w:bidi w:val="0"/>
                              <w:spacing w:before="0" w:after="60"/>
                              <w:ind w:left="108" w:right="0" w:hanging="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automatically called, the positive return on the securities will be limited to the call premium, even if the stock closing price of the lowest performing Underlying Stock on the call date significantly exceeds its starting price. If the securities are automatically called, you will not have the opportunity to participate in any appreciation of the lowest performing Underlying Stock on the final calculation day at the upside participation rate.</w:t>
                            </w:r>
                          </w:p>
                          <w:p>
                            <w:pPr>
                              <w:pStyle w:val="TextBody"/>
                              <w:bidi w:val="0"/>
                              <w:spacing w:before="0" w:after="60"/>
                              <w:ind w:left="108" w:right="0" w:hanging="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not automatically called and the ending price of the lowest performing Underlying Stock on the final calculation day is less than its threshold price, you will have full downside exposure to the decrease in the price of that Underlying Stock from its starting price and you will lose more than 28%, and possibly all, of the principal amount of your securities at maturity.</w:t>
                            </w:r>
                          </w:p>
                          <w:p>
                            <w:pPr>
                              <w:pStyle w:val="TextBody"/>
                              <w:bidi w:val="0"/>
                              <w:spacing w:before="0" w:after="60"/>
                              <w:ind w:left="108"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5"/>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ind w:left="108"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priced on the date of the accompanying preliminary pricing supplement, the estimated value of the securities would be approximately $900.40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ind w:left="108" w:right="0" w:hanging="0"/>
                              <w:jc w:val="left"/>
                              <w:rPr/>
                            </w:pPr>
                            <w:r>
                              <w:rPr>
                                <w:rFonts w:ascii="Georgia;Times;Serif" w:hAnsi="Georgia;Times;Serif"/>
                                <w:b w:val="false"/>
                                <w:i w:val="false"/>
                                <w:caps w:val="false"/>
                                <w:smallCaps w:val="false"/>
                                <w:sz w:val="15"/>
                              </w:rPr>
                              <w:t>Preliminary Pricing Supplement:</w:t>
                              <w:br/>
                            </w:r>
                            <w:hyperlink r:id="rId4">
                              <w:r>
                                <w:rPr>
                                  <w:rStyle w:val="InternetLink"/>
                                  <w:rFonts w:ascii="Georgia;Times;Serif" w:hAnsi="Georgia;Times;Serif"/>
                                  <w:b w:val="false"/>
                                  <w:i w:val="false"/>
                                  <w:caps w:val="false"/>
                                  <w:smallCaps w:val="false"/>
                                  <w:sz w:val="15"/>
                                </w:rPr>
                                <w:t>http://www.sec.gov/Archives/edgar/data/19617/000121390026111105/</w:t>
                                <w:br/>
                                <w:t>ea0309245-01_424b2.htm</w:t>
                              </w:r>
                            </w:hyperlink>
                          </w:p>
                          <w:p>
                            <w:pPr>
                              <w:pStyle w:val="TextBody"/>
                              <w:bidi w:val="0"/>
                              <w:spacing w:before="0" w:after="6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55.1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center"/>
                        <w:rPr>
                          <w:caps w:val="false"/>
                          <w:smallCaps w:val="false"/>
                          <w:color w:val="8F8F8F"/>
                        </w:rPr>
                      </w:pPr>
                      <w:r>
                        <w:rPr>
                          <w:caps w:val="false"/>
                          <w:smallCaps w:val="false"/>
                          <w:color w:val="8F8F8F"/>
                        </w:rPr>
                        <w:drawing>
                          <wp:inline distT="0" distB="0" distL="0" distR="0">
                            <wp:extent cx="3533775" cy="22002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533775" cy="2200275"/>
                                    </a:xfrm>
                                    <a:prstGeom prst="rect">
                                      <a:avLst/>
                                    </a:prstGeom>
                                  </pic:spPr>
                                </pic:pic>
                              </a:graphicData>
                            </a:graphic>
                          </wp:inline>
                        </w:drawing>
                      </w:r>
                    </w:p>
                    <w:p>
                      <w:pPr>
                        <w:pStyle w:val="TextBody"/>
                        <w:bidi w:val="0"/>
                        <w:spacing w:before="0" w:after="60"/>
                        <w:ind w:left="108"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*Assumes a call premium equal to the lowest possible call premium that may be determined on the pricing date</w:t>
                      </w:r>
                    </w:p>
                    <w:p>
                      <w:pPr>
                        <w:pStyle w:val="TextBody"/>
                        <w:bidi w:val="0"/>
                        <w:spacing w:before="0" w:after="60"/>
                        <w:ind w:left="108" w:right="0" w:hanging="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automatically called, the positive return on the securities will be limited to the call premium, even if the stock closing price of the lowest performing Underlying Stock on the call date significantly exceeds its starting price. If the securities are automatically called, you will not have the opportunity to participate in any appreciation of the lowest performing Underlying Stock on the final calculation day at the upside participation rate.</w:t>
                      </w:r>
                    </w:p>
                    <w:p>
                      <w:pPr>
                        <w:pStyle w:val="TextBody"/>
                        <w:bidi w:val="0"/>
                        <w:spacing w:before="0" w:after="60"/>
                        <w:ind w:left="108" w:right="0" w:hanging="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not automatically called and the ending price of the lowest performing Underlying Stock on the final calculation day is less than its threshold price, you will have full downside exposure to the decrease in the price of that Underlying Stock from its starting price and you will lose more than 28%, and possibly all, of the principal amount of your securities at maturity.</w:t>
                      </w:r>
                    </w:p>
                    <w:p>
                      <w:pPr>
                        <w:pStyle w:val="TextBody"/>
                        <w:bidi w:val="0"/>
                        <w:spacing w:before="0" w:after="60"/>
                        <w:ind w:left="108"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5"/>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ind w:left="108"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priced on the date of the accompanying preliminary pricing supplement, the estimated value of the securities would be approximately $900.40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ind w:left="108" w:right="0" w:hanging="0"/>
                        <w:jc w:val="left"/>
                        <w:rPr/>
                      </w:pPr>
                      <w:r>
                        <w:rPr>
                          <w:rFonts w:ascii="Georgia;Times;Serif" w:hAnsi="Georgia;Times;Serif"/>
                          <w:b w:val="false"/>
                          <w:i w:val="false"/>
                          <w:caps w:val="false"/>
                          <w:smallCaps w:val="false"/>
                          <w:sz w:val="15"/>
                        </w:rPr>
                        <w:t>Preliminary Pricing Supplement:</w:t>
                        <w:br/>
                      </w:r>
                      <w:hyperlink r:id="rId6">
                        <w:r>
                          <w:rPr>
                            <w:rStyle w:val="InternetLink"/>
                            <w:rFonts w:ascii="Georgia;Times;Serif" w:hAnsi="Georgia;Times;Serif"/>
                            <w:b w:val="false"/>
                            <w:i w:val="false"/>
                            <w:caps w:val="false"/>
                            <w:smallCaps w:val="false"/>
                            <w:sz w:val="15"/>
                          </w:rPr>
                          <w:t>http://www.sec.gov/Archives/edgar/data/19617/000121390026111105/</w:t>
                          <w:br/>
                          <w:t>ea0309245-01_424b2.htm</w:t>
                        </w:r>
                      </w:hyperlink>
                    </w:p>
                    <w:p>
                      <w:pPr>
                        <w:pStyle w:val="TextBody"/>
                        <w:bidi w:val="0"/>
                        <w:spacing w:before="0" w:after="60"/>
                        <w:jc w:val="left"/>
                        <w:rPr>
                          <w:caps w:val="false"/>
                          <w:smallCaps w:val="false"/>
                        </w:rPr>
                      </w:pPr>
                      <w:r>
                        <w:rPr>
                          <w:caps w:val="false"/>
                          <w:smallCaps w:val="false"/>
                        </w:rPr>
                        <w:t> </w:t>
                      </w:r>
                    </w:p>
                  </w:txbxContent>
                </v:textbox>
                <w10:wrap type="square" side="left"/>
              </v:rect>
            </w:pict>
          </mc:Fallback>
        </mc:AlternateContent>
      </w:r>
    </w:p>
    <w:p>
      <w:pPr>
        <w:pStyle w:val="TextBody"/>
        <w:bidi w:val="0"/>
        <w:spacing w:before="60" w:after="60"/>
        <w:ind w:left="60" w:right="60" w:hanging="0"/>
        <w:jc w:val="both"/>
        <w:rPr>
          <w:caps w:val="false"/>
          <w:smallCaps w:val="false"/>
        </w:rPr>
      </w:pPr>
      <w:r>
        <w:rPr>
          <w:caps w:val="false"/>
          <w:smallCaps w:val="false"/>
        </w:rPr>
        <w:t> </w:t>
      </w:r>
    </w:p>
    <w:p>
      <w:pPr>
        <w:pStyle w:val="TextBody"/>
        <w:bidi w:val="0"/>
        <w:spacing w:before="60" w:after="60"/>
        <w:ind w:left="60" w:right="60" w:hanging="0"/>
        <w:jc w:val="both"/>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p>
      <w:pPr>
        <w:pStyle w:val="TextBody"/>
        <w:bidi w:val="0"/>
        <w:spacing w:before="0" w:after="0"/>
        <w:ind w:left="0" w:right="0" w:hanging="0"/>
        <w:jc w:val="left"/>
        <w:rPr/>
      </w:pPr>
      <w:r>
        <w:rPr/>
        <w:t> </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025"/>
        <w:gridCol w:w="5180"/>
      </w:tblGrid>
      <w:tr>
        <w:trPr/>
        <w:tc>
          <w:tcPr>
            <w:tcW w:w="5025" w:type="dxa"/>
            <w:tcBorders/>
            <w:vAlign w:val="center"/>
          </w:tcPr>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of the Lowest Performing Underlying Stock on the Final Calculation Day Is Less Than Its Threshold Price, You Will Lose More Than 28%, and Possibly All, of the Principal Amount of Your Securities at Maturity.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Automatically Called, the Return on the Securities Will Be Limited to the Call Premium.</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Payment at Maturity Will Be Determined by the Lowest Performing Underlying Stock.</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Between the Underlying Stocks.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tc>
        <w:tc>
          <w:tcPr>
            <w:tcW w:w="5180" w:type="dxa"/>
            <w:tcBorders/>
            <w:vAlign w:val="center"/>
          </w:tcPr>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No Affiliation with Either Underlying Stock Issuer</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Limited Trading History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Anti-Dilution Protection Is Limited and May Be Discretionary. </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have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Chase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11105/ea0309245-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11105/ea0309245-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1671</Words>
  <Characters>8986</Characters>
  <CharactersWithSpaces>10688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