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7069-01_fwp.htm"/>
      <w:bookmarkStart w:id="1" w:name="ksea030706901_fwp"/>
      <w:bookmarkStart w:id="2" w:name="ea0307069-01_fwp.htm"/>
      <w:bookmarkStart w:id="3" w:name="ksea030706901_fwp"/>
      <w:bookmarkEnd w:id="2"/>
      <w:bookmarkEnd w:id="3"/>
    </w:p>
    <w:tbl>
      <w:tblPr>
        <w:tblW w:w="10205" w:type="dxa"/>
        <w:jc w:val="left"/>
        <w:tblInd w:w="0" w:type="dxa"/>
        <w:tblLayout w:type="fixed"/>
        <w:tblCellMar>
          <w:top w:w="0" w:type="dxa"/>
          <w:left w:w="0" w:type="dxa"/>
          <w:bottom w:w="0" w:type="dxa"/>
          <w:right w:w="0" w:type="dxa"/>
        </w:tblCellMar>
      </w:tblPr>
      <w:tblGrid>
        <w:gridCol w:w="5788"/>
        <w:gridCol w:w="4417"/>
      </w:tblGrid>
      <w:tr>
        <w:trPr/>
        <w:tc>
          <w:tcPr>
            <w:tcW w:w="5788" w:type="dxa"/>
            <w:vMerge w:val="restart"/>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4417"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ind w:left="0" w:right="0" w:firstLine="72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 333-293684-01</w:t>
            </w:r>
          </w:p>
        </w:tc>
      </w:tr>
      <w:tr>
        <w:trPr/>
        <w:tc>
          <w:tcPr>
            <w:tcW w:w="5788" w:type="dxa"/>
            <w:vMerge w:val="continue"/>
            <w:tcBorders/>
            <w:vAlign w:val="center"/>
          </w:tcPr>
          <w:p>
            <w:pPr>
              <w:pStyle w:val="Normal"/>
              <w:bidi w:val="0"/>
              <w:jc w:val="left"/>
              <w:rPr/>
            </w:pPr>
            <w:r>
              <w:rPr/>
            </w:r>
          </w:p>
        </w:tc>
        <w:tc>
          <w:tcPr>
            <w:tcW w:w="4417" w:type="dxa"/>
            <w:tcBorders/>
            <w:vAlign w:val="center"/>
          </w:tcPr>
          <w:p>
            <w:pPr>
              <w:pStyle w:val="TableContents"/>
              <w:bidi w:val="0"/>
              <w:spacing w:before="0" w:after="283"/>
              <w:jc w:val="left"/>
              <w:rPr/>
            </w:pPr>
            <w:r>
              <w:rPr/>
              <w:drawing>
                <wp:inline distT="0" distB="0" distL="0" distR="0">
                  <wp:extent cx="152400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323850"/>
                          </a:xfrm>
                          <a:prstGeom prst="rect">
                            <a:avLst/>
                          </a:prstGeom>
                        </pic:spPr>
                      </pic:pic>
                    </a:graphicData>
                  </a:graphic>
                </wp:inline>
              </w:drawing>
            </w:r>
            <w:r>
              <w:rPr/>
              <w:t xml:space="preserve"> </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Securities—Auto-Callable with Contingent Coupon with Memory Feature and Contingent Downside</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Lowest Performing of the Common Stock of SoFi Technologies, Inc., Class A Common Stock of CrowdStrike Holdings, Inc. and the Common Stock of Marvell Technology, Inc. due October 3, 2029</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September 28, 2026 to Preliminary Pricing Supplement dated September 28, 2026</w:t>
            </w:r>
          </w:p>
        </w:tc>
      </w:tr>
    </w:tbl>
    <w:p>
      <w:pPr>
        <w:pStyle w:val="TextBody"/>
        <w:bidi w:val="0"/>
        <w:spacing w:before="0" w:after="20"/>
        <w:ind w:left="36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411335"/>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411335"/>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145"/>
                              <w:gridCol w:w="9060"/>
                            </w:tblGrid>
                            <w:tr>
                              <w:trPr/>
                              <w:tc>
                                <w:tcPr>
                                  <w:tcW w:w="11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90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 a direct, wholly owned finance subsidiary of JPMorgan Chase &amp; Co.</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Stocks:</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SoFi Technologies, Inc. (Bloomberg ticker: SOFI), Class A common stock of CrowdStrike Holdings, Inc. (Bloomberg ticker: CRWD) and the common stock of Marvell Technology, Inc. (Bloomberg ticker: MRVL)</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29, 2026</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 2026</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3, 2029</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9060"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6"/>
                                    </w:rPr>
                                    <w:t>and only if</w:t>
                                  </w:r>
                                  <w:r>
                                    <w:rPr>
                                      <w:rFonts w:ascii="Georgia;Times;Serif" w:hAnsi="Georgia;Times;Serif"/>
                                      <w:b w:val="false"/>
                                      <w:i w:val="false"/>
                                      <w:caps w:val="false"/>
                                      <w:smallCaps w:val="false"/>
                                      <w:sz w:val="16"/>
                                    </w:rPr>
                                    <w:t xml:space="preserve">, the stock closing price of the lowest performing Underlying Stock on the related calculation day is greater than or equal to its threshold price. In addition, if the stock closing price of the lowest performing Underlying Stock on one or more calculation days is less than its threshold price and, on a subsequent calculation day, the stock closing price of the lowest performing Underlying Stock is greater than or equal to its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all previously unpaid contingent coupon payments (without interest on amounts previously unpaid).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12.</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Monthly,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9060" w:type="dxa"/>
                                  <w:tcBorders>
                                    <w:bottom w:val="single" w:sz="8" w:space="0" w:color="000000"/>
                                    <w:right w:val="single" w:sz="8" w:space="0" w:color="000000"/>
                                  </w:tcBorders>
                                  <w:tcMar>
                                    <w:top w:w="0" w:type="dxa"/>
                                    <w:left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23.05% per annum (to be provided in the pricing supplement)</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lowest performing Underlying Stock on any of the calculation days from March 2027 to August 2029, inclusive, is greater than or equal to its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and any previously unpaid contingent coupon payments.  </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Monthly, on the 28</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month, commencing October 2026 and ending September 2029.  We refer to September 28, 2029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9060"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   </w:t>
                                  </w:r>
                                  <w:r>
                                    <w:rPr>
                                      <w:rFonts w:ascii="Georgia;Times;Serif" w:hAnsi="Georgia;Times;Serif"/>
                                      <w:b w:val="false"/>
                                      <w:i w:val="false"/>
                                      <w:caps w:val="false"/>
                                      <w:smallCaps w:val="false"/>
                                      <w:sz w:val="16"/>
                                    </w:rPr>
                                    <w:t>If the ending price of the lowest performing Underlying Stock on the final calculation day is greater than or equal to its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   </w:t>
                                  </w:r>
                                  <w:r>
                                    <w:rPr>
                                      <w:rFonts w:ascii="Georgia;Times;Serif" w:hAnsi="Georgia;Times;Serif"/>
                                      <w:b w:val="false"/>
                                      <w:i w:val="false"/>
                                      <w:caps w:val="false"/>
                                      <w:smallCaps w:val="false"/>
                                      <w:sz w:val="16"/>
                                    </w:rPr>
                                    <w:t>If the ending price of the lowest performing Underlying Stock on the final calculation day is less than its threshold price:</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of the lowest performing Underlying Stock on the final calculation day)</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 Stock:</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w:t>
                                  </w:r>
                                  <w:r>
                                    <w:rPr>
                                      <w:rFonts w:ascii="Georgia;Times;Serif" w:hAnsi="Georgia;Times;Serif"/>
                                      <w:b w:val="false"/>
                                      <w:i w:val="false"/>
                                      <w:caps w:val="false"/>
                                      <w:smallCaps w:val="false"/>
                                      <w:sz w:val="16"/>
                                      <w:u w:val="single"/>
                                    </w:rPr>
                                    <w:t>lowest performing Underlying Stock</w:t>
                                  </w:r>
                                  <w:r>
                                    <w:rPr>
                                      <w:rFonts w:ascii="Georgia;Times;Serif" w:hAnsi="Georgia;Times;Serif"/>
                                      <w:b w:val="false"/>
                                      <w:i w:val="false"/>
                                      <w:caps w:val="false"/>
                                      <w:smallCaps w:val="false"/>
                                      <w:sz w:val="16"/>
                                    </w:rPr>
                                    <w:t>” will be the Underlying Stock with the lowest stock return on that calculation day.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4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145"/>
                        <w:gridCol w:w="9060"/>
                      </w:tblGrid>
                      <w:tr>
                        <w:trPr/>
                        <w:tc>
                          <w:tcPr>
                            <w:tcW w:w="11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90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 a direct, wholly owned finance subsidiary of JPMorgan Chase &amp; Co.</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Stocks:</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SoFi Technologies, Inc. (Bloomberg ticker: SOFI), Class A common stock of CrowdStrike Holdings, Inc. (Bloomberg ticker: CRWD) and the common stock of Marvell Technology, Inc. (Bloomberg ticker: MRVL)</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29, 2026</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 2026</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3, 2029</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9060"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6"/>
                              </w:rPr>
                              <w:t>and only if</w:t>
                            </w:r>
                            <w:r>
                              <w:rPr>
                                <w:rFonts w:ascii="Georgia;Times;Serif" w:hAnsi="Georgia;Times;Serif"/>
                                <w:b w:val="false"/>
                                <w:i w:val="false"/>
                                <w:caps w:val="false"/>
                                <w:smallCaps w:val="false"/>
                                <w:sz w:val="16"/>
                              </w:rPr>
                              <w:t xml:space="preserve">, the stock closing price of the lowest performing Underlying Stock on the related calculation day is greater than or equal to its threshold price. In addition, if the stock closing price of the lowest performing Underlying Stock on one or more calculation days is less than its threshold price and, on a subsequent calculation day, the stock closing price of the lowest performing Underlying Stock is greater than or equal to its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all previously unpaid contingent coupon payments (without interest on amounts previously unpaid).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12.</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Monthly,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9060" w:type="dxa"/>
                            <w:tcBorders>
                              <w:bottom w:val="single" w:sz="8" w:space="0" w:color="000000"/>
                              <w:right w:val="single" w:sz="8" w:space="0" w:color="000000"/>
                            </w:tcBorders>
                            <w:tcMar>
                              <w:top w:w="0" w:type="dxa"/>
                              <w:left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23.05% per annum (to be provided in the pricing supplement)</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lowest performing Underlying Stock on any of the calculation days from March 2027 to August 2029, inclusive, is greater than or equal to its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and any previously unpaid contingent coupon payments.  </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Monthly, on the 28</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month, commencing October 2026 and ending September 2029.  We refer to September 28, 2029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9060"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   </w:t>
                            </w:r>
                            <w:r>
                              <w:rPr>
                                <w:rFonts w:ascii="Georgia;Times;Serif" w:hAnsi="Georgia;Times;Serif"/>
                                <w:b w:val="false"/>
                                <w:i w:val="false"/>
                                <w:caps w:val="false"/>
                                <w:smallCaps w:val="false"/>
                                <w:sz w:val="16"/>
                              </w:rPr>
                              <w:t>If the ending price of the lowest performing Underlying Stock on the final calculation day is greater than or equal to its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   </w:t>
                            </w:r>
                            <w:r>
                              <w:rPr>
                                <w:rFonts w:ascii="Georgia;Times;Serif" w:hAnsi="Georgia;Times;Serif"/>
                                <w:b w:val="false"/>
                                <w:i w:val="false"/>
                                <w:caps w:val="false"/>
                                <w:smallCaps w:val="false"/>
                                <w:sz w:val="16"/>
                              </w:rPr>
                              <w:t>If the ending price of the lowest performing Underlying Stock on the final calculation day is less than its threshold price:</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of the lowest performing Underlying Stock on the final calculation day)</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 Stock:</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w:t>
                            </w:r>
                            <w:r>
                              <w:rPr>
                                <w:rFonts w:ascii="Georgia;Times;Serif" w:hAnsi="Georgia;Times;Serif"/>
                                <w:b w:val="false"/>
                                <w:i w:val="false"/>
                                <w:caps w:val="false"/>
                                <w:smallCaps w:val="false"/>
                                <w:sz w:val="16"/>
                                <w:u w:val="single"/>
                              </w:rPr>
                              <w:t>lowest performing Underlying Stock</w:t>
                            </w:r>
                            <w:r>
                              <w:rPr>
                                <w:rFonts w:ascii="Georgia;Times;Serif" w:hAnsi="Georgia;Times;Serif"/>
                                <w:b w:val="false"/>
                                <w:i w:val="false"/>
                                <w:caps w:val="false"/>
                                <w:smallCaps w:val="false"/>
                                <w:sz w:val="16"/>
                              </w:rPr>
                              <w:t>” will be the Underlying Stock with the lowest stock return on that calculation day.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9972040"/>
                <wp:effectExtent l="0" t="0" r="0" b="0"/>
                <wp:wrapSquare wrapText="left"/>
                <wp:docPr id="3"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pricing date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final calculation day</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on any calculation day, (stock closing price on that calculation day – starting price) /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45% of its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46661P2X4</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40" w:after="0"/>
                              <w:ind w:left="108" w:right="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0"/>
                              <w:ind w:left="108" w:right="0" w:hanging="0"/>
                              <w:jc w:val="left"/>
                              <w:rPr>
                                <w:caps w:val="false"/>
                                <w:smallCaps w:val="false"/>
                                <w:color w:val="8F8F8F"/>
                              </w:rPr>
                            </w:pPr>
                            <w:r>
                              <w:rPr>
                                <w:caps w:val="false"/>
                                <w:smallCaps w:val="false"/>
                                <w:color w:val="8F8F8F"/>
                              </w:rPr>
                              <w:drawing>
                                <wp:inline distT="0" distB="0" distL="0" distR="0">
                                  <wp:extent cx="3352800" cy="22955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352800" cy="2295525"/>
                                          </a:xfrm>
                                          <a:prstGeom prst="rect">
                                            <a:avLst/>
                                          </a:prstGeom>
                                        </pic:spPr>
                                      </pic:pic>
                                    </a:graphicData>
                                  </a:graphic>
                                </wp:inline>
                              </w:drawing>
                            </w:r>
                          </w:p>
                          <w:p>
                            <w:pPr>
                              <w:pStyle w:val="TextBody"/>
                              <w:bidi w:val="0"/>
                              <w:spacing w:before="0" w:after="40"/>
                              <w:ind w:left="108"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price of the lowest performing Underlying Stock on the final calculation day is less than its threshold price, you will lose more than 55%, and possibly all, of the principal amount of your securities at maturity.</w:t>
                            </w:r>
                          </w:p>
                          <w:p>
                            <w:pPr>
                              <w:pStyle w:val="TextBody"/>
                              <w:bidi w:val="0"/>
                              <w:spacing w:before="0" w:after="40"/>
                              <w:ind w:left="108"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any Underlying Stock, but you will have full downside exposure to the lowest performing Underlying Stock on the final calculation day if its ending price is less than its threshold price.</w:t>
                            </w:r>
                          </w:p>
                          <w:p>
                            <w:pPr>
                              <w:pStyle w:val="TextBody"/>
                              <w:bidi w:val="0"/>
                              <w:spacing w:before="0" w:after="40"/>
                              <w:ind w:left="108"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40"/>
                              <w:ind w:left="108"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$932.30 per security. The estimated value of the securities, when the terms of the securities are set, will be provided in the pricing supplement and will not be less than $900.00 per security. See “The Estimated Value of the Securities” in the preliminary pricing supplement for additional information.</w:t>
                            </w:r>
                          </w:p>
                          <w:p>
                            <w:pPr>
                              <w:pStyle w:val="TextBody"/>
                              <w:bidi w:val="0"/>
                              <w:spacing w:before="0" w:after="283"/>
                              <w:ind w:left="108" w:right="0" w:hanging="0"/>
                              <w:jc w:val="left"/>
                              <w:rPr/>
                            </w:pPr>
                            <w:r>
                              <w:rPr>
                                <w:rFonts w:ascii="Georgia;Times;Serif" w:hAnsi="Georgia;Times;Serif"/>
                                <w:b w:val="false"/>
                                <w:i w:val="false"/>
                                <w:caps w:val="false"/>
                                <w:smallCaps w:val="false"/>
                                <w:sz w:val="16"/>
                              </w:rPr>
                              <w:t xml:space="preserve">Preliminary Pricing Supplement: </w:t>
                            </w:r>
                            <w:hyperlink r:id="rId4">
                              <w:r>
                                <w:rPr>
                                  <w:rStyle w:val="InternetLink"/>
                                  <w:rFonts w:ascii="Georgia;Times;Serif" w:hAnsi="Georgia;Times;Serif"/>
                                  <w:b w:val="false"/>
                                  <w:i w:val="false"/>
                                  <w:caps w:val="false"/>
                                  <w:smallCaps w:val="false"/>
                                  <w:sz w:val="16"/>
                                </w:rPr>
                                <w:t>http://www.sec.gov/Archives/edgar/data/19617/000121390026104497/</w:t>
                                <w:br/>
                                <w:t>ea0307036-01_424b2.htm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pricing date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final calculation day</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on any calculation day, (stock closing price on that calculation day – starting price) /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45% of its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46661P2X4</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40" w:after="0"/>
                        <w:ind w:left="108" w:right="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0"/>
                        <w:ind w:left="108" w:right="0" w:hanging="0"/>
                        <w:jc w:val="left"/>
                        <w:rPr>
                          <w:caps w:val="false"/>
                          <w:smallCaps w:val="false"/>
                          <w:color w:val="8F8F8F"/>
                        </w:rPr>
                      </w:pPr>
                      <w:r>
                        <w:rPr>
                          <w:caps w:val="false"/>
                          <w:smallCaps w:val="false"/>
                          <w:color w:val="8F8F8F"/>
                        </w:rPr>
                        <w:drawing>
                          <wp:inline distT="0" distB="0" distL="0" distR="0">
                            <wp:extent cx="3352800" cy="22955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352800" cy="2295525"/>
                                    </a:xfrm>
                                    <a:prstGeom prst="rect">
                                      <a:avLst/>
                                    </a:prstGeom>
                                  </pic:spPr>
                                </pic:pic>
                              </a:graphicData>
                            </a:graphic>
                          </wp:inline>
                        </w:drawing>
                      </w:r>
                    </w:p>
                    <w:p>
                      <w:pPr>
                        <w:pStyle w:val="TextBody"/>
                        <w:bidi w:val="0"/>
                        <w:spacing w:before="0" w:after="40"/>
                        <w:ind w:left="108"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price of the lowest performing Underlying Stock on the final calculation day is less than its threshold price, you will lose more than 55%, and possibly all, of the principal amount of your securities at maturity.</w:t>
                      </w:r>
                    </w:p>
                    <w:p>
                      <w:pPr>
                        <w:pStyle w:val="TextBody"/>
                        <w:bidi w:val="0"/>
                        <w:spacing w:before="0" w:after="40"/>
                        <w:ind w:left="108"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any Underlying Stock, but you will have full downside exposure to the lowest performing Underlying Stock on the final calculation day if its ending price is less than its threshold price.</w:t>
                      </w:r>
                    </w:p>
                    <w:p>
                      <w:pPr>
                        <w:pStyle w:val="TextBody"/>
                        <w:bidi w:val="0"/>
                        <w:spacing w:before="0" w:after="40"/>
                        <w:ind w:left="108"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40"/>
                        <w:ind w:left="108"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$932.30 per security. The estimated value of the securities, when the terms of the securities are set, will be provided in the pricing supplement and will not be less than $900.00 per security. See “The Estimated Value of the Securities” in the preliminary pricing supplement for additional information.</w:t>
                      </w:r>
                    </w:p>
                    <w:p>
                      <w:pPr>
                        <w:pStyle w:val="TextBody"/>
                        <w:bidi w:val="0"/>
                        <w:spacing w:before="0" w:after="283"/>
                        <w:ind w:left="108" w:right="0" w:hanging="0"/>
                        <w:jc w:val="left"/>
                        <w:rPr/>
                      </w:pPr>
                      <w:r>
                        <w:rPr>
                          <w:rFonts w:ascii="Georgia;Times;Serif" w:hAnsi="Georgia;Times;Serif"/>
                          <w:b w:val="false"/>
                          <w:i w:val="false"/>
                          <w:caps w:val="false"/>
                          <w:smallCaps w:val="false"/>
                          <w:sz w:val="16"/>
                        </w:rPr>
                        <w:t xml:space="preserve">Preliminary Pricing Supplement: </w:t>
                      </w:r>
                      <w:hyperlink r:id="rId6">
                        <w:r>
                          <w:rPr>
                            <w:rStyle w:val="InternetLink"/>
                            <w:rFonts w:ascii="Georgia;Times;Serif" w:hAnsi="Georgia;Times;Serif"/>
                            <w:b w:val="false"/>
                            <w:i w:val="false"/>
                            <w:caps w:val="false"/>
                            <w:smallCaps w:val="false"/>
                            <w:sz w:val="16"/>
                          </w:rPr>
                          <w:t>http://www.sec.gov/Archives/edgar/data/19617/000121390026104497/</w:t>
                          <w:br/>
                          <w:t>ea0307036-01_424b2.htm</w:t>
                        </w:r>
                      </w:hyperlink>
                    </w:p>
                  </w:txbxContent>
                </v:textbox>
                <w10:wrap type="square" side="left"/>
              </v:rect>
            </w:pict>
          </mc:Fallback>
        </mc:AlternateContent>
      </w:r>
    </w:p>
    <w:p>
      <w:pPr>
        <w:pStyle w:val="TextBody"/>
        <w:bidi w:val="0"/>
        <w:ind w:left="360" w:right="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40" w:after="40"/>
        <w:ind w:left="360" w:right="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5020"/>
        <w:gridCol w:w="5185"/>
      </w:tblGrid>
      <w:tr>
        <w:trPr/>
        <w:tc>
          <w:tcPr>
            <w:tcW w:w="5020"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Price of the Lowest Performing Underlying Stock on the Final Calculation Day Is Less Than Its Threshold Price, You Will Lose More Than 55%, and Possibly All,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Any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Are Exposed to the Risk of Decline in the Price of Each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Maturity Payment Amount Will Be Determined by the Lowest Performing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Risks Resulting from the Relationship Among the Underlying Stocks.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tc>
        <w:tc>
          <w:tcPr>
            <w:tcW w:w="5185"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No Affiliation with Any Underlying Stock Issuer</w:t>
            </w:r>
          </w:p>
          <w:p>
            <w:pPr>
              <w:pStyle w:val="TableContents"/>
              <w:bidi w:val="0"/>
              <w:spacing w:before="0" w:after="4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shd w:fill="FFFFFF" w:val="clear"/>
              </w:rPr>
              <w:t>Limited Trading History with Respect to the Common Stock of SoFi Technologies, Inc. and the Common Stock of Marvell Technology, Inc.</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Any Payment on the Securities Will Depend upon the Performance of Each Underlying Stock and Therefore the Securities Are Subject to the Risks Associated with Each Underlying Stock, Each as Discussed in the Accompanying Preliminary Pricing Supplement and Product Supplement. </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Georgia;Times;Serif" w:hAnsi="Georgia;Times;Serif"/>
          <w:color w:val="8F8F8F"/>
          <w:sz w:val="18"/>
        </w:rPr>
      </w:pPr>
      <w:r>
        <w:rPr>
          <w:rFonts w:ascii="Georgia;Times;Serif" w:hAnsi="Georgia;Times;Serif"/>
          <w:color w:val="8F8F8F"/>
          <w:sz w:val="18"/>
        </w:rPr>
      </w:r>
    </w:p>
    <w:p>
      <w:pPr>
        <w:pStyle w:val="TextBody"/>
        <w:bidi w:val="0"/>
        <w:spacing w:before="0" w:after="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04497/ea0307036-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04497/ea0307036-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1871</Words>
  <Characters>10107</Characters>
  <CharactersWithSpaces>12027</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