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97710-01_fwp.htm"/>
      <w:bookmarkStart w:id="1" w:name="ksea029771001_fwp"/>
      <w:bookmarkStart w:id="2" w:name="ea0297710-01_fwp.htm"/>
      <w:bookmarkStart w:id="3" w:name="ksea029771001_fwp"/>
      <w:bookmarkEnd w:id="2"/>
      <w:bookmarkEnd w:id="3"/>
    </w:p>
    <w:tbl>
      <w:tblPr>
        <w:tblW w:w="10205" w:type="dxa"/>
        <w:jc w:val="left"/>
        <w:tblInd w:w="0" w:type="dxa"/>
        <w:tblLayout w:type="fixed"/>
        <w:tblCellMar>
          <w:top w:w="0" w:type="dxa"/>
          <w:left w:w="0" w:type="dxa"/>
          <w:bottom w:w="0" w:type="dxa"/>
          <w:right w:w="0" w:type="dxa"/>
        </w:tblCellMar>
      </w:tblPr>
      <w:tblGrid>
        <w:gridCol w:w="6148"/>
        <w:gridCol w:w="4057"/>
      </w:tblGrid>
      <w:tr>
        <w:trPr/>
        <w:tc>
          <w:tcPr>
            <w:tcW w:w="6148"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5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48" w:type="dxa"/>
            <w:vMerge w:val="continue"/>
            <w:tcBorders/>
            <w:vAlign w:val="center"/>
          </w:tcPr>
          <w:p>
            <w:pPr>
              <w:pStyle w:val="Normal"/>
              <w:bidi w:val="0"/>
              <w:jc w:val="left"/>
              <w:rPr/>
            </w:pPr>
            <w:r>
              <w:rPr/>
            </w:r>
          </w:p>
        </w:tc>
        <w:tc>
          <w:tcPr>
            <w:tcW w:w="4057" w:type="dxa"/>
            <w:tcBorders/>
            <w:vAlign w:val="center"/>
          </w:tcPr>
          <w:p>
            <w:pPr>
              <w:pStyle w:val="TableContents"/>
              <w:bidi w:val="0"/>
              <w:jc w:val="right"/>
              <w:rPr>
                <w:caps w:val="false"/>
                <w:smallCaps w:val="false"/>
              </w:rPr>
            </w:pPr>
            <w:r>
              <w:rPr>
                <w:caps w:val="false"/>
                <w:smallCaps w:val="false"/>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p>
            <w:pPr>
              <w:pStyle w:val="TableContents"/>
              <w:bidi w:val="0"/>
              <w:spacing w:before="0" w:after="283"/>
              <w:jc w:val="center"/>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Nasdaq-100 Index</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the EURO STOXX 50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and the Russell 2000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due July 20,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July 10, 2026 to Preliminary Pricing Supplement dated July 10, 2026</w:t>
            </w:r>
          </w:p>
        </w:tc>
      </w:tr>
    </w:tbl>
    <w:p>
      <w:pPr>
        <w:pStyle w:val="TextBody"/>
        <w:bidi w:val="0"/>
        <w:spacing w:before="0" w:after="2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17384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17384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477"/>
                              <w:gridCol w:w="8728"/>
                            </w:tblGrid>
                            <w:tr>
                              <w:trPr/>
                              <w:tc>
                                <w:tcPr>
                                  <w:tcW w:w="147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72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Nasdaq-100 Index</w:t>
                                  </w:r>
                                  <w:r>
                                    <w:rPr>
                                      <w:rFonts w:ascii="Georgia;Times;Serif" w:hAnsi="Georgia;Times;Serif"/>
                                      <w:b w:val="false"/>
                                      <w:i w:val="false"/>
                                      <w:caps w:val="false"/>
                                      <w:smallCaps w:val="false"/>
                                      <w:position w:val="5"/>
                                      <w:sz w:val="13"/>
                                      <w:sz w:val="16"/>
                                    </w:rPr>
                                    <w:t xml:space="preserve">® </w:t>
                                  </w:r>
                                  <w:r>
                                    <w:rPr>
                                      <w:rFonts w:ascii="Georgia;Times;Serif" w:hAnsi="Georgia;Times;Serif"/>
                                      <w:b w:val="false"/>
                                      <w:i w:val="false"/>
                                      <w:caps w:val="false"/>
                                      <w:smallCaps w:val="false"/>
                                      <w:sz w:val="16"/>
                                    </w:rPr>
                                    <w:t>(Bloomberg ticker: NDX),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 and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17, 2026</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22, 2026</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20, 2029</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72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each contingent coupon payment date, you will receive a contingent coupon payment at a per annum rate equal to the contingent coupon rate if, and only if, the closing level of the lowest performing Index on the related calculation day is greater than or equal to its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728"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11.55% per annum (to be provided in the pricing supplement)</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any of the calculation days from January 2027 to April 2029, inclusive, is greater than or equal to its starting level,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17</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January, April, July and October, commencing October 2026 and ending July 2029.</w:t>
                                    <w:br/>
                                    <w:t> We refer to July 17,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 xml:space="preserve">: </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72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threshold level: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calculation day.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calculation day, (closing level on that calculation day – starting level) / starting level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2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477"/>
                        <w:gridCol w:w="8728"/>
                      </w:tblGrid>
                      <w:tr>
                        <w:trPr/>
                        <w:tc>
                          <w:tcPr>
                            <w:tcW w:w="147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72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Indices:</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Nasdaq-100 Index</w:t>
                            </w:r>
                            <w:r>
                              <w:rPr>
                                <w:rFonts w:ascii="Georgia;Times;Serif" w:hAnsi="Georgia;Times;Serif"/>
                                <w:b w:val="false"/>
                                <w:i w:val="false"/>
                                <w:caps w:val="false"/>
                                <w:smallCaps w:val="false"/>
                                <w:position w:val="5"/>
                                <w:sz w:val="13"/>
                                <w:sz w:val="16"/>
                              </w:rPr>
                              <w:t xml:space="preserve">® </w:t>
                            </w:r>
                            <w:r>
                              <w:rPr>
                                <w:rFonts w:ascii="Georgia;Times;Serif" w:hAnsi="Georgia;Times;Serif"/>
                                <w:b w:val="false"/>
                                <w:i w:val="false"/>
                                <w:caps w:val="false"/>
                                <w:smallCaps w:val="false"/>
                                <w:sz w:val="16"/>
                              </w:rPr>
                              <w:t>(Bloomberg ticker: NDX),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 and Russell 2000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RTY)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17, 2026</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22, 2026</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20, 2029</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72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On each contingent coupon payment date, you will receive a contingent coupon payment at a per annum rate equal to the contingent coupon rate if, and only if, the closing level of the lowest performing Index on the related calculation day is greater than or equal to its threshold level.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4</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Quarterly,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728"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11.55% per annum (to be provided in the pricing supplement)</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closing level of the lowest performing Index on any of the calculation days from January 2027 to April 2029, inclusive, is greater than or equal to its starting level,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Quarterly, on the 17</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January, April, July and October, commencing October 2026 and ending July 2029.</w:t>
                              <w:br/>
                              <w:t> We refer to July 17,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477"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color w:val="808080"/>
                                <w:position w:val="5"/>
                                <w:sz w:val="13"/>
                                <w:sz w:val="16"/>
                              </w:rPr>
                              <w:t>1, 2</w:t>
                            </w:r>
                            <w:r>
                              <w:rPr>
                                <w:rFonts w:ascii="Georgia;Times;Serif" w:hAnsi="Georgia;Times;Serif"/>
                                <w:b w:val="false"/>
                                <w:i w:val="false"/>
                                <w:caps w:val="false"/>
                                <w:smallCaps w:val="false"/>
                                <w:sz w:val="16"/>
                              </w:rPr>
                              <w:t xml:space="preserve">: </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72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greater than or equal to its threshold level: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level of the lowest performing Index on the final calculation day is less than its threshold level:</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index return of the lowest performing Index on the final calculation day)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Index:</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Index</w:t>
                            </w:r>
                            <w:r>
                              <w:rPr>
                                <w:rFonts w:ascii="Georgia;Times;Serif" w:hAnsi="Georgia;Times;Serif"/>
                                <w:b w:val="false"/>
                                <w:i w:val="false"/>
                                <w:caps w:val="false"/>
                                <w:smallCaps w:val="false"/>
                                <w:sz w:val="16"/>
                              </w:rPr>
                              <w:t>” will be the Index with the lowest index return on that calculation day.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Level:</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pricing date</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Level:</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its closing level on the final calculation day</w:t>
                            </w:r>
                          </w:p>
                        </w:tc>
                      </w:tr>
                      <w:tr>
                        <w:trPr/>
                        <w:tc>
                          <w:tcPr>
                            <w:tcW w:w="14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Index Return:</w:t>
                            </w:r>
                          </w:p>
                        </w:tc>
                        <w:tc>
                          <w:tcPr>
                            <w:tcW w:w="8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on any calculation day, (closing level on that calculation day – starting level) / starting level</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75% of its starting level</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46661CRL2</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center"/>
                              <w:rPr>
                                <w:caps w:val="false"/>
                                <w:smallCaps w:val="false"/>
                                <w:color w:val="8F8F8F"/>
                              </w:rPr>
                            </w:pPr>
                            <w:r>
                              <w:rPr>
                                <w:caps w:val="false"/>
                                <w:smallCaps w:val="false"/>
                                <w:color w:val="8F8F8F"/>
                              </w:rPr>
                              <w:drawing>
                                <wp:inline distT="0" distB="0" distL="0" distR="0">
                                  <wp:extent cx="3457575" cy="2095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457575" cy="2095500"/>
                                          </a:xfrm>
                                          <a:prstGeom prst="rect">
                                            <a:avLst/>
                                          </a:prstGeom>
                                        </pic:spPr>
                                      </pic:pic>
                                    </a:graphicData>
                                  </a:graphic>
                                </wp:inline>
                              </w:drawing>
                            </w:r>
                          </w:p>
                          <w:p>
                            <w:pPr>
                              <w:pStyle w:val="TextBody"/>
                              <w:bidi w:val="0"/>
                              <w:spacing w:before="40" w:after="40"/>
                              <w:ind w:left="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level of the lowest performing Index on the final calculation day is less than its threshold level, you will lose more than 25%, and possibly all, of the principal amount of your securities at maturity.</w:t>
                            </w:r>
                          </w:p>
                          <w:p>
                            <w:pPr>
                              <w:pStyle w:val="TextBody"/>
                              <w:bidi w:val="0"/>
                              <w:spacing w:before="40" w:after="40"/>
                              <w:ind w:left="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threshold level.</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$948.70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283"/>
                              <w:jc w:val="left"/>
                              <w:rPr/>
                            </w:pPr>
                            <w:hyperlink r:id="rId4">
                              <w:r>
                                <w:rPr>
                                  <w:rStyle w:val="InternetLink"/>
                                  <w:rFonts w:ascii="Georgia;Times;Serif" w:hAnsi="Georgia;Times;Serif"/>
                                  <w:b w:val="false"/>
                                  <w:i w:val="false"/>
                                  <w:caps w:val="false"/>
                                  <w:smallCaps w:val="false"/>
                                  <w:sz w:val="16"/>
                                </w:rPr>
                                <w:t>http://www.sec.gov/Archives/edgar/data/19617/</w:t>
                                <w:br/>
                                <w:t>000121390026077026/ea0297664-01_424b2.htm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Level:</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Index, 75% of its starting level</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46661CRL2</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center"/>
                        <w:rPr>
                          <w:caps w:val="false"/>
                          <w:smallCaps w:val="false"/>
                          <w:color w:val="8F8F8F"/>
                        </w:rPr>
                      </w:pPr>
                      <w:r>
                        <w:rPr>
                          <w:caps w:val="false"/>
                          <w:smallCaps w:val="false"/>
                          <w:color w:val="8F8F8F"/>
                        </w:rPr>
                        <w:drawing>
                          <wp:inline distT="0" distB="0" distL="0" distR="0">
                            <wp:extent cx="3457575" cy="2095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457575" cy="2095500"/>
                                    </a:xfrm>
                                    <a:prstGeom prst="rect">
                                      <a:avLst/>
                                    </a:prstGeom>
                                  </pic:spPr>
                                </pic:pic>
                              </a:graphicData>
                            </a:graphic>
                          </wp:inline>
                        </w:drawing>
                      </w:r>
                    </w:p>
                    <w:p>
                      <w:pPr>
                        <w:pStyle w:val="TextBody"/>
                        <w:bidi w:val="0"/>
                        <w:spacing w:before="40" w:after="40"/>
                        <w:ind w:left="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level of the lowest performing Index on the final calculation day is less than its threshold level, you will lose more than 25%, and possibly all, of the principal amount of your securities at maturity.</w:t>
                      </w:r>
                    </w:p>
                    <w:p>
                      <w:pPr>
                        <w:pStyle w:val="TextBody"/>
                        <w:bidi w:val="0"/>
                        <w:spacing w:before="40" w:after="40"/>
                        <w:ind w:left="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Index, but you will have full downside exposure to the lowest performing Index on the final calculation day if its ending level is less than its threshold level.</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$948.70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283"/>
                        <w:jc w:val="left"/>
                        <w:rPr/>
                      </w:pPr>
                      <w:hyperlink r:id="rId6">
                        <w:r>
                          <w:rPr>
                            <w:rStyle w:val="InternetLink"/>
                            <w:rFonts w:ascii="Georgia;Times;Serif" w:hAnsi="Georgia;Times;Serif"/>
                            <w:b w:val="false"/>
                            <w:i w:val="false"/>
                            <w:caps w:val="false"/>
                            <w:smallCaps w:val="false"/>
                            <w:sz w:val="16"/>
                          </w:rPr>
                          <w:t>http://www.sec.gov/Archives/edgar/data/19617/</w:t>
                          <w:br/>
                          <w:t>000121390026077026/ea0297664-01_424b2.htm</w:t>
                        </w:r>
                      </w:hyperlink>
                    </w:p>
                  </w:txbxContent>
                </v:textbox>
                <w10:wrap type="square" side="left"/>
              </v:rect>
            </w:pict>
          </mc:Fallback>
        </mc:AlternateContent>
      </w:r>
    </w:p>
    <w:p>
      <w:pPr>
        <w:pStyle w:val="TextBody"/>
        <w:bidi w:val="0"/>
        <w:spacing w:before="0" w:after="20"/>
        <w:jc w:val="left"/>
        <w:rPr>
          <w:caps w:val="false"/>
          <w:smallCaps w:val="false"/>
        </w:rPr>
      </w:pPr>
      <w:r>
        <w:rPr>
          <w:caps w:val="false"/>
          <w:smallCaps w:val="false"/>
        </w:rPr>
        <w:t> </w:t>
      </w:r>
    </w:p>
    <w:p>
      <w:pPr>
        <w:pStyle w:val="TextBody"/>
        <w:bidi w:val="0"/>
        <w:spacing w:before="0" w:after="20"/>
        <w:ind w:left="160" w:right="16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ind w:left="160" w:right="1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160" w:right="16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116"/>
        <w:gridCol w:w="5089"/>
      </w:tblGrid>
      <w:tr>
        <w:trPr/>
        <w:tc>
          <w:tcPr>
            <w:tcW w:w="5116"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Level of the Lowest Performing Index on the Final Calculation Day Is Less Than Its Threshold Level, You Will Lose More Than 25%,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Level of Each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Indices.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Level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0" w:right="0" w:hanging="0"/>
              <w:jc w:val="left"/>
              <w:rPr>
                <w:caps w:val="false"/>
                <w:smallCaps w:val="false"/>
              </w:rPr>
            </w:pPr>
            <w:r>
              <w:rPr>
                <w:caps w:val="false"/>
                <w:smallCaps w:val="false"/>
              </w:rPr>
              <w:t> </w:t>
            </w:r>
          </w:p>
        </w:tc>
        <w:tc>
          <w:tcPr>
            <w:tcW w:w="5089"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 xml:space="preserve">The </w:t>
            </w:r>
            <w:r>
              <w:rPr>
                <w:rFonts w:ascii="Georgia;Times;Serif" w:hAnsi="Georgia;Times;Serif"/>
                <w:b/>
                <w:i w:val="false"/>
                <w:caps w:val="false"/>
                <w:smallCaps w:val="false"/>
                <w:sz w:val="18"/>
                <w:shd w:fill="FFFFFF" w:val="clear"/>
              </w:rPr>
              <w:t>Securities Are Subject to Non-U.S. Securities Risk with Respect to the Nasdaq-100 Index</w:t>
            </w:r>
            <w:r>
              <w:rPr>
                <w:rFonts w:ascii="Georgia;Times;Serif" w:hAnsi="Georgia;Times;Serif"/>
                <w:b/>
                <w:i w:val="false"/>
                <w:caps w:val="false"/>
                <w:smallCaps w:val="false"/>
                <w:position w:val="6"/>
                <w:sz w:val="14"/>
                <w:sz w:val="18"/>
                <w:shd w:fill="FFFFFF" w:val="clear"/>
              </w:rPr>
              <w:t xml:space="preserve">® </w:t>
            </w:r>
            <w:r>
              <w:rPr>
                <w:rFonts w:ascii="Georgia;Times;Serif" w:hAnsi="Georgia;Times;Serif"/>
                <w:b/>
                <w:i w:val="false"/>
                <w:caps w:val="false"/>
                <w:smallCaps w:val="false"/>
                <w:sz w:val="18"/>
                <w:shd w:fill="FFFFFF" w:val="clear"/>
              </w:rPr>
              <w:t>and the EURO STOXX 50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 xml:space="preserve">An Investment in the Securities Is Subject to Risks </w:t>
            </w:r>
            <w:r>
              <w:rPr>
                <w:rFonts w:ascii="Georgia;Times;Serif" w:hAnsi="Georgia;Times;Serif"/>
                <w:b/>
                <w:i w:val="false"/>
                <w:caps w:val="false"/>
                <w:smallCaps w:val="false"/>
                <w:sz w:val="18"/>
              </w:rPr>
              <w:t xml:space="preserve">Associated </w:t>
            </w:r>
            <w:r>
              <w:rPr>
                <w:rFonts w:ascii="Georgia;Times;Serif" w:hAnsi="Georgia;Times;Serif"/>
                <w:b/>
                <w:i w:val="false"/>
                <w:caps w:val="false"/>
                <w:smallCaps w:val="false"/>
                <w:sz w:val="18"/>
                <w:shd w:fill="FFFFFF" w:val="clear"/>
              </w:rPr>
              <w:t>with Small Capitalization Stocks with Respect to the Russell 2000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Direct Exposure to Fluctuations in Foreign Exchange Rates with Respect to the EURO STOXX 50</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 xml:space="preserve"> Index.</w:t>
            </w:r>
          </w:p>
          <w:p>
            <w:pPr>
              <w:pStyle w:val="TableContents"/>
              <w:bidi w:val="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 Investment </w:t>
            </w:r>
            <w:r>
              <w:rPr>
                <w:rFonts w:ascii="Georgia;Times;Serif" w:hAnsi="Georgia;Times;Serif"/>
                <w:b/>
                <w:i w:val="false"/>
                <w:caps w:val="false"/>
                <w:smallCaps w:val="false"/>
                <w:sz w:val="18"/>
                <w:shd w:fill="FFFFFF" w:val="clear"/>
              </w:rPr>
              <w:t>in the Securities Is Subject to Risks Associated with Small Capitalization Stocks with Respect to the Russell 2000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Each Index and Therefore the Securities Are Subject to the Risks Associated with Each Index,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p>
      <w:pPr>
        <w:pStyle w:val="TextBody"/>
        <w:bidi w:val="0"/>
        <w:spacing w:before="0" w:after="0"/>
        <w:jc w:val="center"/>
        <w:rPr>
          <w:rFonts w:ascii="Georgia" w:hAnsi="Georgia"/>
          <w:b w:val="false"/>
          <w:i w:val="false"/>
          <w:caps w:val="false"/>
          <w:smallCaps w:val="false"/>
          <w:sz w:val="20"/>
        </w:rPr>
      </w:pPr>
      <w:r>
        <w:rPr>
          <w:rFonts w:ascii="Georgia" w:hAnsi="Georgia"/>
          <w:b w:val="false"/>
          <w:i w:val="false"/>
          <w:caps w:val="false"/>
          <w:smallCaps w:val="false"/>
          <w:sz w:val="2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1"/>
    <w:family w:val="auto"/>
    <w:pitch w:val="default"/>
  </w:font>
  <w:font w:name="Times New Roman">
    <w:altName w:val="Times"/>
    <w:charset w:val="01"/>
    <w:family w:val="auto"/>
    <w:pitch w:val="default"/>
  </w:font>
  <w:font w:name="Georgi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77026/ea0297664-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77026/ea0297664-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1763</Words>
  <Characters>9372</Characters>
  <CharactersWithSpaces>11185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