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b w:val="1"/>
          <w:bCs w:val="1"/>
          <w:color w:val="808080"/>
        </w:rPr>
        <w:t>JPMorgan Chase Financial Company LLC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3"/>
          <w:szCs w:val="13"/>
          <w:color w:val="808080"/>
        </w:rPr>
        <w:t>Free Writing Prospectus Filed Pursuant to Rule 433</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3"/>
          <w:szCs w:val="13"/>
          <w:color w:val="808080"/>
        </w:rPr>
        <w:t>Registration Statement Nos. 333-293684 and 333-293684-01</w:t>
      </w:r>
    </w:p>
    <w:p>
      <w:pPr>
        <w:jc w:val="right"/>
        <w:spacing w:after="0"/>
        <w:rPr>
          <w:sz w:val="20"/>
          <w:szCs w:val="20"/>
          <w:color w:val="auto"/>
        </w:rPr>
      </w:pPr>
      <w:r>
        <w:rPr>
          <w:rFonts w:ascii="Arial" w:cs="Arial" w:eastAsia="Arial" w:hAnsi="Arial"/>
          <w:sz w:val="13"/>
          <w:szCs w:val="13"/>
          <w:color w:val="808080"/>
        </w:rPr>
        <w:t>Dated June 15, 2026</w:t>
      </w:r>
    </w:p>
    <w:p>
      <w:pPr>
        <w:spacing w:after="0"/>
        <w:rPr>
          <w:sz w:val="20"/>
          <w:szCs w:val="20"/>
          <w:color w:val="auto"/>
        </w:rPr>
      </w:pPr>
      <w:r>
        <w:rPr>
          <w:rFonts w:ascii="Arial" w:cs="Arial" w:eastAsia="Arial" w:hAnsi="Arial"/>
          <w:sz w:val="24"/>
          <w:szCs w:val="24"/>
          <w:color w:val="296DC1"/>
        </w:rPr>
        <w:t>2-Year IBIT Auto-Callable Dual Directional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0" w:lineRule="exact"/>
        <w:rPr>
          <w:sz w:val="24"/>
          <w:szCs w:val="24"/>
          <w:color w:val="auto"/>
        </w:rPr>
      </w:pPr>
    </w:p>
    <w:p>
      <w:pPr>
        <w:ind w:left="80" w:right="20"/>
        <w:spacing w:after="0" w:line="259" w:lineRule="auto"/>
        <w:rPr>
          <w:sz w:val="20"/>
          <w:szCs w:val="20"/>
          <w:color w:val="auto"/>
        </w:rPr>
      </w:pPr>
      <w:r>
        <w:rPr>
          <w:rFonts w:ascii="Arial" w:cs="Arial" w:eastAsia="Arial" w:hAnsi="Arial"/>
          <w:sz w:val="13"/>
          <w:szCs w:val="13"/>
          <w:b w:val="1"/>
          <w:bCs w:val="1"/>
          <w:i w:val="1"/>
          <w:iCs w:val="1"/>
          <w:color w:val="auto"/>
        </w:rPr>
        <w:t>This document provides a summary of the terms of the Auto-Callable Dual Directional Trigger PLUS, which we refer to as the Trigger PLUS. Investors must carefully review the accompanying preliminary pricing supplement referenced below, underlying supplement, product supplement, prospectus supplement and prospectus and the “Risk Considerations” on the following page, prior to making an investment decision.</w:t>
      </w:r>
    </w:p>
    <w:p>
      <w:pPr>
        <w:sectPr>
          <w:pgSz w:w="11900" w:h="16838" w:orient="portrait"/>
          <w:cols w:equalWidth="0" w:num="1">
            <w:col w:w="11240"/>
          </w:cols>
          <w:pgMar w:left="320" w:top="403" w:right="339" w:bottom="1041" w:gutter="0" w:footer="0" w:header="0"/>
        </w:sectPr>
      </w:pPr>
    </w:p>
    <w:p>
      <w:pPr>
        <w:spacing w:after="0" w:line="56"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FFFFFF"/>
        </w:rPr>
        <w:t>SUMMARY TERMS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3495040" cy="160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5040" cy="1600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right="100"/>
        <w:spacing w:after="0" w:line="255" w:lineRule="auto"/>
        <w:rPr>
          <w:sz w:val="20"/>
          <w:szCs w:val="20"/>
          <w:color w:val="auto"/>
        </w:rPr>
      </w:pPr>
      <w:r>
        <w:rPr>
          <w:rFonts w:ascii="Arial" w:cs="Arial" w:eastAsia="Arial" w:hAnsi="Arial"/>
          <w:sz w:val="11"/>
          <w:szCs w:val="11"/>
          <w:color w:val="auto"/>
        </w:rPr>
        <w:t>The estimated value of the Trigger PLUS on the pricing date will be provided in the pricing supplement and will not be less than $ 930.00 per $1,000 stated principal amount Trigger PLUS. For information</w:t>
      </w:r>
    </w:p>
    <w:p>
      <w:pPr>
        <w:spacing w:after="0" w:line="1" w:lineRule="exact"/>
        <w:rPr>
          <w:sz w:val="24"/>
          <w:szCs w:val="24"/>
          <w:color w:val="auto"/>
        </w:rPr>
      </w:pPr>
    </w:p>
    <w:p>
      <w:pPr>
        <w:sectPr>
          <w:pgSz w:w="11900" w:h="16838" w:orient="portrait"/>
          <w:cols w:equalWidth="0" w:num="2">
            <w:col w:w="5100" w:space="720"/>
            <w:col w:w="5420"/>
          </w:cols>
          <w:pgMar w:left="320" w:top="403" w:right="339" w:bottom="1041" w:gutter="0" w:footer="0" w:header="0"/>
          <w:type w:val="continuous"/>
        </w:sectPr>
      </w:pPr>
    </w:p>
    <w:p>
      <w:pPr>
        <w:ind w:left="100"/>
        <w:spacing w:after="0"/>
        <w:rPr>
          <w:sz w:val="20"/>
          <w:szCs w:val="20"/>
          <w:color w:val="auto"/>
        </w:rPr>
      </w:pPr>
      <w:r>
        <w:rPr>
          <w:rFonts w:ascii="Arial" w:cs="Arial" w:eastAsia="Arial" w:hAnsi="Arial"/>
          <w:sz w:val="13"/>
          <w:szCs w:val="13"/>
          <w:b w:val="1"/>
          <w:bCs w:val="1"/>
          <w:color w:val="296DC1"/>
        </w:rPr>
        <w:t>Issuer:</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Guarantor:</w:t>
      </w:r>
    </w:p>
    <w:p>
      <w:pPr>
        <w:spacing w:after="0" w:line="88"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ETF Shares:</w:t>
      </w:r>
    </w:p>
    <w:p>
      <w:pPr>
        <w:spacing w:after="0" w:line="99"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Early</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Early</w:t>
      </w:r>
    </w:p>
    <w:p>
      <w:pPr>
        <w:ind w:left="100"/>
        <w:spacing w:after="0" w:line="224" w:lineRule="auto"/>
        <w:rPr>
          <w:sz w:val="20"/>
          <w:szCs w:val="20"/>
          <w:color w:val="auto"/>
        </w:rPr>
      </w:pPr>
      <w:r>
        <w:rPr>
          <w:rFonts w:ascii="Arial" w:cs="Arial" w:eastAsia="Arial" w:hAnsi="Arial"/>
          <w:sz w:val="13"/>
          <w:szCs w:val="13"/>
          <w:b w:val="1"/>
          <w:bCs w:val="1"/>
          <w:color w:val="296DC1"/>
        </w:rPr>
        <w:t>redemption</w:t>
      </w:r>
    </w:p>
    <w:p>
      <w:pPr>
        <w:ind w:left="100"/>
        <w:spacing w:after="0" w:line="230" w:lineRule="auto"/>
        <w:rPr>
          <w:sz w:val="20"/>
          <w:szCs w:val="20"/>
          <w:color w:val="auto"/>
        </w:rPr>
      </w:pPr>
      <w:r>
        <w:rPr>
          <w:rFonts w:ascii="Arial" w:cs="Arial" w:eastAsia="Arial" w:hAnsi="Arial"/>
          <w:sz w:val="13"/>
          <w:szCs w:val="13"/>
          <w:b w:val="1"/>
          <w:bCs w:val="1"/>
          <w:color w:val="296DC1"/>
        </w:rPr>
        <w:t>payment:</w:t>
      </w:r>
    </w:p>
    <w:p>
      <w:pPr>
        <w:ind w:left="100" w:right="240"/>
        <w:spacing w:after="0" w:line="277" w:lineRule="auto"/>
        <w:rPr>
          <w:sz w:val="20"/>
          <w:szCs w:val="20"/>
          <w:color w:val="auto"/>
        </w:rPr>
      </w:pPr>
      <w:r>
        <w:rPr>
          <w:rFonts w:ascii="Arial" w:cs="Arial" w:eastAsia="Arial" w:hAnsi="Arial"/>
          <w:sz w:val="13"/>
          <w:szCs w:val="13"/>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Leveraged</w:t>
      </w:r>
    </w:p>
    <w:p>
      <w:pPr>
        <w:spacing w:after="0" w:line="16"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upside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payment:</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Share percent</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change: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Absolute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share return:</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Initial share</w:t>
      </w:r>
    </w:p>
    <w:p>
      <w:pPr>
        <w:spacing w:after="0" w:line="2" w:lineRule="exact"/>
        <w:rPr>
          <w:sz w:val="24"/>
          <w:szCs w:val="24"/>
          <w:color w:val="auto"/>
        </w:rPr>
      </w:pPr>
    </w:p>
    <w:p>
      <w:pPr>
        <w:ind w:left="100" w:right="240"/>
        <w:spacing w:after="0" w:line="249" w:lineRule="auto"/>
        <w:rPr>
          <w:sz w:val="20"/>
          <w:szCs w:val="20"/>
          <w:color w:val="auto"/>
        </w:rPr>
      </w:pPr>
      <w:r>
        <w:rPr>
          <w:rFonts w:ascii="Arial" w:cs="Arial" w:eastAsia="Arial" w:hAnsi="Arial"/>
          <w:sz w:val="13"/>
          <w:szCs w:val="13"/>
          <w:b w:val="1"/>
          <w:bCs w:val="1"/>
          <w:color w:val="296DC1"/>
        </w:rPr>
        <w:t>price: Final share price: Share adjustment factor:</w:t>
      </w:r>
    </w:p>
    <w:p>
      <w:pPr>
        <w:spacing w:after="0" w:line="200" w:lineRule="exact"/>
        <w:rPr>
          <w:sz w:val="24"/>
          <w:szCs w:val="24"/>
          <w:color w:val="auto"/>
        </w:rPr>
      </w:pPr>
    </w:p>
    <w:p>
      <w:pPr>
        <w:spacing w:after="0" w:line="216"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Trigger level:</w:t>
      </w:r>
    </w:p>
    <w:p>
      <w:pPr>
        <w:spacing w:after="0" w:line="16"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Leverage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factor:</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Share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performance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factor:</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Stated</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principal</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amount:</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Issue price: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Pricing date: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Original issue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date</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(settlement</w:t>
      </w:r>
    </w:p>
    <w:p>
      <w:pPr>
        <w:ind w:left="100"/>
        <w:spacing w:after="0" w:line="237" w:lineRule="auto"/>
        <w:rPr>
          <w:sz w:val="20"/>
          <w:szCs w:val="20"/>
          <w:color w:val="auto"/>
        </w:rPr>
      </w:pPr>
      <w:r>
        <w:rPr>
          <w:rFonts w:ascii="Arial" w:cs="Arial" w:eastAsia="Arial" w:hAnsi="Arial"/>
          <w:sz w:val="13"/>
          <w:szCs w:val="13"/>
          <w:b w:val="1"/>
          <w:bCs w:val="1"/>
          <w:color w:val="296DC1"/>
        </w:rPr>
        <w:t>date):</w:t>
      </w:r>
    </w:p>
    <w:p>
      <w:pPr>
        <w:jc w:val="both"/>
        <w:ind w:left="100" w:right="220"/>
        <w:spacing w:after="0" w:line="220" w:lineRule="auto"/>
        <w:rPr>
          <w:sz w:val="20"/>
          <w:szCs w:val="20"/>
          <w:color w:val="auto"/>
        </w:rPr>
      </w:pPr>
      <w:r>
        <w:rPr>
          <w:rFonts w:ascii="Arial" w:cs="Arial" w:eastAsia="Arial" w:hAnsi="Arial"/>
          <w:sz w:val="12"/>
          <w:szCs w:val="12"/>
          <w:b w:val="1"/>
          <w:bCs w:val="1"/>
          <w:color w:val="296DC1"/>
        </w:rPr>
        <w:t>Redemption observation date</w:t>
      </w:r>
      <w:r>
        <w:rPr>
          <w:rFonts w:ascii="Arial" w:cs="Arial" w:eastAsia="Arial" w:hAnsi="Arial"/>
          <w:sz w:val="19"/>
          <w:szCs w:val="19"/>
          <w:b w:val="1"/>
          <w:bCs w:val="1"/>
          <w:color w:val="296DC1"/>
          <w:vertAlign w:val="superscript"/>
        </w:rPr>
        <w:t>†</w:t>
      </w:r>
      <w:r>
        <w:rPr>
          <w:rFonts w:ascii="Arial" w:cs="Arial" w:eastAsia="Arial" w:hAnsi="Arial"/>
          <w:sz w:val="12"/>
          <w:szCs w:val="12"/>
          <w:b w:val="1"/>
          <w:bCs w:val="1"/>
          <w:color w:val="296DC1"/>
        </w:rPr>
        <w:t>:</w:t>
      </w:r>
    </w:p>
    <w:p>
      <w:pPr>
        <w:jc w:val="both"/>
        <w:ind w:left="100" w:right="220"/>
        <w:spacing w:after="0" w:line="215" w:lineRule="auto"/>
        <w:rPr>
          <w:sz w:val="20"/>
          <w:szCs w:val="20"/>
          <w:color w:val="auto"/>
        </w:rPr>
      </w:pPr>
      <w:r>
        <w:rPr>
          <w:rFonts w:ascii="Arial" w:cs="Arial" w:eastAsia="Arial" w:hAnsi="Arial"/>
          <w:sz w:val="12"/>
          <w:szCs w:val="12"/>
          <w:b w:val="1"/>
          <w:bCs w:val="1"/>
          <w:color w:val="296DC1"/>
        </w:rPr>
        <w:t>Redemption date</w:t>
      </w:r>
      <w:r>
        <w:rPr>
          <w:rFonts w:ascii="Arial" w:cs="Arial" w:eastAsia="Arial" w:hAnsi="Arial"/>
          <w:sz w:val="19"/>
          <w:szCs w:val="19"/>
          <w:b w:val="1"/>
          <w:bCs w:val="1"/>
          <w:color w:val="296DC1"/>
          <w:vertAlign w:val="superscript"/>
        </w:rPr>
        <w:t>†</w:t>
      </w:r>
      <w:r>
        <w:rPr>
          <w:rFonts w:ascii="Arial" w:cs="Arial" w:eastAsia="Arial" w:hAnsi="Arial"/>
          <w:sz w:val="12"/>
          <w:szCs w:val="12"/>
          <w:b w:val="1"/>
          <w:bCs w:val="1"/>
          <w:color w:val="296DC1"/>
        </w:rPr>
        <w:t>:</w:t>
      </w:r>
    </w:p>
    <w:p>
      <w:pPr>
        <w:ind w:left="100"/>
        <w:spacing w:after="0" w:line="235" w:lineRule="auto"/>
        <w:rPr>
          <w:sz w:val="20"/>
          <w:szCs w:val="20"/>
          <w:color w:val="auto"/>
        </w:rPr>
      </w:pPr>
      <w:r>
        <w:rPr>
          <w:rFonts w:ascii="Arial" w:cs="Arial" w:eastAsia="Arial" w:hAnsi="Arial"/>
          <w:sz w:val="13"/>
          <w:szCs w:val="13"/>
          <w:b w:val="1"/>
          <w:bCs w:val="1"/>
          <w:color w:val="296DC1"/>
        </w:rPr>
        <w:t>Valuation</w:t>
      </w:r>
    </w:p>
    <w:p>
      <w:pPr>
        <w:ind w:left="100"/>
        <w:spacing w:after="0" w:line="184" w:lineRule="auto"/>
        <w:rPr>
          <w:sz w:val="20"/>
          <w:szCs w:val="20"/>
          <w:color w:val="auto"/>
        </w:rPr>
      </w:pPr>
      <w:r>
        <w:rPr>
          <w:rFonts w:ascii="Arial" w:cs="Arial" w:eastAsia="Arial" w:hAnsi="Arial"/>
          <w:sz w:val="12"/>
          <w:szCs w:val="12"/>
          <w:b w:val="1"/>
          <w:bCs w:val="1"/>
          <w:color w:val="296DC1"/>
        </w:rPr>
        <w:t>date</w:t>
      </w:r>
      <w:r>
        <w:rPr>
          <w:rFonts w:ascii="Arial" w:cs="Arial" w:eastAsia="Arial" w:hAnsi="Arial"/>
          <w:sz w:val="20"/>
          <w:szCs w:val="20"/>
          <w:b w:val="1"/>
          <w:bCs w:val="1"/>
          <w:color w:val="296DC1"/>
          <w:vertAlign w:val="superscript"/>
        </w:rPr>
        <w:t>†</w:t>
      </w:r>
      <w:r>
        <w:rPr>
          <w:rFonts w:ascii="Arial" w:cs="Arial" w:eastAsia="Arial" w:hAnsi="Arial"/>
          <w:sz w:val="12"/>
          <w:szCs w:val="12"/>
          <w:b w:val="1"/>
          <w:bCs w:val="1"/>
          <w:color w:val="296DC1"/>
        </w:rPr>
        <w:t>:</w:t>
      </w:r>
    </w:p>
    <w:p>
      <w:pPr>
        <w:ind w:left="100"/>
        <w:spacing w:after="0" w:line="180" w:lineRule="auto"/>
        <w:rPr>
          <w:sz w:val="20"/>
          <w:szCs w:val="20"/>
          <w:color w:val="auto"/>
        </w:rPr>
      </w:pPr>
      <w:r>
        <w:rPr>
          <w:rFonts w:ascii="Arial" w:cs="Arial" w:eastAsia="Arial" w:hAnsi="Arial"/>
          <w:sz w:val="13"/>
          <w:szCs w:val="13"/>
          <w:b w:val="1"/>
          <w:bCs w:val="1"/>
          <w:color w:val="296DC1"/>
        </w:rPr>
        <w:t>Maturity date</w:t>
      </w:r>
      <w:r>
        <w:rPr>
          <w:rFonts w:ascii="Arial" w:cs="Arial" w:eastAsia="Arial" w:hAnsi="Arial"/>
          <w:sz w:val="21"/>
          <w:szCs w:val="21"/>
          <w:b w:val="1"/>
          <w:bCs w:val="1"/>
          <w:color w:val="296DC1"/>
          <w:vertAlign w:val="superscript"/>
        </w:rPr>
        <w:t>†</w:t>
      </w:r>
      <w:r>
        <w:rPr>
          <w:rFonts w:ascii="Arial" w:cs="Arial" w:eastAsia="Arial" w:hAnsi="Arial"/>
          <w:sz w:val="13"/>
          <w:szCs w:val="13"/>
          <w:b w:val="1"/>
          <w:bCs w:val="1"/>
          <w:color w:val="296DC1"/>
        </w:rPr>
        <w:t>:</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CUSIP / ISIN:</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Preliminary</w:t>
      </w:r>
    </w:p>
    <w:p>
      <w:pPr>
        <w:spacing w:after="0" w:line="2"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296DC1"/>
        </w:rPr>
        <w:t>pricing</w:t>
      </w:r>
    </w:p>
    <w:p>
      <w:pPr>
        <w:ind w:left="100"/>
        <w:spacing w:after="0" w:line="237" w:lineRule="auto"/>
        <w:rPr>
          <w:sz w:val="20"/>
          <w:szCs w:val="20"/>
          <w:color w:val="auto"/>
        </w:rPr>
      </w:pPr>
      <w:r>
        <w:rPr>
          <w:rFonts w:ascii="Arial" w:cs="Arial" w:eastAsia="Arial" w:hAnsi="Arial"/>
          <w:sz w:val="13"/>
          <w:szCs w:val="13"/>
          <w:b w:val="1"/>
          <w:bCs w:val="1"/>
          <w:color w:val="296DC1"/>
        </w:rPr>
        <w:t>supplement:</w:t>
      </w:r>
    </w:p>
    <w:p>
      <w:pPr>
        <w:spacing w:after="0" w:line="20" w:lineRule="exact"/>
        <w:rPr>
          <w:sz w:val="24"/>
          <w:szCs w:val="24"/>
          <w:color w:val="auto"/>
        </w:rPr>
      </w:pPr>
      <w:r>
        <w:rPr>
          <w:sz w:val="24"/>
          <w:szCs w:val="24"/>
          <w:color w:val="auto"/>
        </w:rPr>
        <w:br w:type="column"/>
      </w:r>
    </w:p>
    <w:p>
      <w:pPr>
        <w:ind w:right="280"/>
        <w:spacing w:after="0" w:line="238" w:lineRule="auto"/>
        <w:rPr>
          <w:sz w:val="20"/>
          <w:szCs w:val="20"/>
          <w:color w:val="auto"/>
        </w:rPr>
      </w:pPr>
      <w:r>
        <w:rPr>
          <w:rFonts w:ascii="Arial" w:cs="Arial" w:eastAsia="Arial" w:hAnsi="Arial"/>
          <w:sz w:val="13"/>
          <w:szCs w:val="13"/>
          <w:color w:val="auto"/>
        </w:rPr>
        <w:t>JPMorgan Chase Financial Company LLC (“JPMorgan Financial”) 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-94615</wp:posOffset>
            </wp:positionV>
            <wp:extent cx="3495040" cy="95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5040" cy="95885"/>
                    </a:xfrm>
                    <a:prstGeom prst="rect">
                      <a:avLst/>
                    </a:prstGeom>
                    <a:noFill/>
                  </pic:spPr>
                </pic:pic>
              </a:graphicData>
            </a:graphic>
          </wp:anchor>
        </w:drawing>
      </w:r>
    </w:p>
    <w:p>
      <w:pPr>
        <w:ind w:right="100"/>
        <w:spacing w:after="0" w:line="183" w:lineRule="auto"/>
        <w:rPr>
          <w:sz w:val="20"/>
          <w:szCs w:val="20"/>
          <w:color w:val="auto"/>
        </w:rPr>
      </w:pPr>
      <w:r>
        <w:rPr>
          <w:rFonts w:ascii="Arial" w:cs="Arial" w:eastAsia="Arial" w:hAnsi="Arial"/>
          <w:sz w:val="12"/>
          <w:szCs w:val="12"/>
          <w:color w:val="auto"/>
        </w:rPr>
        <w:t>Shares of the iShares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Bitcoin Trust ETF (Bloomberg ticker: IBIT UQ Equity). We refer to the iShares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Bitcoin Trust ETF as the “Fund.”</w:t>
      </w:r>
    </w:p>
    <w:p>
      <w:pPr>
        <w:spacing w:after="0" w:line="2" w:lineRule="exact"/>
        <w:rPr>
          <w:sz w:val="24"/>
          <w:szCs w:val="24"/>
          <w:color w:val="auto"/>
        </w:rPr>
      </w:pPr>
    </w:p>
    <w:p>
      <w:pPr>
        <w:ind w:right="20"/>
        <w:spacing w:after="0" w:line="241" w:lineRule="auto"/>
        <w:rPr>
          <w:sz w:val="20"/>
          <w:szCs w:val="20"/>
          <w:color w:val="auto"/>
        </w:rPr>
      </w:pPr>
      <w:r>
        <w:rPr>
          <w:rFonts w:ascii="Arial" w:cs="Arial" w:eastAsia="Arial" w:hAnsi="Arial"/>
          <w:sz w:val="12"/>
          <w:szCs w:val="12"/>
          <w:color w:val="auto"/>
        </w:rPr>
        <w:t xml:space="preserve">If, on the redemption observation date, the closing price of one ETF Share is </w:t>
      </w:r>
      <w:r>
        <w:rPr>
          <w:rFonts w:ascii="Arial" w:cs="Arial" w:eastAsia="Arial" w:hAnsi="Arial"/>
          <w:sz w:val="12"/>
          <w:szCs w:val="12"/>
          <w:b w:val="1"/>
          <w:bCs w:val="1"/>
          <w:color w:val="auto"/>
        </w:rPr>
        <w:t>greater than or equal to</w:t>
      </w:r>
      <w:r>
        <w:rPr>
          <w:rFonts w:ascii="Arial" w:cs="Arial" w:eastAsia="Arial" w:hAnsi="Arial"/>
          <w:sz w:val="12"/>
          <w:szCs w:val="12"/>
          <w:color w:val="auto"/>
        </w:rPr>
        <w:t xml:space="preserve"> the initial share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share price is greater than the initial share price or the absolute return feature that applies to the payment at maturity if the final share price is less than or equal to the initial share price but is greater than or equal to the trigger level. Moreover, if the Trigger PLUS are automatically redeemed, your investment may underperform the ETF Shares, and the early redemption payment may be significantly less than the payment at maturity you would receive for the same level of appreciation of the ETF Shares had the Trigger PLUS not been automatically redeemed and instead remained outstanding until maturity</w:t>
      </w:r>
      <w:r>
        <w:rPr>
          <w:rFonts w:ascii="Arial" w:cs="Arial" w:eastAsia="Arial" w:hAnsi="Arial"/>
          <w:sz w:val="12"/>
          <w:szCs w:val="12"/>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-1318895</wp:posOffset>
            </wp:positionV>
            <wp:extent cx="3495040" cy="1407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5040" cy="1407795"/>
                    </a:xfrm>
                    <a:prstGeom prst="rect">
                      <a:avLst/>
                    </a:prstGeom>
                    <a:noFill/>
                  </pic:spPr>
                </pic:pic>
              </a:graphicData>
            </a:graphic>
          </wp:anchor>
        </w:drawing>
      </w:r>
    </w:p>
    <w:p>
      <w:pPr>
        <w:spacing w:after="0" w:line="118" w:lineRule="exact"/>
        <w:rPr>
          <w:sz w:val="24"/>
          <w:szCs w:val="24"/>
          <w:color w:val="auto"/>
        </w:rPr>
      </w:pPr>
    </w:p>
    <w:p>
      <w:pPr>
        <w:ind w:right="20"/>
        <w:spacing w:after="0" w:line="230" w:lineRule="auto"/>
        <w:rPr>
          <w:sz w:val="20"/>
          <w:szCs w:val="20"/>
          <w:color w:val="auto"/>
        </w:rPr>
      </w:pPr>
      <w:r>
        <w:rPr>
          <w:rFonts w:ascii="Arial" w:cs="Arial" w:eastAsia="Arial" w:hAnsi="Arial"/>
          <w:sz w:val="13"/>
          <w:szCs w:val="13"/>
          <w:color w:val="auto"/>
        </w:rPr>
        <w:t>At least $1,280.00 per Trigger PLUS. The actual early redemption payment will be provided in the pricing supplement and will not be less than $1,280.00 per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-8255</wp:posOffset>
            </wp:positionV>
            <wp:extent cx="3495040" cy="1815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5040" cy="1815465"/>
                    </a:xfrm>
                    <a:prstGeom prst="rect">
                      <a:avLst/>
                    </a:prstGeom>
                    <a:noFill/>
                  </pic:spPr>
                </pic:pic>
              </a:graphicData>
            </a:graphic>
          </wp:anchor>
        </w:drawing>
      </w:r>
    </w:p>
    <w:p>
      <w:pPr>
        <w:spacing w:after="0" w:line="242" w:lineRule="auto"/>
        <w:rPr>
          <w:sz w:val="20"/>
          <w:szCs w:val="20"/>
          <w:color w:val="auto"/>
        </w:rPr>
      </w:pPr>
      <w:r>
        <w:rPr>
          <w:rFonts w:ascii="Arial" w:cs="Arial" w:eastAsia="Arial" w:hAnsi="Arial"/>
          <w:sz w:val="13"/>
          <w:szCs w:val="13"/>
          <w:color w:val="auto"/>
        </w:rPr>
        <w:t>If the Trigger PLUS have not been automatically redeemed prior to maturity and:</w:t>
      </w:r>
    </w:p>
    <w:p>
      <w:pPr>
        <w:spacing w:after="0" w:line="1" w:lineRule="exact"/>
        <w:rPr>
          <w:sz w:val="24"/>
          <w:szCs w:val="24"/>
          <w:color w:val="auto"/>
        </w:rPr>
      </w:pPr>
    </w:p>
    <w:p>
      <w:pPr>
        <w:ind w:right="20"/>
        <w:spacing w:after="0" w:line="242" w:lineRule="auto"/>
        <w:rPr>
          <w:sz w:val="20"/>
          <w:szCs w:val="20"/>
          <w:color w:val="auto"/>
        </w:rPr>
      </w:pPr>
      <w:r>
        <w:rPr>
          <w:rFonts w:ascii="Arial" w:cs="Arial" w:eastAsia="Arial" w:hAnsi="Arial"/>
          <w:sz w:val="13"/>
          <w:szCs w:val="13"/>
          <w:color w:val="auto"/>
        </w:rPr>
        <w:t xml:space="preserve">If the final share price is </w:t>
      </w:r>
      <w:r>
        <w:rPr>
          <w:rFonts w:ascii="Arial" w:cs="Arial" w:eastAsia="Arial" w:hAnsi="Arial"/>
          <w:sz w:val="13"/>
          <w:szCs w:val="13"/>
          <w:i w:val="1"/>
          <w:iCs w:val="1"/>
          <w:color w:val="auto"/>
        </w:rPr>
        <w:t>greater than</w:t>
      </w:r>
      <w:r>
        <w:rPr>
          <w:rFonts w:ascii="Arial" w:cs="Arial" w:eastAsia="Arial" w:hAnsi="Arial"/>
          <w:sz w:val="13"/>
          <w:szCs w:val="13"/>
          <w:color w:val="auto"/>
        </w:rPr>
        <w:t xml:space="preserve"> the initial share price, for each $1,000 stated principal amount Trigger PLUS:</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$1,000 + leveraged upside payment</w:t>
      </w:r>
    </w:p>
    <w:p>
      <w:pPr>
        <w:spacing w:after="0" w:line="14" w:lineRule="exact"/>
        <w:rPr>
          <w:sz w:val="24"/>
          <w:szCs w:val="24"/>
          <w:color w:val="auto"/>
        </w:rPr>
      </w:pPr>
    </w:p>
    <w:p>
      <w:pPr>
        <w:jc w:val="both"/>
        <w:ind w:right="160"/>
        <w:spacing w:after="0" w:line="235" w:lineRule="auto"/>
        <w:rPr>
          <w:sz w:val="20"/>
          <w:szCs w:val="20"/>
          <w:color w:val="auto"/>
        </w:rPr>
      </w:pPr>
      <w:r>
        <w:rPr>
          <w:rFonts w:ascii="Arial" w:cs="Arial" w:eastAsia="Arial" w:hAnsi="Arial"/>
          <w:sz w:val="13"/>
          <w:szCs w:val="13"/>
          <w:color w:val="auto"/>
        </w:rPr>
        <w:t xml:space="preserve">If the final share price is </w:t>
      </w:r>
      <w:r>
        <w:rPr>
          <w:rFonts w:ascii="Arial" w:cs="Arial" w:eastAsia="Arial" w:hAnsi="Arial"/>
          <w:sz w:val="13"/>
          <w:szCs w:val="13"/>
          <w:i w:val="1"/>
          <w:iCs w:val="1"/>
          <w:color w:val="auto"/>
        </w:rPr>
        <w:t>less than or equal to</w:t>
      </w:r>
      <w:r>
        <w:rPr>
          <w:rFonts w:ascii="Arial" w:cs="Arial" w:eastAsia="Arial" w:hAnsi="Arial"/>
          <w:sz w:val="13"/>
          <w:szCs w:val="13"/>
          <w:color w:val="auto"/>
        </w:rPr>
        <w:t xml:space="preserve"> the initial share price but is </w:t>
      </w:r>
      <w:r>
        <w:rPr>
          <w:rFonts w:ascii="Arial" w:cs="Arial" w:eastAsia="Arial" w:hAnsi="Arial"/>
          <w:sz w:val="13"/>
          <w:szCs w:val="13"/>
          <w:i w:val="1"/>
          <w:iCs w:val="1"/>
          <w:color w:val="auto"/>
        </w:rPr>
        <w:t xml:space="preserve">greater than or equal to </w:t>
      </w:r>
      <w:r>
        <w:rPr>
          <w:rFonts w:ascii="Arial" w:cs="Arial" w:eastAsia="Arial" w:hAnsi="Arial"/>
          <w:sz w:val="13"/>
          <w:szCs w:val="13"/>
          <w:color w:val="auto"/>
        </w:rPr>
        <w:t>the trigger level, for each $1,000 stated principal</w:t>
      </w:r>
      <w:r>
        <w:rPr>
          <w:rFonts w:ascii="Arial" w:cs="Arial" w:eastAsia="Arial" w:hAnsi="Arial"/>
          <w:sz w:val="13"/>
          <w:szCs w:val="13"/>
          <w:i w:val="1"/>
          <w:iCs w:val="1"/>
          <w:color w:val="auto"/>
        </w:rPr>
        <w:t xml:space="preserve"> </w:t>
      </w:r>
      <w:r>
        <w:rPr>
          <w:rFonts w:ascii="Arial" w:cs="Arial" w:eastAsia="Arial" w:hAnsi="Arial"/>
          <w:sz w:val="13"/>
          <w:szCs w:val="13"/>
          <w:color w:val="auto"/>
        </w:rPr>
        <w:t>amount Trigger PLUS:</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$1,000 + ($1,000 × absolute share return)</w:t>
      </w:r>
    </w:p>
    <w:p>
      <w:pPr>
        <w:spacing w:after="0" w:line="14" w:lineRule="exact"/>
        <w:rPr>
          <w:sz w:val="24"/>
          <w:szCs w:val="24"/>
          <w:color w:val="auto"/>
        </w:rPr>
      </w:pPr>
    </w:p>
    <w:p>
      <w:pPr>
        <w:ind w:right="80"/>
        <w:spacing w:after="0" w:line="251" w:lineRule="auto"/>
        <w:rPr>
          <w:sz w:val="20"/>
          <w:szCs w:val="20"/>
          <w:color w:val="auto"/>
        </w:rPr>
      </w:pPr>
      <w:r>
        <w:rPr>
          <w:rFonts w:ascii="Arial" w:cs="Arial" w:eastAsia="Arial" w:hAnsi="Arial"/>
          <w:sz w:val="12"/>
          <w:szCs w:val="12"/>
          <w:i w:val="1"/>
          <w:iCs w:val="1"/>
          <w:color w:val="auto"/>
        </w:rPr>
        <w:t>In this scenario, you will receive a 1% positive return on the Trigger PLUS for each 1% negative return on the ETF Shares. In no event will this amount exceed the stated principal amount plus $250.00. Accordingly, the maximum downside payment at maturity is $1,250.00 per Trigger PLUS.</w:t>
      </w:r>
    </w:p>
    <w:p>
      <w:pPr>
        <w:spacing w:after="0" w:line="2" w:lineRule="exact"/>
        <w:rPr>
          <w:sz w:val="24"/>
          <w:szCs w:val="24"/>
          <w:color w:val="auto"/>
        </w:rPr>
      </w:pPr>
    </w:p>
    <w:p>
      <w:pPr>
        <w:ind w:right="100"/>
        <w:spacing w:after="0" w:line="242" w:lineRule="auto"/>
        <w:rPr>
          <w:sz w:val="20"/>
          <w:szCs w:val="20"/>
          <w:color w:val="auto"/>
        </w:rPr>
      </w:pPr>
      <w:r>
        <w:rPr>
          <w:rFonts w:ascii="Arial" w:cs="Arial" w:eastAsia="Arial" w:hAnsi="Arial"/>
          <w:sz w:val="13"/>
          <w:szCs w:val="13"/>
          <w:color w:val="auto"/>
        </w:rPr>
        <w:t>If the final share price is less than the trigger level, for each $1,000 stated principal amount Trigger PLUS:</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$1,000 × share performance factor</w:t>
      </w:r>
    </w:p>
    <w:p>
      <w:pPr>
        <w:spacing w:after="0" w:line="14" w:lineRule="exact"/>
        <w:rPr>
          <w:sz w:val="24"/>
          <w:szCs w:val="24"/>
          <w:color w:val="auto"/>
        </w:rPr>
      </w:pPr>
    </w:p>
    <w:p>
      <w:pPr>
        <w:ind w:left="220" w:right="40" w:hanging="210"/>
        <w:spacing w:after="0" w:line="235" w:lineRule="auto"/>
        <w:rPr>
          <w:sz w:val="20"/>
          <w:szCs w:val="20"/>
          <w:color w:val="auto"/>
        </w:rPr>
      </w:pPr>
      <w:r>
        <w:rPr>
          <w:rFonts w:ascii="Arial" w:cs="Arial" w:eastAsia="Arial" w:hAnsi="Arial"/>
          <w:sz w:val="13"/>
          <w:szCs w:val="13"/>
          <w:i w:val="1"/>
          <w:iCs w:val="1"/>
          <w:color w:val="auto"/>
        </w:rPr>
        <w:t>This amount will be less than the stated principal amount of $1,000 per Trigger PLUS and will represent a loss of more than 25%, and possibly all, of your investment.</w:t>
      </w:r>
    </w:p>
    <w:p>
      <w:pPr>
        <w:spacing w:after="0" w:line="130" w:lineRule="exact"/>
        <w:rPr>
          <w:sz w:val="24"/>
          <w:szCs w:val="24"/>
          <w:color w:val="auto"/>
        </w:rPr>
      </w:pPr>
    </w:p>
    <w:p>
      <w:pPr>
        <w:spacing w:after="0"/>
        <w:rPr>
          <w:sz w:val="20"/>
          <w:szCs w:val="20"/>
          <w:color w:val="auto"/>
        </w:rPr>
      </w:pPr>
      <w:r>
        <w:rPr>
          <w:rFonts w:ascii="Arial" w:cs="Arial" w:eastAsia="Arial" w:hAnsi="Arial"/>
          <w:sz w:val="13"/>
          <w:szCs w:val="13"/>
          <w:color w:val="auto"/>
        </w:rPr>
        <w:t>$1,000 × leverage factor × share percent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101600</wp:posOffset>
            </wp:positionV>
            <wp:extent cx="3495040" cy="191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5040" cy="19177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(final share price – initial share price) / initial share price</w:t>
      </w:r>
    </w:p>
    <w:p>
      <w:pPr>
        <w:spacing w:after="0" w:line="77" w:lineRule="exact"/>
        <w:rPr>
          <w:sz w:val="24"/>
          <w:szCs w:val="24"/>
          <w:color w:val="auto"/>
        </w:rPr>
      </w:pPr>
    </w:p>
    <w:p>
      <w:pPr>
        <w:ind w:right="60"/>
        <w:spacing w:after="0" w:line="284" w:lineRule="auto"/>
        <w:rPr>
          <w:sz w:val="20"/>
          <w:szCs w:val="20"/>
          <w:color w:val="auto"/>
        </w:rPr>
      </w:pPr>
      <w:r>
        <w:rPr>
          <w:rFonts w:ascii="Arial" w:cs="Arial" w:eastAsia="Arial" w:hAnsi="Arial"/>
          <w:sz w:val="13"/>
          <w:szCs w:val="13"/>
          <w:color w:val="auto"/>
        </w:rPr>
        <w:t>The absolute value of the share percent change. For example, a -5% share percent change will result in a +5% absolute share return.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-27305</wp:posOffset>
            </wp:positionV>
            <wp:extent cx="3495040" cy="191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5040" cy="191770"/>
                    </a:xfrm>
                    <a:prstGeom prst="rect">
                      <a:avLst/>
                    </a:prstGeom>
                    <a:noFill/>
                  </pic:spPr>
                </pic:pic>
              </a:graphicData>
            </a:graphic>
          </wp:anchor>
        </w:drawing>
      </w:r>
    </w:p>
    <w:p>
      <w:pPr>
        <w:spacing w:after="0" w:line="4" w:lineRule="exact"/>
        <w:rPr>
          <w:sz w:val="24"/>
          <w:szCs w:val="24"/>
          <w:color w:val="auto"/>
        </w:rPr>
      </w:pPr>
    </w:p>
    <w:p>
      <w:pPr>
        <w:ind w:right="800"/>
        <w:spacing w:after="0" w:line="424" w:lineRule="auto"/>
        <w:rPr>
          <w:sz w:val="20"/>
          <w:szCs w:val="20"/>
          <w:color w:val="auto"/>
        </w:rPr>
      </w:pPr>
      <w:r>
        <w:rPr>
          <w:rFonts w:ascii="Arial" w:cs="Arial" w:eastAsia="Arial" w:hAnsi="Arial"/>
          <w:sz w:val="13"/>
          <w:szCs w:val="13"/>
          <w:color w:val="auto"/>
        </w:rPr>
        <w:t>The closing price of one ETF Share on the pricing date The closing price of one ETF Share on the valuation date</w:t>
      </w:r>
    </w:p>
    <w:p>
      <w:pPr>
        <w:spacing w:after="0" w:line="1" w:lineRule="exact"/>
        <w:rPr>
          <w:sz w:val="24"/>
          <w:szCs w:val="24"/>
          <w:color w:val="auto"/>
        </w:rPr>
      </w:pPr>
    </w:p>
    <w:p>
      <w:pPr>
        <w:ind w:right="160"/>
        <w:spacing w:after="0" w:line="245" w:lineRule="auto"/>
        <w:rPr>
          <w:sz w:val="20"/>
          <w:szCs w:val="20"/>
          <w:color w:val="auto"/>
        </w:rPr>
      </w:pPr>
      <w:r>
        <w:rPr>
          <w:rFonts w:ascii="Arial" w:cs="Arial" w:eastAsia="Arial" w:hAnsi="Arial"/>
          <w:sz w:val="13"/>
          <w:szCs w:val="13"/>
          <w:color w:val="auto"/>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-575945</wp:posOffset>
            </wp:positionV>
            <wp:extent cx="3495040" cy="575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5040" cy="57594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75% of the initial share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-1270</wp:posOffset>
            </wp:positionV>
            <wp:extent cx="3495040" cy="191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5040" cy="191770"/>
                    </a:xfrm>
                    <a:prstGeom prst="rect">
                      <a:avLst/>
                    </a:prstGeom>
                    <a:noFill/>
                  </pic:spPr>
                </pic:pic>
              </a:graphicData>
            </a:graphic>
          </wp:anchor>
        </w:drawing>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150%</w:t>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final share price / initial share price</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$1,000 per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-89535</wp:posOffset>
            </wp:positionV>
            <wp:extent cx="3495040" cy="287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5040" cy="287655"/>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Arial" w:cs="Arial" w:eastAsia="Arial" w:hAnsi="Arial"/>
          <w:sz w:val="13"/>
          <w:szCs w:val="13"/>
          <w:color w:val="auto"/>
        </w:rPr>
        <w:t>$1,000 per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5715</wp:posOffset>
            </wp:positionV>
            <wp:extent cx="3495040" cy="95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5040" cy="958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Expected to be June 30, 2026</w:t>
      </w: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business days after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149860</wp:posOffset>
            </wp:positionV>
            <wp:extent cx="3495040" cy="28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5040" cy="287655"/>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July 8, 2027</w:t>
      </w:r>
    </w:p>
    <w:p>
      <w:pPr>
        <w:spacing w:after="0" w:line="233" w:lineRule="exact"/>
        <w:rPr>
          <w:sz w:val="24"/>
          <w:szCs w:val="24"/>
          <w:color w:val="auto"/>
        </w:rPr>
      </w:pPr>
    </w:p>
    <w:p>
      <w:pPr>
        <w:spacing w:after="0"/>
        <w:rPr>
          <w:sz w:val="20"/>
          <w:szCs w:val="20"/>
          <w:color w:val="auto"/>
        </w:rPr>
      </w:pPr>
      <w:r>
        <w:rPr>
          <w:rFonts w:ascii="Arial" w:cs="Arial" w:eastAsia="Arial" w:hAnsi="Arial"/>
          <w:sz w:val="13"/>
          <w:szCs w:val="13"/>
          <w:color w:val="auto"/>
        </w:rPr>
        <w:t>July 13,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61595</wp:posOffset>
            </wp:positionV>
            <wp:extent cx="3495040" cy="207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5040" cy="207645"/>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Arial" w:cs="Arial" w:eastAsia="Arial" w:hAnsi="Arial"/>
          <w:sz w:val="13"/>
          <w:szCs w:val="13"/>
          <w:color w:val="auto"/>
        </w:rPr>
        <w:t>June 30, 2028</w:t>
      </w:r>
    </w:p>
    <w:p>
      <w:pPr>
        <w:spacing w:after="0" w:line="102" w:lineRule="exact"/>
        <w:rPr>
          <w:sz w:val="24"/>
          <w:szCs w:val="24"/>
          <w:color w:val="auto"/>
        </w:rPr>
      </w:pPr>
    </w:p>
    <w:p>
      <w:pPr>
        <w:spacing w:after="0"/>
        <w:rPr>
          <w:sz w:val="20"/>
          <w:szCs w:val="20"/>
          <w:color w:val="auto"/>
        </w:rPr>
      </w:pPr>
      <w:r>
        <w:rPr>
          <w:rFonts w:ascii="Arial" w:cs="Arial" w:eastAsia="Arial" w:hAnsi="Arial"/>
          <w:sz w:val="13"/>
          <w:szCs w:val="13"/>
          <w:color w:val="auto"/>
        </w:rPr>
        <w:t>July 6,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-773430</wp:posOffset>
            </wp:positionH>
            <wp:positionV relativeFrom="paragraph">
              <wp:posOffset>13970</wp:posOffset>
            </wp:positionV>
            <wp:extent cx="3495040" cy="95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5040" cy="95885"/>
                    </a:xfrm>
                    <a:prstGeom prst="rect">
                      <a:avLst/>
                    </a:prstGeom>
                    <a:noFill/>
                  </pic:spPr>
                </pic:pic>
              </a:graphicData>
            </a:graphic>
          </wp:anchor>
        </w:drawing>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46661CWM4 / US46661CWM45</w:t>
      </w:r>
    </w:p>
    <w:p>
      <w:pPr>
        <w:spacing w:after="0" w:line="65" w:lineRule="exact"/>
        <w:rPr>
          <w:sz w:val="24"/>
          <w:szCs w:val="24"/>
          <w:color w:val="auto"/>
        </w:rPr>
      </w:pPr>
    </w:p>
    <w:p>
      <w:pPr>
        <w:ind w:right="20"/>
        <w:spacing w:after="0" w:line="284" w:lineRule="auto"/>
        <w:rPr>
          <w:rFonts w:ascii="Arial" w:cs="Arial" w:eastAsia="Arial" w:hAnsi="Arial"/>
          <w:sz w:val="13"/>
          <w:szCs w:val="13"/>
          <w:u w:val="single" w:color="auto"/>
          <w:color w:val="0000EE"/>
        </w:rPr>
      </w:pPr>
      <w:hyperlink r:id="rId22">
        <w:r>
          <w:rPr>
            <w:rFonts w:ascii="Arial" w:cs="Arial" w:eastAsia="Arial" w:hAnsi="Arial"/>
            <w:sz w:val="13"/>
            <w:szCs w:val="13"/>
            <w:u w:val="single" w:color="auto"/>
            <w:color w:val="0000EE"/>
          </w:rPr>
          <w:t>http://www.sec.gov/Archives/edgar/data/19617/000121390026068473/</w:t>
        </w:r>
      </w:hyperlink>
      <w:r>
        <w:rPr>
          <w:rFonts w:ascii="Arial" w:cs="Arial" w:eastAsia="Arial" w:hAnsi="Arial"/>
          <w:sz w:val="13"/>
          <w:szCs w:val="13"/>
          <w:u w:val="single" w:color="auto"/>
          <w:color w:val="0000EE"/>
        </w:rPr>
        <w:t xml:space="preserve"> </w:t>
      </w:r>
      <w:hyperlink r:id="rId22">
        <w:r>
          <w:rPr>
            <w:rFonts w:ascii="Arial" w:cs="Arial" w:eastAsia="Arial" w:hAnsi="Arial"/>
            <w:sz w:val="13"/>
            <w:szCs w:val="13"/>
            <w:u w:val="single" w:color="auto"/>
            <w:color w:val="0000EE"/>
          </w:rPr>
          <w:t>ea0294631-01_424b2.htm</w:t>
        </w:r>
      </w:hyperlink>
    </w:p>
    <w:p>
      <w:pPr>
        <w:spacing w:after="0" w:line="20" w:lineRule="exact"/>
        <w:rPr>
          <w:sz w:val="20"/>
          <w:szCs w:val="20"/>
          <w:color w:val="auto"/>
        </w:rPr>
      </w:pPr>
      <w:r>
        <w:rPr>
          <w:sz w:val="20"/>
          <w:szCs w:val="20"/>
          <w:color w:val="auto"/>
        </w:rPr>
        <w:br w:type="column"/>
      </w:r>
    </w:p>
    <w:p>
      <w:pPr>
        <w:ind w:right="80"/>
        <w:spacing w:after="0" w:line="210" w:lineRule="auto"/>
        <w:rPr>
          <w:sz w:val="20"/>
          <w:szCs w:val="20"/>
          <w:color w:val="auto"/>
        </w:rPr>
      </w:pPr>
      <w:r>
        <w:rPr>
          <w:rFonts w:ascii="Arial" w:cs="Arial" w:eastAsia="Arial" w:hAnsi="Arial"/>
          <w:sz w:val="12"/>
          <w:szCs w:val="12"/>
          <w:color w:val="auto"/>
        </w:rPr>
        <w:t>about the estimated value of the Trigger PLUS, which likely will be lower than the price you paid for the Trigger PLUS, please see the hyperlink above.</w:t>
      </w:r>
    </w:p>
    <w:p>
      <w:pPr>
        <w:ind w:right="180"/>
        <w:spacing w:after="0" w:line="221" w:lineRule="auto"/>
        <w:rPr>
          <w:sz w:val="20"/>
          <w:szCs w:val="20"/>
          <w:color w:val="auto"/>
        </w:rPr>
      </w:pPr>
      <w:r>
        <w:rPr>
          <w:rFonts w:ascii="Arial" w:cs="Arial" w:eastAsia="Arial" w:hAnsi="Arial"/>
          <w:sz w:val="12"/>
          <w:szCs w:val="12"/>
          <w:color w:val="auto"/>
        </w:rPr>
        <w:t>Any payment on the Trigger PLUS is subject to the credit risk of JPMorgan Financial, as issuer of the Trigger PLUS, and the credit risk of JPMorgan Chase &amp; Co., as guarantor of the Trigger PLUS.</w:t>
      </w:r>
    </w:p>
    <w:p>
      <w:pPr>
        <w:ind w:left="860"/>
        <w:spacing w:after="0"/>
        <w:rPr>
          <w:sz w:val="20"/>
          <w:szCs w:val="20"/>
          <w:color w:val="auto"/>
        </w:rPr>
      </w:pPr>
      <w:r>
        <w:rPr>
          <w:rFonts w:ascii="Arial" w:cs="Arial" w:eastAsia="Arial" w:hAnsi="Arial"/>
          <w:sz w:val="14"/>
          <w:szCs w:val="14"/>
          <w:b w:val="1"/>
          <w:bCs w:val="1"/>
          <w:color w:val="296DC1"/>
        </w:rPr>
        <w:t>Auto-Callable Dual Directional Trigger PLUS Payoff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-99695</wp:posOffset>
            </wp:positionV>
            <wp:extent cx="3561715" cy="2759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561715" cy="275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2480" w:type="dxa"/>
            <w:vAlign w:val="bottom"/>
            <w:tcBorders>
              <w:bottom w:val="single" w:sz="8" w:color="296DC1"/>
            </w:tcBorders>
            <w:shd w:val="clear" w:color="auto" w:fill="296DC1"/>
          </w:tcPr>
          <w:p>
            <w:pPr>
              <w:ind w:left="660"/>
              <w:spacing w:after="0"/>
              <w:rPr>
                <w:sz w:val="20"/>
                <w:szCs w:val="20"/>
                <w:color w:val="auto"/>
              </w:rPr>
            </w:pPr>
            <w:r>
              <w:rPr>
                <w:rFonts w:ascii="Arial" w:cs="Arial" w:eastAsia="Arial" w:hAnsi="Arial"/>
                <w:sz w:val="13"/>
                <w:szCs w:val="13"/>
                <w:color w:val="FFFFFF"/>
              </w:rPr>
              <w:t>Change in ETF Shares</w:t>
            </w:r>
          </w:p>
        </w:tc>
        <w:tc>
          <w:tcPr>
            <w:tcW w:w="2480" w:type="dxa"/>
            <w:vAlign w:val="bottom"/>
            <w:tcBorders>
              <w:bottom w:val="single" w:sz="8" w:color="296DC1"/>
            </w:tcBorders>
            <w:shd w:val="clear" w:color="auto" w:fill="296DC1"/>
          </w:tcPr>
          <w:p>
            <w:pPr>
              <w:ind w:left="480"/>
              <w:spacing w:after="0"/>
              <w:rPr>
                <w:sz w:val="20"/>
                <w:szCs w:val="20"/>
                <w:color w:val="auto"/>
              </w:rPr>
            </w:pPr>
            <w:r>
              <w:rPr>
                <w:rFonts w:ascii="Arial" w:cs="Arial" w:eastAsia="Arial" w:hAnsi="Arial"/>
                <w:sz w:val="13"/>
                <w:szCs w:val="13"/>
                <w:color w:val="FFFFFF"/>
              </w:rPr>
              <w:t>Return on the Trigger PLUS*</w:t>
            </w:r>
          </w:p>
        </w:tc>
      </w:tr>
      <w:tr>
        <w:trPr>
          <w:trHeight w:val="151"/>
        </w:trPr>
        <w:tc>
          <w:tcPr>
            <w:tcW w:w="2480" w:type="dxa"/>
            <w:vAlign w:val="bottom"/>
          </w:tcPr>
          <w:p>
            <w:pPr>
              <w:jc w:val="center"/>
              <w:ind w:left="133"/>
              <w:spacing w:after="0"/>
              <w:rPr>
                <w:sz w:val="20"/>
                <w:szCs w:val="20"/>
                <w:color w:val="auto"/>
              </w:rPr>
            </w:pPr>
            <w:r>
              <w:rPr>
                <w:rFonts w:ascii="Arial" w:cs="Arial" w:eastAsia="Arial" w:hAnsi="Arial"/>
                <w:sz w:val="13"/>
                <w:szCs w:val="13"/>
                <w:color w:val="auto"/>
                <w:w w:val="99"/>
              </w:rPr>
              <w:t>50.00%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75.00%</w:t>
            </w:r>
          </w:p>
        </w:tc>
      </w:tr>
      <w:tr>
        <w:trPr>
          <w:trHeight w:val="151"/>
        </w:trPr>
        <w:tc>
          <w:tcPr>
            <w:tcW w:w="2480" w:type="dxa"/>
            <w:vAlign w:val="bottom"/>
            <w:shd w:val="clear" w:color="auto" w:fill="D9D9D9"/>
          </w:tcPr>
          <w:p>
            <w:pPr>
              <w:jc w:val="center"/>
              <w:ind w:left="133"/>
              <w:spacing w:after="0"/>
              <w:rPr>
                <w:sz w:val="20"/>
                <w:szCs w:val="20"/>
                <w:color w:val="auto"/>
              </w:rPr>
            </w:pPr>
            <w:r>
              <w:rPr>
                <w:rFonts w:ascii="Arial" w:cs="Arial" w:eastAsia="Arial" w:hAnsi="Arial"/>
                <w:sz w:val="13"/>
                <w:szCs w:val="13"/>
                <w:color w:val="auto"/>
                <w:w w:val="99"/>
              </w:rPr>
              <w:t>40.00%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60.00%</w:t>
            </w:r>
          </w:p>
        </w:tc>
      </w:tr>
      <w:tr>
        <w:trPr>
          <w:trHeight w:val="151"/>
        </w:trPr>
        <w:tc>
          <w:tcPr>
            <w:tcW w:w="2480" w:type="dxa"/>
            <w:vAlign w:val="bottom"/>
          </w:tcPr>
          <w:p>
            <w:pPr>
              <w:jc w:val="center"/>
              <w:ind w:left="133"/>
              <w:spacing w:after="0"/>
              <w:rPr>
                <w:sz w:val="20"/>
                <w:szCs w:val="20"/>
                <w:color w:val="auto"/>
              </w:rPr>
            </w:pPr>
            <w:r>
              <w:rPr>
                <w:rFonts w:ascii="Arial" w:cs="Arial" w:eastAsia="Arial" w:hAnsi="Arial"/>
                <w:sz w:val="13"/>
                <w:szCs w:val="13"/>
                <w:color w:val="auto"/>
                <w:w w:val="99"/>
              </w:rPr>
              <w:t>30.00%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45.00%</w:t>
            </w:r>
          </w:p>
        </w:tc>
      </w:tr>
      <w:tr>
        <w:trPr>
          <w:trHeight w:val="151"/>
        </w:trPr>
        <w:tc>
          <w:tcPr>
            <w:tcW w:w="2480" w:type="dxa"/>
            <w:vAlign w:val="bottom"/>
            <w:shd w:val="clear" w:color="auto" w:fill="D9D9D9"/>
          </w:tcPr>
          <w:p>
            <w:pPr>
              <w:jc w:val="center"/>
              <w:ind w:left="133"/>
              <w:spacing w:after="0"/>
              <w:rPr>
                <w:sz w:val="20"/>
                <w:szCs w:val="20"/>
                <w:color w:val="auto"/>
              </w:rPr>
            </w:pPr>
            <w:r>
              <w:rPr>
                <w:rFonts w:ascii="Arial" w:cs="Arial" w:eastAsia="Arial" w:hAnsi="Arial"/>
                <w:sz w:val="13"/>
                <w:szCs w:val="13"/>
                <w:color w:val="auto"/>
                <w:w w:val="99"/>
              </w:rPr>
              <w:t>20.00%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30.00%</w:t>
            </w:r>
          </w:p>
        </w:tc>
      </w:tr>
      <w:tr>
        <w:trPr>
          <w:trHeight w:val="151"/>
        </w:trPr>
        <w:tc>
          <w:tcPr>
            <w:tcW w:w="2480" w:type="dxa"/>
            <w:vAlign w:val="bottom"/>
          </w:tcPr>
          <w:p>
            <w:pPr>
              <w:jc w:val="center"/>
              <w:ind w:left="133"/>
              <w:spacing w:after="0"/>
              <w:rPr>
                <w:sz w:val="20"/>
                <w:szCs w:val="20"/>
                <w:color w:val="auto"/>
              </w:rPr>
            </w:pPr>
            <w:r>
              <w:rPr>
                <w:rFonts w:ascii="Arial" w:cs="Arial" w:eastAsia="Arial" w:hAnsi="Arial"/>
                <w:sz w:val="13"/>
                <w:szCs w:val="13"/>
                <w:color w:val="auto"/>
                <w:w w:val="99"/>
              </w:rPr>
              <w:t>10.00%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15.00%</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5.00%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7.50%</w:t>
            </w:r>
          </w:p>
        </w:tc>
      </w:tr>
      <w:tr>
        <w:trPr>
          <w:trHeight w:val="151"/>
        </w:trPr>
        <w:tc>
          <w:tcPr>
            <w:tcW w:w="2480" w:type="dxa"/>
            <w:vAlign w:val="bottom"/>
          </w:tcPr>
          <w:p>
            <w:pPr>
              <w:jc w:val="center"/>
              <w:ind w:left="113"/>
              <w:spacing w:after="0"/>
              <w:rPr>
                <w:sz w:val="20"/>
                <w:szCs w:val="20"/>
                <w:color w:val="auto"/>
              </w:rPr>
            </w:pPr>
            <w:r>
              <w:rPr>
                <w:rFonts w:ascii="Arial" w:cs="Arial" w:eastAsia="Arial" w:hAnsi="Arial"/>
                <w:sz w:val="13"/>
                <w:szCs w:val="13"/>
                <w:color w:val="auto"/>
              </w:rPr>
              <w:t>1.00%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1.50%</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0.00%</w:t>
            </w:r>
          </w:p>
        </w:tc>
      </w:tr>
      <w:tr>
        <w:trPr>
          <w:trHeight w:val="151"/>
        </w:trPr>
        <w:tc>
          <w:tcPr>
            <w:tcW w:w="2480" w:type="dxa"/>
            <w:vAlign w:val="bottom"/>
          </w:tcPr>
          <w:p>
            <w:pPr>
              <w:jc w:val="center"/>
              <w:ind w:left="133"/>
              <w:spacing w:after="0"/>
              <w:rPr>
                <w:sz w:val="20"/>
                <w:szCs w:val="20"/>
                <w:color w:val="auto"/>
              </w:rPr>
            </w:pPr>
            <w:r>
              <w:rPr>
                <w:rFonts w:ascii="Arial" w:cs="Arial" w:eastAsia="Arial" w:hAnsi="Arial"/>
                <w:sz w:val="13"/>
                <w:szCs w:val="13"/>
                <w:color w:val="auto"/>
              </w:rPr>
              <w:t>-5.00%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5.00%</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-10.00%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10.00%</w:t>
            </w:r>
          </w:p>
        </w:tc>
      </w:tr>
      <w:tr>
        <w:trPr>
          <w:trHeight w:val="151"/>
        </w:trPr>
        <w:tc>
          <w:tcPr>
            <w:tcW w:w="2480" w:type="dxa"/>
            <w:vAlign w:val="bottom"/>
          </w:tcPr>
          <w:p>
            <w:pPr>
              <w:jc w:val="center"/>
              <w:ind w:left="113"/>
              <w:spacing w:after="0"/>
              <w:rPr>
                <w:sz w:val="20"/>
                <w:szCs w:val="20"/>
                <w:color w:val="auto"/>
              </w:rPr>
            </w:pPr>
            <w:r>
              <w:rPr>
                <w:rFonts w:ascii="Arial" w:cs="Arial" w:eastAsia="Arial" w:hAnsi="Arial"/>
                <w:sz w:val="13"/>
                <w:szCs w:val="13"/>
                <w:color w:val="auto"/>
              </w:rPr>
              <w:t>-20.00%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20.00%</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-25.00%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25.00%</w:t>
            </w:r>
          </w:p>
        </w:tc>
      </w:tr>
      <w:tr>
        <w:trPr>
          <w:trHeight w:val="151"/>
        </w:trPr>
        <w:tc>
          <w:tcPr>
            <w:tcW w:w="2480" w:type="dxa"/>
            <w:vAlign w:val="bottom"/>
          </w:tcPr>
          <w:p>
            <w:pPr>
              <w:jc w:val="center"/>
              <w:ind w:left="113"/>
              <w:spacing w:after="0"/>
              <w:rPr>
                <w:sz w:val="20"/>
                <w:szCs w:val="20"/>
                <w:color w:val="auto"/>
              </w:rPr>
            </w:pPr>
            <w:r>
              <w:rPr>
                <w:rFonts w:ascii="Arial" w:cs="Arial" w:eastAsia="Arial" w:hAnsi="Arial"/>
                <w:sz w:val="13"/>
                <w:szCs w:val="13"/>
                <w:color w:val="auto"/>
              </w:rPr>
              <w:t>-25.01%</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-25.01%</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-30.00%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-30.00%</w:t>
            </w:r>
          </w:p>
        </w:tc>
      </w:tr>
      <w:tr>
        <w:trPr>
          <w:trHeight w:val="151"/>
        </w:trPr>
        <w:tc>
          <w:tcPr>
            <w:tcW w:w="2480" w:type="dxa"/>
            <w:vAlign w:val="bottom"/>
          </w:tcPr>
          <w:p>
            <w:pPr>
              <w:jc w:val="center"/>
              <w:ind w:left="113"/>
              <w:spacing w:after="0"/>
              <w:rPr>
                <w:sz w:val="20"/>
                <w:szCs w:val="20"/>
                <w:color w:val="auto"/>
              </w:rPr>
            </w:pPr>
            <w:r>
              <w:rPr>
                <w:rFonts w:ascii="Arial" w:cs="Arial" w:eastAsia="Arial" w:hAnsi="Arial"/>
                <w:sz w:val="13"/>
                <w:szCs w:val="13"/>
                <w:color w:val="auto"/>
              </w:rPr>
              <w:t>-40.00%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-40.00%</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-50.00%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-50.00%</w:t>
            </w:r>
          </w:p>
        </w:tc>
      </w:tr>
      <w:tr>
        <w:trPr>
          <w:trHeight w:val="151"/>
        </w:trPr>
        <w:tc>
          <w:tcPr>
            <w:tcW w:w="2480" w:type="dxa"/>
            <w:vAlign w:val="bottom"/>
          </w:tcPr>
          <w:p>
            <w:pPr>
              <w:jc w:val="center"/>
              <w:ind w:left="113"/>
              <w:spacing w:after="0"/>
              <w:rPr>
                <w:sz w:val="20"/>
                <w:szCs w:val="20"/>
                <w:color w:val="auto"/>
              </w:rPr>
            </w:pPr>
            <w:r>
              <w:rPr>
                <w:rFonts w:ascii="Arial" w:cs="Arial" w:eastAsia="Arial" w:hAnsi="Arial"/>
                <w:sz w:val="13"/>
                <w:szCs w:val="13"/>
                <w:color w:val="auto"/>
              </w:rPr>
              <w:t>-60.00%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-60.00%</w:t>
            </w:r>
          </w:p>
        </w:tc>
      </w:tr>
      <w:tr>
        <w:trPr>
          <w:trHeight w:val="151"/>
        </w:trPr>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-80.00%</w:t>
            </w:r>
          </w:p>
        </w:tc>
        <w:tc>
          <w:tcPr>
            <w:tcW w:w="2480" w:type="dxa"/>
            <w:vAlign w:val="bottom"/>
            <w:shd w:val="clear" w:color="auto" w:fill="D9D9D9"/>
          </w:tcPr>
          <w:p>
            <w:pPr>
              <w:jc w:val="center"/>
              <w:ind w:left="113"/>
              <w:spacing w:after="0"/>
              <w:rPr>
                <w:sz w:val="20"/>
                <w:szCs w:val="20"/>
                <w:color w:val="auto"/>
              </w:rPr>
            </w:pPr>
            <w:r>
              <w:rPr>
                <w:rFonts w:ascii="Arial" w:cs="Arial" w:eastAsia="Arial" w:hAnsi="Arial"/>
                <w:sz w:val="13"/>
                <w:szCs w:val="13"/>
                <w:color w:val="auto"/>
              </w:rPr>
              <w:t>-80.00%</w:t>
            </w:r>
          </w:p>
        </w:tc>
      </w:tr>
      <w:tr>
        <w:trPr>
          <w:trHeight w:val="175"/>
        </w:trPr>
        <w:tc>
          <w:tcPr>
            <w:tcW w:w="2480" w:type="dxa"/>
            <w:vAlign w:val="bottom"/>
          </w:tcPr>
          <w:p>
            <w:pPr>
              <w:jc w:val="center"/>
              <w:ind w:left="133"/>
              <w:spacing w:after="0"/>
              <w:rPr>
                <w:sz w:val="20"/>
                <w:szCs w:val="20"/>
                <w:color w:val="auto"/>
              </w:rPr>
            </w:pPr>
            <w:r>
              <w:rPr>
                <w:rFonts w:ascii="Arial" w:cs="Arial" w:eastAsia="Arial" w:hAnsi="Arial"/>
                <w:sz w:val="13"/>
                <w:szCs w:val="13"/>
                <w:color w:val="auto"/>
              </w:rPr>
              <w:t>-100.00%</w:t>
            </w:r>
          </w:p>
        </w:tc>
        <w:tc>
          <w:tcPr>
            <w:tcW w:w="2480" w:type="dxa"/>
            <w:vAlign w:val="bottom"/>
          </w:tcPr>
          <w:p>
            <w:pPr>
              <w:jc w:val="center"/>
              <w:ind w:left="113"/>
              <w:spacing w:after="0"/>
              <w:rPr>
                <w:sz w:val="20"/>
                <w:szCs w:val="20"/>
                <w:color w:val="auto"/>
              </w:rPr>
            </w:pPr>
            <w:r>
              <w:rPr>
                <w:rFonts w:ascii="Arial" w:cs="Arial" w:eastAsia="Arial" w:hAnsi="Arial"/>
                <w:sz w:val="13"/>
                <w:szCs w:val="13"/>
                <w:color w:val="auto"/>
              </w:rPr>
              <w:t>-100.00%</w:t>
            </w:r>
          </w:p>
        </w:tc>
      </w:tr>
    </w:tbl>
    <w:p>
      <w:pPr>
        <w:spacing w:after="0" w:line="4862" w:lineRule="exact"/>
        <w:rPr>
          <w:sz w:val="20"/>
          <w:szCs w:val="20"/>
          <w:color w:val="auto"/>
        </w:rPr>
      </w:pPr>
    </w:p>
    <w:p>
      <w:pPr>
        <w:sectPr>
          <w:pgSz w:w="11900" w:h="16838" w:orient="portrait"/>
          <w:cols w:equalWidth="0" w:num="3">
            <w:col w:w="1040" w:space="180"/>
            <w:col w:w="4200" w:space="400"/>
            <w:col w:w="5420"/>
          </w:cols>
          <w:pgMar w:left="320" w:top="403" w:right="339" w:bottom="1041" w:gutter="0" w:footer="0" w:header="0"/>
          <w:type w:val="continuous"/>
        </w:sectPr>
      </w:pPr>
    </w:p>
    <w:p>
      <w:pPr>
        <w:ind w:left="100"/>
        <w:spacing w:after="0"/>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Subject to postponement or early acceleration</w:t>
      </w:r>
    </w:p>
    <w:p>
      <w:pPr>
        <w:sectPr>
          <w:pgSz w:w="11900" w:h="16838" w:orient="portrait"/>
          <w:cols w:equalWidth="0" w:num="1">
            <w:col w:w="11240"/>
          </w:cols>
          <w:pgMar w:left="320" w:top="403" w:right="339" w:bottom="1041"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808080"/>
        </w:rPr>
        <w:t>JPMorgan Chase Financial Company LLC</w:t>
      </w:r>
    </w:p>
    <w:p>
      <w:pPr>
        <w:spacing w:after="0" w:line="19" w:lineRule="exact"/>
        <w:rPr>
          <w:sz w:val="20"/>
          <w:szCs w:val="20"/>
          <w:color w:val="auto"/>
        </w:rPr>
      </w:pPr>
    </w:p>
    <w:p>
      <w:pPr>
        <w:spacing w:after="0"/>
        <w:rPr>
          <w:sz w:val="20"/>
          <w:szCs w:val="20"/>
          <w:color w:val="auto"/>
        </w:rPr>
      </w:pPr>
      <w:r>
        <w:rPr>
          <w:rFonts w:ascii="Arial" w:cs="Arial" w:eastAsia="Arial" w:hAnsi="Arial"/>
          <w:sz w:val="27"/>
          <w:szCs w:val="27"/>
          <w:color w:val="296DC1"/>
        </w:rPr>
        <w:t>2-Year IBIT Dual Directional Trigger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24"/>
          <w:szCs w:val="24"/>
          <w:color w:val="296DC1"/>
        </w:rPr>
        <w:t>ETF Shares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about the ETF Shares, including historical performance information, see the accompanying preliminary pricing supplement.</w:t>
      </w:r>
    </w:p>
    <w:p>
      <w:pPr>
        <w:spacing w:after="0" w:line="96" w:lineRule="exact"/>
        <w:rPr>
          <w:sz w:val="20"/>
          <w:szCs w:val="20"/>
          <w:color w:val="auto"/>
        </w:rPr>
      </w:pPr>
    </w:p>
    <w:p>
      <w:pPr>
        <w:spacing w:after="0"/>
        <w:rPr>
          <w:sz w:val="20"/>
          <w:szCs w:val="20"/>
          <w:color w:val="auto"/>
        </w:rPr>
      </w:pPr>
      <w:r>
        <w:rPr>
          <w:rFonts w:ascii="Arial" w:cs="Arial" w:eastAsia="Arial" w:hAnsi="Arial"/>
          <w:sz w:val="24"/>
          <w:szCs w:val="24"/>
          <w:color w:val="296DC1"/>
        </w:rPr>
        <w:t>Risk Considerations</w:t>
      </w:r>
    </w:p>
    <w:p>
      <w:pPr>
        <w:spacing w:after="0" w:line="60" w:lineRule="exact"/>
        <w:rPr>
          <w:sz w:val="20"/>
          <w:szCs w:val="20"/>
          <w:color w:val="auto"/>
        </w:rPr>
      </w:pPr>
    </w:p>
    <w:p>
      <w:pPr>
        <w:ind w:right="440"/>
        <w:spacing w:after="0" w:line="277" w:lineRule="auto"/>
        <w:rPr>
          <w:sz w:val="20"/>
          <w:szCs w:val="20"/>
          <w:color w:val="auto"/>
        </w:rPr>
      </w:pPr>
      <w:r>
        <w:rPr>
          <w:rFonts w:ascii="Arial" w:cs="Arial" w:eastAsia="Arial" w:hAnsi="Arial"/>
          <w:sz w:val="15"/>
          <w:szCs w:val="15"/>
          <w:color w:val="auto"/>
        </w:rPr>
        <w:t>The risks identified below are not exhaustive. Please see “Risk Factors” in the accompanying prospectus supplement, product supplement and preliminary pricing supplement for additional information.</w:t>
      </w:r>
    </w:p>
    <w:p>
      <w:pPr>
        <w:spacing w:after="0"/>
        <w:rPr>
          <w:sz w:val="20"/>
          <w:szCs w:val="20"/>
          <w:color w:val="auto"/>
        </w:rPr>
      </w:pPr>
      <w:r>
        <w:rPr>
          <w:rFonts w:ascii="Arial" w:cs="Arial" w:eastAsia="Arial" w:hAnsi="Arial"/>
          <w:sz w:val="17"/>
          <w:szCs w:val="17"/>
          <w:color w:val="296DC1"/>
        </w:rPr>
        <w:t>Risks Relating to the Trigger PLUS Generally</w:t>
      </w:r>
    </w:p>
    <w:p>
      <w:pPr>
        <w:spacing w:after="0" w:line="5" w:lineRule="exact"/>
        <w:rPr>
          <w:sz w:val="20"/>
          <w:szCs w:val="20"/>
          <w:color w:val="auto"/>
        </w:rPr>
      </w:pPr>
    </w:p>
    <w:p>
      <w:pPr>
        <w:ind w:left="300" w:right="40" w:hanging="299"/>
        <w:spacing w:after="0" w:line="182" w:lineRule="auto"/>
        <w:tabs>
          <w:tab w:leader="none" w:pos="300" w:val="left"/>
        </w:tabs>
        <w:numPr>
          <w:ilvl w:val="0"/>
          <w:numId w:val="1"/>
        </w:numPr>
        <w:rPr>
          <w:rFonts w:ascii="Wingdings" w:cs="Wingdings" w:eastAsia="Wingdings" w:hAnsi="Wingdings"/>
          <w:sz w:val="29"/>
          <w:szCs w:val="29"/>
          <w:b w:val="1"/>
          <w:bCs w:val="1"/>
          <w:color w:val="A3C4EB"/>
          <w:vertAlign w:val="subscript"/>
        </w:rPr>
      </w:pPr>
      <w:r>
        <w:rPr>
          <w:rFonts w:ascii="Arial" w:cs="Arial" w:eastAsia="Arial" w:hAnsi="Arial"/>
          <w:sz w:val="13"/>
          <w:szCs w:val="13"/>
          <w:color w:val="auto"/>
        </w:rPr>
        <w:t>The Trigger PLUS do not pay interest or, if the Trigger PLUS have not been automatically redeemed prior to maturity, guarantee the return of any principal and your investment in the Trigger PLUS may result in a loss.</w:t>
      </w:r>
    </w:p>
    <w:p>
      <w:pPr>
        <w:spacing w:after="0" w:line="1" w:lineRule="exact"/>
        <w:rPr>
          <w:rFonts w:ascii="Wingdings" w:cs="Wingdings" w:eastAsia="Wingdings" w:hAnsi="Wingdings"/>
          <w:sz w:val="29"/>
          <w:szCs w:val="29"/>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If the Trigger PLUS are automatically redeemed prior to maturity, the appreciation potential of the Trigger PLUS is limited to the early redemption payment.</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If the Trigger PLUS have not been automatically redeemed prior to maturity, your maximum downside gain on the Trigger PLUS is limited by the trigger level.</w:t>
      </w:r>
    </w:p>
    <w:p>
      <w:pPr>
        <w:spacing w:after="0" w:line="29" w:lineRule="exact"/>
        <w:rPr>
          <w:rFonts w:ascii="Wingdings" w:cs="Wingdings" w:eastAsia="Wingdings" w:hAnsi="Wingdings"/>
          <w:sz w:val="22"/>
          <w:szCs w:val="22"/>
          <w:b w:val="1"/>
          <w:bCs w:val="1"/>
          <w:color w:val="A3C4EB"/>
          <w:vertAlign w:val="subscript"/>
        </w:rPr>
      </w:pPr>
    </w:p>
    <w:p>
      <w:pPr>
        <w:ind w:left="300" w:right="320" w:hanging="299"/>
        <w:spacing w:after="0" w:line="183" w:lineRule="auto"/>
        <w:tabs>
          <w:tab w:leader="none" w:pos="300" w:val="left"/>
        </w:tabs>
        <w:numPr>
          <w:ilvl w:val="0"/>
          <w:numId w:val="1"/>
        </w:numPr>
        <w:rPr>
          <w:rFonts w:ascii="Wingdings" w:cs="Wingdings" w:eastAsia="Wingdings" w:hAnsi="Wingdings"/>
          <w:sz w:val="28"/>
          <w:szCs w:val="28"/>
          <w:b w:val="1"/>
          <w:bCs w:val="1"/>
          <w:color w:val="A3C4EB"/>
          <w:vertAlign w:val="subscript"/>
        </w:rPr>
      </w:pPr>
      <w:r>
        <w:rPr>
          <w:rFonts w:ascii="Arial" w:cs="Arial" w:eastAsia="Arial" w:hAnsi="Arial"/>
          <w:sz w:val="13"/>
          <w:szCs w:val="13"/>
          <w:color w:val="auto"/>
        </w:rPr>
        <w:t>The Trigger PLUS are subject to the credit risks of JPMorgan Financial and JPMorgan Chase &amp; Co., and any actual or anticipated changes to our or JPMorgan Chase &amp; Co.’s credit ratings or credit spreads may adversely affect the market value of the Trigger PLUS.</w:t>
      </w:r>
    </w:p>
    <w:p>
      <w:pPr>
        <w:spacing w:after="0" w:line="1" w:lineRule="exact"/>
        <w:rPr>
          <w:rFonts w:ascii="Wingdings" w:cs="Wingdings" w:eastAsia="Wingdings" w:hAnsi="Wingdings"/>
          <w:sz w:val="28"/>
          <w:szCs w:val="28"/>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activities and has limited assets.</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benefit provided by the trigger level may terminate on the valuation date.</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3" w:lineRule="auto"/>
        <w:tabs>
          <w:tab w:leader="none" w:pos="300" w:val="left"/>
        </w:tabs>
        <w:numPr>
          <w:ilvl w:val="0"/>
          <w:numId w:val="1"/>
        </w:numPr>
        <w:rPr>
          <w:rFonts w:ascii="Wingdings" w:cs="Wingdings" w:eastAsia="Wingdings" w:hAnsi="Wingdings"/>
          <w:sz w:val="28"/>
          <w:szCs w:val="28"/>
          <w:b w:val="1"/>
          <w:bCs w:val="1"/>
          <w:color w:val="A3C4EB"/>
          <w:vertAlign w:val="subscript"/>
        </w:rPr>
      </w:pPr>
      <w:r>
        <w:rPr>
          <w:rFonts w:ascii="Arial" w:cs="Arial" w:eastAsia="Arial" w:hAnsi="Arial"/>
          <w:sz w:val="13"/>
          <w:szCs w:val="13"/>
          <w:color w:val="auto"/>
        </w:rPr>
        <w:t>We may accelerate your Trigger PLUS in our sole discretion and the calculation agent may adjust their final payment in good faith and in a commercially reasonable manner if an acceleration event occurs.</w:t>
      </w:r>
    </w:p>
    <w:p>
      <w:pPr>
        <w:spacing w:after="0" w:line="1" w:lineRule="exact"/>
        <w:rPr>
          <w:rFonts w:ascii="Wingdings" w:cs="Wingdings" w:eastAsia="Wingdings" w:hAnsi="Wingdings"/>
          <w:sz w:val="28"/>
          <w:szCs w:val="28"/>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Trigger PLUS will be provided in the pricing supplement.</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tax consequences of an investment in the Trigger PLUS are uncertain.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296DC1"/>
        </w:rPr>
        <w:t>Risks Relating to Conflicts of Interest</w:t>
      </w:r>
    </w:p>
    <w:p>
      <w:pPr>
        <w:ind w:left="300" w:right="40" w:hanging="299"/>
        <w:spacing w:after="0"/>
        <w:tabs>
          <w:tab w:leader="none" w:pos="300" w:val="left"/>
        </w:tabs>
        <w:numPr>
          <w:ilvl w:val="0"/>
          <w:numId w:val="2"/>
        </w:numPr>
        <w:rPr>
          <w:rFonts w:ascii="Wingdings" w:cs="Wingdings" w:eastAsia="Wingdings" w:hAnsi="Wingdings"/>
          <w:sz w:val="31"/>
          <w:szCs w:val="31"/>
          <w:b w:val="1"/>
          <w:bCs w:val="1"/>
          <w:color w:val="A3C4EB"/>
          <w:vertAlign w:val="subscript"/>
        </w:rPr>
      </w:pPr>
      <w:r>
        <w:rPr>
          <w:rFonts w:ascii="Arial" w:cs="Arial" w:eastAsia="Arial" w:hAnsi="Arial"/>
          <w:sz w:val="13"/>
          <w:szCs w:val="13"/>
          <w:color w:val="auto"/>
        </w:rPr>
        <w:t>Economic interests of the issuer, the guarantor, the calculation agent, the agent of the offering of the Trigger PLUS and other affiliates of the issuer may be different from those of investors.</w:t>
      </w:r>
    </w:p>
    <w:p>
      <w:pPr>
        <w:spacing w:after="0" w:line="15" w:lineRule="exact"/>
        <w:rPr>
          <w:rFonts w:ascii="Wingdings" w:cs="Wingdings" w:eastAsia="Wingdings" w:hAnsi="Wingdings"/>
          <w:sz w:val="31"/>
          <w:szCs w:val="31"/>
          <w:b w:val="1"/>
          <w:bCs w:val="1"/>
          <w:color w:val="A3C4EB"/>
          <w:vertAlign w:val="subscript"/>
        </w:rPr>
      </w:pPr>
    </w:p>
    <w:p>
      <w:pPr>
        <w:ind w:left="300" w:hanging="299"/>
        <w:spacing w:after="0" w:line="181" w:lineRule="auto"/>
        <w:tabs>
          <w:tab w:leader="none" w:pos="30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Trigger PLUS.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296DC1"/>
        </w:rPr>
        <w:t>Risks Relating to the Estimated Value and Secondary Market Prices of the Trigger PLUS</w:t>
      </w:r>
    </w:p>
    <w:p>
      <w:pPr>
        <w:ind w:left="300" w:hanging="299"/>
        <w:spacing w:after="0" w:line="188" w:lineRule="auto"/>
        <w:tabs>
          <w:tab w:leader="none" w:pos="30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Trigger PLUS will be lower than the original issue price (price to public) of the Trigger PLUS.</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Trigger PLUS does not represent future values of the Trigger PLUS and may differ from others’ estimates.</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Trigger PLUS is derived by reference to an internal funding rate.</w:t>
      </w:r>
    </w:p>
    <w:p>
      <w:pPr>
        <w:spacing w:after="0" w:line="29" w:lineRule="exact"/>
        <w:rPr>
          <w:rFonts w:ascii="Wingdings" w:cs="Wingdings" w:eastAsia="Wingdings" w:hAnsi="Wingdings"/>
          <w:sz w:val="22"/>
          <w:szCs w:val="22"/>
          <w:b w:val="1"/>
          <w:bCs w:val="1"/>
          <w:color w:val="A3C4EB"/>
          <w:vertAlign w:val="subscript"/>
        </w:rPr>
      </w:pPr>
    </w:p>
    <w:p>
      <w:pPr>
        <w:ind w:left="300" w:right="160" w:hanging="299"/>
        <w:spacing w:after="0" w:line="183" w:lineRule="auto"/>
        <w:tabs>
          <w:tab w:leader="none" w:pos="300" w:val="left"/>
        </w:tabs>
        <w:numPr>
          <w:ilvl w:val="0"/>
          <w:numId w:val="3"/>
        </w:numPr>
        <w:rPr>
          <w:rFonts w:ascii="Wingdings" w:cs="Wingdings" w:eastAsia="Wingdings" w:hAnsi="Wingdings"/>
          <w:sz w:val="28"/>
          <w:szCs w:val="28"/>
          <w:b w:val="1"/>
          <w:bCs w:val="1"/>
          <w:color w:val="A3C4EB"/>
          <w:vertAlign w:val="subscript"/>
        </w:rPr>
      </w:pPr>
      <w:r>
        <w:rPr>
          <w:rFonts w:ascii="Arial" w:cs="Arial" w:eastAsia="Arial" w:hAnsi="Arial"/>
          <w:sz w:val="13"/>
          <w:szCs w:val="13"/>
          <w:color w:val="auto"/>
        </w:rPr>
        <w:t>The value of the Trigger PLUS as published by J.P. Morgan Securities LLC (and which may be reflected on customer account statements) may be higher than the then-current estimated value of the Trigger PLUS for a limited time period.</w:t>
      </w:r>
    </w:p>
    <w:p>
      <w:pPr>
        <w:spacing w:after="0" w:line="1" w:lineRule="exact"/>
        <w:rPr>
          <w:rFonts w:ascii="Wingdings" w:cs="Wingdings" w:eastAsia="Wingdings" w:hAnsi="Wingdings"/>
          <w:sz w:val="28"/>
          <w:szCs w:val="28"/>
          <w:b w:val="1"/>
          <w:bCs w:val="1"/>
          <w:color w:val="A3C4EB"/>
          <w:vertAlign w:val="subscript"/>
        </w:rPr>
      </w:pPr>
    </w:p>
    <w:p>
      <w:pPr>
        <w:ind w:left="300" w:hanging="299"/>
        <w:spacing w:after="0" w:line="181" w:lineRule="auto"/>
        <w:tabs>
          <w:tab w:leader="none" w:pos="30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Trigger PLUS will likely be lower than the original issue price of the Trigger PLUS.</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Trigger PLUS will be impacted by many economic and market factors.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296DC1"/>
        </w:rPr>
        <w:t>Risks Relating to the ETF Shares</w:t>
      </w:r>
    </w:p>
    <w:p>
      <w:pPr>
        <w:ind w:left="300" w:hanging="299"/>
        <w:spacing w:after="0" w:line="188" w:lineRule="auto"/>
        <w:tabs>
          <w:tab w:leader="none" w:pos="30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Investing in the Trigger PLUS is not equivalent to investing in the ETF Shares.</w:t>
      </w:r>
    </w:p>
    <w:p>
      <w:pPr>
        <w:spacing w:after="0" w:line="29" w:lineRule="exact"/>
        <w:rPr>
          <w:rFonts w:ascii="Wingdings" w:cs="Wingdings" w:eastAsia="Wingdings" w:hAnsi="Wingdings"/>
          <w:sz w:val="22"/>
          <w:szCs w:val="22"/>
          <w:b w:val="1"/>
          <w:bCs w:val="1"/>
          <w:color w:val="A3C4EB"/>
          <w:vertAlign w:val="subscript"/>
        </w:rPr>
      </w:pPr>
    </w:p>
    <w:p>
      <w:pPr>
        <w:ind w:left="300" w:right="100" w:hanging="299"/>
        <w:spacing w:after="0" w:line="183" w:lineRule="auto"/>
        <w:tabs>
          <w:tab w:leader="none" w:pos="300" w:val="left"/>
        </w:tabs>
        <w:numPr>
          <w:ilvl w:val="0"/>
          <w:numId w:val="4"/>
        </w:numPr>
        <w:rPr>
          <w:rFonts w:ascii="Wingdings" w:cs="Wingdings" w:eastAsia="Wingdings" w:hAnsi="Wingdings"/>
          <w:sz w:val="28"/>
          <w:szCs w:val="28"/>
          <w:b w:val="1"/>
          <w:bCs w:val="1"/>
          <w:color w:val="A3C4EB"/>
          <w:vertAlign w:val="subscript"/>
        </w:rPr>
      </w:pPr>
      <w:r>
        <w:rPr>
          <w:rFonts w:ascii="Arial" w:cs="Arial" w:eastAsia="Arial" w:hAnsi="Arial"/>
          <w:sz w:val="13"/>
          <w:szCs w:val="13"/>
          <w:color w:val="auto"/>
        </w:rPr>
        <w:t>The Fund is not an investment company or a commodity pool and will not be subject to regulation under the Investment Company Act of 1940, as amended, or the Commodity Exchange Act.</w:t>
      </w:r>
    </w:p>
    <w:p>
      <w:pPr>
        <w:spacing w:after="0" w:line="1" w:lineRule="exact"/>
        <w:rPr>
          <w:rFonts w:ascii="Wingdings" w:cs="Wingdings" w:eastAsia="Wingdings" w:hAnsi="Wingdings"/>
          <w:sz w:val="28"/>
          <w:szCs w:val="28"/>
          <w:b w:val="1"/>
          <w:bCs w:val="1"/>
          <w:color w:val="A3C4EB"/>
          <w:vertAlign w:val="subscript"/>
        </w:rPr>
      </w:pPr>
    </w:p>
    <w:p>
      <w:pPr>
        <w:ind w:left="300" w:hanging="299"/>
        <w:spacing w:after="0" w:line="181" w:lineRule="auto"/>
        <w:tabs>
          <w:tab w:leader="none" w:pos="30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There are risks associated with the ETF Shares.</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4" w:lineRule="auto"/>
        <w:tabs>
          <w:tab w:leader="none" w:pos="300" w:val="left"/>
        </w:tabs>
        <w:numPr>
          <w:ilvl w:val="0"/>
          <w:numId w:val="4"/>
        </w:numPr>
        <w:rPr>
          <w:rFonts w:ascii="Wingdings" w:cs="Wingdings" w:eastAsia="Wingdings" w:hAnsi="Wingdings"/>
          <w:sz w:val="27"/>
          <w:szCs w:val="27"/>
          <w:b w:val="1"/>
          <w:bCs w:val="1"/>
          <w:color w:val="A3C4EB"/>
          <w:vertAlign w:val="subscript"/>
        </w:rPr>
      </w:pPr>
      <w:r>
        <w:rPr>
          <w:rFonts w:ascii="Arial" w:cs="Arial" w:eastAsia="Arial" w:hAnsi="Arial"/>
          <w:sz w:val="13"/>
          <w:szCs w:val="13"/>
          <w:color w:val="auto"/>
        </w:rPr>
        <w:t>The performance and market value of the ETF Shares, particularly during periods of market volatility, may not correlate with the performance of the underlying asset as well as the net asset value per ETF Share.</w:t>
      </w:r>
    </w:p>
    <w:p>
      <w:pPr>
        <w:ind w:left="300" w:hanging="299"/>
        <w:spacing w:after="0" w:line="182" w:lineRule="auto"/>
        <w:tabs>
          <w:tab w:leader="none" w:pos="300" w:val="left"/>
        </w:tabs>
        <w:numPr>
          <w:ilvl w:val="0"/>
          <w:numId w:val="4"/>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Trigger PLUS are subject to volatility risk.</w:t>
      </w:r>
    </w:p>
    <w:p>
      <w:pPr>
        <w:spacing w:after="0" w:line="28" w:lineRule="exact"/>
        <w:rPr>
          <w:rFonts w:ascii="Wingdings" w:cs="Wingdings" w:eastAsia="Wingdings" w:hAnsi="Wingdings"/>
          <w:sz w:val="23"/>
          <w:szCs w:val="23"/>
          <w:b w:val="1"/>
          <w:bCs w:val="1"/>
          <w:color w:val="A3C4EB"/>
          <w:vertAlign w:val="subscript"/>
        </w:rPr>
      </w:pPr>
    </w:p>
    <w:p>
      <w:pPr>
        <w:ind w:left="300" w:hanging="299"/>
        <w:spacing w:after="0" w:line="181" w:lineRule="auto"/>
        <w:tabs>
          <w:tab w:leader="none" w:pos="30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Trigger PLUS are subject to risks relating to bitcoin and the bitcoin network.</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Limited trading history.</w:t>
      </w:r>
    </w:p>
    <w:p>
      <w:pPr>
        <w:spacing w:after="0" w:line="29" w:lineRule="exact"/>
        <w:rPr>
          <w:rFonts w:ascii="Wingdings" w:cs="Wingdings" w:eastAsia="Wingdings" w:hAnsi="Wingdings"/>
          <w:sz w:val="22"/>
          <w:szCs w:val="22"/>
          <w:b w:val="1"/>
          <w:bCs w:val="1"/>
          <w:color w:val="A3C4EB"/>
          <w:vertAlign w:val="subscript"/>
        </w:rPr>
      </w:pPr>
    </w:p>
    <w:p>
      <w:pPr>
        <w:ind w:left="300" w:hanging="299"/>
        <w:spacing w:after="0" w:line="181" w:lineRule="auto"/>
        <w:tabs>
          <w:tab w:leader="none" w:pos="30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anti-dilution protection for the ETF Shares is limited.</w:t>
      </w:r>
    </w:p>
    <w:p>
      <w:pPr>
        <w:spacing w:after="0" w:line="108" w:lineRule="exact"/>
        <w:rPr>
          <w:sz w:val="20"/>
          <w:szCs w:val="20"/>
          <w:color w:val="auto"/>
        </w:rPr>
      </w:pPr>
    </w:p>
    <w:p>
      <w:pPr>
        <w:spacing w:after="0"/>
        <w:rPr>
          <w:sz w:val="20"/>
          <w:szCs w:val="20"/>
          <w:color w:val="auto"/>
        </w:rPr>
      </w:pPr>
      <w:r>
        <w:rPr>
          <w:rFonts w:ascii="Arial" w:cs="Arial" w:eastAsia="Arial" w:hAnsi="Arial"/>
          <w:sz w:val="24"/>
          <w:szCs w:val="24"/>
          <w:color w:val="296DC1"/>
        </w:rPr>
        <w:t>Tax Considerations</w:t>
      </w:r>
    </w:p>
    <w:p>
      <w:pPr>
        <w:spacing w:after="0" w:line="60" w:lineRule="exact"/>
        <w:rPr>
          <w:sz w:val="20"/>
          <w:szCs w:val="20"/>
          <w:color w:val="auto"/>
        </w:rPr>
      </w:pPr>
    </w:p>
    <w:p>
      <w:pPr>
        <w:ind w:right="820"/>
        <w:spacing w:after="0" w:line="281" w:lineRule="auto"/>
        <w:rPr>
          <w:sz w:val="20"/>
          <w:szCs w:val="20"/>
          <w:color w:val="auto"/>
        </w:rPr>
      </w:pPr>
      <w:r>
        <w:rPr>
          <w:rFonts w:ascii="Arial" w:cs="Arial" w:eastAsia="Arial" w:hAnsi="Arial"/>
          <w:sz w:val="15"/>
          <w:szCs w:val="15"/>
          <w:color w:val="auto"/>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69"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2" Type="http://schemas.openxmlformats.org/officeDocument/2006/relationships/hyperlink" Target="https://www.sec.gov/Archives/edgar/data/19617/000121390026068473/ea0294631-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2026-06-16T05:06:20Z</dcterms:created>
  <dcterms:modified xsi:type="dcterms:W3CDTF">2026-06-16T05:06:20Z</dcterms:modified>
</cp:coreProperties>
</file>