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82521-01_fwp.htm"/>
      <w:bookmarkStart w:id="1" w:name="ksea028252101_fwp"/>
      <w:bookmarkStart w:id="2" w:name="ea0282521-01_fwp.htm"/>
      <w:bookmarkStart w:id="3" w:name="ksea028252101_fwp"/>
      <w:bookmarkEnd w:id="2"/>
      <w:bookmarkEnd w:id="3"/>
    </w:p>
    <w:tbl>
      <w:tblPr>
        <w:tblW w:w="10205" w:type="dxa"/>
        <w:jc w:val="left"/>
        <w:tblInd w:w="0" w:type="dxa"/>
        <w:tblLayout w:type="fixed"/>
        <w:tblCellMar>
          <w:top w:w="0" w:type="dxa"/>
          <w:left w:w="0" w:type="dxa"/>
          <w:bottom w:w="0" w:type="dxa"/>
          <w:right w:w="0" w:type="dxa"/>
        </w:tblCellMar>
      </w:tblPr>
      <w:tblGrid>
        <w:gridCol w:w="5740"/>
        <w:gridCol w:w="4465"/>
      </w:tblGrid>
      <w:tr>
        <w:trPr/>
        <w:tc>
          <w:tcPr>
            <w:tcW w:w="5740"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465"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333-270004 and 333-270004-01</w:t>
            </w:r>
          </w:p>
        </w:tc>
      </w:tr>
      <w:tr>
        <w:trPr/>
        <w:tc>
          <w:tcPr>
            <w:tcW w:w="5740" w:type="dxa"/>
            <w:vMerge w:val="continue"/>
            <w:tcBorders/>
            <w:vAlign w:val="center"/>
          </w:tcPr>
          <w:p>
            <w:pPr>
              <w:pStyle w:val="Normal"/>
              <w:bidi w:val="0"/>
              <w:jc w:val="left"/>
              <w:rPr/>
            </w:pPr>
            <w:r>
              <w:rPr/>
            </w:r>
          </w:p>
        </w:tc>
        <w:tc>
          <w:tcPr>
            <w:tcW w:w="446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SPDR</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Gold Trust, the S&amp;P 500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Common Stock of Microsoft Corporation due April 3,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March 18, 2026 to Preliminary Pricing Supplement dated March 18,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87615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87615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Summary of Terms</w:t>
                            </w:r>
                          </w:p>
                          <w:tbl>
                            <w:tblPr>
                              <w:tblW w:w="10205" w:type="dxa"/>
                              <w:jc w:val="left"/>
                              <w:tblInd w:w="-10" w:type="dxa"/>
                              <w:tblLayout w:type="fixed"/>
                              <w:tblCellMar>
                                <w:top w:w="28" w:type="dxa"/>
                                <w:left w:w="108" w:type="dxa"/>
                                <w:bottom w:w="28" w:type="dxa"/>
                                <w:right w:w="108" w:type="dxa"/>
                              </w:tblCellMar>
                            </w:tblPr>
                            <w:tblGrid>
                              <w:gridCol w:w="1168"/>
                              <w:gridCol w:w="9037"/>
                            </w:tblGrid>
                            <w:tr>
                              <w:trPr/>
                              <w:tc>
                                <w:tcPr>
                                  <w:tcW w:w="11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Gold Trust (Bloomberg ticker: GLD) (the “</w:t>
                                  </w:r>
                                  <w:r>
                                    <w:rPr>
                                      <w:rFonts w:ascii="Georgia;Times;Serif" w:hAnsi="Georgia;Times;Serif"/>
                                      <w:b w:val="false"/>
                                      <w:i w:val="false"/>
                                      <w:caps w:val="false"/>
                                      <w:smallCaps w:val="false"/>
                                      <w:sz w:val="16"/>
                                      <w:u w:val="single"/>
                                    </w:rPr>
                                    <w:t>Fund</w:t>
                                  </w:r>
                                  <w:r>
                                    <w:rPr>
                                      <w:rFonts w:ascii="Georgia;Times;Serif" w:hAnsi="Georgia;Times;Serif"/>
                                      <w:b w:val="false"/>
                                      <w:i w:val="false"/>
                                      <w:caps w:val="false"/>
                                      <w:smallCaps w:val="false"/>
                                      <w:sz w:val="16"/>
                                    </w:rPr>
                                    <w:t>”), the 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Bloomberg ticker: SPX) (the “</w:t>
                                  </w:r>
                                  <w:r>
                                    <w:rPr>
                                      <w:rFonts w:ascii="Georgia;Times;Serif" w:hAnsi="Georgia;Times;Serif"/>
                                      <w:b w:val="false"/>
                                      <w:i w:val="false"/>
                                      <w:caps w:val="false"/>
                                      <w:smallCaps w:val="false"/>
                                      <w:sz w:val="16"/>
                                      <w:u w:val="single"/>
                                    </w:rPr>
                                    <w:t>Index</w:t>
                                  </w:r>
                                  <w:r>
                                    <w:rPr>
                                      <w:rFonts w:ascii="Georgia;Times;Serif" w:hAnsi="Georgia;Times;Serif"/>
                                      <w:b w:val="false"/>
                                      <w:i w:val="false"/>
                                      <w:caps w:val="false"/>
                                      <w:smallCaps w:val="false"/>
                                      <w:sz w:val="16"/>
                                    </w:rPr>
                                    <w:t>”) and the common stock of Microsoft Corporation (</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Bloomberg ticker: MSFT)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March 30, 2026</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2, 2026</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3, 2029</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and only if, the closing value of the lowest performing Underlying on the related calculation day is greater than or equal to its threshold value. In addition, if the closing value of the lowest performing Underlying on one or more calculation days is less than its threshold value and, on a subsequent calculation day, the closing value of the lowest performing Underlying is greater than or equal to its threshold value,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37"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8.00% per annum (to be provided in the pricing supplement)</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value of the lowest performing Underlying on any of the calculation days from September 2026 to February 2029, inclusive, is greater than or equal to its starting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April 2026 and ending March 2029.  We refer to March 28,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value of the lowest performing Underlying on the final calculation day is greater than or equal to its threshold value: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value of the lowest performing Underlying on the final calculation day is less than its threshold value: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on the final calculation day)</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w:t>
                                  </w:r>
                                  <w:r>
                                    <w:rPr>
                                      <w:rFonts w:ascii="Georgia;Times;Serif" w:hAnsi="Georgia;Times;Serif"/>
                                      <w:b w:val="false"/>
                                      <w:i w:val="false"/>
                                      <w:caps w:val="false"/>
                                      <w:smallCaps w:val="false"/>
                                      <w:sz w:val="16"/>
                                    </w:rPr>
                                    <w:t>” will be the Underlying with the lowest underlying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Summary of Terms</w:t>
                      </w:r>
                    </w:p>
                    <w:tbl>
                      <w:tblPr>
                        <w:tblW w:w="10205" w:type="dxa"/>
                        <w:jc w:val="left"/>
                        <w:tblInd w:w="-10" w:type="dxa"/>
                        <w:tblLayout w:type="fixed"/>
                        <w:tblCellMar>
                          <w:top w:w="28" w:type="dxa"/>
                          <w:left w:w="108" w:type="dxa"/>
                          <w:bottom w:w="28" w:type="dxa"/>
                          <w:right w:w="108" w:type="dxa"/>
                        </w:tblCellMar>
                      </w:tblPr>
                      <w:tblGrid>
                        <w:gridCol w:w="1168"/>
                        <w:gridCol w:w="9037"/>
                      </w:tblGrid>
                      <w:tr>
                        <w:trPr/>
                        <w:tc>
                          <w:tcPr>
                            <w:tcW w:w="11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Gold Trust (Bloomberg ticker: GLD) (the “</w:t>
                            </w:r>
                            <w:r>
                              <w:rPr>
                                <w:rFonts w:ascii="Georgia;Times;Serif" w:hAnsi="Georgia;Times;Serif"/>
                                <w:b w:val="false"/>
                                <w:i w:val="false"/>
                                <w:caps w:val="false"/>
                                <w:smallCaps w:val="false"/>
                                <w:sz w:val="16"/>
                                <w:u w:val="single"/>
                              </w:rPr>
                              <w:t>Fund</w:t>
                            </w:r>
                            <w:r>
                              <w:rPr>
                                <w:rFonts w:ascii="Georgia;Times;Serif" w:hAnsi="Georgia;Times;Serif"/>
                                <w:b w:val="false"/>
                                <w:i w:val="false"/>
                                <w:caps w:val="false"/>
                                <w:smallCaps w:val="false"/>
                                <w:sz w:val="16"/>
                              </w:rPr>
                              <w:t>”), the 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Bloomberg ticker: SPX) (the “</w:t>
                            </w:r>
                            <w:r>
                              <w:rPr>
                                <w:rFonts w:ascii="Georgia;Times;Serif" w:hAnsi="Georgia;Times;Serif"/>
                                <w:b w:val="false"/>
                                <w:i w:val="false"/>
                                <w:caps w:val="false"/>
                                <w:smallCaps w:val="false"/>
                                <w:sz w:val="16"/>
                                <w:u w:val="single"/>
                              </w:rPr>
                              <w:t>Index</w:t>
                            </w:r>
                            <w:r>
                              <w:rPr>
                                <w:rFonts w:ascii="Georgia;Times;Serif" w:hAnsi="Georgia;Times;Serif"/>
                                <w:b w:val="false"/>
                                <w:i w:val="false"/>
                                <w:caps w:val="false"/>
                                <w:smallCaps w:val="false"/>
                                <w:sz w:val="16"/>
                              </w:rPr>
                              <w:t>”) and the common stock of Microsoft Corporation (</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Bloomberg ticker: MSFT)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March 30, 2026</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2, 2026</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3, 2029</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and only if, the closing value of the lowest performing Underlying on the related calculation day is greater than or equal to its threshold value. In addition, if the closing value of the lowest performing Underlying on one or more calculation days is less than its threshold value and, on a subsequent calculation day, the closing value of the lowest performing Underlying is greater than or equal to its threshold value,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37"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8.00% per annum (to be provided in the pricing supplement)</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value of the lowest performing Underlying on any of the calculation days from September 2026 to February 2029, inclusive, is greater than or equal to its starting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April 2026 and ending March 2029.  We refer to March 28,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value of the lowest performing Underlying on the final calculation day is greater than or equal to its threshold value: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value of the lowest performing Underlying on the final calculation day is less than its threshold value: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on the final calculation day)</w:t>
                            </w:r>
                          </w:p>
                        </w:tc>
                      </w:tr>
                      <w:tr>
                        <w:trPr/>
                        <w:tc>
                          <w:tcPr>
                            <w:tcW w:w="11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9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w:t>
                            </w:r>
                            <w:r>
                              <w:rPr>
                                <w:rFonts w:ascii="Georgia;Times;Serif" w:hAnsi="Georgia;Times;Serif"/>
                                <w:b w:val="false"/>
                                <w:i w:val="false"/>
                                <w:caps w:val="false"/>
                                <w:smallCaps w:val="false"/>
                                <w:sz w:val="16"/>
                              </w:rPr>
                              <w:t>” will be the Underlying with the lowest underlying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its closing v</w:t>
                                  </w:r>
                                  <w:r>
                                    <w:rPr>
                                      <w:rFonts w:ascii="Georgia;Times;Serif" w:hAnsi="Georgia;Times;Serif"/>
                                      <w:b w:val="false"/>
                                      <w:i w:val="false"/>
                                      <w:caps w:val="false"/>
                                      <w:smallCaps w:val="false"/>
                                      <w:sz w:val="18"/>
                                    </w:rPr>
                                    <w:t xml:space="preserve">alue </w:t>
                                  </w:r>
                                  <w:r>
                                    <w:rPr>
                                      <w:rFonts w:ascii="Georgia;Times;Serif" w:hAnsi="Georgia;Times;Serif"/>
                                      <w:b w:val="false"/>
                                      <w:i w:val="false"/>
                                      <w:caps w:val="false"/>
                                      <w:smallCaps w:val="false"/>
                                      <w:sz w:val="16"/>
                                    </w:rPr>
                                    <w:t>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its closing val</w:t>
                                  </w:r>
                                  <w:r>
                                    <w:rPr>
                                      <w:rFonts w:ascii="Georgia;Times;Serif" w:hAnsi="Georgia;Times;Serif"/>
                                      <w:b w:val="false"/>
                                      <w:i w:val="false"/>
                                      <w:caps w:val="false"/>
                                      <w:smallCaps w:val="false"/>
                                      <w:sz w:val="18"/>
                                    </w:rPr>
                                    <w:t xml:space="preserve">ue </w:t>
                                  </w:r>
                                  <w:r>
                                    <w:rPr>
                                      <w:rFonts w:ascii="Georgia;Times;Serif" w:hAnsi="Georgia;Times;Serif"/>
                                      <w:b w:val="false"/>
                                      <w:i w:val="false"/>
                                      <w:caps w:val="false"/>
                                      <w:smallCaps w:val="false"/>
                                      <w:sz w:val="16"/>
                                    </w:rPr>
                                    <w:t>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on any calculation day, (closing val</w:t>
                                  </w:r>
                                  <w:r>
                                    <w:rPr>
                                      <w:rFonts w:ascii="Georgia;Times;Serif" w:hAnsi="Georgia;Times;Serif"/>
                                      <w:b w:val="false"/>
                                      <w:i w:val="false"/>
                                      <w:caps w:val="false"/>
                                      <w:smallCaps w:val="false"/>
                                      <w:sz w:val="18"/>
                                    </w:rPr>
                                    <w:t xml:space="preserve">ue </w:t>
                                  </w:r>
                                  <w:r>
                                    <w:rPr>
                                      <w:rFonts w:ascii="Georgia;Times;Serif" w:hAnsi="Georgia;Times;Serif"/>
                                      <w:b w:val="false"/>
                                      <w:i w:val="false"/>
                                      <w:caps w:val="false"/>
                                      <w:smallCaps w:val="false"/>
                                      <w:sz w:val="16"/>
                                    </w:rPr>
                                    <w:t>on that calculation day – starting v</w:t>
                                  </w:r>
                                  <w:r>
                                    <w:rPr>
                                      <w:rFonts w:ascii="Georgia;Times;Serif" w:hAnsi="Georgia;Times;Serif"/>
                                      <w:b w:val="false"/>
                                      <w:i w:val="false"/>
                                      <w:caps w:val="false"/>
                                      <w:smallCaps w:val="false"/>
                                      <w:sz w:val="18"/>
                                    </w:rPr>
                                    <w:t>alue</w:t>
                                  </w:r>
                                  <w:r>
                                    <w:rPr>
                                      <w:rFonts w:ascii="Georgia;Times;Serif" w:hAnsi="Georgia;Times;Serif"/>
                                      <w:b w:val="false"/>
                                      <w:i w:val="false"/>
                                      <w:caps w:val="false"/>
                                      <w:smallCaps w:val="false"/>
                                      <w:sz w:val="16"/>
                                    </w:rPr>
                                    <w:t>) / starting v</w:t>
                                  </w:r>
                                  <w:r>
                                    <w:rPr>
                                      <w:rFonts w:ascii="Georgia;Times;Serif" w:hAnsi="Georgia;Times;Serif"/>
                                      <w:b w:val="false"/>
                                      <w:i w:val="false"/>
                                      <w:caps w:val="false"/>
                                      <w:smallCaps w:val="false"/>
                                      <w:sz w:val="18"/>
                                    </w:rPr>
                                    <w:t>alue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50% of its starting value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46660REA8</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left"/>
                              <w:rPr>
                                <w:caps w:val="false"/>
                                <w:smallCaps w:val="false"/>
                                <w:color w:val="8F8F8F"/>
                              </w:rPr>
                            </w:pPr>
                            <w:r>
                              <w:rPr>
                                <w:caps w:val="false"/>
                                <w:smallCaps w:val="false"/>
                                <w:color w:val="8F8F8F"/>
                              </w:rPr>
                              <w:drawing>
                                <wp:inline distT="0" distB="0" distL="0" distR="0">
                                  <wp:extent cx="3505200" cy="2143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05200" cy="21431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value of the lowest performing Underlying on the final calculation day is less than its threshold value, you will lose more than 50%,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but you will have full downside exposure to the lowest performing Underlying on the final calculation day if its ending value is less than its threshold value.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$955.50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http://www.sec.gov/Archives/edgar/data/19617/000121390026030944/</w:t>
                                <w:br/>
                                <w:t>ea0282485-01_424b2.htm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its closing v</w:t>
                            </w:r>
                            <w:r>
                              <w:rPr>
                                <w:rFonts w:ascii="Georgia;Times;Serif" w:hAnsi="Georgia;Times;Serif"/>
                                <w:b w:val="false"/>
                                <w:i w:val="false"/>
                                <w:caps w:val="false"/>
                                <w:smallCaps w:val="false"/>
                                <w:sz w:val="18"/>
                              </w:rPr>
                              <w:t xml:space="preserve">alue </w:t>
                            </w:r>
                            <w:r>
                              <w:rPr>
                                <w:rFonts w:ascii="Georgia;Times;Serif" w:hAnsi="Georgia;Times;Serif"/>
                                <w:b w:val="false"/>
                                <w:i w:val="false"/>
                                <w:caps w:val="false"/>
                                <w:smallCaps w:val="false"/>
                                <w:sz w:val="16"/>
                              </w:rPr>
                              <w:t>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its closing val</w:t>
                            </w:r>
                            <w:r>
                              <w:rPr>
                                <w:rFonts w:ascii="Georgia;Times;Serif" w:hAnsi="Georgia;Times;Serif"/>
                                <w:b w:val="false"/>
                                <w:i w:val="false"/>
                                <w:caps w:val="false"/>
                                <w:smallCaps w:val="false"/>
                                <w:sz w:val="18"/>
                              </w:rPr>
                              <w:t xml:space="preserve">ue </w:t>
                            </w:r>
                            <w:r>
                              <w:rPr>
                                <w:rFonts w:ascii="Georgia;Times;Serif" w:hAnsi="Georgia;Times;Serif"/>
                                <w:b w:val="false"/>
                                <w:i w:val="false"/>
                                <w:caps w:val="false"/>
                                <w:smallCaps w:val="false"/>
                                <w:sz w:val="16"/>
                              </w:rPr>
                              <w:t>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For each Underlying on any calculation day, (closing val</w:t>
                            </w:r>
                            <w:r>
                              <w:rPr>
                                <w:rFonts w:ascii="Georgia;Times;Serif" w:hAnsi="Georgia;Times;Serif"/>
                                <w:b w:val="false"/>
                                <w:i w:val="false"/>
                                <w:caps w:val="false"/>
                                <w:smallCaps w:val="false"/>
                                <w:sz w:val="18"/>
                              </w:rPr>
                              <w:t xml:space="preserve">ue </w:t>
                            </w:r>
                            <w:r>
                              <w:rPr>
                                <w:rFonts w:ascii="Georgia;Times;Serif" w:hAnsi="Georgia;Times;Serif"/>
                                <w:b w:val="false"/>
                                <w:i w:val="false"/>
                                <w:caps w:val="false"/>
                                <w:smallCaps w:val="false"/>
                                <w:sz w:val="16"/>
                              </w:rPr>
                              <w:t>on that calculation day – starting v</w:t>
                            </w:r>
                            <w:r>
                              <w:rPr>
                                <w:rFonts w:ascii="Georgia;Times;Serif" w:hAnsi="Georgia;Times;Serif"/>
                                <w:b w:val="false"/>
                                <w:i w:val="false"/>
                                <w:caps w:val="false"/>
                                <w:smallCaps w:val="false"/>
                                <w:sz w:val="18"/>
                              </w:rPr>
                              <w:t>alue</w:t>
                            </w:r>
                            <w:r>
                              <w:rPr>
                                <w:rFonts w:ascii="Georgia;Times;Serif" w:hAnsi="Georgia;Times;Serif"/>
                                <w:b w:val="false"/>
                                <w:i w:val="false"/>
                                <w:caps w:val="false"/>
                                <w:smallCaps w:val="false"/>
                                <w:sz w:val="16"/>
                              </w:rPr>
                              <w:t>) / starting v</w:t>
                            </w:r>
                            <w:r>
                              <w:rPr>
                                <w:rFonts w:ascii="Georgia;Times;Serif" w:hAnsi="Georgia;Times;Serif"/>
                                <w:b w:val="false"/>
                                <w:i w:val="false"/>
                                <w:caps w:val="false"/>
                                <w:smallCaps w:val="false"/>
                                <w:sz w:val="18"/>
                              </w:rPr>
                              <w:t>alue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50% of its starting value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46660REA8</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left"/>
                        <w:rPr>
                          <w:caps w:val="false"/>
                          <w:smallCaps w:val="false"/>
                          <w:color w:val="8F8F8F"/>
                        </w:rPr>
                      </w:pPr>
                      <w:r>
                        <w:rPr>
                          <w:caps w:val="false"/>
                          <w:smallCaps w:val="false"/>
                          <w:color w:val="8F8F8F"/>
                        </w:rPr>
                        <w:drawing>
                          <wp:inline distT="0" distB="0" distL="0" distR="0">
                            <wp:extent cx="3505200" cy="21431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05200" cy="21431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value of the lowest performing Underlying on the final calculation day is less than its threshold value, you will lose more than 50%,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but you will have full downside exposure to the lowest performing Underlying on the final calculation day if its ending value is less than its threshold value.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$955.50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http://www.sec.gov/Archives/edgar/data/19617/000121390026030944/</w:t>
                          <w:br/>
                          <w:t>ea0282485-01_424b2.htm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prospectus addendum,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tbl>
      <w:tblPr>
        <w:tblW w:w="10205" w:type="dxa"/>
        <w:jc w:val="left"/>
        <w:tblInd w:w="0" w:type="dxa"/>
        <w:tblLayout w:type="fixed"/>
        <w:tblCellMar>
          <w:top w:w="0" w:type="dxa"/>
          <w:left w:w="0" w:type="dxa"/>
          <w:bottom w:w="0" w:type="dxa"/>
          <w:right w:w="0" w:type="dxa"/>
        </w:tblCellMar>
      </w:tblPr>
      <w:tblGrid>
        <w:gridCol w:w="5077"/>
        <w:gridCol w:w="5128"/>
      </w:tblGrid>
      <w:tr>
        <w:trPr/>
        <w:tc>
          <w:tcPr>
            <w:tcW w:w="507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Value of the Lowest Performing Underlying on the Final Calculation Day Is Less Than Its Threshold Value, You Will Lose More Than 50%,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Operations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Value of Each Underlying.</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Value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or Other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Have No Ownership Rights in Any Underlying, Any of the Commodities Held by the Fund or Any of the Securities Included in the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0" w:right="0" w:hanging="0"/>
              <w:jc w:val="left"/>
              <w:rPr>
                <w:caps w:val="false"/>
                <w:smallCaps w:val="false"/>
              </w:rPr>
            </w:pPr>
            <w:r>
              <w:rPr>
                <w:caps w:val="false"/>
                <w:smallCaps w:val="false"/>
              </w:rPr>
              <w:t> </w:t>
            </w:r>
          </w:p>
        </w:tc>
        <w:tc>
          <w:tcPr>
            <w:tcW w:w="512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Each of JPMorgan Chase &amp; Co. and Wells Fargo &amp; Company (the Parent Company of WFS) Is Currently One of the Companies that Make Up the Index.</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There Are Risks Associated with the Fund.</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The Fund Is Not an Investment Company or Commodity Pool and Will Not Be Subject to Regulation Under the Investment Company Act of 1940, as Amended, or the Commodity Exchange Act, as Amended.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Performance and Market Value of the Fund, Particularly During Periods of Market Volatility, May Not Correlate with the Performance of the Fund’s Fund Underlying Commodity As Well As the Net Asset Value Per Share.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w:t>
            </w:r>
            <w:r>
              <w:rPr>
                <w:rFonts w:ascii="Georgia;Times;Serif" w:hAnsi="Georgia;Times;Serif"/>
                <w:b/>
                <w:i w:val="false"/>
                <w:caps w:val="false"/>
                <w:smallCaps w:val="false"/>
                <w:sz w:val="18"/>
              </w:rPr>
              <w:t xml:space="preserve">Securities </w:t>
            </w:r>
            <w:r>
              <w:rPr>
                <w:rFonts w:ascii="Georgia;Times;Serif" w:hAnsi="Georgia;Times;Serif"/>
                <w:b/>
                <w:i w:val="false"/>
                <w:caps w:val="false"/>
                <w:smallCaps w:val="false"/>
                <w:sz w:val="18"/>
                <w:shd w:fill="FFFFFF" w:val="clear"/>
              </w:rPr>
              <w:t>Are Subject to Risks Associated with Gold with Respect to the Fund.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There Are Risks Relating to Commodities Trading on the LBMA with Respect to the Fund.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Single Commodity Prices Tend to Be More Volatile Than, and May Not Correlate with, the Prices of Commodities Generally.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for the Fund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for the Underlying Stock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Underlying and Therefore the Securities Are Subject to the Risks Associated with Each Underlying, Each as Discussed in the Accompanying Preliminary Pricing Supplement and Product Supplement. </w:t>
            </w:r>
          </w:p>
        </w:tc>
      </w:tr>
    </w:tbl>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jc w:val="center"/>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2</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30944/ea028248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30944/ea028248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2034</Words>
  <Characters>10863</Characters>
  <CharactersWithSpaces>12931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