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b w:val="1"/>
          <w:bCs w:val="1"/>
          <w:color w:val="808080"/>
        </w:rPr>
        <w:t>JPMorgan Chase Financial Company LLC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4"/>
          <w:szCs w:val="14"/>
          <w:color w:val="808080"/>
        </w:rPr>
        <w:t>Free Writing Prospectus Filed Pursuant to Rule 433</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color w:val="808080"/>
        </w:rPr>
        <w:t>Registration Statement Nos. 333-270004 and 333-270004-01</w:t>
      </w:r>
    </w:p>
    <w:p>
      <w:pPr>
        <w:jc w:val="right"/>
        <w:spacing w:after="0" w:line="229" w:lineRule="auto"/>
        <w:rPr>
          <w:sz w:val="20"/>
          <w:szCs w:val="20"/>
          <w:color w:val="auto"/>
        </w:rPr>
      </w:pPr>
      <w:r>
        <w:rPr>
          <w:rFonts w:ascii="Arial" w:cs="Arial" w:eastAsia="Arial" w:hAnsi="Arial"/>
          <w:sz w:val="14"/>
          <w:szCs w:val="14"/>
          <w:color w:val="808080"/>
        </w:rPr>
        <w:t>Dated July 24, 2025</w:t>
      </w:r>
    </w:p>
    <w:p>
      <w:pPr>
        <w:spacing w:after="0" w:line="1" w:lineRule="exact"/>
        <w:rPr>
          <w:sz w:val="24"/>
          <w:szCs w:val="24"/>
          <w:color w:val="auto"/>
        </w:rPr>
      </w:pPr>
    </w:p>
    <w:p>
      <w:pPr>
        <w:spacing w:after="0"/>
        <w:rPr>
          <w:sz w:val="20"/>
          <w:szCs w:val="20"/>
          <w:color w:val="auto"/>
        </w:rPr>
      </w:pPr>
      <w:r>
        <w:rPr>
          <w:rFonts w:ascii="Arial" w:cs="Arial" w:eastAsia="Arial" w:hAnsi="Arial"/>
          <w:sz w:val="29"/>
          <w:szCs w:val="29"/>
          <w:color w:val="296DC1"/>
        </w:rPr>
        <w:t>3y COF Contingent Income Auto-Callable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80" w:right="640"/>
        <w:spacing w:after="0" w:line="249" w:lineRule="auto"/>
        <w:rPr>
          <w:sz w:val="20"/>
          <w:szCs w:val="20"/>
          <w:color w:val="auto"/>
        </w:rPr>
      </w:pPr>
      <w:r>
        <w:rPr>
          <w:rFonts w:ascii="Arial" w:cs="Arial" w:eastAsia="Arial" w:hAnsi="Arial"/>
          <w:sz w:val="16"/>
          <w:szCs w:val="16"/>
          <w:b w:val="1"/>
          <w:bCs w:val="1"/>
          <w:i w:val="1"/>
          <w:iCs w:val="1"/>
          <w:color w:val="auto"/>
        </w:rPr>
        <w:t>This document provides a summary of the terms of the securities. Investors must carefully review the accompanying preliminary pricing supplement referenced below, product supplement, prospectus supplement, prospectus and prospectus addendum and the “Risk Considerations” on the following page, prior to making an investment decision.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3420110"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0110" cy="120015"/>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p>
      <w:pPr>
        <w:spacing w:after="0" w:line="1" w:lineRule="exact"/>
        <w:rPr>
          <w:sz w:val="24"/>
          <w:szCs w:val="24"/>
          <w:color w:val="auto"/>
        </w:rPr>
      </w:pPr>
    </w:p>
    <w:p>
      <w:pPr>
        <w:spacing w:after="0"/>
        <w:rPr>
          <w:sz w:val="20"/>
          <w:szCs w:val="20"/>
          <w:color w:val="auto"/>
        </w:rPr>
      </w:pPr>
      <w:r>
        <w:rPr>
          <w:rFonts w:ascii="Arial" w:cs="Arial" w:eastAsia="Arial" w:hAnsi="Arial"/>
          <w:sz w:val="14"/>
          <w:szCs w:val="14"/>
          <w:b w:val="1"/>
          <w:bCs w:val="1"/>
          <w:color w:val="FFFFFF"/>
        </w:rPr>
        <w:t>SUMMARY TERMS</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1020" w:type="dxa"/>
            <w:vAlign w:val="bottom"/>
          </w:tcPr>
          <w:p>
            <w:pPr>
              <w:spacing w:after="0"/>
              <w:rPr>
                <w:sz w:val="20"/>
                <w:szCs w:val="20"/>
                <w:color w:val="auto"/>
              </w:rPr>
            </w:pPr>
            <w:r>
              <w:rPr>
                <w:rFonts w:ascii="Arial" w:cs="Arial" w:eastAsia="Arial" w:hAnsi="Arial"/>
                <w:sz w:val="14"/>
                <w:szCs w:val="14"/>
                <w:b w:val="1"/>
                <w:bCs w:val="1"/>
                <w:color w:val="296DC1"/>
              </w:rPr>
              <w:t>Issuer:</w:t>
            </w:r>
          </w:p>
        </w:tc>
        <w:tc>
          <w:tcPr>
            <w:tcW w:w="4380" w:type="dxa"/>
            <w:vAlign w:val="bottom"/>
          </w:tcPr>
          <w:p>
            <w:pPr>
              <w:ind w:left="180"/>
              <w:spacing w:after="0"/>
              <w:rPr>
                <w:sz w:val="20"/>
                <w:szCs w:val="20"/>
                <w:color w:val="auto"/>
              </w:rPr>
            </w:pPr>
            <w:r>
              <w:rPr>
                <w:rFonts w:ascii="Arial" w:cs="Arial" w:eastAsia="Arial" w:hAnsi="Arial"/>
                <w:sz w:val="14"/>
                <w:szCs w:val="14"/>
                <w:color w:val="auto"/>
              </w:rPr>
              <w:t>JPMorgan Chase Financial Company LLC (“JPMorgan Financial”)</w:t>
            </w:r>
          </w:p>
        </w:tc>
      </w:tr>
      <w:tr>
        <w:trPr>
          <w:trHeight w:val="189"/>
        </w:trPr>
        <w:tc>
          <w:tcPr>
            <w:tcW w:w="1020" w:type="dxa"/>
            <w:vAlign w:val="bottom"/>
            <w:shd w:val="clear" w:color="auto" w:fill="DCEBF4"/>
          </w:tcPr>
          <w:p>
            <w:pPr>
              <w:spacing w:after="0"/>
              <w:rPr>
                <w:sz w:val="20"/>
                <w:szCs w:val="20"/>
                <w:color w:val="auto"/>
              </w:rPr>
            </w:pPr>
            <w:r>
              <w:rPr>
                <w:rFonts w:ascii="Arial" w:cs="Arial" w:eastAsia="Arial" w:hAnsi="Arial"/>
                <w:sz w:val="14"/>
                <w:szCs w:val="14"/>
                <w:b w:val="1"/>
                <w:bCs w:val="1"/>
                <w:color w:val="296DC1"/>
              </w:rPr>
              <w:t>Guarantor:</w:t>
            </w:r>
          </w:p>
        </w:tc>
        <w:tc>
          <w:tcPr>
            <w:tcW w:w="4380" w:type="dxa"/>
            <w:vAlign w:val="bottom"/>
            <w:shd w:val="clear" w:color="auto" w:fill="DCEBF4"/>
          </w:tcPr>
          <w:p>
            <w:pPr>
              <w:ind w:left="180"/>
              <w:spacing w:after="0"/>
              <w:rPr>
                <w:sz w:val="20"/>
                <w:szCs w:val="20"/>
                <w:color w:val="auto"/>
              </w:rPr>
            </w:pPr>
            <w:r>
              <w:rPr>
                <w:rFonts w:ascii="Arial" w:cs="Arial" w:eastAsia="Arial" w:hAnsi="Arial"/>
                <w:sz w:val="14"/>
                <w:szCs w:val="14"/>
                <w:color w:val="auto"/>
              </w:rPr>
              <w:t>JPMorgan Chase &amp; Co.</w:t>
            </w:r>
          </w:p>
        </w:tc>
      </w:tr>
      <w:tr>
        <w:trPr>
          <w:trHeight w:val="166"/>
        </w:trPr>
        <w:tc>
          <w:tcPr>
            <w:tcW w:w="1020" w:type="dxa"/>
            <w:vAlign w:val="bottom"/>
          </w:tcPr>
          <w:p>
            <w:pPr>
              <w:spacing w:after="0"/>
              <w:rPr>
                <w:sz w:val="20"/>
                <w:szCs w:val="20"/>
                <w:color w:val="auto"/>
              </w:rPr>
            </w:pPr>
            <w:r>
              <w:rPr>
                <w:rFonts w:ascii="Arial" w:cs="Arial" w:eastAsia="Arial" w:hAnsi="Arial"/>
                <w:sz w:val="14"/>
                <w:szCs w:val="14"/>
                <w:b w:val="1"/>
                <w:bCs w:val="1"/>
                <w:color w:val="296DC1"/>
              </w:rPr>
              <w:t>Underlying</w:t>
            </w:r>
          </w:p>
        </w:tc>
        <w:tc>
          <w:tcPr>
            <w:tcW w:w="4380" w:type="dxa"/>
            <w:vAlign w:val="bottom"/>
          </w:tcPr>
          <w:p>
            <w:pPr>
              <w:ind w:left="180"/>
              <w:spacing w:after="0"/>
              <w:rPr>
                <w:sz w:val="20"/>
                <w:szCs w:val="20"/>
                <w:color w:val="auto"/>
              </w:rPr>
            </w:pPr>
            <w:r>
              <w:rPr>
                <w:rFonts w:ascii="Arial" w:cs="Arial" w:eastAsia="Arial" w:hAnsi="Arial"/>
                <w:sz w:val="14"/>
                <w:szCs w:val="14"/>
                <w:color w:val="auto"/>
              </w:rPr>
              <w:t>Common stock of Capital One Financial Corporation (Bloomberg</w:t>
            </w:r>
          </w:p>
        </w:tc>
      </w:tr>
      <w:tr>
        <w:trPr>
          <w:trHeight w:val="185"/>
        </w:trPr>
        <w:tc>
          <w:tcPr>
            <w:tcW w:w="1020" w:type="dxa"/>
            <w:vAlign w:val="bottom"/>
          </w:tcPr>
          <w:p>
            <w:pPr>
              <w:spacing w:after="0"/>
              <w:rPr>
                <w:sz w:val="20"/>
                <w:szCs w:val="20"/>
                <w:color w:val="auto"/>
              </w:rPr>
            </w:pPr>
            <w:r>
              <w:rPr>
                <w:rFonts w:ascii="Arial" w:cs="Arial" w:eastAsia="Arial" w:hAnsi="Arial"/>
                <w:sz w:val="14"/>
                <w:szCs w:val="14"/>
                <w:b w:val="1"/>
                <w:bCs w:val="1"/>
                <w:color w:val="296DC1"/>
              </w:rPr>
              <w:t>stock:</w:t>
            </w:r>
          </w:p>
        </w:tc>
        <w:tc>
          <w:tcPr>
            <w:tcW w:w="4380" w:type="dxa"/>
            <w:vAlign w:val="bottom"/>
          </w:tcPr>
          <w:p>
            <w:pPr>
              <w:ind w:left="180"/>
              <w:spacing w:after="0"/>
              <w:rPr>
                <w:sz w:val="20"/>
                <w:szCs w:val="20"/>
                <w:color w:val="auto"/>
              </w:rPr>
            </w:pPr>
            <w:r>
              <w:rPr>
                <w:rFonts w:ascii="Arial" w:cs="Arial" w:eastAsia="Arial" w:hAnsi="Arial"/>
                <w:sz w:val="14"/>
                <w:szCs w:val="14"/>
                <w:color w:val="auto"/>
              </w:rPr>
              <w:t>ticker: COF UN Equity)</w:t>
            </w:r>
          </w:p>
        </w:tc>
      </w:tr>
      <w:tr>
        <w:trPr>
          <w:trHeight w:val="189"/>
        </w:trPr>
        <w:tc>
          <w:tcPr>
            <w:tcW w:w="1020" w:type="dxa"/>
            <w:vAlign w:val="bottom"/>
            <w:shd w:val="clear" w:color="auto" w:fill="DCEBF4"/>
          </w:tcPr>
          <w:p>
            <w:pPr>
              <w:spacing w:after="0"/>
              <w:rPr>
                <w:sz w:val="20"/>
                <w:szCs w:val="20"/>
                <w:color w:val="auto"/>
              </w:rPr>
            </w:pPr>
            <w:r>
              <w:rPr>
                <w:rFonts w:ascii="Arial" w:cs="Arial" w:eastAsia="Arial" w:hAnsi="Arial"/>
                <w:sz w:val="14"/>
                <w:szCs w:val="14"/>
                <w:b w:val="1"/>
                <w:bCs w:val="1"/>
                <w:color w:val="296DC1"/>
              </w:rPr>
              <w:t>Early</w:t>
            </w:r>
          </w:p>
        </w:tc>
        <w:tc>
          <w:tcPr>
            <w:tcW w:w="4380" w:type="dxa"/>
            <w:vAlign w:val="bottom"/>
            <w:shd w:val="clear" w:color="auto" w:fill="DCEBF4"/>
          </w:tcPr>
          <w:p>
            <w:pPr>
              <w:ind w:left="180"/>
              <w:spacing w:after="0"/>
              <w:rPr>
                <w:sz w:val="20"/>
                <w:szCs w:val="20"/>
                <w:color w:val="auto"/>
              </w:rPr>
            </w:pPr>
            <w:r>
              <w:rPr>
                <w:rFonts w:ascii="Arial" w:cs="Arial" w:eastAsia="Arial" w:hAnsi="Arial"/>
                <w:sz w:val="14"/>
                <w:szCs w:val="14"/>
                <w:color w:val="auto"/>
              </w:rPr>
              <w:t>If, on any determination date (other than the final determination</w:t>
            </w:r>
          </w:p>
        </w:tc>
      </w:tr>
      <w:tr>
        <w:trPr>
          <w:trHeight w:val="180"/>
        </w:trPr>
        <w:tc>
          <w:tcPr>
            <w:tcW w:w="1020" w:type="dxa"/>
            <w:vAlign w:val="bottom"/>
            <w:shd w:val="clear" w:color="auto" w:fill="DCEBF4"/>
          </w:tcPr>
          <w:p>
            <w:pPr>
              <w:spacing w:after="0"/>
              <w:rPr>
                <w:sz w:val="20"/>
                <w:szCs w:val="20"/>
                <w:color w:val="auto"/>
              </w:rPr>
            </w:pPr>
            <w:r>
              <w:rPr>
                <w:rFonts w:ascii="Arial" w:cs="Arial" w:eastAsia="Arial" w:hAnsi="Arial"/>
                <w:sz w:val="14"/>
                <w:szCs w:val="14"/>
                <w:b w:val="1"/>
                <w:bCs w:val="1"/>
                <w:color w:val="296DC1"/>
              </w:rPr>
              <w:t>redemption:</w:t>
            </w:r>
          </w:p>
        </w:tc>
        <w:tc>
          <w:tcPr>
            <w:tcW w:w="4380" w:type="dxa"/>
            <w:vAlign w:val="bottom"/>
            <w:shd w:val="clear" w:color="auto" w:fill="DCEBF4"/>
          </w:tcPr>
          <w:p>
            <w:pPr>
              <w:ind w:left="180"/>
              <w:spacing w:after="0"/>
              <w:rPr>
                <w:sz w:val="20"/>
                <w:szCs w:val="20"/>
                <w:color w:val="auto"/>
              </w:rPr>
            </w:pPr>
            <w:r>
              <w:rPr>
                <w:rFonts w:ascii="Arial" w:cs="Arial" w:eastAsia="Arial" w:hAnsi="Arial"/>
                <w:sz w:val="14"/>
                <w:szCs w:val="14"/>
                <w:color w:val="auto"/>
              </w:rPr>
              <w:t xml:space="preserve">date), the closing price of the underlying stock is </w:t>
            </w:r>
            <w:r>
              <w:rPr>
                <w:rFonts w:ascii="Arial" w:cs="Arial" w:eastAsia="Arial" w:hAnsi="Arial"/>
                <w:sz w:val="14"/>
                <w:szCs w:val="14"/>
                <w:b w:val="1"/>
                <w:bCs w:val="1"/>
                <w:color w:val="auto"/>
              </w:rPr>
              <w:t>greater than or</w:t>
            </w:r>
          </w:p>
        </w:tc>
      </w:tr>
      <w:tr>
        <w:trPr>
          <w:trHeight w:val="162"/>
        </w:trPr>
        <w:tc>
          <w:tcPr>
            <w:tcW w:w="1020" w:type="dxa"/>
            <w:vAlign w:val="bottom"/>
            <w:shd w:val="clear" w:color="auto" w:fill="DCEBF4"/>
          </w:tcPr>
          <w:p>
            <w:pPr>
              <w:spacing w:after="0"/>
              <w:rPr>
                <w:sz w:val="14"/>
                <w:szCs w:val="14"/>
                <w:color w:val="auto"/>
              </w:rPr>
            </w:pPr>
          </w:p>
        </w:tc>
        <w:tc>
          <w:tcPr>
            <w:tcW w:w="4380" w:type="dxa"/>
            <w:vAlign w:val="bottom"/>
            <w:shd w:val="clear" w:color="auto" w:fill="DCEBF4"/>
          </w:tcPr>
          <w:p>
            <w:pPr>
              <w:ind w:left="180"/>
              <w:spacing w:after="0"/>
              <w:rPr>
                <w:sz w:val="20"/>
                <w:szCs w:val="20"/>
                <w:color w:val="auto"/>
              </w:rPr>
            </w:pPr>
            <w:r>
              <w:rPr>
                <w:rFonts w:ascii="Arial" w:cs="Arial" w:eastAsia="Arial" w:hAnsi="Arial"/>
                <w:sz w:val="14"/>
                <w:szCs w:val="14"/>
                <w:b w:val="1"/>
                <w:bCs w:val="1"/>
                <w:color w:val="auto"/>
              </w:rPr>
              <w:t xml:space="preserve">equal to </w:t>
            </w:r>
            <w:r>
              <w:rPr>
                <w:rFonts w:ascii="Arial" w:cs="Arial" w:eastAsia="Arial" w:hAnsi="Arial"/>
                <w:sz w:val="14"/>
                <w:szCs w:val="14"/>
                <w:color w:val="auto"/>
              </w:rPr>
              <w:t>the initial stock price, the securities will be automatically</w:t>
            </w:r>
          </w:p>
        </w:tc>
      </w:tr>
      <w:tr>
        <w:trPr>
          <w:trHeight w:val="162"/>
        </w:trPr>
        <w:tc>
          <w:tcPr>
            <w:tcW w:w="1020" w:type="dxa"/>
            <w:vAlign w:val="bottom"/>
            <w:shd w:val="clear" w:color="auto" w:fill="DCEBF4"/>
          </w:tcPr>
          <w:p>
            <w:pPr>
              <w:spacing w:after="0"/>
              <w:rPr>
                <w:sz w:val="14"/>
                <w:szCs w:val="14"/>
                <w:color w:val="auto"/>
              </w:rPr>
            </w:pPr>
          </w:p>
        </w:tc>
        <w:tc>
          <w:tcPr>
            <w:tcW w:w="4380" w:type="dxa"/>
            <w:vAlign w:val="bottom"/>
            <w:shd w:val="clear" w:color="auto" w:fill="DCEBF4"/>
          </w:tcPr>
          <w:p>
            <w:pPr>
              <w:ind w:left="180"/>
              <w:spacing w:after="0"/>
              <w:rPr>
                <w:sz w:val="20"/>
                <w:szCs w:val="20"/>
                <w:color w:val="auto"/>
              </w:rPr>
            </w:pPr>
            <w:r>
              <w:rPr>
                <w:rFonts w:ascii="Arial" w:cs="Arial" w:eastAsia="Arial" w:hAnsi="Arial"/>
                <w:sz w:val="14"/>
                <w:szCs w:val="14"/>
                <w:color w:val="auto"/>
              </w:rPr>
              <w:t>redeemed for an early redemption payment on the first contingent</w:t>
            </w:r>
          </w:p>
        </w:tc>
      </w:tr>
      <w:tr>
        <w:trPr>
          <w:trHeight w:val="162"/>
        </w:trPr>
        <w:tc>
          <w:tcPr>
            <w:tcW w:w="1020" w:type="dxa"/>
            <w:vAlign w:val="bottom"/>
            <w:shd w:val="clear" w:color="auto" w:fill="DCEBF4"/>
          </w:tcPr>
          <w:p>
            <w:pPr>
              <w:spacing w:after="0"/>
              <w:rPr>
                <w:sz w:val="14"/>
                <w:szCs w:val="14"/>
                <w:color w:val="auto"/>
              </w:rPr>
            </w:pPr>
          </w:p>
        </w:tc>
        <w:tc>
          <w:tcPr>
            <w:tcW w:w="4380" w:type="dxa"/>
            <w:vAlign w:val="bottom"/>
            <w:shd w:val="clear" w:color="auto" w:fill="DCEBF4"/>
          </w:tcPr>
          <w:p>
            <w:pPr>
              <w:ind w:left="180"/>
              <w:spacing w:after="0"/>
              <w:rPr>
                <w:sz w:val="20"/>
                <w:szCs w:val="20"/>
                <w:color w:val="auto"/>
              </w:rPr>
            </w:pPr>
            <w:r>
              <w:rPr>
                <w:rFonts w:ascii="Arial" w:cs="Arial" w:eastAsia="Arial" w:hAnsi="Arial"/>
                <w:sz w:val="14"/>
                <w:szCs w:val="14"/>
                <w:color w:val="auto"/>
              </w:rPr>
              <w:t>payment date immediately following the related determination</w:t>
            </w:r>
          </w:p>
        </w:tc>
      </w:tr>
      <w:tr>
        <w:trPr>
          <w:trHeight w:val="162"/>
        </w:trPr>
        <w:tc>
          <w:tcPr>
            <w:tcW w:w="1020" w:type="dxa"/>
            <w:vAlign w:val="bottom"/>
            <w:shd w:val="clear" w:color="auto" w:fill="DCEBF4"/>
          </w:tcPr>
          <w:p>
            <w:pPr>
              <w:spacing w:after="0"/>
              <w:rPr>
                <w:sz w:val="14"/>
                <w:szCs w:val="14"/>
                <w:color w:val="auto"/>
              </w:rPr>
            </w:pPr>
          </w:p>
        </w:tc>
        <w:tc>
          <w:tcPr>
            <w:tcW w:w="4380" w:type="dxa"/>
            <w:vAlign w:val="bottom"/>
            <w:shd w:val="clear" w:color="auto" w:fill="DCEBF4"/>
          </w:tcPr>
          <w:p>
            <w:pPr>
              <w:ind w:left="180"/>
              <w:spacing w:after="0"/>
              <w:rPr>
                <w:sz w:val="20"/>
                <w:szCs w:val="20"/>
                <w:color w:val="auto"/>
              </w:rPr>
            </w:pPr>
            <w:r>
              <w:rPr>
                <w:rFonts w:ascii="Arial" w:cs="Arial" w:eastAsia="Arial" w:hAnsi="Arial"/>
                <w:sz w:val="14"/>
                <w:szCs w:val="14"/>
                <w:color w:val="auto"/>
              </w:rPr>
              <w:t>date. No further payments will be made on the securities once</w:t>
            </w:r>
          </w:p>
        </w:tc>
      </w:tr>
      <w:tr>
        <w:trPr>
          <w:trHeight w:val="189"/>
        </w:trPr>
        <w:tc>
          <w:tcPr>
            <w:tcW w:w="1020" w:type="dxa"/>
            <w:vAlign w:val="bottom"/>
            <w:shd w:val="clear" w:color="auto" w:fill="DCEBF4"/>
          </w:tcPr>
          <w:p>
            <w:pPr>
              <w:spacing w:after="0"/>
              <w:rPr>
                <w:sz w:val="16"/>
                <w:szCs w:val="16"/>
                <w:color w:val="auto"/>
              </w:rPr>
            </w:pPr>
          </w:p>
        </w:tc>
        <w:tc>
          <w:tcPr>
            <w:tcW w:w="4380" w:type="dxa"/>
            <w:vAlign w:val="bottom"/>
            <w:shd w:val="clear" w:color="auto" w:fill="DCEBF4"/>
          </w:tcPr>
          <w:p>
            <w:pPr>
              <w:ind w:left="180"/>
              <w:spacing w:after="0"/>
              <w:rPr>
                <w:sz w:val="20"/>
                <w:szCs w:val="20"/>
                <w:color w:val="auto"/>
              </w:rPr>
            </w:pPr>
            <w:r>
              <w:rPr>
                <w:rFonts w:ascii="Arial" w:cs="Arial" w:eastAsia="Arial" w:hAnsi="Arial"/>
                <w:sz w:val="14"/>
                <w:szCs w:val="14"/>
                <w:color w:val="auto"/>
              </w:rPr>
              <w:t>they have been redeemed.</w:t>
            </w:r>
          </w:p>
        </w:tc>
      </w:tr>
      <w:tr>
        <w:trPr>
          <w:trHeight w:val="162"/>
        </w:trPr>
        <w:tc>
          <w:tcPr>
            <w:tcW w:w="1020" w:type="dxa"/>
            <w:vAlign w:val="bottom"/>
            <w:shd w:val="clear" w:color="auto" w:fill="DCEBF4"/>
          </w:tcPr>
          <w:p>
            <w:pPr>
              <w:spacing w:after="0"/>
              <w:rPr>
                <w:sz w:val="14"/>
                <w:szCs w:val="14"/>
                <w:color w:val="auto"/>
              </w:rPr>
            </w:pPr>
          </w:p>
        </w:tc>
        <w:tc>
          <w:tcPr>
            <w:tcW w:w="4380" w:type="dxa"/>
            <w:vAlign w:val="bottom"/>
            <w:shd w:val="clear" w:color="auto" w:fill="DCEBF4"/>
          </w:tcPr>
          <w:p>
            <w:pPr>
              <w:ind w:left="180"/>
              <w:spacing w:after="0"/>
              <w:rPr>
                <w:sz w:val="20"/>
                <w:szCs w:val="20"/>
                <w:color w:val="auto"/>
              </w:rPr>
            </w:pPr>
            <w:r>
              <w:rPr>
                <w:rFonts w:ascii="Arial" w:cs="Arial" w:eastAsia="Arial" w:hAnsi="Arial"/>
                <w:sz w:val="14"/>
                <w:szCs w:val="14"/>
                <w:b w:val="1"/>
                <w:bCs w:val="1"/>
                <w:color w:val="auto"/>
              </w:rPr>
              <w:t>The securities will not be redeemed early on any contingent</w:t>
            </w:r>
          </w:p>
        </w:tc>
      </w:tr>
      <w:tr>
        <w:trPr>
          <w:trHeight w:val="162"/>
        </w:trPr>
        <w:tc>
          <w:tcPr>
            <w:tcW w:w="1020" w:type="dxa"/>
            <w:vAlign w:val="bottom"/>
            <w:shd w:val="clear" w:color="auto" w:fill="DCEBF4"/>
          </w:tcPr>
          <w:p>
            <w:pPr>
              <w:spacing w:after="0"/>
              <w:rPr>
                <w:sz w:val="14"/>
                <w:szCs w:val="14"/>
                <w:color w:val="auto"/>
              </w:rPr>
            </w:pPr>
          </w:p>
        </w:tc>
        <w:tc>
          <w:tcPr>
            <w:tcW w:w="4380" w:type="dxa"/>
            <w:vAlign w:val="bottom"/>
            <w:shd w:val="clear" w:color="auto" w:fill="DCEBF4"/>
          </w:tcPr>
          <w:p>
            <w:pPr>
              <w:ind w:left="180"/>
              <w:spacing w:after="0"/>
              <w:rPr>
                <w:sz w:val="20"/>
                <w:szCs w:val="20"/>
                <w:color w:val="auto"/>
              </w:rPr>
            </w:pPr>
            <w:r>
              <w:rPr>
                <w:rFonts w:ascii="Arial" w:cs="Arial" w:eastAsia="Arial" w:hAnsi="Arial"/>
                <w:sz w:val="14"/>
                <w:szCs w:val="14"/>
                <w:b w:val="1"/>
                <w:bCs w:val="1"/>
                <w:color w:val="auto"/>
              </w:rPr>
              <w:t>payment date if the closing price of the underlying stock is</w:t>
            </w:r>
          </w:p>
        </w:tc>
      </w:tr>
      <w:tr>
        <w:trPr>
          <w:trHeight w:val="162"/>
        </w:trPr>
        <w:tc>
          <w:tcPr>
            <w:tcW w:w="1020" w:type="dxa"/>
            <w:vAlign w:val="bottom"/>
            <w:shd w:val="clear" w:color="auto" w:fill="DCEBF4"/>
          </w:tcPr>
          <w:p>
            <w:pPr>
              <w:spacing w:after="0"/>
              <w:rPr>
                <w:sz w:val="14"/>
                <w:szCs w:val="14"/>
                <w:color w:val="auto"/>
              </w:rPr>
            </w:pPr>
          </w:p>
        </w:tc>
        <w:tc>
          <w:tcPr>
            <w:tcW w:w="4380" w:type="dxa"/>
            <w:vAlign w:val="bottom"/>
            <w:shd w:val="clear" w:color="auto" w:fill="DCEBF4"/>
          </w:tcPr>
          <w:p>
            <w:pPr>
              <w:ind w:left="180"/>
              <w:spacing w:after="0"/>
              <w:rPr>
                <w:sz w:val="20"/>
                <w:szCs w:val="20"/>
                <w:color w:val="auto"/>
              </w:rPr>
            </w:pPr>
            <w:r>
              <w:rPr>
                <w:rFonts w:ascii="Arial" w:cs="Arial" w:eastAsia="Arial" w:hAnsi="Arial"/>
                <w:sz w:val="14"/>
                <w:szCs w:val="14"/>
                <w:b w:val="1"/>
                <w:bCs w:val="1"/>
                <w:color w:val="auto"/>
              </w:rPr>
              <w:t>below the initial stock price on the related determination</w:t>
            </w:r>
          </w:p>
        </w:tc>
      </w:tr>
      <w:tr>
        <w:trPr>
          <w:trHeight w:val="196"/>
        </w:trPr>
        <w:tc>
          <w:tcPr>
            <w:tcW w:w="1020" w:type="dxa"/>
            <w:vAlign w:val="bottom"/>
            <w:shd w:val="clear" w:color="auto" w:fill="DCEBF4"/>
          </w:tcPr>
          <w:p>
            <w:pPr>
              <w:spacing w:after="0"/>
              <w:rPr>
                <w:sz w:val="17"/>
                <w:szCs w:val="17"/>
                <w:color w:val="auto"/>
              </w:rPr>
            </w:pPr>
          </w:p>
        </w:tc>
        <w:tc>
          <w:tcPr>
            <w:tcW w:w="4380" w:type="dxa"/>
            <w:vAlign w:val="bottom"/>
            <w:shd w:val="clear" w:color="auto" w:fill="DCEBF4"/>
          </w:tcPr>
          <w:p>
            <w:pPr>
              <w:ind w:left="180"/>
              <w:spacing w:after="0"/>
              <w:rPr>
                <w:sz w:val="20"/>
                <w:szCs w:val="20"/>
                <w:color w:val="auto"/>
              </w:rPr>
            </w:pPr>
            <w:r>
              <w:rPr>
                <w:rFonts w:ascii="Arial" w:cs="Arial" w:eastAsia="Arial" w:hAnsi="Arial"/>
                <w:sz w:val="14"/>
                <w:szCs w:val="14"/>
                <w:b w:val="1"/>
                <w:bCs w:val="1"/>
                <w:color w:val="auto"/>
              </w:rPr>
              <w:t>date.</w:t>
            </w:r>
          </w:p>
        </w:tc>
      </w:tr>
      <w:tr>
        <w:trPr>
          <w:trHeight w:val="29"/>
        </w:trPr>
        <w:tc>
          <w:tcPr>
            <w:tcW w:w="1020" w:type="dxa"/>
            <w:vAlign w:val="bottom"/>
            <w:shd w:val="clear" w:color="auto" w:fill="DCEBF4"/>
          </w:tcPr>
          <w:p>
            <w:pPr>
              <w:spacing w:after="0"/>
              <w:rPr>
                <w:sz w:val="2"/>
                <w:szCs w:val="2"/>
                <w:color w:val="auto"/>
              </w:rPr>
            </w:pPr>
          </w:p>
        </w:tc>
        <w:tc>
          <w:tcPr>
            <w:tcW w:w="4380" w:type="dxa"/>
            <w:vAlign w:val="bottom"/>
            <w:shd w:val="clear" w:color="auto" w:fill="DCEBF4"/>
          </w:tcPr>
          <w:p>
            <w:pPr>
              <w:spacing w:after="0"/>
              <w:rPr>
                <w:sz w:val="2"/>
                <w:szCs w:val="2"/>
                <w:color w:val="auto"/>
              </w:rPr>
            </w:pPr>
          </w:p>
        </w:tc>
      </w:tr>
    </w:tbl>
    <w:p>
      <w:pPr>
        <w:spacing w:after="0" w:line="4" w:lineRule="exact"/>
        <w:rPr>
          <w:sz w:val="24"/>
          <w:szCs w:val="24"/>
          <w:color w:val="auto"/>
        </w:rPr>
      </w:pPr>
    </w:p>
    <w:p>
      <w:pPr>
        <w:spacing w:after="0"/>
        <w:rPr>
          <w:sz w:val="20"/>
          <w:szCs w:val="20"/>
          <w:color w:val="auto"/>
        </w:rPr>
      </w:pPr>
      <w:r>
        <w:rPr>
          <w:rFonts w:ascii="Arial" w:cs="Arial" w:eastAsia="Arial" w:hAnsi="Arial"/>
          <w:sz w:val="14"/>
          <w:szCs w:val="14"/>
          <w:b w:val="1"/>
          <w:bCs w:val="1"/>
          <w:color w:val="296DC1"/>
        </w:rPr>
        <w:t>Early redemption</w:t>
      </w:r>
      <w:r>
        <w:rPr>
          <w:rFonts w:ascii="Arial" w:cs="Arial" w:eastAsia="Arial" w:hAnsi="Arial"/>
          <w:sz w:val="14"/>
          <w:szCs w:val="14"/>
          <w:color w:val="000000"/>
        </w:rPr>
        <w:t>The early redemption payment will be an amount equal to (i) the</w:t>
      </w:r>
    </w:p>
    <w:p>
      <w:pPr>
        <w:spacing w:after="0" w:line="15" w:lineRule="exact"/>
        <w:rPr>
          <w:sz w:val="24"/>
          <w:szCs w:val="24"/>
          <w:color w:val="auto"/>
        </w:rPr>
      </w:pPr>
    </w:p>
    <w:p>
      <w:pPr>
        <w:spacing w:after="0"/>
        <w:tabs>
          <w:tab w:leader="none" w:pos="1180" w:val="left"/>
        </w:tabs>
        <w:rPr>
          <w:sz w:val="20"/>
          <w:szCs w:val="20"/>
          <w:color w:val="auto"/>
        </w:rPr>
      </w:pPr>
      <w:r>
        <w:rPr>
          <w:rFonts w:ascii="Arial" w:cs="Arial" w:eastAsia="Arial" w:hAnsi="Arial"/>
          <w:sz w:val="14"/>
          <w:szCs w:val="14"/>
          <w:b w:val="1"/>
          <w:bCs w:val="1"/>
          <w:color w:val="296DC1"/>
        </w:rPr>
        <w:t>payment:</w:t>
      </w:r>
      <w:r>
        <w:rPr>
          <w:sz w:val="20"/>
          <w:szCs w:val="20"/>
          <w:color w:val="auto"/>
        </w:rPr>
        <w:tab/>
      </w:r>
      <w:r>
        <w:rPr>
          <w:rFonts w:ascii="Arial" w:cs="Arial" w:eastAsia="Arial" w:hAnsi="Arial"/>
          <w:sz w:val="14"/>
          <w:szCs w:val="14"/>
          <w:color w:val="auto"/>
        </w:rPr>
        <w:t xml:space="preserve">stated principal amount </w:t>
      </w:r>
      <w:r>
        <w:rPr>
          <w:rFonts w:ascii="Arial" w:cs="Arial" w:eastAsia="Arial" w:hAnsi="Arial"/>
          <w:sz w:val="14"/>
          <w:szCs w:val="14"/>
          <w:i w:val="1"/>
          <w:iCs w:val="1"/>
          <w:color w:val="auto"/>
        </w:rPr>
        <w:t>plus</w:t>
      </w:r>
      <w:r>
        <w:rPr>
          <w:rFonts w:ascii="Arial" w:cs="Arial" w:eastAsia="Arial" w:hAnsi="Arial"/>
          <w:sz w:val="14"/>
          <w:szCs w:val="14"/>
          <w:color w:val="auto"/>
        </w:rPr>
        <w:t xml:space="preserve"> (ii) the contingent quarterly payment</w:t>
      </w:r>
    </w:p>
    <w:p>
      <w:pPr>
        <w:spacing w:after="0" w:line="1" w:lineRule="exact"/>
        <w:rPr>
          <w:sz w:val="24"/>
          <w:szCs w:val="24"/>
          <w:color w:val="auto"/>
        </w:rPr>
      </w:pPr>
    </w:p>
    <w:p>
      <w:pPr>
        <w:jc w:val="center"/>
        <w:ind w:right="80"/>
        <w:spacing w:after="0"/>
        <w:rPr>
          <w:sz w:val="20"/>
          <w:szCs w:val="20"/>
          <w:color w:val="auto"/>
        </w:rPr>
      </w:pPr>
      <w:r>
        <w:rPr>
          <w:rFonts w:ascii="Arial" w:cs="Arial" w:eastAsia="Arial" w:hAnsi="Arial"/>
          <w:sz w:val="14"/>
          <w:szCs w:val="14"/>
          <w:color w:val="auto"/>
        </w:rPr>
        <w:t>with respect to the related determination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420110" cy="13544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0110" cy="1354455"/>
                    </a:xfrm>
                    <a:prstGeom prst="rect">
                      <a:avLst/>
                    </a:prstGeom>
                    <a:noFill/>
                  </pic:spPr>
                </pic:pic>
              </a:graphicData>
            </a:graphic>
          </wp:anchor>
        </w:drawing>
      </w:r>
    </w:p>
    <w:p>
      <w:pPr>
        <w:spacing w:after="0"/>
        <w:tabs>
          <w:tab w:leader="none" w:pos="1180" w:val="left"/>
          <w:tab w:leader="none" w:pos="1320" w:val="left"/>
        </w:tabs>
        <w:rPr>
          <w:sz w:val="20"/>
          <w:szCs w:val="20"/>
          <w:color w:val="auto"/>
        </w:rPr>
      </w:pPr>
      <w:r>
        <w:rPr>
          <w:rFonts w:ascii="Arial" w:cs="Arial" w:eastAsia="Arial" w:hAnsi="Arial"/>
          <w:sz w:val="14"/>
          <w:szCs w:val="14"/>
          <w:b w:val="1"/>
          <w:bCs w:val="1"/>
          <w:color w:val="296DC1"/>
        </w:rPr>
        <w:t>Contingent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Arial" w:cs="Arial" w:eastAsia="Arial" w:hAnsi="Arial"/>
          <w:sz w:val="14"/>
          <w:szCs w:val="14"/>
          <w:color w:val="auto"/>
        </w:rPr>
        <w:t>If, on any determination date, the closing price of the underlying</w:t>
      </w:r>
    </w:p>
    <w:p>
      <w:pPr>
        <w:spacing w:after="0" w:line="13" w:lineRule="exact"/>
        <w:rPr>
          <w:sz w:val="24"/>
          <w:szCs w:val="24"/>
          <w:color w:val="auto"/>
        </w:rPr>
      </w:pPr>
    </w:p>
    <w:p>
      <w:pPr>
        <w:spacing w:after="0"/>
        <w:tabs>
          <w:tab w:leader="none" w:pos="1360" w:val="left"/>
        </w:tabs>
        <w:rPr>
          <w:sz w:val="20"/>
          <w:szCs w:val="20"/>
          <w:color w:val="auto"/>
        </w:rPr>
      </w:pPr>
      <w:r>
        <w:rPr>
          <w:rFonts w:ascii="Arial" w:cs="Arial" w:eastAsia="Arial" w:hAnsi="Arial"/>
          <w:sz w:val="14"/>
          <w:szCs w:val="14"/>
          <w:b w:val="1"/>
          <w:bCs w:val="1"/>
          <w:color w:val="296DC1"/>
        </w:rPr>
        <w:t>quarterly</w:t>
      </w:r>
      <w:r>
        <w:rPr>
          <w:sz w:val="20"/>
          <w:szCs w:val="20"/>
          <w:color w:val="auto"/>
        </w:rPr>
        <w:tab/>
      </w:r>
      <w:r>
        <w:rPr>
          <w:rFonts w:ascii="Arial" w:cs="Arial" w:eastAsia="Arial" w:hAnsi="Arial"/>
          <w:sz w:val="14"/>
          <w:szCs w:val="14"/>
          <w:color w:val="auto"/>
        </w:rPr>
        <w:t>stock is greater than or equal to the downside threshold level,</w:t>
      </w:r>
    </w:p>
    <w:p>
      <w:pPr>
        <w:spacing w:after="0" w:line="1" w:lineRule="exact"/>
        <w:rPr>
          <w:sz w:val="24"/>
          <w:szCs w:val="24"/>
          <w:color w:val="auto"/>
        </w:rPr>
      </w:pPr>
    </w:p>
    <w:p>
      <w:pPr>
        <w:ind w:left="1380" w:right="120" w:hanging="1379"/>
        <w:spacing w:after="0" w:line="241" w:lineRule="auto"/>
        <w:tabs>
          <w:tab w:leader="none" w:pos="1360" w:val="left"/>
        </w:tabs>
        <w:rPr>
          <w:sz w:val="20"/>
          <w:szCs w:val="20"/>
          <w:color w:val="auto"/>
        </w:rPr>
      </w:pPr>
      <w:r>
        <w:rPr>
          <w:rFonts w:ascii="Arial" w:cs="Arial" w:eastAsia="Arial" w:hAnsi="Arial"/>
          <w:sz w:val="14"/>
          <w:szCs w:val="14"/>
          <w:b w:val="1"/>
          <w:bCs w:val="1"/>
          <w:color w:val="296DC1"/>
        </w:rPr>
        <w:t>payment:</w:t>
      </w:r>
      <w:r>
        <w:rPr>
          <w:sz w:val="20"/>
          <w:szCs w:val="20"/>
          <w:color w:val="auto"/>
        </w:rPr>
        <w:tab/>
      </w:r>
      <w:r>
        <w:rPr>
          <w:rFonts w:ascii="Arial" w:cs="Arial" w:eastAsia="Arial" w:hAnsi="Arial"/>
          <w:sz w:val="14"/>
          <w:szCs w:val="14"/>
          <w:color w:val="auto"/>
        </w:rPr>
        <w:t>we will pay a contingent quarterly payment of at least $25.50 (at least 2.55% of the stated principal amount) per security on the related contingent payment date. The actual contingent quarterly payment will be provided in the pricing supplement.</w:t>
      </w:r>
    </w:p>
    <w:p>
      <w:pPr>
        <w:spacing w:after="0" w:line="1" w:lineRule="exact"/>
        <w:rPr>
          <w:sz w:val="24"/>
          <w:szCs w:val="24"/>
          <w:color w:val="auto"/>
        </w:rPr>
      </w:pPr>
    </w:p>
    <w:p>
      <w:pPr>
        <w:ind w:left="1380" w:right="20" w:hanging="184"/>
        <w:spacing w:after="0" w:line="245" w:lineRule="auto"/>
        <w:tabs>
          <w:tab w:leader="none" w:pos="1346" w:val="left"/>
        </w:tabs>
        <w:numPr>
          <w:ilvl w:val="0"/>
          <w:numId w:val="1"/>
        </w:numPr>
        <w:rPr>
          <w:rFonts w:ascii="Times New Roman" w:cs="Times New Roman" w:eastAsia="Times New Roman" w:hAnsi="Times New Roman"/>
          <w:sz w:val="14"/>
          <w:szCs w:val="14"/>
          <w:color w:val="auto"/>
        </w:rPr>
      </w:pPr>
      <w:r>
        <w:rPr>
          <w:rFonts w:ascii="Arial" w:cs="Arial" w:eastAsia="Arial" w:hAnsi="Arial"/>
          <w:sz w:val="14"/>
          <w:szCs w:val="14"/>
          <w:color w:val="auto"/>
        </w:rPr>
        <w:t xml:space="preserve">If, on any determination date, the closing price of the underlying stock is less than the downside threshold level, no contingent quarterly payment will be made with respect to that determination date. </w:t>
      </w:r>
      <w:r>
        <w:rPr>
          <w:rFonts w:ascii="Arial" w:cs="Arial" w:eastAsia="Arial" w:hAnsi="Arial"/>
          <w:sz w:val="14"/>
          <w:szCs w:val="14"/>
          <w:b w:val="1"/>
          <w:bCs w:val="1"/>
          <w:color w:val="auto"/>
        </w:rPr>
        <w:t>It is possible that the closing price of</w:t>
      </w:r>
      <w:r>
        <w:rPr>
          <w:rFonts w:ascii="Arial" w:cs="Arial" w:eastAsia="Arial" w:hAnsi="Arial"/>
          <w:sz w:val="14"/>
          <w:szCs w:val="14"/>
          <w:color w:val="auto"/>
        </w:rPr>
        <w:t xml:space="preserve"> </w:t>
      </w:r>
      <w:r>
        <w:rPr>
          <w:rFonts w:ascii="Arial" w:cs="Arial" w:eastAsia="Arial" w:hAnsi="Arial"/>
          <w:sz w:val="14"/>
          <w:szCs w:val="14"/>
          <w:b w:val="1"/>
          <w:bCs w:val="1"/>
          <w:color w:val="auto"/>
        </w:rPr>
        <w:t>the underlying stock will be below the downside threshold level on most or all of the determination dates so that you will receive few or no contingent quarterly payments.</w:t>
      </w:r>
    </w:p>
    <w:p>
      <w:pPr>
        <w:spacing w:after="0" w:line="3" w:lineRule="exact"/>
        <w:rPr>
          <w:sz w:val="24"/>
          <w:szCs w:val="24"/>
          <w:color w:val="auto"/>
        </w:rPr>
      </w:pPr>
    </w:p>
    <w:p>
      <w:pPr>
        <w:spacing w:after="0"/>
        <w:tabs>
          <w:tab w:leader="none" w:pos="1180" w:val="left"/>
        </w:tabs>
        <w:rPr>
          <w:sz w:val="20"/>
          <w:szCs w:val="20"/>
          <w:color w:val="auto"/>
        </w:rPr>
      </w:pPr>
      <w:r>
        <w:rPr>
          <w:rFonts w:ascii="Arial" w:cs="Arial" w:eastAsia="Arial" w:hAnsi="Arial"/>
          <w:sz w:val="14"/>
          <w:szCs w:val="14"/>
          <w:b w:val="1"/>
          <w:bCs w:val="1"/>
          <w:color w:val="296DC1"/>
        </w:rPr>
        <w:t>Determination</w:t>
      </w:r>
      <w:r>
        <w:rPr>
          <w:sz w:val="20"/>
          <w:szCs w:val="20"/>
          <w:color w:val="auto"/>
        </w:rPr>
        <w:tab/>
      </w:r>
      <w:r>
        <w:rPr>
          <w:rFonts w:ascii="Arial" w:cs="Arial" w:eastAsia="Arial" w:hAnsi="Arial"/>
          <w:sz w:val="14"/>
          <w:szCs w:val="14"/>
          <w:color w:val="auto"/>
        </w:rPr>
        <w:t>November 3, 2025, February 2, 2026, May 1, 2026, August 3,</w:t>
      </w:r>
    </w:p>
    <w:p>
      <w:pPr>
        <w:spacing w:after="0" w:line="3" w:lineRule="exact"/>
        <w:rPr>
          <w:sz w:val="24"/>
          <w:szCs w:val="24"/>
          <w:color w:val="auto"/>
        </w:rPr>
      </w:pPr>
    </w:p>
    <w:p>
      <w:pPr>
        <w:ind w:left="1200" w:right="40" w:hanging="1187"/>
        <w:spacing w:after="0" w:line="256" w:lineRule="auto"/>
        <w:tabs>
          <w:tab w:leader="none" w:pos="1180" w:val="left"/>
        </w:tabs>
        <w:rPr>
          <w:sz w:val="20"/>
          <w:szCs w:val="20"/>
          <w:color w:val="auto"/>
        </w:rPr>
      </w:pPr>
      <w:r>
        <w:rPr>
          <w:rFonts w:ascii="Arial" w:cs="Arial" w:eastAsia="Arial" w:hAnsi="Arial"/>
          <w:sz w:val="28"/>
          <w:szCs w:val="28"/>
          <w:b w:val="1"/>
          <w:bCs w:val="1"/>
          <w:color w:val="296DC1"/>
          <w:vertAlign w:val="subscript"/>
        </w:rPr>
        <w:t>dates</w:t>
      </w:r>
      <w:r>
        <w:rPr>
          <w:rFonts w:ascii="Arial" w:cs="Arial" w:eastAsia="Arial" w:hAnsi="Arial"/>
          <w:sz w:val="23"/>
          <w:szCs w:val="23"/>
          <w:b w:val="1"/>
          <w:bCs w:val="1"/>
          <w:color w:val="296DC1"/>
          <w:vertAlign w:val="superscript"/>
        </w:rPr>
        <w:t>†</w:t>
      </w:r>
      <w:r>
        <w:rPr>
          <w:rFonts w:ascii="Arial" w:cs="Arial" w:eastAsia="Arial" w:hAnsi="Arial"/>
          <w:sz w:val="28"/>
          <w:szCs w:val="28"/>
          <w:b w:val="1"/>
          <w:bCs w:val="1"/>
          <w:color w:val="296DC1"/>
          <w:vertAlign w:val="subscript"/>
        </w:rPr>
        <w:t>:</w:t>
      </w:r>
      <w:r>
        <w:rPr>
          <w:sz w:val="20"/>
          <w:szCs w:val="20"/>
          <w:color w:val="auto"/>
        </w:rPr>
        <w:tab/>
      </w:r>
      <w:r>
        <w:rPr>
          <w:rFonts w:ascii="Arial" w:cs="Arial" w:eastAsia="Arial" w:hAnsi="Arial"/>
          <w:sz w:val="14"/>
          <w:szCs w:val="14"/>
          <w:color w:val="auto"/>
        </w:rPr>
        <w:t>2026, November 2, 2026, February 1, 2027, May 3, 2027, August 2, 2027, November 1, 2027, February 1, 2028, May 1, 2028 and August 1, 2028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420110"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0110" cy="4286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shd w:val="clear" w:color="auto" w:fill="DCEBF4"/>
          </w:tcPr>
          <w:p>
            <w:pPr>
              <w:spacing w:after="0"/>
              <w:rPr>
                <w:sz w:val="20"/>
                <w:szCs w:val="20"/>
                <w:color w:val="auto"/>
              </w:rPr>
            </w:pPr>
            <w:r>
              <w:rPr>
                <w:rFonts w:ascii="Arial" w:cs="Arial" w:eastAsia="Arial" w:hAnsi="Arial"/>
                <w:sz w:val="14"/>
                <w:szCs w:val="14"/>
                <w:b w:val="1"/>
                <w:bCs w:val="1"/>
                <w:color w:val="296DC1"/>
              </w:rPr>
              <w:t>Stock</w:t>
            </w:r>
          </w:p>
        </w:tc>
        <w:tc>
          <w:tcPr>
            <w:tcW w:w="4040" w:type="dxa"/>
            <w:vAlign w:val="bottom"/>
            <w:gridSpan w:val="3"/>
            <w:shd w:val="clear" w:color="auto" w:fill="DCEBF4"/>
          </w:tcPr>
          <w:p>
            <w:pPr>
              <w:spacing w:after="0"/>
              <w:rPr>
                <w:sz w:val="20"/>
                <w:szCs w:val="20"/>
                <w:color w:val="auto"/>
              </w:rPr>
            </w:pPr>
            <w:r>
              <w:rPr>
                <w:rFonts w:ascii="Arial" w:cs="Arial" w:eastAsia="Arial" w:hAnsi="Arial"/>
                <w:sz w:val="14"/>
                <w:szCs w:val="14"/>
                <w:color w:val="auto"/>
              </w:rPr>
              <w:t>final stock price / initial stock price</w:t>
            </w:r>
          </w:p>
        </w:tc>
      </w:tr>
      <w:tr>
        <w:trPr>
          <w:trHeight w:val="162"/>
        </w:trPr>
        <w:tc>
          <w:tcPr>
            <w:tcW w:w="20" w:type="dxa"/>
            <w:vAlign w:val="bottom"/>
          </w:tcPr>
          <w:p>
            <w:pPr>
              <w:spacing w:after="0"/>
              <w:rPr>
                <w:sz w:val="14"/>
                <w:szCs w:val="14"/>
                <w:color w:val="auto"/>
              </w:rPr>
            </w:pPr>
          </w:p>
        </w:tc>
        <w:tc>
          <w:tcPr>
            <w:tcW w:w="1340" w:type="dxa"/>
            <w:vAlign w:val="bottom"/>
            <w:shd w:val="clear" w:color="auto" w:fill="DCEBF4"/>
          </w:tcPr>
          <w:p>
            <w:pPr>
              <w:spacing w:after="0"/>
              <w:rPr>
                <w:sz w:val="20"/>
                <w:szCs w:val="20"/>
                <w:color w:val="auto"/>
              </w:rPr>
            </w:pPr>
            <w:r>
              <w:rPr>
                <w:rFonts w:ascii="Arial" w:cs="Arial" w:eastAsia="Arial" w:hAnsi="Arial"/>
                <w:sz w:val="14"/>
                <w:szCs w:val="14"/>
                <w:b w:val="1"/>
                <w:bCs w:val="1"/>
                <w:color w:val="296DC1"/>
              </w:rPr>
              <w:t>performance</w:t>
            </w:r>
          </w:p>
        </w:tc>
        <w:tc>
          <w:tcPr>
            <w:tcW w:w="2560" w:type="dxa"/>
            <w:vAlign w:val="bottom"/>
            <w:shd w:val="clear" w:color="auto" w:fill="DCEBF4"/>
          </w:tcPr>
          <w:p>
            <w:pPr>
              <w:spacing w:after="0"/>
              <w:rPr>
                <w:sz w:val="14"/>
                <w:szCs w:val="14"/>
                <w:color w:val="auto"/>
              </w:rPr>
            </w:pPr>
          </w:p>
        </w:tc>
        <w:tc>
          <w:tcPr>
            <w:tcW w:w="1040" w:type="dxa"/>
            <w:vAlign w:val="bottom"/>
            <w:shd w:val="clear" w:color="auto" w:fill="DCEBF4"/>
          </w:tcPr>
          <w:p>
            <w:pPr>
              <w:spacing w:after="0"/>
              <w:rPr>
                <w:sz w:val="14"/>
                <w:szCs w:val="14"/>
                <w:color w:val="auto"/>
              </w:rPr>
            </w:pPr>
          </w:p>
        </w:tc>
        <w:tc>
          <w:tcPr>
            <w:tcW w:w="440" w:type="dxa"/>
            <w:vAlign w:val="bottom"/>
            <w:shd w:val="clear" w:color="auto" w:fill="DCEBF4"/>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1340" w:type="dxa"/>
            <w:vAlign w:val="bottom"/>
            <w:shd w:val="clear" w:color="auto" w:fill="DCEBF4"/>
          </w:tcPr>
          <w:p>
            <w:pPr>
              <w:spacing w:after="0"/>
              <w:rPr>
                <w:sz w:val="20"/>
                <w:szCs w:val="20"/>
                <w:color w:val="auto"/>
              </w:rPr>
            </w:pPr>
            <w:r>
              <w:rPr>
                <w:rFonts w:ascii="Arial" w:cs="Arial" w:eastAsia="Arial" w:hAnsi="Arial"/>
                <w:sz w:val="14"/>
                <w:szCs w:val="14"/>
                <w:b w:val="1"/>
                <w:bCs w:val="1"/>
                <w:color w:val="296DC1"/>
              </w:rPr>
              <w:t>factor:</w:t>
            </w:r>
          </w:p>
        </w:tc>
        <w:tc>
          <w:tcPr>
            <w:tcW w:w="2560" w:type="dxa"/>
            <w:vAlign w:val="bottom"/>
            <w:shd w:val="clear" w:color="auto" w:fill="DCEBF4"/>
          </w:tcPr>
          <w:p>
            <w:pPr>
              <w:spacing w:after="0"/>
              <w:rPr>
                <w:sz w:val="16"/>
                <w:szCs w:val="16"/>
                <w:color w:val="auto"/>
              </w:rPr>
            </w:pPr>
          </w:p>
        </w:tc>
        <w:tc>
          <w:tcPr>
            <w:tcW w:w="1040" w:type="dxa"/>
            <w:vAlign w:val="bottom"/>
            <w:shd w:val="clear" w:color="auto" w:fill="DCEBF4"/>
          </w:tcPr>
          <w:p>
            <w:pPr>
              <w:spacing w:after="0"/>
              <w:rPr>
                <w:sz w:val="16"/>
                <w:szCs w:val="16"/>
                <w:color w:val="auto"/>
              </w:rPr>
            </w:pPr>
          </w:p>
        </w:tc>
        <w:tc>
          <w:tcPr>
            <w:tcW w:w="440" w:type="dxa"/>
            <w:vAlign w:val="bottom"/>
            <w:shd w:val="clear" w:color="auto" w:fill="DCEBF4"/>
          </w:tcPr>
          <w:p>
            <w:pPr>
              <w:spacing w:after="0"/>
              <w:rPr>
                <w:sz w:val="16"/>
                <w:szCs w:val="16"/>
                <w:color w:val="auto"/>
              </w:rPr>
            </w:pPr>
          </w:p>
        </w:tc>
      </w:tr>
      <w:tr>
        <w:trPr>
          <w:trHeight w:val="166"/>
        </w:trPr>
        <w:tc>
          <w:tcPr>
            <w:tcW w:w="1360" w:type="dxa"/>
            <w:vAlign w:val="bottom"/>
            <w:gridSpan w:val="2"/>
          </w:tcPr>
          <w:p>
            <w:pPr>
              <w:spacing w:after="0"/>
              <w:rPr>
                <w:sz w:val="20"/>
                <w:szCs w:val="20"/>
                <w:color w:val="auto"/>
              </w:rPr>
            </w:pPr>
            <w:r>
              <w:rPr>
                <w:rFonts w:ascii="Arial" w:cs="Arial" w:eastAsia="Arial" w:hAnsi="Arial"/>
                <w:sz w:val="14"/>
                <w:szCs w:val="14"/>
                <w:b w:val="1"/>
                <w:bCs w:val="1"/>
                <w:color w:val="296DC1"/>
              </w:rPr>
              <w:t>Stated principal</w:t>
            </w:r>
          </w:p>
        </w:tc>
        <w:tc>
          <w:tcPr>
            <w:tcW w:w="4040" w:type="dxa"/>
            <w:vAlign w:val="bottom"/>
            <w:gridSpan w:val="3"/>
          </w:tcPr>
          <w:p>
            <w:pPr>
              <w:spacing w:after="0"/>
              <w:rPr>
                <w:sz w:val="20"/>
                <w:szCs w:val="20"/>
                <w:color w:val="auto"/>
              </w:rPr>
            </w:pPr>
            <w:r>
              <w:rPr>
                <w:rFonts w:ascii="Arial" w:cs="Arial" w:eastAsia="Arial" w:hAnsi="Arial"/>
                <w:sz w:val="14"/>
                <w:szCs w:val="14"/>
                <w:color w:val="auto"/>
              </w:rPr>
              <w:t>$1,000 per security</w:t>
            </w:r>
          </w:p>
        </w:tc>
      </w:tr>
      <w:tr>
        <w:trPr>
          <w:trHeight w:val="185"/>
        </w:trPr>
        <w:tc>
          <w:tcPr>
            <w:tcW w:w="1360" w:type="dxa"/>
            <w:vAlign w:val="bottom"/>
            <w:gridSpan w:val="2"/>
          </w:tcPr>
          <w:p>
            <w:pPr>
              <w:spacing w:after="0"/>
              <w:rPr>
                <w:sz w:val="20"/>
                <w:szCs w:val="20"/>
                <w:color w:val="auto"/>
              </w:rPr>
            </w:pPr>
            <w:r>
              <w:rPr>
                <w:rFonts w:ascii="Arial" w:cs="Arial" w:eastAsia="Arial" w:hAnsi="Arial"/>
                <w:sz w:val="14"/>
                <w:szCs w:val="14"/>
                <w:b w:val="1"/>
                <w:bCs w:val="1"/>
                <w:color w:val="296DC1"/>
              </w:rPr>
              <w:t>amount:</w:t>
            </w:r>
          </w:p>
        </w:tc>
        <w:tc>
          <w:tcPr>
            <w:tcW w:w="2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1340" w:type="dxa"/>
            <w:vAlign w:val="bottom"/>
            <w:tcBorders>
              <w:bottom w:val="single" w:sz="8" w:color="DCEBF4"/>
            </w:tcBorders>
            <w:shd w:val="clear" w:color="auto" w:fill="DCEBF4"/>
          </w:tcPr>
          <w:p>
            <w:pPr>
              <w:spacing w:after="0"/>
              <w:rPr>
                <w:sz w:val="20"/>
                <w:szCs w:val="20"/>
                <w:color w:val="auto"/>
              </w:rPr>
            </w:pPr>
            <w:r>
              <w:rPr>
                <w:rFonts w:ascii="Arial" w:cs="Arial" w:eastAsia="Arial" w:hAnsi="Arial"/>
                <w:sz w:val="14"/>
                <w:szCs w:val="14"/>
                <w:b w:val="1"/>
                <w:bCs w:val="1"/>
                <w:color w:val="296DC1"/>
              </w:rPr>
              <w:t>Issue price:</w:t>
            </w:r>
          </w:p>
        </w:tc>
        <w:tc>
          <w:tcPr>
            <w:tcW w:w="4040" w:type="dxa"/>
            <w:vAlign w:val="bottom"/>
            <w:tcBorders>
              <w:bottom w:val="single" w:sz="8" w:color="DCEBF4"/>
            </w:tcBorders>
            <w:gridSpan w:val="3"/>
            <w:shd w:val="clear" w:color="auto" w:fill="DCEBF4"/>
          </w:tcPr>
          <w:p>
            <w:pPr>
              <w:spacing w:after="0"/>
              <w:rPr>
                <w:sz w:val="20"/>
                <w:szCs w:val="20"/>
                <w:color w:val="auto"/>
              </w:rPr>
            </w:pPr>
            <w:r>
              <w:rPr>
                <w:rFonts w:ascii="Arial" w:cs="Arial" w:eastAsia="Arial" w:hAnsi="Arial"/>
                <w:sz w:val="14"/>
                <w:szCs w:val="14"/>
                <w:color w:val="auto"/>
              </w:rPr>
              <w:t>$1,000 per security</w:t>
            </w:r>
          </w:p>
        </w:tc>
      </w:tr>
      <w:tr>
        <w:trPr>
          <w:trHeight w:val="200"/>
        </w:trPr>
        <w:tc>
          <w:tcPr>
            <w:tcW w:w="1360" w:type="dxa"/>
            <w:vAlign w:val="bottom"/>
            <w:gridSpan w:val="2"/>
          </w:tcPr>
          <w:p>
            <w:pPr>
              <w:spacing w:after="0"/>
              <w:rPr>
                <w:sz w:val="20"/>
                <w:szCs w:val="20"/>
                <w:color w:val="auto"/>
              </w:rPr>
            </w:pPr>
            <w:r>
              <w:rPr>
                <w:rFonts w:ascii="Arial" w:cs="Arial" w:eastAsia="Arial" w:hAnsi="Arial"/>
                <w:sz w:val="14"/>
                <w:szCs w:val="14"/>
                <w:b w:val="1"/>
                <w:bCs w:val="1"/>
                <w:color w:val="296DC1"/>
              </w:rPr>
              <w:t>Pricing date:</w:t>
            </w:r>
          </w:p>
        </w:tc>
        <w:tc>
          <w:tcPr>
            <w:tcW w:w="4040" w:type="dxa"/>
            <w:vAlign w:val="bottom"/>
            <w:gridSpan w:val="3"/>
          </w:tcPr>
          <w:p>
            <w:pPr>
              <w:spacing w:after="0"/>
              <w:rPr>
                <w:sz w:val="20"/>
                <w:szCs w:val="20"/>
                <w:color w:val="auto"/>
              </w:rPr>
            </w:pPr>
            <w:r>
              <w:rPr>
                <w:rFonts w:ascii="Arial" w:cs="Arial" w:eastAsia="Arial" w:hAnsi="Arial"/>
                <w:sz w:val="14"/>
                <w:szCs w:val="14"/>
                <w:color w:val="auto"/>
              </w:rPr>
              <w:t>Expected to be August 1, 2025</w:t>
            </w:r>
          </w:p>
        </w:tc>
      </w:tr>
      <w:tr>
        <w:trPr>
          <w:trHeight w:val="43"/>
        </w:trPr>
        <w:tc>
          <w:tcPr>
            <w:tcW w:w="1360" w:type="dxa"/>
            <w:vAlign w:val="bottom"/>
            <w:gridSpan w:val="2"/>
          </w:tcPr>
          <w:p>
            <w:pPr>
              <w:spacing w:after="0"/>
              <w:rPr>
                <w:sz w:val="3"/>
                <w:szCs w:val="3"/>
                <w:color w:val="auto"/>
              </w:rPr>
            </w:pPr>
          </w:p>
        </w:tc>
        <w:tc>
          <w:tcPr>
            <w:tcW w:w="25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r>
      <w:tr>
        <w:trPr>
          <w:trHeight w:val="166"/>
        </w:trPr>
        <w:tc>
          <w:tcPr>
            <w:tcW w:w="20" w:type="dxa"/>
            <w:vAlign w:val="bottom"/>
          </w:tcPr>
          <w:p>
            <w:pPr>
              <w:spacing w:after="0"/>
              <w:rPr>
                <w:sz w:val="14"/>
                <w:szCs w:val="14"/>
                <w:color w:val="auto"/>
              </w:rPr>
            </w:pPr>
          </w:p>
        </w:tc>
        <w:tc>
          <w:tcPr>
            <w:tcW w:w="1340" w:type="dxa"/>
            <w:vAlign w:val="bottom"/>
            <w:shd w:val="clear" w:color="auto" w:fill="DCEBF4"/>
          </w:tcPr>
          <w:p>
            <w:pPr>
              <w:spacing w:after="0"/>
              <w:rPr>
                <w:sz w:val="20"/>
                <w:szCs w:val="20"/>
                <w:color w:val="auto"/>
              </w:rPr>
            </w:pPr>
            <w:r>
              <w:rPr>
                <w:rFonts w:ascii="Arial" w:cs="Arial" w:eastAsia="Arial" w:hAnsi="Arial"/>
                <w:sz w:val="14"/>
                <w:szCs w:val="14"/>
                <w:b w:val="1"/>
                <w:bCs w:val="1"/>
                <w:color w:val="296DC1"/>
              </w:rPr>
              <w:t>Original issue</w:t>
            </w:r>
          </w:p>
        </w:tc>
        <w:tc>
          <w:tcPr>
            <w:tcW w:w="4040" w:type="dxa"/>
            <w:vAlign w:val="bottom"/>
            <w:gridSpan w:val="3"/>
            <w:shd w:val="clear" w:color="auto" w:fill="DCEBF4"/>
          </w:tcPr>
          <w:p>
            <w:pPr>
              <w:spacing w:after="0"/>
              <w:rPr>
                <w:sz w:val="20"/>
                <w:szCs w:val="20"/>
                <w:color w:val="auto"/>
              </w:rPr>
            </w:pPr>
            <w:r>
              <w:rPr>
                <w:rFonts w:ascii="Arial" w:cs="Arial" w:eastAsia="Arial" w:hAnsi="Arial"/>
                <w:sz w:val="14"/>
                <w:szCs w:val="14"/>
                <w:color w:val="auto"/>
              </w:rPr>
              <w:t>3 business days after the pricing date</w:t>
            </w:r>
          </w:p>
        </w:tc>
      </w:tr>
      <w:tr>
        <w:trPr>
          <w:trHeight w:val="162"/>
        </w:trPr>
        <w:tc>
          <w:tcPr>
            <w:tcW w:w="20" w:type="dxa"/>
            <w:vAlign w:val="bottom"/>
          </w:tcPr>
          <w:p>
            <w:pPr>
              <w:spacing w:after="0"/>
              <w:rPr>
                <w:sz w:val="14"/>
                <w:szCs w:val="14"/>
                <w:color w:val="auto"/>
              </w:rPr>
            </w:pPr>
          </w:p>
        </w:tc>
        <w:tc>
          <w:tcPr>
            <w:tcW w:w="1340" w:type="dxa"/>
            <w:vAlign w:val="bottom"/>
            <w:shd w:val="clear" w:color="auto" w:fill="DCEBF4"/>
          </w:tcPr>
          <w:p>
            <w:pPr>
              <w:spacing w:after="0"/>
              <w:rPr>
                <w:sz w:val="20"/>
                <w:szCs w:val="20"/>
                <w:color w:val="auto"/>
              </w:rPr>
            </w:pPr>
            <w:r>
              <w:rPr>
                <w:rFonts w:ascii="Arial" w:cs="Arial" w:eastAsia="Arial" w:hAnsi="Arial"/>
                <w:sz w:val="14"/>
                <w:szCs w:val="14"/>
                <w:b w:val="1"/>
                <w:bCs w:val="1"/>
                <w:color w:val="296DC1"/>
              </w:rPr>
              <w:t>date (settlement</w:t>
            </w:r>
          </w:p>
        </w:tc>
        <w:tc>
          <w:tcPr>
            <w:tcW w:w="2560" w:type="dxa"/>
            <w:vAlign w:val="bottom"/>
            <w:shd w:val="clear" w:color="auto" w:fill="DCEBF4"/>
          </w:tcPr>
          <w:p>
            <w:pPr>
              <w:spacing w:after="0"/>
              <w:rPr>
                <w:sz w:val="14"/>
                <w:szCs w:val="14"/>
                <w:color w:val="auto"/>
              </w:rPr>
            </w:pPr>
          </w:p>
        </w:tc>
        <w:tc>
          <w:tcPr>
            <w:tcW w:w="1040" w:type="dxa"/>
            <w:vAlign w:val="bottom"/>
            <w:shd w:val="clear" w:color="auto" w:fill="DCEBF4"/>
          </w:tcPr>
          <w:p>
            <w:pPr>
              <w:spacing w:after="0"/>
              <w:rPr>
                <w:sz w:val="14"/>
                <w:szCs w:val="14"/>
                <w:color w:val="auto"/>
              </w:rPr>
            </w:pPr>
          </w:p>
        </w:tc>
        <w:tc>
          <w:tcPr>
            <w:tcW w:w="440" w:type="dxa"/>
            <w:vAlign w:val="bottom"/>
            <w:shd w:val="clear" w:color="auto" w:fill="DCEBF4"/>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1340" w:type="dxa"/>
            <w:vAlign w:val="bottom"/>
            <w:shd w:val="clear" w:color="auto" w:fill="DCEBF4"/>
          </w:tcPr>
          <w:p>
            <w:pPr>
              <w:spacing w:after="0"/>
              <w:rPr>
                <w:sz w:val="20"/>
                <w:szCs w:val="20"/>
                <w:color w:val="auto"/>
              </w:rPr>
            </w:pPr>
            <w:r>
              <w:rPr>
                <w:rFonts w:ascii="Arial" w:cs="Arial" w:eastAsia="Arial" w:hAnsi="Arial"/>
                <w:sz w:val="14"/>
                <w:szCs w:val="14"/>
                <w:b w:val="1"/>
                <w:bCs w:val="1"/>
                <w:color w:val="296DC1"/>
              </w:rPr>
              <w:t>date):</w:t>
            </w:r>
          </w:p>
        </w:tc>
        <w:tc>
          <w:tcPr>
            <w:tcW w:w="2560" w:type="dxa"/>
            <w:vAlign w:val="bottom"/>
            <w:shd w:val="clear" w:color="auto" w:fill="DCEBF4"/>
          </w:tcPr>
          <w:p>
            <w:pPr>
              <w:spacing w:after="0"/>
              <w:rPr>
                <w:sz w:val="16"/>
                <w:szCs w:val="16"/>
                <w:color w:val="auto"/>
              </w:rPr>
            </w:pPr>
          </w:p>
        </w:tc>
        <w:tc>
          <w:tcPr>
            <w:tcW w:w="1040" w:type="dxa"/>
            <w:vAlign w:val="bottom"/>
            <w:shd w:val="clear" w:color="auto" w:fill="DCEBF4"/>
          </w:tcPr>
          <w:p>
            <w:pPr>
              <w:spacing w:after="0"/>
              <w:rPr>
                <w:sz w:val="16"/>
                <w:szCs w:val="16"/>
                <w:color w:val="auto"/>
              </w:rPr>
            </w:pPr>
          </w:p>
        </w:tc>
        <w:tc>
          <w:tcPr>
            <w:tcW w:w="440" w:type="dxa"/>
            <w:vAlign w:val="bottom"/>
            <w:shd w:val="clear" w:color="auto" w:fill="DCEBF4"/>
          </w:tcPr>
          <w:p>
            <w:pPr>
              <w:spacing w:after="0"/>
              <w:rPr>
                <w:sz w:val="16"/>
                <w:szCs w:val="16"/>
                <w:color w:val="auto"/>
              </w:rPr>
            </w:pPr>
          </w:p>
        </w:tc>
      </w:tr>
      <w:tr>
        <w:trPr>
          <w:trHeight w:val="243"/>
        </w:trPr>
        <w:tc>
          <w:tcPr>
            <w:tcW w:w="1360" w:type="dxa"/>
            <w:vAlign w:val="bottom"/>
            <w:gridSpan w:val="2"/>
          </w:tcPr>
          <w:p>
            <w:pPr>
              <w:spacing w:after="0" w:line="243" w:lineRule="exact"/>
              <w:rPr>
                <w:sz w:val="20"/>
                <w:szCs w:val="20"/>
                <w:color w:val="auto"/>
              </w:rPr>
            </w:pPr>
            <w:r>
              <w:rPr>
                <w:rFonts w:ascii="Arial" w:cs="Arial" w:eastAsia="Arial" w:hAnsi="Arial"/>
                <w:sz w:val="14"/>
                <w:szCs w:val="14"/>
                <w:b w:val="1"/>
                <w:bCs w:val="1"/>
                <w:color w:val="296DC1"/>
              </w:rPr>
              <w:t>Maturity date</w:t>
            </w:r>
            <w:r>
              <w:rPr>
                <w:rFonts w:ascii="Arial" w:cs="Arial" w:eastAsia="Arial" w:hAnsi="Arial"/>
                <w:sz w:val="23"/>
                <w:szCs w:val="23"/>
                <w:b w:val="1"/>
                <w:bCs w:val="1"/>
                <w:color w:val="296DC1"/>
                <w:vertAlign w:val="superscript"/>
              </w:rPr>
              <w:t>†</w:t>
            </w:r>
            <w:r>
              <w:rPr>
                <w:rFonts w:ascii="Arial" w:cs="Arial" w:eastAsia="Arial" w:hAnsi="Arial"/>
                <w:sz w:val="14"/>
                <w:szCs w:val="14"/>
                <w:b w:val="1"/>
                <w:bCs w:val="1"/>
                <w:color w:val="296DC1"/>
              </w:rPr>
              <w:t>:</w:t>
            </w:r>
          </w:p>
        </w:tc>
        <w:tc>
          <w:tcPr>
            <w:tcW w:w="4040" w:type="dxa"/>
            <w:vAlign w:val="bottom"/>
            <w:gridSpan w:val="3"/>
          </w:tcPr>
          <w:p>
            <w:pPr>
              <w:spacing w:after="0"/>
              <w:rPr>
                <w:sz w:val="20"/>
                <w:szCs w:val="20"/>
                <w:color w:val="auto"/>
              </w:rPr>
            </w:pPr>
            <w:r>
              <w:rPr>
                <w:rFonts w:ascii="Arial" w:cs="Arial" w:eastAsia="Arial" w:hAnsi="Arial"/>
                <w:sz w:val="14"/>
                <w:szCs w:val="14"/>
                <w:color w:val="auto"/>
              </w:rPr>
              <w:t>August 4, 2028</w:t>
            </w:r>
          </w:p>
        </w:tc>
      </w:tr>
      <w:tr>
        <w:trPr>
          <w:trHeight w:val="223"/>
        </w:trPr>
        <w:tc>
          <w:tcPr>
            <w:tcW w:w="20" w:type="dxa"/>
            <w:vAlign w:val="bottom"/>
          </w:tcPr>
          <w:p>
            <w:pPr>
              <w:spacing w:after="0"/>
              <w:rPr>
                <w:sz w:val="19"/>
                <w:szCs w:val="19"/>
                <w:color w:val="auto"/>
              </w:rPr>
            </w:pPr>
          </w:p>
        </w:tc>
        <w:tc>
          <w:tcPr>
            <w:tcW w:w="1340" w:type="dxa"/>
            <w:vAlign w:val="bottom"/>
            <w:tcBorders>
              <w:bottom w:val="single" w:sz="8" w:color="DCEBF4"/>
            </w:tcBorders>
            <w:shd w:val="clear" w:color="auto" w:fill="DCEBF4"/>
          </w:tcPr>
          <w:p>
            <w:pPr>
              <w:spacing w:after="0"/>
              <w:rPr>
                <w:sz w:val="20"/>
                <w:szCs w:val="20"/>
                <w:color w:val="auto"/>
              </w:rPr>
            </w:pPr>
            <w:r>
              <w:rPr>
                <w:rFonts w:ascii="Arial" w:cs="Arial" w:eastAsia="Arial" w:hAnsi="Arial"/>
                <w:sz w:val="14"/>
                <w:szCs w:val="14"/>
                <w:b w:val="1"/>
                <w:bCs w:val="1"/>
                <w:color w:val="296DC1"/>
              </w:rPr>
              <w:t>CUSIP / ISIN:</w:t>
            </w:r>
          </w:p>
        </w:tc>
        <w:tc>
          <w:tcPr>
            <w:tcW w:w="4040" w:type="dxa"/>
            <w:vAlign w:val="bottom"/>
            <w:tcBorders>
              <w:bottom w:val="single" w:sz="8" w:color="DCEBF4"/>
            </w:tcBorders>
            <w:gridSpan w:val="3"/>
            <w:shd w:val="clear" w:color="auto" w:fill="DCEBF4"/>
          </w:tcPr>
          <w:p>
            <w:pPr>
              <w:spacing w:after="0"/>
              <w:rPr>
                <w:sz w:val="20"/>
                <w:szCs w:val="20"/>
                <w:color w:val="auto"/>
              </w:rPr>
            </w:pPr>
            <w:r>
              <w:rPr>
                <w:rFonts w:ascii="Arial" w:cs="Arial" w:eastAsia="Arial" w:hAnsi="Arial"/>
                <w:sz w:val="14"/>
                <w:szCs w:val="14"/>
                <w:color w:val="auto"/>
              </w:rPr>
              <w:t>48136FQ62 / US48136FQ621</w:t>
            </w:r>
          </w:p>
        </w:tc>
      </w:tr>
      <w:tr>
        <w:trPr>
          <w:trHeight w:val="162"/>
        </w:trPr>
        <w:tc>
          <w:tcPr>
            <w:tcW w:w="1360" w:type="dxa"/>
            <w:vAlign w:val="bottom"/>
            <w:gridSpan w:val="2"/>
          </w:tcPr>
          <w:p>
            <w:pPr>
              <w:spacing w:after="0"/>
              <w:rPr>
                <w:sz w:val="20"/>
                <w:szCs w:val="20"/>
                <w:color w:val="auto"/>
              </w:rPr>
            </w:pPr>
            <w:r>
              <w:rPr>
                <w:rFonts w:ascii="Arial" w:cs="Arial" w:eastAsia="Arial" w:hAnsi="Arial"/>
                <w:sz w:val="14"/>
                <w:szCs w:val="14"/>
                <w:b w:val="1"/>
                <w:bCs w:val="1"/>
                <w:color w:val="296DC1"/>
              </w:rPr>
              <w:t>Preliminary</w:t>
            </w:r>
          </w:p>
        </w:tc>
        <w:tc>
          <w:tcPr>
            <w:tcW w:w="4040" w:type="dxa"/>
            <w:vAlign w:val="bottom"/>
            <w:gridSpan w:val="3"/>
          </w:tcPr>
          <w:p>
            <w:pPr>
              <w:spacing w:after="0"/>
              <w:rPr>
                <w:rFonts w:ascii="Arial" w:cs="Arial" w:eastAsia="Arial" w:hAnsi="Arial"/>
                <w:sz w:val="14"/>
                <w:szCs w:val="14"/>
                <w:color w:val="0000EE"/>
              </w:rPr>
            </w:pPr>
            <w:hyperlink r:id="rId12">
              <w:r>
                <w:rPr>
                  <w:rFonts w:ascii="Arial" w:cs="Arial" w:eastAsia="Arial" w:hAnsi="Arial"/>
                  <w:sz w:val="14"/>
                  <w:szCs w:val="14"/>
                  <w:color w:val="0000EE"/>
                </w:rPr>
                <w:t>http://www.sec.gov/Archives/edgar/data/</w:t>
              </w:r>
            </w:hyperlink>
          </w:p>
        </w:tc>
      </w:tr>
      <w:tr>
        <w:trPr>
          <w:trHeight w:val="142"/>
        </w:trPr>
        <w:tc>
          <w:tcPr>
            <w:tcW w:w="1360" w:type="dxa"/>
            <w:vAlign w:val="bottom"/>
            <w:gridSpan w:val="2"/>
          </w:tcPr>
          <w:p>
            <w:pPr>
              <w:spacing w:after="0" w:line="142" w:lineRule="exact"/>
              <w:rPr>
                <w:sz w:val="20"/>
                <w:szCs w:val="20"/>
                <w:color w:val="auto"/>
              </w:rPr>
            </w:pPr>
            <w:r>
              <w:rPr>
                <w:rFonts w:ascii="Arial" w:cs="Arial" w:eastAsia="Arial" w:hAnsi="Arial"/>
                <w:sz w:val="14"/>
                <w:szCs w:val="14"/>
                <w:b w:val="1"/>
                <w:bCs w:val="1"/>
                <w:color w:val="296DC1"/>
              </w:rPr>
              <w:t>pricing</w:t>
            </w:r>
          </w:p>
        </w:tc>
        <w:tc>
          <w:tcPr>
            <w:tcW w:w="2560" w:type="dxa"/>
            <w:vAlign w:val="bottom"/>
            <w:tcBorders>
              <w:top w:val="single" w:sz="8" w:color="0000EE"/>
            </w:tcBorders>
          </w:tcPr>
          <w:p>
            <w:pPr>
              <w:spacing w:after="0" w:line="142" w:lineRule="exact"/>
              <w:rPr>
                <w:rFonts w:ascii="Arial" w:cs="Arial" w:eastAsia="Arial" w:hAnsi="Arial"/>
                <w:sz w:val="14"/>
                <w:szCs w:val="14"/>
                <w:color w:val="0000EE"/>
                <w:w w:val="98"/>
              </w:rPr>
            </w:pPr>
            <w:hyperlink r:id="rId12">
              <w:r>
                <w:rPr>
                  <w:rFonts w:ascii="Arial" w:cs="Arial" w:eastAsia="Arial" w:hAnsi="Arial"/>
                  <w:sz w:val="14"/>
                  <w:szCs w:val="14"/>
                  <w:color w:val="0000EE"/>
                  <w:w w:val="98"/>
                </w:rPr>
                <w:t>19617/000121390025067371/ea0250198</w:t>
              </w:r>
            </w:hyperlink>
          </w:p>
        </w:tc>
        <w:tc>
          <w:tcPr>
            <w:tcW w:w="1480" w:type="dxa"/>
            <w:vAlign w:val="bottom"/>
            <w:gridSpan w:val="2"/>
          </w:tcPr>
          <w:p>
            <w:pPr>
              <w:ind w:left="80"/>
              <w:spacing w:after="0" w:line="142" w:lineRule="exact"/>
              <w:rPr>
                <w:rFonts w:ascii="Arial" w:cs="Arial" w:eastAsia="Arial" w:hAnsi="Arial"/>
                <w:sz w:val="14"/>
                <w:szCs w:val="14"/>
                <w:color w:val="0000EE"/>
              </w:rPr>
            </w:pPr>
            <w:hyperlink r:id="rId12">
              <w:r>
                <w:rPr>
                  <w:rFonts w:ascii="Arial" w:cs="Arial" w:eastAsia="Arial" w:hAnsi="Arial"/>
                  <w:sz w:val="14"/>
                  <w:szCs w:val="14"/>
                  <w:color w:val="0000EE"/>
                </w:rPr>
                <w:t>-01_424b2.htm</w:t>
              </w:r>
            </w:hyperlink>
          </w:p>
        </w:tc>
      </w:tr>
      <w:tr>
        <w:trPr>
          <w:trHeight w:val="169"/>
        </w:trPr>
        <w:tc>
          <w:tcPr>
            <w:tcW w:w="1360" w:type="dxa"/>
            <w:vAlign w:val="bottom"/>
            <w:gridSpan w:val="2"/>
          </w:tcPr>
          <w:p>
            <w:pPr>
              <w:spacing w:after="0"/>
              <w:rPr>
                <w:sz w:val="20"/>
                <w:szCs w:val="20"/>
                <w:color w:val="auto"/>
              </w:rPr>
            </w:pPr>
            <w:r>
              <w:rPr>
                <w:rFonts w:ascii="Arial" w:cs="Arial" w:eastAsia="Arial" w:hAnsi="Arial"/>
                <w:sz w:val="14"/>
                <w:szCs w:val="14"/>
                <w:b w:val="1"/>
                <w:bCs w:val="1"/>
                <w:color w:val="296DC1"/>
              </w:rPr>
              <w:t>supplement:</w:t>
            </w:r>
          </w:p>
        </w:tc>
        <w:tc>
          <w:tcPr>
            <w:tcW w:w="2560" w:type="dxa"/>
            <w:vAlign w:val="bottom"/>
            <w:tcBorders>
              <w:top w:val="single" w:sz="8" w:color="0000EE"/>
            </w:tcBorders>
          </w:tcPr>
          <w:p>
            <w:pPr>
              <w:spacing w:after="0"/>
              <w:rPr>
                <w:sz w:val="14"/>
                <w:szCs w:val="14"/>
                <w:color w:val="auto"/>
              </w:rPr>
            </w:pPr>
          </w:p>
        </w:tc>
        <w:tc>
          <w:tcPr>
            <w:tcW w:w="1040" w:type="dxa"/>
            <w:vAlign w:val="bottom"/>
            <w:tcBorders>
              <w:top w:val="single" w:sz="8" w:color="0000EE"/>
            </w:tcBorders>
          </w:tcPr>
          <w:p>
            <w:pPr>
              <w:spacing w:after="0"/>
              <w:rPr>
                <w:sz w:val="14"/>
                <w:szCs w:val="14"/>
                <w:color w:val="auto"/>
              </w:rPr>
            </w:pPr>
          </w:p>
        </w:tc>
        <w:tc>
          <w:tcPr>
            <w:tcW w:w="440" w:type="dxa"/>
            <w:vAlign w:val="bottom"/>
          </w:tcPr>
          <w:p>
            <w:pPr>
              <w:spacing w:after="0"/>
              <w:rPr>
                <w:sz w:val="14"/>
                <w:szCs w:val="14"/>
                <w:color w:val="auto"/>
              </w:rPr>
            </w:pPr>
          </w:p>
        </w:tc>
      </w:tr>
    </w:tbl>
    <w:p>
      <w:pPr>
        <w:spacing w:after="0" w:line="213" w:lineRule="auto"/>
        <w:rPr>
          <w:sz w:val="20"/>
          <w:szCs w:val="20"/>
          <w:color w:val="auto"/>
        </w:rPr>
      </w:pPr>
      <w:r>
        <w:rPr>
          <w:rFonts w:ascii="Arial" w:cs="Arial" w:eastAsia="Arial" w:hAnsi="Arial"/>
          <w:sz w:val="23"/>
          <w:szCs w:val="23"/>
          <w:color w:val="auto"/>
          <w:vertAlign w:val="superscript"/>
        </w:rPr>
        <w:t>†</w:t>
      </w:r>
      <w:r>
        <w:rPr>
          <w:rFonts w:ascii="Arial" w:cs="Arial" w:eastAsia="Arial" w:hAnsi="Arial"/>
          <w:sz w:val="14"/>
          <w:szCs w:val="14"/>
          <w:color w:val="auto"/>
        </w:rPr>
        <w:t>Subject to postponement</w:t>
      </w:r>
    </w:p>
    <w:p>
      <w:pPr>
        <w:ind w:right="20"/>
        <w:spacing w:after="0" w:line="247" w:lineRule="auto"/>
        <w:rPr>
          <w:sz w:val="20"/>
          <w:szCs w:val="20"/>
          <w:color w:val="auto"/>
        </w:rPr>
      </w:pPr>
      <w:r>
        <w:rPr>
          <w:rFonts w:ascii="Arial" w:cs="Arial" w:eastAsia="Arial" w:hAnsi="Arial"/>
          <w:sz w:val="14"/>
          <w:szCs w:val="14"/>
          <w:color w:val="auto"/>
        </w:rPr>
        <w:t>The estimated value of the securities on the pricing date will be provided in the pricing supplement and will not be less than $940.00 per $1,000 stated principal amount security. For information about the estimated value of the securities, which likely will be lower than the price you paid for the securities, please see the hyperlink above.</w:t>
      </w:r>
    </w:p>
    <w:p>
      <w:pPr>
        <w:spacing w:after="0" w:line="161"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Any payment on the securities is subject to the credit risk of JPMorgan Financial, as issuer of the securities, and the credit risk of JPMorgan Chase &amp; Co., as guarantor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4445</wp:posOffset>
            </wp:positionV>
            <wp:extent cx="3420110" cy="48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0110" cy="48006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4"/>
          <w:szCs w:val="14"/>
          <w:b w:val="1"/>
          <w:bCs w:val="1"/>
          <w:color w:val="FFFFFF"/>
        </w:rPr>
        <w:t>Hypothetical Payout at Maturity</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FFFFFF"/>
        </w:rPr>
        <w:t>(if the securities have not previously been redeemed)</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460" w:type="dxa"/>
            <w:vAlign w:val="bottom"/>
            <w:vMerge w:val="restart"/>
          </w:tcPr>
          <w:p>
            <w:pPr>
              <w:ind w:left="280"/>
              <w:spacing w:after="0"/>
              <w:rPr>
                <w:sz w:val="20"/>
                <w:szCs w:val="20"/>
                <w:color w:val="auto"/>
              </w:rPr>
            </w:pPr>
            <w:r>
              <w:rPr>
                <w:rFonts w:ascii="Arial" w:cs="Arial" w:eastAsia="Arial" w:hAnsi="Arial"/>
                <w:sz w:val="14"/>
                <w:szCs w:val="14"/>
                <w:b w:val="1"/>
                <w:bCs w:val="1"/>
                <w:color w:val="FFFFFF"/>
              </w:rPr>
              <w:t>Change in Underlying Stock</w:t>
            </w:r>
          </w:p>
        </w:tc>
        <w:tc>
          <w:tcPr>
            <w:tcW w:w="2920" w:type="dxa"/>
            <w:vAlign w:val="bottom"/>
          </w:tcPr>
          <w:p>
            <w:pPr>
              <w:jc w:val="center"/>
              <w:spacing w:after="0"/>
              <w:rPr>
                <w:sz w:val="20"/>
                <w:szCs w:val="20"/>
                <w:color w:val="auto"/>
              </w:rPr>
            </w:pPr>
            <w:r>
              <w:rPr>
                <w:rFonts w:ascii="Arial" w:cs="Arial" w:eastAsia="Arial" w:hAnsi="Arial"/>
                <w:sz w:val="14"/>
                <w:szCs w:val="14"/>
                <w:b w:val="1"/>
                <w:bCs w:val="1"/>
                <w:color w:val="FFFFFF"/>
              </w:rPr>
              <w:t>Payment at Maturity (excluding any</w:t>
            </w:r>
          </w:p>
        </w:tc>
        <w:tc>
          <w:tcPr>
            <w:tcW w:w="0" w:type="dxa"/>
            <w:vAlign w:val="bottom"/>
          </w:tcPr>
          <w:p>
            <w:pPr>
              <w:spacing w:after="0"/>
              <w:rPr>
                <w:sz w:val="1"/>
                <w:szCs w:val="1"/>
                <w:color w:val="auto"/>
              </w:rPr>
            </w:pPr>
          </w:p>
        </w:tc>
      </w:tr>
      <w:tr>
        <w:trPr>
          <w:trHeight w:val="115"/>
        </w:trPr>
        <w:tc>
          <w:tcPr>
            <w:tcW w:w="2460" w:type="dxa"/>
            <w:vAlign w:val="bottom"/>
            <w:vMerge w:val="continue"/>
          </w:tcPr>
          <w:p>
            <w:pPr>
              <w:spacing w:after="0"/>
              <w:rPr>
                <w:sz w:val="10"/>
                <w:szCs w:val="10"/>
                <w:color w:val="auto"/>
              </w:rPr>
            </w:pPr>
          </w:p>
        </w:tc>
        <w:tc>
          <w:tcPr>
            <w:tcW w:w="292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coupon payable at maturity)</w:t>
            </w:r>
          </w:p>
        </w:tc>
        <w:tc>
          <w:tcPr>
            <w:tcW w:w="0" w:type="dxa"/>
            <w:vAlign w:val="bottom"/>
          </w:tcPr>
          <w:p>
            <w:pPr>
              <w:spacing w:after="0"/>
              <w:rPr>
                <w:sz w:val="1"/>
                <w:szCs w:val="1"/>
                <w:color w:val="auto"/>
              </w:rPr>
            </w:pPr>
          </w:p>
        </w:tc>
      </w:tr>
      <w:tr>
        <w:trPr>
          <w:trHeight w:val="82"/>
        </w:trPr>
        <w:tc>
          <w:tcPr>
            <w:tcW w:w="246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46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50.00%</w:t>
            </w:r>
          </w:p>
        </w:tc>
        <w:tc>
          <w:tcPr>
            <w:tcW w:w="292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460" w:type="dxa"/>
            <w:vAlign w:val="bottom"/>
          </w:tcPr>
          <w:p>
            <w:pPr>
              <w:jc w:val="center"/>
              <w:spacing w:after="0"/>
              <w:rPr>
                <w:sz w:val="20"/>
                <w:szCs w:val="20"/>
                <w:color w:val="auto"/>
              </w:rPr>
            </w:pPr>
            <w:r>
              <w:rPr>
                <w:rFonts w:ascii="Arial" w:cs="Arial" w:eastAsia="Arial" w:hAnsi="Arial"/>
                <w:sz w:val="14"/>
                <w:szCs w:val="14"/>
                <w:color w:val="auto"/>
              </w:rPr>
              <w:t>40.00%</w:t>
            </w:r>
          </w:p>
        </w:tc>
        <w:tc>
          <w:tcPr>
            <w:tcW w:w="2920" w:type="dxa"/>
            <w:vAlign w:val="bottom"/>
          </w:tcPr>
          <w:p>
            <w:pPr>
              <w:jc w:val="center"/>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46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30.00%</w:t>
            </w:r>
          </w:p>
        </w:tc>
        <w:tc>
          <w:tcPr>
            <w:tcW w:w="292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460" w:type="dxa"/>
            <w:vAlign w:val="bottom"/>
          </w:tcPr>
          <w:p>
            <w:pPr>
              <w:jc w:val="center"/>
              <w:spacing w:after="0"/>
              <w:rPr>
                <w:sz w:val="20"/>
                <w:szCs w:val="20"/>
                <w:color w:val="auto"/>
              </w:rPr>
            </w:pPr>
            <w:r>
              <w:rPr>
                <w:rFonts w:ascii="Arial" w:cs="Arial" w:eastAsia="Arial" w:hAnsi="Arial"/>
                <w:sz w:val="14"/>
                <w:szCs w:val="14"/>
                <w:color w:val="auto"/>
              </w:rPr>
              <w:t>20.00%</w:t>
            </w:r>
          </w:p>
        </w:tc>
        <w:tc>
          <w:tcPr>
            <w:tcW w:w="2920" w:type="dxa"/>
            <w:vAlign w:val="bottom"/>
          </w:tcPr>
          <w:p>
            <w:pPr>
              <w:jc w:val="center"/>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46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10.00%</w:t>
            </w:r>
          </w:p>
        </w:tc>
        <w:tc>
          <w:tcPr>
            <w:tcW w:w="292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53"/>
        </w:trPr>
        <w:tc>
          <w:tcPr>
            <w:tcW w:w="2460" w:type="dxa"/>
            <w:vAlign w:val="bottom"/>
          </w:tcPr>
          <w:p>
            <w:pPr>
              <w:jc w:val="center"/>
              <w:spacing w:after="0" w:line="153" w:lineRule="exact"/>
              <w:rPr>
                <w:sz w:val="20"/>
                <w:szCs w:val="20"/>
                <w:color w:val="auto"/>
              </w:rPr>
            </w:pPr>
            <w:r>
              <w:rPr>
                <w:rFonts w:ascii="Arial" w:cs="Arial" w:eastAsia="Arial" w:hAnsi="Arial"/>
                <w:sz w:val="14"/>
                <w:szCs w:val="14"/>
                <w:color w:val="auto"/>
              </w:rPr>
              <w:t>5.00%</w:t>
            </w:r>
          </w:p>
        </w:tc>
        <w:tc>
          <w:tcPr>
            <w:tcW w:w="2920" w:type="dxa"/>
            <w:vAlign w:val="bottom"/>
          </w:tcPr>
          <w:p>
            <w:pPr>
              <w:jc w:val="center"/>
              <w:spacing w:after="0" w:line="153" w:lineRule="exact"/>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400" w:space="440"/>
            <w:col w:w="5400"/>
          </w:cols>
          <w:pgMar w:left="320" w:top="219" w:right="339" w:bottom="1440" w:gutter="0" w:footer="0" w:header="0"/>
          <w:type w:val="continuous"/>
        </w:sectPr>
      </w:pPr>
    </w:p>
    <w:p>
      <w:pPr>
        <w:spacing w:after="0" w:line="282" w:lineRule="auto"/>
        <w:rPr>
          <w:sz w:val="20"/>
          <w:szCs w:val="20"/>
          <w:color w:val="auto"/>
        </w:rPr>
      </w:pPr>
      <w:r>
        <w:rPr>
          <w:rFonts w:ascii="Arial" w:cs="Arial" w:eastAsia="Arial" w:hAnsi="Arial"/>
          <w:sz w:val="14"/>
          <w:szCs w:val="14"/>
          <w:b w:val="1"/>
          <w:bCs w:val="1"/>
          <w:color w:val="296DC1"/>
        </w:rPr>
        <w:t>Contingent payment dates</w:t>
      </w:r>
      <w:r>
        <w:rPr>
          <w:rFonts w:ascii="Arial" w:cs="Arial" w:eastAsia="Arial" w:hAnsi="Arial"/>
          <w:sz w:val="23"/>
          <w:szCs w:val="23"/>
          <w:b w:val="1"/>
          <w:bCs w:val="1"/>
          <w:color w:val="296DC1"/>
          <w:vertAlign w:val="superscript"/>
        </w:rPr>
        <w:t>†</w:t>
      </w:r>
      <w:r>
        <w:rPr>
          <w:rFonts w:ascii="Arial" w:cs="Arial" w:eastAsia="Arial" w:hAnsi="Arial"/>
          <w:sz w:val="14"/>
          <w:szCs w:val="14"/>
          <w:b w:val="1"/>
          <w:bCs w:val="1"/>
          <w:color w:val="296DC1"/>
        </w:rPr>
        <w:t>:</w:t>
      </w:r>
    </w:p>
    <w:p>
      <w:pPr>
        <w:spacing w:after="0" w:line="161" w:lineRule="exact"/>
        <w:rPr>
          <w:sz w:val="20"/>
          <w:szCs w:val="20"/>
          <w:color w:val="auto"/>
        </w:rPr>
      </w:pPr>
    </w:p>
    <w:p>
      <w:pPr>
        <w:ind w:right="340"/>
        <w:spacing w:after="0" w:line="294" w:lineRule="auto"/>
        <w:rPr>
          <w:sz w:val="20"/>
          <w:szCs w:val="20"/>
          <w:color w:val="auto"/>
        </w:rPr>
      </w:pPr>
      <w:r>
        <w:rPr>
          <w:rFonts w:ascii="Arial" w:cs="Arial" w:eastAsia="Arial" w:hAnsi="Arial"/>
          <w:sz w:val="14"/>
          <w:szCs w:val="14"/>
          <w:b w:val="1"/>
          <w:bCs w:val="1"/>
          <w:color w:val="296DC1"/>
        </w:rPr>
        <w:t>Payment at maturity:</w:t>
      </w:r>
    </w:p>
    <w:p>
      <w:pPr>
        <w:spacing w:after="0" w:line="20" w:lineRule="exact"/>
        <w:rPr>
          <w:sz w:val="20"/>
          <w:szCs w:val="20"/>
          <w:color w:val="auto"/>
        </w:rPr>
      </w:pPr>
      <w:r>
        <w:rPr>
          <w:sz w:val="20"/>
          <w:szCs w:val="20"/>
          <w:color w:val="auto"/>
        </w:rPr>
        <w:br w:type="column"/>
      </w:r>
    </w:p>
    <w:p>
      <w:pPr>
        <w:ind w:left="20"/>
        <w:spacing w:after="0" w:line="246" w:lineRule="auto"/>
        <w:rPr>
          <w:sz w:val="20"/>
          <w:szCs w:val="20"/>
          <w:color w:val="auto"/>
        </w:rPr>
      </w:pPr>
      <w:r>
        <w:rPr>
          <w:rFonts w:ascii="Arial" w:cs="Arial" w:eastAsia="Arial" w:hAnsi="Arial"/>
          <w:sz w:val="14"/>
          <w:szCs w:val="14"/>
          <w:color w:val="auto"/>
        </w:rPr>
        <w:t>November 6, 2025, February 5, 2026, May 6, 2026, August 6, 2026, November 5, 2026, February 4, 2027, May 6, 2027, August 5, 2027, November 4, 2027, February 4, 2028, May 4, 2028 and the maturity date</w:t>
      </w:r>
    </w:p>
    <w:p>
      <w:pPr>
        <w:spacing w:after="0" w:line="2" w:lineRule="exact"/>
        <w:rPr>
          <w:sz w:val="20"/>
          <w:szCs w:val="20"/>
          <w:color w:val="auto"/>
        </w:rPr>
      </w:pPr>
    </w:p>
    <w:p>
      <w:pPr>
        <w:ind w:left="140" w:hanging="174"/>
        <w:spacing w:after="0" w:line="184" w:lineRule="auto"/>
        <w:tabs>
          <w:tab w:leader="none" w:pos="1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Arial" w:cs="Arial" w:eastAsia="Arial" w:hAnsi="Arial"/>
          <w:sz w:val="11"/>
          <w:szCs w:val="11"/>
          <w:color w:val="auto"/>
        </w:rPr>
        <w:t xml:space="preserve">If the final stock price is </w:t>
      </w:r>
      <w:r>
        <w:rPr>
          <w:rFonts w:ascii="Arial" w:cs="Arial" w:eastAsia="Arial" w:hAnsi="Arial"/>
          <w:sz w:val="11"/>
          <w:szCs w:val="11"/>
          <w:b w:val="1"/>
          <w:bCs w:val="1"/>
          <w:color w:val="auto"/>
        </w:rPr>
        <w:t>greater</w:t>
      </w:r>
      <w:r>
        <w:rPr>
          <w:rFonts w:ascii="Arial" w:cs="Arial" w:eastAsia="Arial" w:hAnsi="Arial"/>
          <w:sz w:val="19"/>
          <w:szCs w:val="19"/>
          <w:color w:val="auto"/>
          <w:vertAlign w:val="superscript"/>
        </w:rPr>
        <w:t>(i) the stated principal amount</w:t>
      </w:r>
      <w:r>
        <w:rPr>
          <w:rFonts w:ascii="Arial" w:cs="Arial" w:eastAsia="Arial" w:hAnsi="Arial"/>
          <w:sz w:val="11"/>
          <w:szCs w:val="11"/>
          <w:color w:val="auto"/>
        </w:rPr>
        <w:t xml:space="preserve"> </w:t>
      </w:r>
      <w:r>
        <w:rPr>
          <w:rFonts w:ascii="Arial" w:cs="Arial" w:eastAsia="Arial" w:hAnsi="Arial"/>
          <w:sz w:val="19"/>
          <w:szCs w:val="19"/>
          <w:b w:val="1"/>
          <w:bCs w:val="1"/>
          <w:color w:val="auto"/>
          <w:vertAlign w:val="subscript"/>
        </w:rPr>
        <w:t>than or equal to</w:t>
      </w:r>
      <w:r>
        <w:rPr>
          <w:rFonts w:ascii="Arial" w:cs="Arial" w:eastAsia="Arial" w:hAnsi="Arial"/>
          <w:sz w:val="11"/>
          <w:szCs w:val="11"/>
          <w:i w:val="1"/>
          <w:iCs w:val="1"/>
          <w:color w:val="auto"/>
        </w:rPr>
        <w:t xml:space="preserve"> </w:t>
      </w:r>
      <w:r>
        <w:rPr>
          <w:rFonts w:ascii="Arial" w:cs="Arial" w:eastAsia="Arial" w:hAnsi="Arial"/>
          <w:sz w:val="19"/>
          <w:szCs w:val="19"/>
          <w:color w:val="auto"/>
          <w:vertAlign w:val="subscript"/>
        </w:rPr>
        <w:t>the downside</w:t>
      </w:r>
      <w:r>
        <w:rPr>
          <w:rFonts w:ascii="Arial" w:cs="Arial" w:eastAsia="Arial" w:hAnsi="Arial"/>
          <w:sz w:val="11"/>
          <w:szCs w:val="11"/>
          <w:i w:val="1"/>
          <w:iCs w:val="1"/>
          <w:color w:val="auto"/>
        </w:rPr>
        <w:t xml:space="preserve"> plus </w:t>
      </w:r>
      <w:r>
        <w:rPr>
          <w:rFonts w:ascii="Arial" w:cs="Arial" w:eastAsia="Arial" w:hAnsi="Arial"/>
          <w:sz w:val="11"/>
          <w:szCs w:val="11"/>
          <w:color w:val="auto"/>
        </w:rPr>
        <w:t>(ii) the contingent quarterly</w:t>
      </w:r>
    </w:p>
    <w:p>
      <w:pPr>
        <w:spacing w:after="0" w:line="2" w:lineRule="exact"/>
        <w:rPr>
          <w:sz w:val="20"/>
          <w:szCs w:val="20"/>
          <w:color w:val="auto"/>
        </w:rPr>
      </w:pPr>
    </w:p>
    <w:p>
      <w:pPr>
        <w:ind w:left="2180" w:right="240" w:hanging="1997"/>
        <w:spacing w:after="0" w:line="252" w:lineRule="auto"/>
        <w:tabs>
          <w:tab w:leader="none" w:pos="2160" w:val="left"/>
        </w:tabs>
        <w:rPr>
          <w:sz w:val="20"/>
          <w:szCs w:val="20"/>
          <w:color w:val="auto"/>
        </w:rPr>
      </w:pPr>
      <w:r>
        <w:rPr>
          <w:rFonts w:ascii="Arial" w:cs="Arial" w:eastAsia="Arial" w:hAnsi="Arial"/>
          <w:sz w:val="28"/>
          <w:szCs w:val="28"/>
          <w:color w:val="auto"/>
          <w:vertAlign w:val="subscript"/>
        </w:rPr>
        <w:t>threshold level:</w:t>
      </w:r>
      <w:r>
        <w:rPr>
          <w:sz w:val="20"/>
          <w:szCs w:val="20"/>
          <w:color w:val="auto"/>
        </w:rPr>
        <w:tab/>
      </w:r>
      <w:r>
        <w:rPr>
          <w:rFonts w:ascii="Arial" w:cs="Arial" w:eastAsia="Arial" w:hAnsi="Arial"/>
          <w:sz w:val="14"/>
          <w:szCs w:val="14"/>
          <w:color w:val="auto"/>
        </w:rPr>
        <w:t>payment with respect to the final determination date</w:t>
      </w:r>
    </w:p>
    <w:p>
      <w:pPr>
        <w:spacing w:after="0"/>
        <w:tabs>
          <w:tab w:leader="none" w:pos="120" w:val="left"/>
          <w:tab w:leader="none" w:pos="216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Arial" w:cs="Arial" w:eastAsia="Arial" w:hAnsi="Arial"/>
          <w:sz w:val="14"/>
          <w:szCs w:val="14"/>
          <w:color w:val="auto"/>
        </w:rPr>
        <w:t xml:space="preserve">If the final stock price is </w:t>
      </w:r>
      <w:r>
        <w:rPr>
          <w:rFonts w:ascii="Arial" w:cs="Arial" w:eastAsia="Arial" w:hAnsi="Arial"/>
          <w:sz w:val="14"/>
          <w:szCs w:val="14"/>
          <w:b w:val="1"/>
          <w:bCs w:val="1"/>
          <w:color w:val="auto"/>
        </w:rPr>
        <w:t>less</w:t>
      </w:r>
      <w:r>
        <w:rPr>
          <w:rFonts w:ascii="Arial" w:cs="Arial" w:eastAsia="Arial" w:hAnsi="Arial"/>
          <w:sz w:val="14"/>
          <w:szCs w:val="14"/>
          <w:color w:val="auto"/>
        </w:rPr>
        <w:tab/>
        <w:t>(i) the stated principal amount</w:t>
      </w:r>
    </w:p>
    <w:p>
      <w:pPr>
        <w:spacing w:after="0" w:line="13" w:lineRule="exact"/>
        <w:rPr>
          <w:sz w:val="20"/>
          <w:szCs w:val="20"/>
          <w:color w:val="auto"/>
        </w:rPr>
      </w:pPr>
    </w:p>
    <w:p>
      <w:pPr>
        <w:ind w:left="180"/>
        <w:spacing w:after="0"/>
        <w:tabs>
          <w:tab w:leader="none" w:pos="2160" w:val="left"/>
        </w:tabs>
        <w:rPr>
          <w:sz w:val="20"/>
          <w:szCs w:val="20"/>
          <w:color w:val="auto"/>
        </w:rPr>
      </w:pPr>
      <w:r>
        <w:rPr>
          <w:rFonts w:ascii="Arial" w:cs="Arial" w:eastAsia="Arial" w:hAnsi="Arial"/>
          <w:sz w:val="14"/>
          <w:szCs w:val="14"/>
          <w:b w:val="1"/>
          <w:bCs w:val="1"/>
          <w:color w:val="auto"/>
        </w:rPr>
        <w:t xml:space="preserve">than </w:t>
      </w:r>
      <w:r>
        <w:rPr>
          <w:rFonts w:ascii="Arial" w:cs="Arial" w:eastAsia="Arial" w:hAnsi="Arial"/>
          <w:sz w:val="14"/>
          <w:szCs w:val="14"/>
          <w:color w:val="auto"/>
        </w:rPr>
        <w:t>the downside threshold</w:t>
      </w:r>
      <w:r>
        <w:rPr>
          <w:sz w:val="20"/>
          <w:szCs w:val="20"/>
          <w:color w:val="auto"/>
        </w:rPr>
        <w:tab/>
      </w:r>
      <w:r>
        <w:rPr>
          <w:rFonts w:ascii="Arial" w:cs="Arial" w:eastAsia="Arial" w:hAnsi="Arial"/>
          <w:sz w:val="14"/>
          <w:szCs w:val="14"/>
          <w:i w:val="1"/>
          <w:iCs w:val="1"/>
          <w:color w:val="auto"/>
        </w:rPr>
        <w:t xml:space="preserve">times </w:t>
      </w:r>
      <w:r>
        <w:rPr>
          <w:rFonts w:ascii="Arial" w:cs="Arial" w:eastAsia="Arial" w:hAnsi="Arial"/>
          <w:sz w:val="14"/>
          <w:szCs w:val="14"/>
          <w:color w:val="auto"/>
        </w:rPr>
        <w:t>(ii) the stock performance</w:t>
      </w:r>
    </w:p>
    <w:p>
      <w:pPr>
        <w:spacing w:after="0" w:line="1" w:lineRule="exact"/>
        <w:rPr>
          <w:sz w:val="20"/>
          <w:szCs w:val="20"/>
          <w:color w:val="auto"/>
        </w:rPr>
      </w:pPr>
    </w:p>
    <w:p>
      <w:pPr>
        <w:ind w:left="180"/>
        <w:spacing w:after="0"/>
        <w:tabs>
          <w:tab w:leader="none" w:pos="2160" w:val="left"/>
        </w:tabs>
        <w:rPr>
          <w:sz w:val="20"/>
          <w:szCs w:val="20"/>
          <w:color w:val="auto"/>
        </w:rPr>
      </w:pPr>
      <w:r>
        <w:rPr>
          <w:rFonts w:ascii="Arial" w:cs="Arial" w:eastAsia="Arial" w:hAnsi="Arial"/>
          <w:sz w:val="14"/>
          <w:szCs w:val="14"/>
          <w:color w:val="auto"/>
        </w:rPr>
        <w:t>level:</w:t>
      </w:r>
      <w:r>
        <w:rPr>
          <w:sz w:val="20"/>
          <w:szCs w:val="20"/>
          <w:color w:val="auto"/>
        </w:rPr>
        <w:tab/>
      </w:r>
      <w:r>
        <w:rPr>
          <w:rFonts w:ascii="Arial" w:cs="Arial" w:eastAsia="Arial" w:hAnsi="Arial"/>
          <w:sz w:val="14"/>
          <w:szCs w:val="14"/>
          <w:color w:val="auto"/>
        </w:rPr>
        <w:t>factor. This cash payment will</w:t>
      </w:r>
    </w:p>
    <w:p>
      <w:pPr>
        <w:spacing w:after="0" w:line="1" w:lineRule="exact"/>
        <w:rPr>
          <w:sz w:val="20"/>
          <w:szCs w:val="20"/>
          <w:color w:val="auto"/>
        </w:rPr>
      </w:pPr>
    </w:p>
    <w:p>
      <w:pPr>
        <w:ind w:left="2180"/>
        <w:spacing w:after="0"/>
        <w:rPr>
          <w:sz w:val="20"/>
          <w:szCs w:val="20"/>
          <w:color w:val="auto"/>
        </w:rPr>
      </w:pPr>
      <w:r>
        <w:rPr>
          <w:rFonts w:ascii="Arial" w:cs="Arial" w:eastAsia="Arial" w:hAnsi="Arial"/>
          <w:sz w:val="14"/>
          <w:szCs w:val="14"/>
          <w:color w:val="auto"/>
        </w:rPr>
        <w:t>be less than 70% of the stated</w:t>
      </w:r>
    </w:p>
    <w:p>
      <w:pPr>
        <w:spacing w:after="0" w:line="1" w:lineRule="exact"/>
        <w:rPr>
          <w:sz w:val="20"/>
          <w:szCs w:val="20"/>
          <w:color w:val="auto"/>
        </w:rPr>
      </w:pPr>
    </w:p>
    <w:p>
      <w:pPr>
        <w:ind w:left="2180"/>
        <w:spacing w:after="0"/>
        <w:rPr>
          <w:sz w:val="20"/>
          <w:szCs w:val="20"/>
          <w:color w:val="auto"/>
        </w:rPr>
      </w:pPr>
      <w:r>
        <w:rPr>
          <w:rFonts w:ascii="Arial" w:cs="Arial" w:eastAsia="Arial" w:hAnsi="Arial"/>
          <w:sz w:val="14"/>
          <w:szCs w:val="14"/>
          <w:color w:val="auto"/>
        </w:rPr>
        <w:t>principal amount of the</w:t>
      </w:r>
    </w:p>
    <w:p>
      <w:pPr>
        <w:spacing w:after="0" w:line="1" w:lineRule="exact"/>
        <w:rPr>
          <w:sz w:val="20"/>
          <w:szCs w:val="20"/>
          <w:color w:val="auto"/>
        </w:rPr>
      </w:pPr>
    </w:p>
    <w:p>
      <w:pPr>
        <w:ind w:left="2180"/>
        <w:spacing w:after="0"/>
        <w:rPr>
          <w:sz w:val="20"/>
          <w:szCs w:val="20"/>
          <w:color w:val="auto"/>
        </w:rPr>
      </w:pPr>
      <w:r>
        <w:rPr>
          <w:rFonts w:ascii="Arial" w:cs="Arial" w:eastAsia="Arial" w:hAnsi="Arial"/>
          <w:sz w:val="14"/>
          <w:szCs w:val="14"/>
          <w:color w:val="auto"/>
        </w:rPr>
        <w:t>securities and could be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6350</wp:posOffset>
            </wp:positionV>
            <wp:extent cx="3420110" cy="222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011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580" w:type="dxa"/>
            <w:vAlign w:val="bottom"/>
            <w:shd w:val="clear" w:color="auto" w:fill="D9D9D9"/>
          </w:tcPr>
          <w:p>
            <w:pPr>
              <w:jc w:val="center"/>
              <w:ind w:right="48"/>
              <w:spacing w:after="0"/>
              <w:rPr>
                <w:sz w:val="20"/>
                <w:szCs w:val="20"/>
                <w:color w:val="auto"/>
              </w:rPr>
            </w:pPr>
            <w:r>
              <w:rPr>
                <w:rFonts w:ascii="Arial" w:cs="Arial" w:eastAsia="Arial" w:hAnsi="Arial"/>
                <w:sz w:val="14"/>
                <w:szCs w:val="14"/>
                <w:color w:val="auto"/>
              </w:rPr>
              <w:t>0.00%</w:t>
            </w:r>
          </w:p>
        </w:tc>
        <w:tc>
          <w:tcPr>
            <w:tcW w:w="2800" w:type="dxa"/>
            <w:vAlign w:val="bottom"/>
            <w:shd w:val="clear" w:color="auto" w:fill="D9D9D9"/>
          </w:tcPr>
          <w:p>
            <w:pPr>
              <w:jc w:val="center"/>
              <w:ind w:right="48"/>
              <w:spacing w:after="0"/>
              <w:rPr>
                <w:sz w:val="20"/>
                <w:szCs w:val="20"/>
                <w:color w:val="auto"/>
              </w:rPr>
            </w:pPr>
            <w:r>
              <w:rPr>
                <w:rFonts w:ascii="Arial" w:cs="Arial" w:eastAsia="Arial" w:hAnsi="Arial"/>
                <w:sz w:val="14"/>
                <w:szCs w:val="14"/>
                <w:color w:val="auto"/>
              </w:rPr>
              <w:t>$1,000.00</w:t>
            </w:r>
          </w:p>
        </w:tc>
      </w:tr>
      <w:tr>
        <w:trPr>
          <w:trHeight w:val="162"/>
        </w:trPr>
        <w:tc>
          <w:tcPr>
            <w:tcW w:w="2580" w:type="dxa"/>
            <w:vAlign w:val="bottom"/>
          </w:tcPr>
          <w:p>
            <w:pPr>
              <w:jc w:val="center"/>
              <w:ind w:right="48"/>
              <w:spacing w:after="0"/>
              <w:rPr>
                <w:sz w:val="20"/>
                <w:szCs w:val="20"/>
                <w:color w:val="auto"/>
              </w:rPr>
            </w:pPr>
            <w:r>
              <w:rPr>
                <w:rFonts w:ascii="Arial" w:cs="Arial" w:eastAsia="Arial" w:hAnsi="Arial"/>
                <w:sz w:val="14"/>
                <w:szCs w:val="14"/>
                <w:color w:val="auto"/>
              </w:rPr>
              <w:t>-10.00%</w:t>
            </w:r>
          </w:p>
        </w:tc>
        <w:tc>
          <w:tcPr>
            <w:tcW w:w="2800" w:type="dxa"/>
            <w:vAlign w:val="bottom"/>
          </w:tcPr>
          <w:p>
            <w:pPr>
              <w:jc w:val="center"/>
              <w:ind w:right="48"/>
              <w:spacing w:after="0"/>
              <w:rPr>
                <w:sz w:val="20"/>
                <w:szCs w:val="20"/>
                <w:color w:val="auto"/>
              </w:rPr>
            </w:pPr>
            <w:r>
              <w:rPr>
                <w:rFonts w:ascii="Arial" w:cs="Arial" w:eastAsia="Arial" w:hAnsi="Arial"/>
                <w:sz w:val="14"/>
                <w:szCs w:val="14"/>
                <w:color w:val="auto"/>
              </w:rPr>
              <w:t>$1,000.00</w:t>
            </w:r>
          </w:p>
        </w:tc>
      </w:tr>
      <w:tr>
        <w:trPr>
          <w:trHeight w:val="162"/>
        </w:trPr>
        <w:tc>
          <w:tcPr>
            <w:tcW w:w="2580" w:type="dxa"/>
            <w:vAlign w:val="bottom"/>
            <w:shd w:val="clear" w:color="auto" w:fill="D9D9D9"/>
          </w:tcPr>
          <w:p>
            <w:pPr>
              <w:jc w:val="center"/>
              <w:ind w:right="48"/>
              <w:spacing w:after="0"/>
              <w:rPr>
                <w:sz w:val="20"/>
                <w:szCs w:val="20"/>
                <w:color w:val="auto"/>
              </w:rPr>
            </w:pPr>
            <w:r>
              <w:rPr>
                <w:rFonts w:ascii="Arial" w:cs="Arial" w:eastAsia="Arial" w:hAnsi="Arial"/>
                <w:sz w:val="14"/>
                <w:szCs w:val="14"/>
                <w:color w:val="auto"/>
              </w:rPr>
              <w:t>-20.00%</w:t>
            </w:r>
          </w:p>
        </w:tc>
        <w:tc>
          <w:tcPr>
            <w:tcW w:w="2800" w:type="dxa"/>
            <w:vAlign w:val="bottom"/>
            <w:shd w:val="clear" w:color="auto" w:fill="D9D9D9"/>
          </w:tcPr>
          <w:p>
            <w:pPr>
              <w:jc w:val="center"/>
              <w:ind w:right="48"/>
              <w:spacing w:after="0"/>
              <w:rPr>
                <w:sz w:val="20"/>
                <w:szCs w:val="20"/>
                <w:color w:val="auto"/>
              </w:rPr>
            </w:pPr>
            <w:r>
              <w:rPr>
                <w:rFonts w:ascii="Arial" w:cs="Arial" w:eastAsia="Arial" w:hAnsi="Arial"/>
                <w:sz w:val="14"/>
                <w:szCs w:val="14"/>
                <w:color w:val="auto"/>
              </w:rPr>
              <w:t>$1,000.00</w:t>
            </w:r>
          </w:p>
        </w:tc>
      </w:tr>
      <w:tr>
        <w:trPr>
          <w:trHeight w:val="162"/>
        </w:trPr>
        <w:tc>
          <w:tcPr>
            <w:tcW w:w="2580" w:type="dxa"/>
            <w:vAlign w:val="bottom"/>
          </w:tcPr>
          <w:p>
            <w:pPr>
              <w:jc w:val="center"/>
              <w:ind w:right="48"/>
              <w:spacing w:after="0"/>
              <w:rPr>
                <w:sz w:val="20"/>
                <w:szCs w:val="20"/>
                <w:color w:val="auto"/>
              </w:rPr>
            </w:pPr>
            <w:r>
              <w:rPr>
                <w:rFonts w:ascii="Arial" w:cs="Arial" w:eastAsia="Arial" w:hAnsi="Arial"/>
                <w:sz w:val="14"/>
                <w:szCs w:val="14"/>
                <w:color w:val="auto"/>
              </w:rPr>
              <w:t>-30.00%</w:t>
            </w:r>
          </w:p>
        </w:tc>
        <w:tc>
          <w:tcPr>
            <w:tcW w:w="2800" w:type="dxa"/>
            <w:vAlign w:val="bottom"/>
          </w:tcPr>
          <w:p>
            <w:pPr>
              <w:jc w:val="center"/>
              <w:ind w:right="48"/>
              <w:spacing w:after="0"/>
              <w:rPr>
                <w:sz w:val="20"/>
                <w:szCs w:val="20"/>
                <w:color w:val="auto"/>
              </w:rPr>
            </w:pPr>
            <w:r>
              <w:rPr>
                <w:rFonts w:ascii="Arial" w:cs="Arial" w:eastAsia="Arial" w:hAnsi="Arial"/>
                <w:sz w:val="14"/>
                <w:szCs w:val="14"/>
                <w:color w:val="auto"/>
              </w:rPr>
              <w:t>$1,000.00</w:t>
            </w:r>
          </w:p>
        </w:tc>
      </w:tr>
      <w:tr>
        <w:trPr>
          <w:trHeight w:val="162"/>
        </w:trPr>
        <w:tc>
          <w:tcPr>
            <w:tcW w:w="2580" w:type="dxa"/>
            <w:vAlign w:val="bottom"/>
            <w:shd w:val="clear" w:color="auto" w:fill="D9D9D9"/>
          </w:tcPr>
          <w:p>
            <w:pPr>
              <w:jc w:val="center"/>
              <w:ind w:right="48"/>
              <w:spacing w:after="0"/>
              <w:rPr>
                <w:sz w:val="20"/>
                <w:szCs w:val="20"/>
                <w:color w:val="auto"/>
              </w:rPr>
            </w:pPr>
            <w:r>
              <w:rPr>
                <w:rFonts w:ascii="Arial" w:cs="Arial" w:eastAsia="Arial" w:hAnsi="Arial"/>
                <w:sz w:val="14"/>
                <w:szCs w:val="14"/>
                <w:color w:val="auto"/>
              </w:rPr>
              <w:t>-30.01%</w:t>
            </w:r>
          </w:p>
        </w:tc>
        <w:tc>
          <w:tcPr>
            <w:tcW w:w="2800" w:type="dxa"/>
            <w:vAlign w:val="bottom"/>
            <w:shd w:val="clear" w:color="auto" w:fill="D9D9D9"/>
          </w:tcPr>
          <w:p>
            <w:pPr>
              <w:jc w:val="center"/>
              <w:ind w:right="48"/>
              <w:spacing w:after="0"/>
              <w:rPr>
                <w:sz w:val="20"/>
                <w:szCs w:val="20"/>
                <w:color w:val="auto"/>
              </w:rPr>
            </w:pPr>
            <w:r>
              <w:rPr>
                <w:rFonts w:ascii="Arial" w:cs="Arial" w:eastAsia="Arial" w:hAnsi="Arial"/>
                <w:sz w:val="14"/>
                <w:szCs w:val="14"/>
                <w:color w:val="auto"/>
              </w:rPr>
              <w:t>$699.90</w:t>
            </w:r>
          </w:p>
        </w:tc>
      </w:tr>
      <w:tr>
        <w:trPr>
          <w:trHeight w:val="162"/>
        </w:trPr>
        <w:tc>
          <w:tcPr>
            <w:tcW w:w="2580" w:type="dxa"/>
            <w:vAlign w:val="bottom"/>
          </w:tcPr>
          <w:p>
            <w:pPr>
              <w:jc w:val="center"/>
              <w:ind w:right="48"/>
              <w:spacing w:after="0"/>
              <w:rPr>
                <w:sz w:val="20"/>
                <w:szCs w:val="20"/>
                <w:color w:val="auto"/>
              </w:rPr>
            </w:pPr>
            <w:r>
              <w:rPr>
                <w:rFonts w:ascii="Arial" w:cs="Arial" w:eastAsia="Arial" w:hAnsi="Arial"/>
                <w:sz w:val="14"/>
                <w:szCs w:val="14"/>
                <w:color w:val="auto"/>
              </w:rPr>
              <w:t>-40.00%</w:t>
            </w:r>
          </w:p>
        </w:tc>
        <w:tc>
          <w:tcPr>
            <w:tcW w:w="2800" w:type="dxa"/>
            <w:vAlign w:val="bottom"/>
          </w:tcPr>
          <w:p>
            <w:pPr>
              <w:jc w:val="center"/>
              <w:ind w:right="48"/>
              <w:spacing w:after="0"/>
              <w:rPr>
                <w:sz w:val="20"/>
                <w:szCs w:val="20"/>
                <w:color w:val="auto"/>
              </w:rPr>
            </w:pPr>
            <w:r>
              <w:rPr>
                <w:rFonts w:ascii="Arial" w:cs="Arial" w:eastAsia="Arial" w:hAnsi="Arial"/>
                <w:sz w:val="14"/>
                <w:szCs w:val="14"/>
                <w:color w:val="auto"/>
              </w:rPr>
              <w:t>$600.00</w:t>
            </w:r>
          </w:p>
        </w:tc>
      </w:tr>
      <w:tr>
        <w:trPr>
          <w:trHeight w:val="162"/>
        </w:trPr>
        <w:tc>
          <w:tcPr>
            <w:tcW w:w="2580" w:type="dxa"/>
            <w:vAlign w:val="bottom"/>
            <w:shd w:val="clear" w:color="auto" w:fill="D9D9D9"/>
          </w:tcPr>
          <w:p>
            <w:pPr>
              <w:jc w:val="center"/>
              <w:ind w:right="48"/>
              <w:spacing w:after="0"/>
              <w:rPr>
                <w:sz w:val="20"/>
                <w:szCs w:val="20"/>
                <w:color w:val="auto"/>
              </w:rPr>
            </w:pPr>
            <w:r>
              <w:rPr>
                <w:rFonts w:ascii="Arial" w:cs="Arial" w:eastAsia="Arial" w:hAnsi="Arial"/>
                <w:sz w:val="14"/>
                <w:szCs w:val="14"/>
                <w:color w:val="auto"/>
              </w:rPr>
              <w:t>-50.00%</w:t>
            </w:r>
          </w:p>
        </w:tc>
        <w:tc>
          <w:tcPr>
            <w:tcW w:w="2800" w:type="dxa"/>
            <w:vAlign w:val="bottom"/>
            <w:shd w:val="clear" w:color="auto" w:fill="D9D9D9"/>
          </w:tcPr>
          <w:p>
            <w:pPr>
              <w:jc w:val="center"/>
              <w:ind w:right="48"/>
              <w:spacing w:after="0"/>
              <w:rPr>
                <w:sz w:val="20"/>
                <w:szCs w:val="20"/>
                <w:color w:val="auto"/>
              </w:rPr>
            </w:pPr>
            <w:r>
              <w:rPr>
                <w:rFonts w:ascii="Arial" w:cs="Arial" w:eastAsia="Arial" w:hAnsi="Arial"/>
                <w:sz w:val="14"/>
                <w:szCs w:val="14"/>
                <w:color w:val="auto"/>
              </w:rPr>
              <w:t>$500.00</w:t>
            </w:r>
          </w:p>
        </w:tc>
      </w:tr>
      <w:tr>
        <w:trPr>
          <w:trHeight w:val="162"/>
        </w:trPr>
        <w:tc>
          <w:tcPr>
            <w:tcW w:w="2580" w:type="dxa"/>
            <w:vAlign w:val="bottom"/>
          </w:tcPr>
          <w:p>
            <w:pPr>
              <w:jc w:val="center"/>
              <w:ind w:right="48"/>
              <w:spacing w:after="0"/>
              <w:rPr>
                <w:sz w:val="20"/>
                <w:szCs w:val="20"/>
                <w:color w:val="auto"/>
              </w:rPr>
            </w:pPr>
            <w:r>
              <w:rPr>
                <w:rFonts w:ascii="Arial" w:cs="Arial" w:eastAsia="Arial" w:hAnsi="Arial"/>
                <w:sz w:val="14"/>
                <w:szCs w:val="14"/>
                <w:color w:val="auto"/>
              </w:rPr>
              <w:t>-60.00%</w:t>
            </w:r>
          </w:p>
        </w:tc>
        <w:tc>
          <w:tcPr>
            <w:tcW w:w="2800" w:type="dxa"/>
            <w:vAlign w:val="bottom"/>
          </w:tcPr>
          <w:p>
            <w:pPr>
              <w:jc w:val="center"/>
              <w:ind w:right="48"/>
              <w:spacing w:after="0"/>
              <w:rPr>
                <w:sz w:val="20"/>
                <w:szCs w:val="20"/>
                <w:color w:val="auto"/>
              </w:rPr>
            </w:pPr>
            <w:r>
              <w:rPr>
                <w:rFonts w:ascii="Arial" w:cs="Arial" w:eastAsia="Arial" w:hAnsi="Arial"/>
                <w:sz w:val="14"/>
                <w:szCs w:val="14"/>
                <w:color w:val="auto"/>
              </w:rPr>
              <w:t>$400.00</w:t>
            </w:r>
          </w:p>
        </w:tc>
      </w:tr>
      <w:tr>
        <w:trPr>
          <w:trHeight w:val="162"/>
        </w:trPr>
        <w:tc>
          <w:tcPr>
            <w:tcW w:w="2580" w:type="dxa"/>
            <w:vAlign w:val="bottom"/>
            <w:shd w:val="clear" w:color="auto" w:fill="D9D9D9"/>
          </w:tcPr>
          <w:p>
            <w:pPr>
              <w:jc w:val="center"/>
              <w:ind w:right="48"/>
              <w:spacing w:after="0"/>
              <w:rPr>
                <w:sz w:val="20"/>
                <w:szCs w:val="20"/>
                <w:color w:val="auto"/>
              </w:rPr>
            </w:pPr>
            <w:r>
              <w:rPr>
                <w:rFonts w:ascii="Arial" w:cs="Arial" w:eastAsia="Arial" w:hAnsi="Arial"/>
                <w:sz w:val="14"/>
                <w:szCs w:val="14"/>
                <w:color w:val="auto"/>
              </w:rPr>
              <w:t>-80.00%</w:t>
            </w:r>
          </w:p>
        </w:tc>
        <w:tc>
          <w:tcPr>
            <w:tcW w:w="2800" w:type="dxa"/>
            <w:vAlign w:val="bottom"/>
            <w:shd w:val="clear" w:color="auto" w:fill="D9D9D9"/>
          </w:tcPr>
          <w:p>
            <w:pPr>
              <w:jc w:val="center"/>
              <w:ind w:right="48"/>
              <w:spacing w:after="0"/>
              <w:rPr>
                <w:sz w:val="20"/>
                <w:szCs w:val="20"/>
                <w:color w:val="auto"/>
              </w:rPr>
            </w:pPr>
            <w:r>
              <w:rPr>
                <w:rFonts w:ascii="Arial" w:cs="Arial" w:eastAsia="Arial" w:hAnsi="Arial"/>
                <w:sz w:val="14"/>
                <w:szCs w:val="14"/>
                <w:color w:val="auto"/>
              </w:rPr>
              <w:t>$200.00</w:t>
            </w:r>
          </w:p>
        </w:tc>
      </w:tr>
      <w:tr>
        <w:trPr>
          <w:trHeight w:val="190"/>
        </w:trPr>
        <w:tc>
          <w:tcPr>
            <w:tcW w:w="2580" w:type="dxa"/>
            <w:vAlign w:val="bottom"/>
          </w:tcPr>
          <w:p>
            <w:pPr>
              <w:jc w:val="center"/>
              <w:ind w:right="48"/>
              <w:spacing w:after="0"/>
              <w:rPr>
                <w:sz w:val="20"/>
                <w:szCs w:val="20"/>
                <w:color w:val="auto"/>
              </w:rPr>
            </w:pPr>
            <w:r>
              <w:rPr>
                <w:rFonts w:ascii="Arial" w:cs="Arial" w:eastAsia="Arial" w:hAnsi="Arial"/>
                <w:sz w:val="14"/>
                <w:szCs w:val="14"/>
                <w:color w:val="auto"/>
              </w:rPr>
              <w:t>-100.00%</w:t>
            </w:r>
          </w:p>
        </w:tc>
        <w:tc>
          <w:tcPr>
            <w:tcW w:w="2800" w:type="dxa"/>
            <w:vAlign w:val="bottom"/>
          </w:tcPr>
          <w:p>
            <w:pPr>
              <w:jc w:val="center"/>
              <w:ind w:right="48"/>
              <w:spacing w:after="0"/>
              <w:rPr>
                <w:sz w:val="20"/>
                <w:szCs w:val="20"/>
                <w:color w:val="auto"/>
              </w:rPr>
            </w:pPr>
            <w:r>
              <w:rPr>
                <w:rFonts w:ascii="Arial" w:cs="Arial" w:eastAsia="Arial" w:hAnsi="Arial"/>
                <w:sz w:val="14"/>
                <w:szCs w:val="14"/>
                <w:color w:val="auto"/>
              </w:rPr>
              <w:t>$0.00</w:t>
            </w:r>
          </w:p>
        </w:tc>
      </w:tr>
    </w:tbl>
    <w:p>
      <w:pPr>
        <w:spacing w:after="0" w:line="679" w:lineRule="exact"/>
        <w:rPr>
          <w:sz w:val="20"/>
          <w:szCs w:val="20"/>
          <w:color w:val="auto"/>
        </w:rPr>
      </w:pPr>
    </w:p>
    <w:p>
      <w:pPr>
        <w:sectPr>
          <w:pgSz w:w="11900" w:h="16838" w:orient="portrait"/>
          <w:cols w:equalWidth="0" w:num="3">
            <w:col w:w="1120" w:space="60"/>
            <w:col w:w="4180" w:space="500"/>
            <w:col w:w="5380"/>
          </w:cols>
          <w:pgMar w:left="320" w:top="219" w:right="339" w:bottom="1440" w:gutter="0" w:footer="0" w:header="0"/>
          <w:type w:val="continuous"/>
        </w:sectPr>
      </w:pPr>
    </w:p>
    <w:p>
      <w:pPr>
        <w:spacing w:after="0"/>
        <w:tabs>
          <w:tab w:leader="none" w:pos="1180" w:val="left"/>
        </w:tabs>
        <w:rPr>
          <w:sz w:val="20"/>
          <w:szCs w:val="20"/>
          <w:color w:val="auto"/>
        </w:rPr>
      </w:pPr>
      <w:r>
        <w:rPr>
          <w:rFonts w:ascii="Arial" w:cs="Arial" w:eastAsia="Arial" w:hAnsi="Arial"/>
          <w:sz w:val="14"/>
          <w:szCs w:val="14"/>
          <w:b w:val="1"/>
          <w:bCs w:val="1"/>
          <w:color w:val="296DC1"/>
        </w:rPr>
        <w:t>Downside</w:t>
      </w:r>
      <w:r>
        <w:rPr>
          <w:sz w:val="20"/>
          <w:szCs w:val="20"/>
          <w:color w:val="auto"/>
        </w:rPr>
        <w:tab/>
      </w:r>
      <w:r>
        <w:rPr>
          <w:rFonts w:ascii="Arial" w:cs="Arial" w:eastAsia="Arial" w:hAnsi="Arial"/>
          <w:sz w:val="14"/>
          <w:szCs w:val="14"/>
          <w:color w:val="auto"/>
        </w:rPr>
        <w:t>70% of the initial stock price</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color w:val="296DC1"/>
        </w:rPr>
        <w:t>threshold level:</w:t>
      </w:r>
    </w:p>
    <w:p>
      <w:pPr>
        <w:spacing w:after="0" w:line="21"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296DC1"/>
        </w:rPr>
        <w:t>Initial stock</w:t>
      </w:r>
      <w:r>
        <w:rPr>
          <w:sz w:val="20"/>
          <w:szCs w:val="20"/>
          <w:color w:val="auto"/>
        </w:rPr>
        <w:tab/>
      </w:r>
      <w:r>
        <w:rPr>
          <w:rFonts w:ascii="Arial" w:cs="Arial" w:eastAsia="Arial" w:hAnsi="Arial"/>
          <w:sz w:val="14"/>
          <w:szCs w:val="14"/>
          <w:color w:val="auto"/>
        </w:rPr>
        <w:t>The closing price of the underlying stock on the pricing date</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296DC1"/>
        </w:rPr>
        <w:t>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420110"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420110" cy="22288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296DC1"/>
        </w:rPr>
        <w:t>Final stock price:</w:t>
      </w:r>
      <w:r>
        <w:rPr>
          <w:rFonts w:ascii="Arial" w:cs="Arial" w:eastAsia="Arial" w:hAnsi="Arial"/>
          <w:sz w:val="14"/>
          <w:szCs w:val="14"/>
          <w:color w:val="000000"/>
        </w:rPr>
        <w:t>The closing price of the underlying stock on the final</w:t>
      </w:r>
    </w:p>
    <w:p>
      <w:pPr>
        <w:spacing w:after="0" w:line="8" w:lineRule="exact"/>
        <w:rPr>
          <w:sz w:val="20"/>
          <w:szCs w:val="20"/>
          <w:color w:val="auto"/>
        </w:rPr>
      </w:pPr>
    </w:p>
    <w:p>
      <w:pPr>
        <w:ind w:left="1200"/>
        <w:spacing w:after="0"/>
        <w:rPr>
          <w:sz w:val="20"/>
          <w:szCs w:val="20"/>
          <w:color w:val="auto"/>
        </w:rPr>
      </w:pPr>
      <w:r>
        <w:rPr>
          <w:rFonts w:ascii="Arial" w:cs="Arial" w:eastAsia="Arial" w:hAnsi="Arial"/>
          <w:sz w:val="14"/>
          <w:szCs w:val="14"/>
          <w:color w:val="auto"/>
        </w:rPr>
        <w:t>determination date</w:t>
      </w:r>
    </w:p>
    <w:p>
      <w:pPr>
        <w:spacing w:after="0" w:line="15"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296DC1"/>
        </w:rPr>
        <w:t>Stock</w:t>
      </w:r>
      <w:r>
        <w:rPr>
          <w:sz w:val="20"/>
          <w:szCs w:val="20"/>
          <w:color w:val="auto"/>
        </w:rPr>
        <w:tab/>
      </w:r>
      <w:r>
        <w:rPr>
          <w:rFonts w:ascii="Arial" w:cs="Arial" w:eastAsia="Arial" w:hAnsi="Arial"/>
          <w:sz w:val="14"/>
          <w:szCs w:val="14"/>
          <w:color w:val="auto"/>
        </w:rPr>
        <w:t>The stock adjustment factor is referenced in determining the</w:t>
      </w:r>
    </w:p>
    <w:p>
      <w:pPr>
        <w:spacing w:after="0" w:line="14"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296DC1"/>
        </w:rPr>
        <w:t>adjustment</w:t>
      </w:r>
      <w:r>
        <w:rPr>
          <w:sz w:val="20"/>
          <w:szCs w:val="20"/>
          <w:color w:val="auto"/>
        </w:rPr>
        <w:tab/>
      </w:r>
      <w:r>
        <w:rPr>
          <w:rFonts w:ascii="Arial" w:cs="Arial" w:eastAsia="Arial" w:hAnsi="Arial"/>
          <w:sz w:val="14"/>
          <w:szCs w:val="14"/>
          <w:color w:val="auto"/>
        </w:rPr>
        <w:t>closing price of the underlying stock and is set initially at 1.0 on</w:t>
      </w:r>
    </w:p>
    <w:p>
      <w:pPr>
        <w:spacing w:after="0" w:line="1"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296DC1"/>
        </w:rPr>
        <w:t>factor:</w:t>
      </w:r>
      <w:r>
        <w:rPr>
          <w:sz w:val="20"/>
          <w:szCs w:val="20"/>
          <w:color w:val="auto"/>
        </w:rPr>
        <w:tab/>
      </w:r>
      <w:r>
        <w:rPr>
          <w:rFonts w:ascii="Arial" w:cs="Arial" w:eastAsia="Arial" w:hAnsi="Arial"/>
          <w:sz w:val="14"/>
          <w:szCs w:val="14"/>
          <w:color w:val="auto"/>
        </w:rPr>
        <w:t>the pricing date. The stock adjustment factor is subject to</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4"/>
          <w:szCs w:val="14"/>
          <w:color w:val="auto"/>
        </w:rPr>
        <w:t>adjustment in the event of certain corporate events affecting the</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4"/>
          <w:szCs w:val="14"/>
          <w:color w:val="auto"/>
        </w:rPr>
        <w:t>underlying stock.</w:t>
      </w:r>
    </w:p>
    <w:p>
      <w:pPr>
        <w:sectPr>
          <w:pgSz w:w="11900" w:h="16838" w:orient="portrait"/>
          <w:cols w:equalWidth="0" w:num="1">
            <w:col w:w="11240"/>
          </w:cols>
          <w:pgMar w:left="320" w:top="21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808080"/>
        </w:rPr>
        <w:t>JPMorgan Chase Financial Company LLC</w:t>
      </w:r>
    </w:p>
    <w:p>
      <w:pPr>
        <w:spacing w:after="0" w:line="14" w:lineRule="exact"/>
        <w:rPr>
          <w:sz w:val="20"/>
          <w:szCs w:val="20"/>
          <w:color w:val="auto"/>
        </w:rPr>
      </w:pPr>
    </w:p>
    <w:p>
      <w:pPr>
        <w:spacing w:after="0"/>
        <w:rPr>
          <w:sz w:val="20"/>
          <w:szCs w:val="20"/>
          <w:color w:val="auto"/>
        </w:rPr>
      </w:pPr>
      <w:r>
        <w:rPr>
          <w:rFonts w:ascii="Arial" w:cs="Arial" w:eastAsia="Arial" w:hAnsi="Arial"/>
          <w:sz w:val="29"/>
          <w:szCs w:val="29"/>
          <w:color w:val="296DC1"/>
        </w:rPr>
        <w:t>3y COF Contingent Income Auto-Callable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3"/>
          <w:szCs w:val="23"/>
          <w:color w:val="296DC1"/>
        </w:rPr>
        <w:t>Underlying Stock</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about the underlying stock, including historical performance information, see the accompanying preliminary pricing supplement.</w:t>
      </w:r>
    </w:p>
    <w:p>
      <w:pPr>
        <w:spacing w:after="0" w:line="5" w:lineRule="exact"/>
        <w:rPr>
          <w:sz w:val="20"/>
          <w:szCs w:val="20"/>
          <w:color w:val="auto"/>
        </w:rPr>
      </w:pPr>
    </w:p>
    <w:p>
      <w:pPr>
        <w:spacing w:after="0"/>
        <w:rPr>
          <w:sz w:val="20"/>
          <w:szCs w:val="20"/>
          <w:color w:val="auto"/>
        </w:rPr>
      </w:pPr>
      <w:r>
        <w:rPr>
          <w:rFonts w:ascii="Arial" w:cs="Arial" w:eastAsia="Arial" w:hAnsi="Arial"/>
          <w:sz w:val="25"/>
          <w:szCs w:val="25"/>
          <w:color w:val="296DC1"/>
        </w:rPr>
        <w:t>Risk Considerations</w:t>
      </w:r>
    </w:p>
    <w:p>
      <w:pPr>
        <w:spacing w:after="0" w:line="10"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The risks identified below are not exhaustive. Please see “Risk Factors” in the accompanying prospectus supplement, product supplement and preliminary pricing supplement and Annex A to the accompanying prospectus addendum for additional information.</w:t>
      </w:r>
    </w:p>
    <w:p>
      <w:pPr>
        <w:spacing w:after="0" w:line="231" w:lineRule="auto"/>
        <w:rPr>
          <w:sz w:val="20"/>
          <w:szCs w:val="20"/>
          <w:color w:val="auto"/>
        </w:rPr>
      </w:pPr>
      <w:r>
        <w:rPr>
          <w:rFonts w:ascii="Arial" w:cs="Arial" w:eastAsia="Arial" w:hAnsi="Arial"/>
          <w:sz w:val="18"/>
          <w:szCs w:val="18"/>
          <w:color w:val="296DC1"/>
        </w:rPr>
        <w:t>Risks Relating to the Securities Generally</w:t>
      </w:r>
    </w:p>
    <w:p>
      <w:pPr>
        <w:ind w:left="340" w:hanging="332"/>
        <w:spacing w:after="0" w:line="185" w:lineRule="auto"/>
        <w:tabs>
          <w:tab w:leader="none" w:pos="340" w:val="left"/>
        </w:tabs>
        <w:numPr>
          <w:ilvl w:val="0"/>
          <w:numId w:val="2"/>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The securities do not guarantee the return of any principal and your investment in the securities may result in a loss.</w:t>
      </w:r>
    </w:p>
    <w:p>
      <w:pPr>
        <w:spacing w:after="0" w:line="31" w:lineRule="exact"/>
        <w:rPr>
          <w:rFonts w:ascii="Wingdings" w:cs="Wingdings" w:eastAsia="Wingdings" w:hAnsi="Wingdings"/>
          <w:sz w:val="24"/>
          <w:szCs w:val="24"/>
          <w:b w:val="1"/>
          <w:bCs w:val="1"/>
          <w:color w:val="A3C4EB"/>
          <w:vertAlign w:val="subscript"/>
        </w:rPr>
      </w:pPr>
    </w:p>
    <w:p>
      <w:pPr>
        <w:ind w:left="340" w:right="120" w:hanging="332"/>
        <w:spacing w:after="0" w:line="188" w:lineRule="auto"/>
        <w:tabs>
          <w:tab w:leader="none" w:pos="340" w:val="left"/>
        </w:tabs>
        <w:numPr>
          <w:ilvl w:val="0"/>
          <w:numId w:val="2"/>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You will not receive any contingent quarterly payment for any quarterly period if the closing price of the underlying stock on the relevant determination date is less than the downside threshold level.</w:t>
      </w:r>
    </w:p>
    <w:p>
      <w:pPr>
        <w:ind w:left="340" w:hanging="332"/>
        <w:spacing w:after="0" w:line="195" w:lineRule="auto"/>
        <w:tabs>
          <w:tab w:leader="none" w:pos="340" w:val="left"/>
        </w:tabs>
        <w:numPr>
          <w:ilvl w:val="0"/>
          <w:numId w:val="2"/>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contingent quarterly payment is based solely on the closing prices of the underlying stock on the specified determination dates.</w:t>
      </w:r>
    </w:p>
    <w:p>
      <w:pPr>
        <w:spacing w:after="0" w:line="31" w:lineRule="exact"/>
        <w:rPr>
          <w:rFonts w:ascii="Wingdings" w:cs="Wingdings" w:eastAsia="Wingdings" w:hAnsi="Wingdings"/>
          <w:sz w:val="22"/>
          <w:szCs w:val="22"/>
          <w:b w:val="1"/>
          <w:bCs w:val="1"/>
          <w:color w:val="A3C4EB"/>
          <w:vertAlign w:val="subscript"/>
        </w:rPr>
      </w:pPr>
    </w:p>
    <w:p>
      <w:pPr>
        <w:ind w:left="340" w:right="500" w:hanging="332"/>
        <w:spacing w:after="0" w:line="188" w:lineRule="auto"/>
        <w:tabs>
          <w:tab w:leader="none" w:pos="340" w:val="left"/>
        </w:tabs>
        <w:numPr>
          <w:ilvl w:val="0"/>
          <w:numId w:val="2"/>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The securities are subject to the credit risks of JPMorgan Financial and JPMorgan Chase &amp; Co., and any actual or anticipated changes to our or JPMorgan Chase &amp; Co.’s credit ratings or credit spreads may adversely affect the market value of the securities.</w:t>
      </w:r>
    </w:p>
    <w:p>
      <w:pPr>
        <w:ind w:left="340" w:hanging="332"/>
        <w:spacing w:after="0" w:line="195" w:lineRule="auto"/>
        <w:tabs>
          <w:tab w:leader="none" w:pos="340" w:val="left"/>
        </w:tabs>
        <w:numPr>
          <w:ilvl w:val="0"/>
          <w:numId w:val="2"/>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As a finance subsidiary, JPMorgan Financial has no independent operations and has limited assets.</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2"/>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Investors will not participate in any appreciation of the underlying stock.</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2"/>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Early redemption risk.</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2"/>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Secondary trading may be limited.</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2"/>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final terms and estimated valuation of the securities will be provided in the pricing supplement.</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2"/>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U.S. federal income tax consequences of an investment in the securities are uncertain.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Conflicts of Interest</w:t>
      </w:r>
    </w:p>
    <w:p>
      <w:pPr>
        <w:ind w:left="340" w:right="60" w:hanging="332"/>
        <w:spacing w:after="0" w:line="182" w:lineRule="auto"/>
        <w:tabs>
          <w:tab w:leader="none" w:pos="340" w:val="left"/>
        </w:tabs>
        <w:numPr>
          <w:ilvl w:val="0"/>
          <w:numId w:val="3"/>
        </w:numPr>
        <w:rPr>
          <w:rFonts w:ascii="Wingdings" w:cs="Wingdings" w:eastAsia="Wingdings" w:hAnsi="Wingdings"/>
          <w:sz w:val="31"/>
          <w:szCs w:val="31"/>
          <w:b w:val="1"/>
          <w:bCs w:val="1"/>
          <w:color w:val="A3C4EB"/>
          <w:vertAlign w:val="subscript"/>
        </w:rPr>
      </w:pPr>
      <w:r>
        <w:rPr>
          <w:rFonts w:ascii="Arial" w:cs="Arial" w:eastAsia="Arial" w:hAnsi="Arial"/>
          <w:sz w:val="14"/>
          <w:szCs w:val="14"/>
          <w:color w:val="auto"/>
        </w:rPr>
        <w:t>Economic interests of the issuer, the guarantor, the calculation agent, the agent of the offering of the securities and other affiliates of the issuer may be different from those of investors.</w:t>
      </w:r>
    </w:p>
    <w:p>
      <w:pPr>
        <w:spacing w:after="0" w:line="2" w:lineRule="exact"/>
        <w:rPr>
          <w:rFonts w:ascii="Wingdings" w:cs="Wingdings" w:eastAsia="Wingdings" w:hAnsi="Wingdings"/>
          <w:sz w:val="31"/>
          <w:szCs w:val="31"/>
          <w:b w:val="1"/>
          <w:bCs w:val="1"/>
          <w:color w:val="A3C4EB"/>
          <w:vertAlign w:val="subscript"/>
        </w:rPr>
      </w:pPr>
    </w:p>
    <w:p>
      <w:pPr>
        <w:ind w:left="340" w:hanging="332"/>
        <w:spacing w:after="0" w:line="195" w:lineRule="auto"/>
        <w:tabs>
          <w:tab w:leader="none" w:pos="340" w:val="left"/>
        </w:tabs>
        <w:numPr>
          <w:ilvl w:val="0"/>
          <w:numId w:val="3"/>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Hedging and trading activities by the issuer and its affiliates could potentially affect the value of the securities.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the Estimated Value and Secondary Market Prices of the Securities</w:t>
      </w:r>
    </w:p>
    <w:p>
      <w:pPr>
        <w:ind w:left="340" w:hanging="332"/>
        <w:spacing w:after="0" w:line="185" w:lineRule="auto"/>
        <w:tabs>
          <w:tab w:leader="none" w:pos="340" w:val="left"/>
        </w:tabs>
        <w:numPr>
          <w:ilvl w:val="0"/>
          <w:numId w:val="4"/>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The estimated value of the securities will be lower than the original issue price (price to public) of the securities.</w:t>
      </w:r>
    </w:p>
    <w:p>
      <w:pPr>
        <w:spacing w:after="0" w:line="31" w:lineRule="exact"/>
        <w:rPr>
          <w:rFonts w:ascii="Wingdings" w:cs="Wingdings" w:eastAsia="Wingdings" w:hAnsi="Wingdings"/>
          <w:sz w:val="24"/>
          <w:szCs w:val="24"/>
          <w:b w:val="1"/>
          <w:bCs w:val="1"/>
          <w:color w:val="A3C4EB"/>
          <w:vertAlign w:val="subscript"/>
        </w:rPr>
      </w:pPr>
    </w:p>
    <w:p>
      <w:pPr>
        <w:ind w:left="340" w:hanging="332"/>
        <w:spacing w:after="0" w:line="180" w:lineRule="auto"/>
        <w:tabs>
          <w:tab w:leader="none" w:pos="340" w:val="left"/>
        </w:tabs>
        <w:numPr>
          <w:ilvl w:val="0"/>
          <w:numId w:val="4"/>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The estimated value of the securities does not represent future values of the securities and may differ from others’ estimates.</w:t>
      </w:r>
    </w:p>
    <w:p>
      <w:pPr>
        <w:spacing w:after="0" w:line="29" w:lineRule="exact"/>
        <w:rPr>
          <w:rFonts w:ascii="Wingdings" w:cs="Wingdings" w:eastAsia="Wingdings" w:hAnsi="Wingdings"/>
          <w:sz w:val="24"/>
          <w:szCs w:val="24"/>
          <w:b w:val="1"/>
          <w:bCs w:val="1"/>
          <w:color w:val="A3C4EB"/>
          <w:vertAlign w:val="subscript"/>
        </w:rPr>
      </w:pPr>
    </w:p>
    <w:p>
      <w:pPr>
        <w:ind w:left="340" w:hanging="332"/>
        <w:spacing w:after="0" w:line="195" w:lineRule="auto"/>
        <w:tabs>
          <w:tab w:leader="none" w:pos="340" w:val="left"/>
        </w:tabs>
        <w:numPr>
          <w:ilvl w:val="0"/>
          <w:numId w:val="4"/>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estimated value of the securities is derived by reference to an internal funding rate.</w:t>
      </w:r>
    </w:p>
    <w:p>
      <w:pPr>
        <w:spacing w:after="0" w:line="31" w:lineRule="exact"/>
        <w:rPr>
          <w:rFonts w:ascii="Wingdings" w:cs="Wingdings" w:eastAsia="Wingdings" w:hAnsi="Wingdings"/>
          <w:sz w:val="22"/>
          <w:szCs w:val="22"/>
          <w:b w:val="1"/>
          <w:bCs w:val="1"/>
          <w:color w:val="A3C4EB"/>
          <w:vertAlign w:val="subscript"/>
        </w:rPr>
      </w:pPr>
    </w:p>
    <w:p>
      <w:pPr>
        <w:ind w:left="340" w:right="160" w:hanging="332"/>
        <w:spacing w:after="0" w:line="188" w:lineRule="auto"/>
        <w:tabs>
          <w:tab w:leader="none" w:pos="340" w:val="left"/>
        </w:tabs>
        <w:numPr>
          <w:ilvl w:val="0"/>
          <w:numId w:val="4"/>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The value of the securities as published by J.P. Morgan Securities LLC (and which may be reflected on customer account statements) may be higher than the then-current estimated value of the securities for a limited time period.</w:t>
      </w:r>
    </w:p>
    <w:p>
      <w:pPr>
        <w:ind w:left="340" w:hanging="332"/>
        <w:spacing w:after="0" w:line="195" w:lineRule="auto"/>
        <w:tabs>
          <w:tab w:leader="none" w:pos="340" w:val="left"/>
        </w:tabs>
        <w:numPr>
          <w:ilvl w:val="0"/>
          <w:numId w:val="4"/>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Secondary market prices of the securities will likely be lower than the original issue price of the securities.</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4"/>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Secondary market prices of the securities will be impacted by many economic and market factors.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the Underlying Stock</w:t>
      </w:r>
    </w:p>
    <w:p>
      <w:pPr>
        <w:ind w:left="340" w:hanging="332"/>
        <w:spacing w:after="0" w:line="185" w:lineRule="auto"/>
        <w:tabs>
          <w:tab w:leader="none" w:pos="340" w:val="left"/>
        </w:tabs>
        <w:numPr>
          <w:ilvl w:val="0"/>
          <w:numId w:val="5"/>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Investing in the securities is not equivalent to investing in the underlying stock.</w:t>
      </w:r>
    </w:p>
    <w:p>
      <w:pPr>
        <w:spacing w:after="0" w:line="31" w:lineRule="exact"/>
        <w:rPr>
          <w:rFonts w:ascii="Wingdings" w:cs="Wingdings" w:eastAsia="Wingdings" w:hAnsi="Wingdings"/>
          <w:sz w:val="24"/>
          <w:szCs w:val="24"/>
          <w:b w:val="1"/>
          <w:bCs w:val="1"/>
          <w:color w:val="A3C4EB"/>
          <w:vertAlign w:val="subscript"/>
        </w:rPr>
      </w:pPr>
    </w:p>
    <w:p>
      <w:pPr>
        <w:ind w:left="340" w:hanging="332"/>
        <w:spacing w:after="0" w:line="195" w:lineRule="auto"/>
        <w:tabs>
          <w:tab w:leader="none" w:pos="340" w:val="left"/>
        </w:tabs>
        <w:numPr>
          <w:ilvl w:val="0"/>
          <w:numId w:val="5"/>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No affiliation with Capital One Financial Corporation</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5"/>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We may engage in business with or involving Capital One Financial Corporation without regard to your interests.</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5"/>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Governmental legislative and regulatory actions, including sanctions, could adversely affect your investment in the securities.</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5"/>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anti-dilution protection for the underlying stock is limited and may be discretionary.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296DC1"/>
        </w:rPr>
        <w:t>Tax Considerations</w:t>
      </w:r>
    </w:p>
    <w:p>
      <w:pPr>
        <w:spacing w:after="0" w:line="16"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the this offering will arrange to send you the prospectus and each prospectus supplement as well as any product supplement and preliminary pricing supplement if you so request by calling toll-free 1-866-535-9248.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-861060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320" w:top="21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2" Type="http://schemas.openxmlformats.org/officeDocument/2006/relationships/hyperlink" Target="http://www.sec.gov/Archives/edgar/data/19617/000121390025067371/ea0250198-01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2025-07-25T08:24:09Z</dcterms:created>
  <dcterms:modified xsi:type="dcterms:W3CDTF">2025-07-25T08:24:09Z</dcterms:modified>
</cp:coreProperties>
</file>