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3642-01_fwp.htm"/>
      <w:bookmarkStart w:id="1" w:name="ksea0303642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27,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2.5-Year SX5E/SPX/RTY Contingent Income Callable Securities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80732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8073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356"/>
                              <w:gridCol w:w="2716"/>
                              <w:gridCol w:w="6133"/>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356"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Issuer: </w:t>
                                  </w:r>
                                </w:p>
                              </w:tc>
                              <w:tc>
                                <w:tcPr>
                                  <w:tcW w:w="8849" w:type="dxa"/>
                                  <w:gridSpan w:val="2"/>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Financial Company LLC (“JPMorgan Financial”)</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Guarantor:</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&amp; Co.</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Underlying indices: </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EURO STOXX 50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SX5E Index) (the “SX5E Index”), S&amp;P 500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SPX Index) (the “SPX Index”) and </w:t>
                                  </w:r>
                                  <w:r>
                                    <w:rPr>
                                      <w:rFonts w:ascii="Arial;Helvetica;Sans-Serif" w:hAnsi="Arial;Helvetica;Sans-Serif"/>
                                      <w:b w:val="false"/>
                                      <w:i w:val="false"/>
                                      <w:caps w:val="false"/>
                                      <w:smallCaps w:val="false"/>
                                      <w:sz w:val="15"/>
                                      <w:shd w:fill="FFFFFF" w:val="clear"/>
                                    </w:rPr>
                                    <w:t>Russell 2000</w:t>
                                  </w:r>
                                  <w:r>
                                    <w:rPr>
                                      <w:rFonts w:ascii="Arial;Helvetica;Sans-Serif" w:hAnsi="Arial;Helvetica;Sans-Serif"/>
                                      <w:b w:val="false"/>
                                      <w:i w:val="false"/>
                                      <w:caps w:val="false"/>
                                      <w:smallCaps w:val="false"/>
                                      <w:position w:val="5"/>
                                      <w:sz w:val="12"/>
                                      <w:sz w:val="15"/>
                                      <w:shd w:fill="FFFFFF" w:val="clear"/>
                                    </w:rPr>
                                    <w:t>®</w:t>
                                  </w:r>
                                  <w:r>
                                    <w:rPr>
                                      <w:rFonts w:ascii="Arial;Helvetica;Sans-Serif" w:hAnsi="Arial;Helvetica;Sans-Serif"/>
                                      <w:b w:val="false"/>
                                      <w:i w:val="false"/>
                                      <w:caps w:val="false"/>
                                      <w:smallCaps w:val="false"/>
                                      <w:sz w:val="15"/>
                                      <w:shd w:fill="FFFFFF" w:val="clear"/>
                                    </w:rPr>
                                    <w:t xml:space="preserve"> Index (Bloomberg ticker: RTY Index)</w:t>
                                  </w:r>
                                  <w:r>
                                    <w:rPr>
                                      <w:rFonts w:ascii="Arial;Helvetica;Sans-Serif" w:hAnsi="Arial;Helvetica;Sans-Serif"/>
                                      <w:b w:val="false"/>
                                      <w:i w:val="false"/>
                                      <w:caps w:val="false"/>
                                      <w:smallCaps w:val="false"/>
                                      <w:sz w:val="15"/>
                                    </w:rPr>
                                    <w:t xml:space="preserve"> (the “RTY Index”) (each an “underlying index”)</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Optional early redemption: </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We, </w:t>
                                  </w:r>
                                  <w:r>
                                    <w:rPr>
                                      <w:rFonts w:ascii="Arial;Helvetica;Sans-Serif" w:hAnsi="Arial;Helvetica;Sans-Serif"/>
                                      <w:b/>
                                      <w:i w:val="false"/>
                                      <w:caps w:val="false"/>
                                      <w:smallCaps w:val="false"/>
                                      <w:sz w:val="15"/>
                                    </w:rPr>
                                    <w:t>at our discretion</w:t>
                                  </w:r>
                                  <w:r>
                                    <w:rPr>
                                      <w:rFonts w:ascii="Arial;Helvetica;Sans-Serif" w:hAnsi="Arial;Helvetica;Sans-Serif"/>
                                      <w:b w:val="false"/>
                                      <w:i w:val="false"/>
                                      <w:caps w:val="false"/>
                                      <w:smallCaps w:val="false"/>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Early redemption payment: </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The early redemption payment will be an amount equal to (i)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xml:space="preserve"> (ii) any contingent quarterly payment otherwise due with respect to the related quarterly monitoring period.</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8849" w:type="dxa"/>
                                  <w:gridSpan w:val="2"/>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$25.375 (at least 2.5375%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r>
                              <w:trPr/>
                              <w:tc>
                                <w:tcPr>
                                  <w:tcW w:w="1356"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71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final index value of </w:t>
                                  </w:r>
                                  <w:r>
                                    <w:rPr>
                                      <w:rFonts w:ascii="Arial;Helvetica;Sans-Serif" w:hAnsi="Arial;Helvetica;Sans-Serif"/>
                                      <w:b/>
                                      <w:i w:val="false"/>
                                      <w:caps w:val="false"/>
                                      <w:smallCaps w:val="false"/>
                                      <w:sz w:val="15"/>
                                    </w:rPr>
                                    <w:t>each</w:t>
                                  </w:r>
                                  <w:r>
                                    <w:rPr>
                                      <w:rFonts w:ascii="Arial;Helvetica;Sans-Serif" w:hAnsi="Arial;Helvetica;Sans-Serif"/>
                                      <w:b w:val="false"/>
                                      <w:i w:val="false"/>
                                      <w:caps w:val="false"/>
                                      <w:smallCaps w:val="false"/>
                                      <w:sz w:val="15"/>
                                    </w:rPr>
                                    <w:t xml:space="preserve"> underlying index is </w:t>
                                  </w:r>
                                  <w:r>
                                    <w:rPr>
                                      <w:rFonts w:ascii="Arial;Helvetica;Sans-Serif" w:hAnsi="Arial;Helvetica;Sans-Serif"/>
                                      <w:b/>
                                      <w:i w:val="false"/>
                                      <w:caps w:val="false"/>
                                      <w:smallCaps w:val="false"/>
                                      <w:sz w:val="15"/>
                                    </w:rPr>
                                    <w:t>greater than or equal to</w:t>
                                  </w:r>
                                  <w:r>
                                    <w:rPr>
                                      <w:rFonts w:ascii="Arial;Helvetica;Sans-Serif" w:hAnsi="Arial;Helvetica;Sans-Serif"/>
                                      <w:b w:val="false"/>
                                      <w:i w:val="false"/>
                                      <w:caps w:val="false"/>
                                      <w:smallCaps w:val="false"/>
                                      <w:sz w:val="15"/>
                                    </w:rPr>
                                    <w:t xml:space="preserve"> its downside threshold level:</w:t>
                                  </w:r>
                                </w:p>
                              </w:tc>
                              <w:tc>
                                <w:tcPr>
                                  <w:tcW w:w="61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1356"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271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final index value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w:t>
                                  </w:r>
                                </w:p>
                              </w:tc>
                              <w:tc>
                                <w:tcPr>
                                  <w:tcW w:w="61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times</w:t>
                                  </w:r>
                                  <w:r>
                                    <w:rPr>
                                      <w:rFonts w:ascii="Arial;Helvetica;Sans-Serif" w:hAnsi="Arial;Helvetica;Sans-Serif"/>
                                      <w:b w:val="false"/>
                                      <w:i w:val="false"/>
                                      <w:caps w:val="false"/>
                                      <w:smallCaps w:val="false"/>
                                      <w:sz w:val="15"/>
                                    </w:rPr>
                                    <w:t xml:space="preserve"> (ii) the index performance factor of the worst performing underlying index.  This cash payment will be less than 70% of the stated principal amount of the securities and could be zero.</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70% of its initial index value</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Quarterly monitoring period:</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pricing date</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final determination date</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underlying index with the worst index performance factor</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With respect to each underlying index, its final index value </w:t>
                                  </w:r>
                                  <w:r>
                                    <w:rPr>
                                      <w:rFonts w:ascii="Arial;Helvetica;Sans-Serif" w:hAnsi="Arial;Helvetica;Sans-Serif"/>
                                      <w:b w:val="false"/>
                                      <w:i/>
                                      <w:caps w:val="false"/>
                                      <w:smallCaps w:val="false"/>
                                      <w:sz w:val="15"/>
                                    </w:rPr>
                                    <w:t xml:space="preserve">divided by </w:t>
                                  </w:r>
                                  <w:r>
                                    <w:rPr>
                                      <w:rFonts w:ascii="Arial;Helvetica;Sans-Serif" w:hAnsi="Arial;Helvetica;Sans-Serif"/>
                                      <w:b w:val="false"/>
                                      <w:i w:val="false"/>
                                      <w:caps w:val="false"/>
                                      <w:smallCaps w:val="false"/>
                                      <w:sz w:val="15"/>
                                    </w:rPr>
                                    <w:t>its initial index value</w:t>
                                  </w:r>
                                </w:p>
                              </w:tc>
                            </w:tr>
                            <w:tr>
                              <w:trPr/>
                              <w:tc>
                                <w:tcPr>
                                  <w:tcW w:w="1356"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283"/>
                                    <w:jc w:val="left"/>
                                    <w:rPr/>
                                  </w:pPr>
                                  <w:r>
                                    <w:rPr/>
                                    <w:t> </w:t>
                                  </w:r>
                                </w:p>
                              </w:tc>
                              <w:tc>
                                <w:tcPr>
                                  <w:tcW w:w="6133"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4.7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356"/>
                        <w:gridCol w:w="2716"/>
                        <w:gridCol w:w="6133"/>
                      </w:tblGrid>
                      <w:tr>
                        <w:trPr/>
                        <w:tc>
                          <w:tcPr>
                            <w:tcW w:w="10205" w:type="dxa"/>
                            <w:gridSpan w:val="3"/>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356" w:type="dxa"/>
                            <w:tcBorders/>
                            <w:shd w:fill="FFFFFF"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Issuer: </w:t>
                            </w:r>
                          </w:p>
                        </w:tc>
                        <w:tc>
                          <w:tcPr>
                            <w:tcW w:w="8849" w:type="dxa"/>
                            <w:gridSpan w:val="2"/>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Financial Company LLC (“JPMorgan Financial”)</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Guarantor:</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JPMorgan Chase &amp; Co.</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Underlying indices: </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EURO STOXX 50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SX5E Index) (the “SX5E Index”), S&amp;P 500</w:t>
                            </w:r>
                            <w:r>
                              <w:rPr>
                                <w:rFonts w:ascii="Arial;Helvetica;Sans-Serif" w:hAnsi="Arial;Helvetica;Sans-Serif"/>
                                <w:b w:val="false"/>
                                <w:i w:val="false"/>
                                <w:caps w:val="false"/>
                                <w:smallCaps w:val="false"/>
                                <w:position w:val="5"/>
                                <w:sz w:val="12"/>
                                <w:sz w:val="15"/>
                              </w:rPr>
                              <w:t>®</w:t>
                            </w:r>
                            <w:r>
                              <w:rPr>
                                <w:rFonts w:ascii="Arial;Helvetica;Sans-Serif" w:hAnsi="Arial;Helvetica;Sans-Serif"/>
                                <w:b w:val="false"/>
                                <w:i w:val="false"/>
                                <w:caps w:val="false"/>
                                <w:smallCaps w:val="false"/>
                                <w:sz w:val="15"/>
                              </w:rPr>
                              <w:t xml:space="preserve"> Index (Bloomberg ticker: SPX Index) (the “SPX Index”) and </w:t>
                            </w:r>
                            <w:r>
                              <w:rPr>
                                <w:rFonts w:ascii="Arial;Helvetica;Sans-Serif" w:hAnsi="Arial;Helvetica;Sans-Serif"/>
                                <w:b w:val="false"/>
                                <w:i w:val="false"/>
                                <w:caps w:val="false"/>
                                <w:smallCaps w:val="false"/>
                                <w:sz w:val="15"/>
                                <w:shd w:fill="FFFFFF" w:val="clear"/>
                              </w:rPr>
                              <w:t>Russell 2000</w:t>
                            </w:r>
                            <w:r>
                              <w:rPr>
                                <w:rFonts w:ascii="Arial;Helvetica;Sans-Serif" w:hAnsi="Arial;Helvetica;Sans-Serif"/>
                                <w:b w:val="false"/>
                                <w:i w:val="false"/>
                                <w:caps w:val="false"/>
                                <w:smallCaps w:val="false"/>
                                <w:position w:val="5"/>
                                <w:sz w:val="12"/>
                                <w:sz w:val="15"/>
                                <w:shd w:fill="FFFFFF" w:val="clear"/>
                              </w:rPr>
                              <w:t>®</w:t>
                            </w:r>
                            <w:r>
                              <w:rPr>
                                <w:rFonts w:ascii="Arial;Helvetica;Sans-Serif" w:hAnsi="Arial;Helvetica;Sans-Serif"/>
                                <w:b w:val="false"/>
                                <w:i w:val="false"/>
                                <w:caps w:val="false"/>
                                <w:smallCaps w:val="false"/>
                                <w:sz w:val="15"/>
                                <w:shd w:fill="FFFFFF" w:val="clear"/>
                              </w:rPr>
                              <w:t xml:space="preserve"> Index (Bloomberg ticker: RTY Index)</w:t>
                            </w:r>
                            <w:r>
                              <w:rPr>
                                <w:rFonts w:ascii="Arial;Helvetica;Sans-Serif" w:hAnsi="Arial;Helvetica;Sans-Serif"/>
                                <w:b w:val="false"/>
                                <w:i w:val="false"/>
                                <w:caps w:val="false"/>
                                <w:smallCaps w:val="false"/>
                                <w:sz w:val="15"/>
                              </w:rPr>
                              <w:t xml:space="preserve"> (the “RTY Index”) (each an “underlying index”)</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Optional early redemption: </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We, </w:t>
                            </w:r>
                            <w:r>
                              <w:rPr>
                                <w:rFonts w:ascii="Arial;Helvetica;Sans-Serif" w:hAnsi="Arial;Helvetica;Sans-Serif"/>
                                <w:b/>
                                <w:i w:val="false"/>
                                <w:caps w:val="false"/>
                                <w:smallCaps w:val="false"/>
                                <w:sz w:val="15"/>
                              </w:rPr>
                              <w:t>at our discretion</w:t>
                            </w:r>
                            <w:r>
                              <w:rPr>
                                <w:rFonts w:ascii="Arial;Helvetica;Sans-Serif" w:hAnsi="Arial;Helvetica;Sans-Serif"/>
                                <w:b w:val="false"/>
                                <w:i w:val="false"/>
                                <w:caps w:val="false"/>
                                <w:smallCaps w:val="false"/>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 xml:space="preserve">Early redemption payment: </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The early redemption payment will be an amount equal to (i)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xml:space="preserve"> (ii) any contingent quarterly payment otherwise due with respect to the related quarterly monitoring period.</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8849" w:type="dxa"/>
                            <w:gridSpan w:val="2"/>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$25.375 (at least 2.5375% of the stated principal amount) per security on the related contingent payment date. The actual contingent quarterly payment will be provided in the pricing supplement.</w:t>
                            </w:r>
                          </w:p>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r>
                        <w:trPr/>
                        <w:tc>
                          <w:tcPr>
                            <w:tcW w:w="1356"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71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final index value of </w:t>
                            </w:r>
                            <w:r>
                              <w:rPr>
                                <w:rFonts w:ascii="Arial;Helvetica;Sans-Serif" w:hAnsi="Arial;Helvetica;Sans-Serif"/>
                                <w:b/>
                                <w:i w:val="false"/>
                                <w:caps w:val="false"/>
                                <w:smallCaps w:val="false"/>
                                <w:sz w:val="15"/>
                              </w:rPr>
                              <w:t>each</w:t>
                            </w:r>
                            <w:r>
                              <w:rPr>
                                <w:rFonts w:ascii="Arial;Helvetica;Sans-Serif" w:hAnsi="Arial;Helvetica;Sans-Serif"/>
                                <w:b w:val="false"/>
                                <w:i w:val="false"/>
                                <w:caps w:val="false"/>
                                <w:smallCaps w:val="false"/>
                                <w:sz w:val="15"/>
                              </w:rPr>
                              <w:t xml:space="preserve"> underlying index is </w:t>
                            </w:r>
                            <w:r>
                              <w:rPr>
                                <w:rFonts w:ascii="Arial;Helvetica;Sans-Serif" w:hAnsi="Arial;Helvetica;Sans-Serif"/>
                                <w:b/>
                                <w:i w:val="false"/>
                                <w:caps w:val="false"/>
                                <w:smallCaps w:val="false"/>
                                <w:sz w:val="15"/>
                              </w:rPr>
                              <w:t>greater than or equal to</w:t>
                            </w:r>
                            <w:r>
                              <w:rPr>
                                <w:rFonts w:ascii="Arial;Helvetica;Sans-Serif" w:hAnsi="Arial;Helvetica;Sans-Serif"/>
                                <w:b w:val="false"/>
                                <w:i w:val="false"/>
                                <w:caps w:val="false"/>
                                <w:smallCaps w:val="false"/>
                                <w:sz w:val="15"/>
                              </w:rPr>
                              <w:t xml:space="preserve"> its downside threshold level:</w:t>
                            </w:r>
                          </w:p>
                        </w:tc>
                        <w:tc>
                          <w:tcPr>
                            <w:tcW w:w="61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plus</w:t>
                            </w:r>
                            <w:r>
                              <w:rPr>
                                <w:rFonts w:ascii="Arial;Helvetica;Sans-Serif" w:hAnsi="Arial;Helvetica;Sans-Serif"/>
                                <w:b w:val="false"/>
                                <w:i w:val="false"/>
                                <w:caps w:val="false"/>
                                <w:smallCaps w:val="false"/>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1356" w:type="dxa"/>
                            <w:tcBorders/>
                            <w:vAlign w:val="center"/>
                          </w:tcPr>
                          <w:p>
                            <w:pPr>
                              <w:pStyle w:val="TableContents"/>
                              <w:bidi w:val="0"/>
                              <w:spacing w:before="0" w:after="283"/>
                              <w:ind w:left="0" w:right="0" w:hanging="147"/>
                              <w:jc w:val="left"/>
                              <w:rPr>
                                <w:caps w:val="false"/>
                                <w:smallCaps w:val="false"/>
                                <w:color w:val="296DC1"/>
                              </w:rPr>
                            </w:pPr>
                            <w:r>
                              <w:rPr>
                                <w:caps w:val="false"/>
                                <w:smallCaps w:val="false"/>
                                <w:color w:val="296DC1"/>
                              </w:rPr>
                              <w:t> </w:t>
                            </w:r>
                          </w:p>
                        </w:tc>
                        <w:tc>
                          <w:tcPr>
                            <w:tcW w:w="2716" w:type="dxa"/>
                            <w:tcBorders/>
                            <w:vAlign w:val="center"/>
                          </w:tcPr>
                          <w:p>
                            <w:pPr>
                              <w:pStyle w:val="TableContents"/>
                              <w:bidi w:val="0"/>
                              <w:spacing w:before="0" w:after="283"/>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final index value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w:t>
                            </w:r>
                          </w:p>
                        </w:tc>
                        <w:tc>
                          <w:tcPr>
                            <w:tcW w:w="61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times</w:t>
                            </w:r>
                            <w:r>
                              <w:rPr>
                                <w:rFonts w:ascii="Arial;Helvetica;Sans-Serif" w:hAnsi="Arial;Helvetica;Sans-Serif"/>
                                <w:b w:val="false"/>
                                <w:i w:val="false"/>
                                <w:caps w:val="false"/>
                                <w:smallCaps w:val="false"/>
                                <w:sz w:val="15"/>
                              </w:rPr>
                              <w:t xml:space="preserve"> (ii) the index performance factor of the worst performing underlying index.  This cash payment will be less than 70% of the stated principal amount of the securities and could be zero.</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Downside threshold level:</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70% of its initial index value</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Quarterly monitoring period:</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Initial index value:</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pricing date</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Final index value:</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With respect to each underlying index, its closing level on the final determination date</w:t>
                            </w:r>
                          </w:p>
                        </w:tc>
                      </w:tr>
                      <w:tr>
                        <w:trPr/>
                        <w:tc>
                          <w:tcPr>
                            <w:tcW w:w="1356"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Worst performing underlying index:</w:t>
                            </w:r>
                          </w:p>
                        </w:tc>
                        <w:tc>
                          <w:tcPr>
                            <w:tcW w:w="8849" w:type="dxa"/>
                            <w:gridSpan w:val="2"/>
                            <w:tcBorders/>
                            <w:shd w:fill="DCEBF4" w:val="clear"/>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underlying index with the worst index performance factor</w:t>
                            </w:r>
                          </w:p>
                        </w:tc>
                      </w:tr>
                      <w:tr>
                        <w:trPr/>
                        <w:tc>
                          <w:tcPr>
                            <w:tcW w:w="1356"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Index performance factor:</w:t>
                            </w:r>
                          </w:p>
                        </w:tc>
                        <w:tc>
                          <w:tcPr>
                            <w:tcW w:w="884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With respect to each underlying index, its final index value </w:t>
                            </w:r>
                            <w:r>
                              <w:rPr>
                                <w:rFonts w:ascii="Arial;Helvetica;Sans-Serif" w:hAnsi="Arial;Helvetica;Sans-Serif"/>
                                <w:b w:val="false"/>
                                <w:i/>
                                <w:caps w:val="false"/>
                                <w:smallCaps w:val="false"/>
                                <w:sz w:val="15"/>
                              </w:rPr>
                              <w:t xml:space="preserve">divided by </w:t>
                            </w:r>
                            <w:r>
                              <w:rPr>
                                <w:rFonts w:ascii="Arial;Helvetica;Sans-Serif" w:hAnsi="Arial;Helvetica;Sans-Serif"/>
                                <w:b w:val="false"/>
                                <w:i w:val="false"/>
                                <w:caps w:val="false"/>
                                <w:smallCaps w:val="false"/>
                                <w:sz w:val="15"/>
                              </w:rPr>
                              <w:t>its initial index value</w:t>
                            </w:r>
                          </w:p>
                        </w:tc>
                      </w:tr>
                      <w:tr>
                        <w:trPr/>
                        <w:tc>
                          <w:tcPr>
                            <w:tcW w:w="1356"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283"/>
                              <w:jc w:val="left"/>
                              <w:rPr/>
                            </w:pPr>
                            <w:r>
                              <w:rPr/>
                              <w:t> </w:t>
                            </w:r>
                          </w:p>
                        </w:tc>
                        <w:tc>
                          <w:tcPr>
                            <w:tcW w:w="6133"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838055"/>
                <wp:effectExtent l="0" t="0" r="0" b="0"/>
                <wp:wrapSquare wrapText="left"/>
                <wp:docPr id="2" name="Frame2"/>
                <a:graphic xmlns:a="http://schemas.openxmlformats.org/drawingml/2006/main">
                  <a:graphicData uri="http://schemas.microsoft.com/office/word/2010/wordprocessingShape">
                    <wps:wsp>
                      <wps:cNvSpPr txBox="1"/>
                      <wps:spPr>
                        <a:xfrm>
                          <a:off x="0" y="0"/>
                          <a:ext cx="3175000" cy="983805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353"/>
                              <w:gridCol w:w="7852"/>
                            </w:tblGrid>
                            <w:tr>
                              <w:trPr/>
                              <w:tc>
                                <w:tcPr>
                                  <w:tcW w:w="235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852" w:type="dxa"/>
                                  <w:tcBorders/>
                                  <w:shd w:fill="DCEBF4" w:val="clear"/>
                                  <w:vAlign w:val="center"/>
                                </w:tcPr>
                                <w:p>
                                  <w:pPr>
                                    <w:pStyle w:val="TableContents"/>
                                    <w:bidi w:val="0"/>
                                    <w:spacing w:before="0" w:after="283"/>
                                    <w:jc w:val="left"/>
                                    <w:rPr>
                                      <w:sz w:val="15"/>
                                    </w:rPr>
                                  </w:pPr>
                                  <w:r>
                                    <w:rPr>
                                      <w:sz w:val="15"/>
                                    </w:rPr>
                                    <w:t>$1,000 per security</w:t>
                                  </w:r>
                                </w:p>
                              </w:tc>
                            </w:tr>
                            <w:tr>
                              <w:trPr/>
                              <w:tc>
                                <w:tcPr>
                                  <w:tcW w:w="235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852" w:type="dxa"/>
                                  <w:tcBorders/>
                                  <w:vAlign w:val="center"/>
                                </w:tcPr>
                                <w:p>
                                  <w:pPr>
                                    <w:pStyle w:val="TableContents"/>
                                    <w:bidi w:val="0"/>
                                    <w:spacing w:before="0" w:after="283"/>
                                    <w:jc w:val="left"/>
                                    <w:rPr>
                                      <w:sz w:val="15"/>
                                    </w:rPr>
                                  </w:pPr>
                                  <w:r>
                                    <w:rPr>
                                      <w:sz w:val="15"/>
                                    </w:rPr>
                                    <w:t>$1,000 per security</w:t>
                                  </w:r>
                                </w:p>
                              </w:tc>
                            </w:tr>
                            <w:tr>
                              <w:trPr/>
                              <w:tc>
                                <w:tcPr>
                                  <w:tcW w:w="235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852" w:type="dxa"/>
                                  <w:tcBorders/>
                                  <w:shd w:fill="DCEBF4" w:val="clear"/>
                                  <w:vAlign w:val="center"/>
                                </w:tcPr>
                                <w:p>
                                  <w:pPr>
                                    <w:pStyle w:val="TableContents"/>
                                    <w:bidi w:val="0"/>
                                    <w:spacing w:before="0" w:after="283"/>
                                    <w:jc w:val="left"/>
                                    <w:rPr>
                                      <w:sz w:val="15"/>
                                    </w:rPr>
                                  </w:pPr>
                                  <w:r>
                                    <w:rPr>
                                      <w:sz w:val="15"/>
                                    </w:rPr>
                                    <w:t>Expected to be August 31, 2026</w:t>
                                  </w:r>
                                </w:p>
                              </w:tc>
                            </w:tr>
                            <w:tr>
                              <w:trPr/>
                              <w:tc>
                                <w:tcPr>
                                  <w:tcW w:w="235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852" w:type="dxa"/>
                                  <w:tcBorders/>
                                  <w:vAlign w:val="center"/>
                                </w:tcPr>
                                <w:p>
                                  <w:pPr>
                                    <w:pStyle w:val="TableContents"/>
                                    <w:bidi w:val="0"/>
                                    <w:spacing w:before="0" w:after="283"/>
                                    <w:jc w:val="left"/>
                                    <w:rPr>
                                      <w:sz w:val="15"/>
                                    </w:rPr>
                                  </w:pPr>
                                  <w:r>
                                    <w:rPr>
                                      <w:sz w:val="15"/>
                                    </w:rPr>
                                    <w:t>3 business days after the pricing date</w:t>
                                  </w:r>
                                </w:p>
                              </w:tc>
                            </w:tr>
                            <w:tr>
                              <w:trPr/>
                              <w:tc>
                                <w:tcPr>
                                  <w:tcW w:w="235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52" w:type="dxa"/>
                                  <w:tcBorders/>
                                  <w:shd w:fill="DCEBF4" w:val="clear"/>
                                  <w:vAlign w:val="center"/>
                                </w:tcPr>
                                <w:p>
                                  <w:pPr>
                                    <w:pStyle w:val="TableContents"/>
                                    <w:bidi w:val="0"/>
                                    <w:spacing w:before="0" w:after="283"/>
                                    <w:jc w:val="left"/>
                                    <w:rPr>
                                      <w:sz w:val="15"/>
                                    </w:rPr>
                                  </w:pPr>
                                  <w:r>
                                    <w:rPr>
                                      <w:sz w:val="15"/>
                                    </w:rPr>
                                    <w:t>November 30, 2026, March 1, 2027, June 1, 2027, August 31, 2027, November 30, 2027, February 29, 2028, May 31, 2028, August 31, 2028, November 30, 2028 and February 28, 2029</w:t>
                                  </w:r>
                                </w:p>
                              </w:tc>
                            </w:tr>
                            <w:tr>
                              <w:trPr/>
                              <w:tc>
                                <w:tcPr>
                                  <w:tcW w:w="235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52" w:type="dxa"/>
                                  <w:tcBorders/>
                                  <w:vAlign w:val="center"/>
                                </w:tcPr>
                                <w:p>
                                  <w:pPr>
                                    <w:pStyle w:val="TableContents"/>
                                    <w:bidi w:val="0"/>
                                    <w:spacing w:before="0" w:after="283"/>
                                    <w:jc w:val="left"/>
                                    <w:rPr>
                                      <w:sz w:val="15"/>
                                    </w:rPr>
                                  </w:pPr>
                                  <w:r>
                                    <w:rPr>
                                      <w:sz w:val="15"/>
                                    </w:rPr>
                                    <w:t>December 3, 2026, March 4, 2027, June 4, 2027, September 3, 2027, December 3, 2027, March 3, 2028, June 5, 2028, September 6, 2028, December 5, 2028 and the maturity date</w:t>
                                  </w:r>
                                </w:p>
                              </w:tc>
                            </w:tr>
                            <w:tr>
                              <w:trPr/>
                              <w:tc>
                                <w:tcPr>
                                  <w:tcW w:w="235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852" w:type="dxa"/>
                                  <w:tcBorders/>
                                  <w:shd w:fill="DCEBF4" w:val="clear"/>
                                  <w:vAlign w:val="center"/>
                                </w:tcPr>
                                <w:p>
                                  <w:pPr>
                                    <w:pStyle w:val="TableContents"/>
                                    <w:bidi w:val="0"/>
                                    <w:spacing w:before="0" w:after="283"/>
                                    <w:jc w:val="left"/>
                                    <w:rPr>
                                      <w:sz w:val="15"/>
                                    </w:rPr>
                                  </w:pPr>
                                  <w:r>
                                    <w:rPr>
                                      <w:sz w:val="15"/>
                                    </w:rPr>
                                    <w:t>March 5, 2029</w:t>
                                  </w:r>
                                </w:p>
                              </w:tc>
                            </w:tr>
                            <w:tr>
                              <w:trPr/>
                              <w:tc>
                                <w:tcPr>
                                  <w:tcW w:w="2353" w:type="dxa"/>
                                  <w:tcBorders/>
                                  <w:vAlign w:val="center"/>
                                </w:tcPr>
                                <w:p>
                                  <w:pPr>
                                    <w:pStyle w:val="TableContents"/>
                                    <w:bidi w:val="0"/>
                                    <w:spacing w:before="0" w:after="283"/>
                                    <w:jc w:val="left"/>
                                    <w:rPr>
                                      <w:b/>
                                      <w:color w:val="296DC1"/>
                                      <w:sz w:val="16"/>
                                    </w:rPr>
                                  </w:pPr>
                                  <w:r>
                                    <w:rPr>
                                      <w:b/>
                                      <w:color w:val="296DC1"/>
                                      <w:sz w:val="16"/>
                                    </w:rPr>
                                    <w:t>CUSIP / ISIN:</w:t>
                                  </w:r>
                                </w:p>
                              </w:tc>
                              <w:tc>
                                <w:tcPr>
                                  <w:tcW w:w="7852" w:type="dxa"/>
                                  <w:tcBorders/>
                                  <w:vAlign w:val="center"/>
                                </w:tcPr>
                                <w:p>
                                  <w:pPr>
                                    <w:pStyle w:val="TableContents"/>
                                    <w:bidi w:val="0"/>
                                    <w:spacing w:before="0" w:after="283"/>
                                    <w:jc w:val="left"/>
                                    <w:rPr>
                                      <w:sz w:val="15"/>
                                    </w:rPr>
                                  </w:pPr>
                                  <w:r>
                                    <w:rPr>
                                      <w:sz w:val="15"/>
                                    </w:rPr>
                                    <w:t>46661M4G6 / US46661M4G66</w:t>
                                  </w:r>
                                </w:p>
                              </w:tc>
                            </w:tr>
                            <w:tr>
                              <w:trPr/>
                              <w:tc>
                                <w:tcPr>
                                  <w:tcW w:w="2353"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852" w:type="dxa"/>
                                  <w:tcBorders/>
                                  <w:shd w:fill="DCEBF4" w:val="clear"/>
                                  <w:vAlign w:val="center"/>
                                </w:tcPr>
                                <w:p>
                                  <w:pPr>
                                    <w:pStyle w:val="TableContents"/>
                                    <w:bidi w:val="0"/>
                                    <w:spacing w:before="0" w:after="283"/>
                                    <w:jc w:val="left"/>
                                    <w:rPr/>
                                  </w:pPr>
                                  <w:hyperlink r:id="rId2">
                                    <w:r>
                                      <w:rPr>
                                        <w:rStyle w:val="InternetLink"/>
                                        <w:sz w:val="15"/>
                                      </w:rPr>
                                      <w:t>http://www.sec.gov/Archives/edgar/data/</w:t>
                                      <w:br/>
                                      <w:t>19617/000121390026094230/ea0303604-01_424b2.htm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left"/>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-30.01%</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$699.90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w:t>
                                  </w:r>
                                </w:p>
                              </w:tc>
                            </w:tr>
                          </w:tbl>
                          <w:p>
                            <w:pPr>
                              <w:pStyle w:val="TextBody"/>
                              <w:bidi w:val="0"/>
                              <w:spacing w:before="0" w:after="283"/>
                              <w:jc w:val="left"/>
                              <w:rPr>
                                <w:caps w:val="false"/>
                                <w:smallCaps w:val="false"/>
                                <w:color w:val="808080"/>
                              </w:rPr>
                            </w:pPr>
                            <w:r>
                              <w:rPr>
                                <w:caps w:val="false"/>
                                <w:smallCaps w:val="false"/>
                                <w:color w:val="808080"/>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74.6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353"/>
                        <w:gridCol w:w="7852"/>
                      </w:tblGrid>
                      <w:tr>
                        <w:trPr/>
                        <w:tc>
                          <w:tcPr>
                            <w:tcW w:w="2353"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852" w:type="dxa"/>
                            <w:tcBorders/>
                            <w:shd w:fill="DCEBF4" w:val="clear"/>
                            <w:vAlign w:val="center"/>
                          </w:tcPr>
                          <w:p>
                            <w:pPr>
                              <w:pStyle w:val="TableContents"/>
                              <w:bidi w:val="0"/>
                              <w:spacing w:before="0" w:after="283"/>
                              <w:jc w:val="left"/>
                              <w:rPr>
                                <w:sz w:val="15"/>
                              </w:rPr>
                            </w:pPr>
                            <w:r>
                              <w:rPr>
                                <w:sz w:val="15"/>
                              </w:rPr>
                              <w:t>$1,000 per security</w:t>
                            </w:r>
                          </w:p>
                        </w:tc>
                      </w:tr>
                      <w:tr>
                        <w:trPr/>
                        <w:tc>
                          <w:tcPr>
                            <w:tcW w:w="2353"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852" w:type="dxa"/>
                            <w:tcBorders/>
                            <w:vAlign w:val="center"/>
                          </w:tcPr>
                          <w:p>
                            <w:pPr>
                              <w:pStyle w:val="TableContents"/>
                              <w:bidi w:val="0"/>
                              <w:spacing w:before="0" w:after="283"/>
                              <w:jc w:val="left"/>
                              <w:rPr>
                                <w:sz w:val="15"/>
                              </w:rPr>
                            </w:pPr>
                            <w:r>
                              <w:rPr>
                                <w:sz w:val="15"/>
                              </w:rPr>
                              <w:t>$1,000 per security</w:t>
                            </w:r>
                          </w:p>
                        </w:tc>
                      </w:tr>
                      <w:tr>
                        <w:trPr/>
                        <w:tc>
                          <w:tcPr>
                            <w:tcW w:w="235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852" w:type="dxa"/>
                            <w:tcBorders/>
                            <w:shd w:fill="DCEBF4" w:val="clear"/>
                            <w:vAlign w:val="center"/>
                          </w:tcPr>
                          <w:p>
                            <w:pPr>
                              <w:pStyle w:val="TableContents"/>
                              <w:bidi w:val="0"/>
                              <w:spacing w:before="0" w:after="283"/>
                              <w:jc w:val="left"/>
                              <w:rPr>
                                <w:sz w:val="15"/>
                              </w:rPr>
                            </w:pPr>
                            <w:r>
                              <w:rPr>
                                <w:sz w:val="15"/>
                              </w:rPr>
                              <w:t>Expected to be August 31, 2026</w:t>
                            </w:r>
                          </w:p>
                        </w:tc>
                      </w:tr>
                      <w:tr>
                        <w:trPr/>
                        <w:tc>
                          <w:tcPr>
                            <w:tcW w:w="235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852" w:type="dxa"/>
                            <w:tcBorders/>
                            <w:vAlign w:val="center"/>
                          </w:tcPr>
                          <w:p>
                            <w:pPr>
                              <w:pStyle w:val="TableContents"/>
                              <w:bidi w:val="0"/>
                              <w:spacing w:before="0" w:after="283"/>
                              <w:jc w:val="left"/>
                              <w:rPr>
                                <w:sz w:val="15"/>
                              </w:rPr>
                            </w:pPr>
                            <w:r>
                              <w:rPr>
                                <w:sz w:val="15"/>
                              </w:rPr>
                              <w:t>3 business days after the pricing date</w:t>
                            </w:r>
                          </w:p>
                        </w:tc>
                      </w:tr>
                      <w:tr>
                        <w:trPr/>
                        <w:tc>
                          <w:tcPr>
                            <w:tcW w:w="235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52" w:type="dxa"/>
                            <w:tcBorders/>
                            <w:shd w:fill="DCEBF4" w:val="clear"/>
                            <w:vAlign w:val="center"/>
                          </w:tcPr>
                          <w:p>
                            <w:pPr>
                              <w:pStyle w:val="TableContents"/>
                              <w:bidi w:val="0"/>
                              <w:spacing w:before="0" w:after="283"/>
                              <w:jc w:val="left"/>
                              <w:rPr>
                                <w:sz w:val="15"/>
                              </w:rPr>
                            </w:pPr>
                            <w:r>
                              <w:rPr>
                                <w:sz w:val="15"/>
                              </w:rPr>
                              <w:t>November 30, 2026, March 1, 2027, June 1, 2027, August 31, 2027, November 30, 2027, February 29, 2028, May 31, 2028, August 31, 2028, November 30, 2028 and February 28, 2029</w:t>
                            </w:r>
                          </w:p>
                        </w:tc>
                      </w:tr>
                      <w:tr>
                        <w:trPr/>
                        <w:tc>
                          <w:tcPr>
                            <w:tcW w:w="235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852" w:type="dxa"/>
                            <w:tcBorders/>
                            <w:vAlign w:val="center"/>
                          </w:tcPr>
                          <w:p>
                            <w:pPr>
                              <w:pStyle w:val="TableContents"/>
                              <w:bidi w:val="0"/>
                              <w:spacing w:before="0" w:after="283"/>
                              <w:jc w:val="left"/>
                              <w:rPr>
                                <w:sz w:val="15"/>
                              </w:rPr>
                            </w:pPr>
                            <w:r>
                              <w:rPr>
                                <w:sz w:val="15"/>
                              </w:rPr>
                              <w:t>December 3, 2026, March 4, 2027, June 4, 2027, September 3, 2027, December 3, 2027, March 3, 2028, June 5, 2028, September 6, 2028, December 5, 2028 and the maturity date</w:t>
                            </w:r>
                          </w:p>
                        </w:tc>
                      </w:tr>
                      <w:tr>
                        <w:trPr/>
                        <w:tc>
                          <w:tcPr>
                            <w:tcW w:w="235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852" w:type="dxa"/>
                            <w:tcBorders/>
                            <w:shd w:fill="DCEBF4" w:val="clear"/>
                            <w:vAlign w:val="center"/>
                          </w:tcPr>
                          <w:p>
                            <w:pPr>
                              <w:pStyle w:val="TableContents"/>
                              <w:bidi w:val="0"/>
                              <w:spacing w:before="0" w:after="283"/>
                              <w:jc w:val="left"/>
                              <w:rPr>
                                <w:sz w:val="15"/>
                              </w:rPr>
                            </w:pPr>
                            <w:r>
                              <w:rPr>
                                <w:sz w:val="15"/>
                              </w:rPr>
                              <w:t>March 5, 2029</w:t>
                            </w:r>
                          </w:p>
                        </w:tc>
                      </w:tr>
                      <w:tr>
                        <w:trPr/>
                        <w:tc>
                          <w:tcPr>
                            <w:tcW w:w="2353" w:type="dxa"/>
                            <w:tcBorders/>
                            <w:vAlign w:val="center"/>
                          </w:tcPr>
                          <w:p>
                            <w:pPr>
                              <w:pStyle w:val="TableContents"/>
                              <w:bidi w:val="0"/>
                              <w:spacing w:before="0" w:after="283"/>
                              <w:jc w:val="left"/>
                              <w:rPr>
                                <w:b/>
                                <w:color w:val="296DC1"/>
                                <w:sz w:val="16"/>
                              </w:rPr>
                            </w:pPr>
                            <w:r>
                              <w:rPr>
                                <w:b/>
                                <w:color w:val="296DC1"/>
                                <w:sz w:val="16"/>
                              </w:rPr>
                              <w:t>CUSIP / ISIN:</w:t>
                            </w:r>
                          </w:p>
                        </w:tc>
                        <w:tc>
                          <w:tcPr>
                            <w:tcW w:w="7852" w:type="dxa"/>
                            <w:tcBorders/>
                            <w:vAlign w:val="center"/>
                          </w:tcPr>
                          <w:p>
                            <w:pPr>
                              <w:pStyle w:val="TableContents"/>
                              <w:bidi w:val="0"/>
                              <w:spacing w:before="0" w:after="283"/>
                              <w:jc w:val="left"/>
                              <w:rPr>
                                <w:sz w:val="15"/>
                              </w:rPr>
                            </w:pPr>
                            <w:r>
                              <w:rPr>
                                <w:sz w:val="15"/>
                              </w:rPr>
                              <w:t>46661M4G6 / US46661M4G66</w:t>
                            </w:r>
                          </w:p>
                        </w:tc>
                      </w:tr>
                      <w:tr>
                        <w:trPr/>
                        <w:tc>
                          <w:tcPr>
                            <w:tcW w:w="2353"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852" w:type="dxa"/>
                            <w:tcBorders/>
                            <w:shd w:fill="DCEBF4" w:val="clear"/>
                            <w:vAlign w:val="center"/>
                          </w:tcPr>
                          <w:p>
                            <w:pPr>
                              <w:pStyle w:val="TableContents"/>
                              <w:bidi w:val="0"/>
                              <w:spacing w:before="0" w:after="283"/>
                              <w:jc w:val="left"/>
                              <w:rPr/>
                            </w:pPr>
                            <w:hyperlink r:id="rId3">
                              <w:r>
                                <w:rPr>
                                  <w:rStyle w:val="InternetLink"/>
                                  <w:sz w:val="15"/>
                                </w:rPr>
                                <w:t>http://www.sec.gov/Archives/edgar/data/</w:t>
                                <w:br/>
                                <w:t>19617/000121390026094230/ea0303604-01_424b2.htm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left"/>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-30.01%</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$699.90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$500.00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-60.00%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$400.00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-80.00%</w:t>
                            </w:r>
                          </w:p>
                        </w:tc>
                        <w:tc>
                          <w:tcPr>
                            <w:tcW w:w="6627"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$200.00</w:t>
                            </w:r>
                          </w:p>
                        </w:tc>
                      </w:tr>
                      <w:tr>
                        <w:trPr/>
                        <w:tc>
                          <w:tcPr>
                            <w:tcW w:w="3578"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-100.00%</w:t>
                            </w:r>
                          </w:p>
                        </w:tc>
                        <w:tc>
                          <w:tcPr>
                            <w:tcW w:w="6627"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$0.00</w:t>
                            </w:r>
                          </w:p>
                        </w:tc>
                      </w:tr>
                    </w:tbl>
                    <w:p>
                      <w:pPr>
                        <w:pStyle w:val="TextBody"/>
                        <w:bidi w:val="0"/>
                        <w:spacing w:before="0" w:after="283"/>
                        <w:jc w:val="left"/>
                        <w:rPr>
                          <w:caps w:val="false"/>
                          <w:smallCaps w:val="false"/>
                          <w:color w:val="808080"/>
                        </w:rPr>
                      </w:pPr>
                      <w:r>
                        <w:rPr>
                          <w:caps w:val="false"/>
                          <w:smallCaps w:val="false"/>
                          <w:color w:val="808080"/>
                        </w:rPr>
                        <w:t> </w:t>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808080"/>
        </w:rPr>
      </w:pPr>
      <w:r>
        <w:rPr>
          <w:caps w:val="false"/>
          <w:smallCaps w:val="false"/>
          <w:color w:val="808080"/>
        </w:rPr>
        <w:t> </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2.5-Year SX5E/SPX/RTY Contingent Income Callable Securities</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SX5E Index.</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0" w:type="dxa"/>
            <w:tcBorders/>
            <w:vAlign w:val="center"/>
          </w:tcPr>
          <w:p>
            <w:pPr>
              <w:pStyle w:val="TableContents"/>
              <w:bidi w:val="0"/>
              <w:spacing w:before="0" w:after="283"/>
              <w:jc w:val="left"/>
              <w:rPr>
                <w:sz w:val="18"/>
              </w:rPr>
            </w:pPr>
            <w:r>
              <w:rPr>
                <w:sz w:val="18"/>
              </w:rPr>
              <w:t>The securities are not directly exposed to fluctuations in foreign exchange rates with respect to the SX5E Index.</w:t>
            </w:r>
          </w:p>
        </w:tc>
      </w:tr>
    </w:tbl>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8" w:type="dxa"/>
            <w:tcBorders/>
            <w:vAlign w:val="center"/>
          </w:tcPr>
          <w:p>
            <w:pPr>
              <w:pStyle w:val="TableContents"/>
              <w:bidi w:val="0"/>
              <w:spacing w:before="0" w:after="283"/>
              <w:jc w:val="left"/>
              <w:rPr>
                <w:sz w:val="18"/>
                <w:shd w:fill="FFFFFF" w:val="clear"/>
              </w:rPr>
            </w:pPr>
            <w:r>
              <w:rPr>
                <w:sz w:val="18"/>
                <w:shd w:fill="FFFFFF" w:val="clear"/>
              </w:rPr>
              <w:t>An investment in the securities is subject to risks associated with small capitalization stocks with respect to the RTY Index.</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2" w:type="dxa"/>
            <w:tcBorders/>
            <w:vAlign w:val="center"/>
          </w:tcPr>
          <w:p>
            <w:pPr>
              <w:pStyle w:val="TableContents"/>
              <w:bidi w:val="0"/>
              <w:spacing w:before="0" w:after="283"/>
              <w:jc w:val="left"/>
              <w:rPr>
                <w:sz w:val="18"/>
              </w:rPr>
            </w:pPr>
            <w:r>
              <w:rPr>
                <w:sz w:val="18"/>
              </w:rPr>
              <w:t xml:space="preserve">Governmental legislative and regulatory actions, including sanctions, could adversely affect your investment in the securities. </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36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4230/ea0303604-01_424b2.htm" TargetMode="External"/><Relationship Id="rId3" Type="http://schemas.openxmlformats.org/officeDocument/2006/relationships/hyperlink" Target="http://www.sec.gov/Archives/edgar/data/19617/000121390026094230/ea0303604-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1816</Words>
  <Characters>9983</Characters>
  <CharactersWithSpaces>11670</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