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10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0569950"/>
                                  <wp:effectExtent l="0" t="0" r="0" b="0"/>
                                  <wp:docPr id="2" name="Image1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1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0569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0569950"/>
                            <wp:effectExtent l="0" t="0" r="0" b="0"/>
                            <wp:docPr id="3" name="Image1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1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0569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03460550"/>
                                  <wp:effectExtent l="0" t="0" r="0" b="0"/>
                                  <wp:docPr id="5" name="Image9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9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034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03460550"/>
                            <wp:effectExtent l="0" t="0" r="0" b="0"/>
                            <wp:docPr id="6" name="Image9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9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034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7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0589000"/>
                                  <wp:effectExtent l="0" t="0" r="0" b="0"/>
                                  <wp:docPr id="8" name="Image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0589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0589000"/>
                            <wp:effectExtent l="0" t="0" r="0" b="0"/>
                            <wp:docPr id="9" name="Image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0589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0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0569950"/>
                                  <wp:effectExtent l="0" t="0" r="0" b="0"/>
                                  <wp:docPr id="11" name="Image7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age7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0569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0569950"/>
                            <wp:effectExtent l="0" t="0" r="0" b="0"/>
                            <wp:docPr id="12" name="Image7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Image7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0569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3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2870000" cy="8401050"/>
                                  <wp:effectExtent l="0" t="0" r="0" b="0"/>
                                  <wp:docPr id="14" name="Image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Image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00" cy="8401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2870000" cy="8401050"/>
                            <wp:effectExtent l="0" t="0" r="0" b="0"/>
                            <wp:docPr id="15" name="Image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Image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00" cy="8401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6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0569950"/>
                                  <wp:effectExtent l="0" t="0" r="0" b="0"/>
                                  <wp:docPr id="17" name="Image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Image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0569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0569950"/>
                            <wp:effectExtent l="0" t="0" r="0" b="0"/>
                            <wp:docPr id="18" name="Image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Image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0569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19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32454650"/>
                                  <wp:effectExtent l="0" t="0" r="0" b="0"/>
                                  <wp:docPr id="20" name="Image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Image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32454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32454650"/>
                            <wp:effectExtent l="0" t="0" r="0" b="0"/>
                            <wp:docPr id="21" name="Image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Image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32454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2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40569950"/>
                                  <wp:effectExtent l="0" t="0" r="0" b="0"/>
                                  <wp:docPr id="23" name="Image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age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40569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40569950"/>
                            <wp:effectExtent l="0" t="0" r="0" b="0"/>
                            <wp:docPr id="24" name="Image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Image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40569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3384350" cy="139636500"/>
                                  <wp:effectExtent l="0" t="0" r="0" b="0"/>
                                  <wp:docPr id="26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84350" cy="139636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3384350" cy="139636500"/>
                            <wp:effectExtent l="0" t="0" r="0" b="0"/>
                            <wp:docPr id="27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84350" cy="139636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0" b="0"/>
                <wp:wrapNone/>
                <wp:docPr id="28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16586000" cy="98202750"/>
                                  <wp:effectExtent l="0" t="0" r="0" b="0"/>
                                  <wp:docPr id="29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586000" cy="98202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-relative:page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16586000" cy="98202750"/>
                            <wp:effectExtent l="0" t="0" r="0" b="0"/>
                            <wp:docPr id="30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586000" cy="98202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1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2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PS-9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PS-9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33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3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5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Validity of the Notes and the Guarantee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the opinion of Davis Polk &amp; Wardwell LLP, as special products counsel to JPMorgan Financial and JPMorgan Chase &amp; Co., when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offered by this pricing supplement have been issued by JPMorgan Financial pursuant to the indenture, the trustee and/or paying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agent has made, in accordance with the instructions from JPMorgan Financial, the appropriate entries or notations in its records relating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the master global note that represents such notes (the “master note”), and such notes have been delivered against payment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contemplated herein, such notes will be valid and binding obligations of JPMorgan Financial and the related guarantee will constitute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valid and binding obligation of JPMorgan Chase &amp; Co., enforceable in accordance with their terms, subject to applicable bankruptcy,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insolvency and similar laws affecting creditors’ rights generally, concepts of reasonableness and equitable principles of general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applicability (including, without limitation, concepts of good faith, fair dealing and the lack of bad faith),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provided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such counsel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expresses no opinion as to (x)(i) the effect of fraudulent conveyance, fraudulent transfer or similar provision of applicable law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conclusions expressed above or (ii) any provision of the indenture that purports to avoid the effect of fraudulent conveyance, fraudulent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transfer or similar provision of applicable law by limiting the amount of JPMorgan Chase &amp; Co.’s obligation under the related guarantee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or (y) the validity, legally binding effect or enforceability of any provision that permits holders to collect any portion of the stated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amount upon acceleration of the notes to the extent determined to constitute unearned interest. This opinion is given as of the date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hereof and is limited to the laws of the State of New York, the General Corporation Law of the State of Delaware and the Delaware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Limited Liability Company Act, except that such counsel expresses no opinion as to (i) any law, rule or regulation that is applicable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Financial or JPMorgan Chase &amp; Co., the indenture, the notes, the related guarantee (together with the indenture and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notes, the “Documents”) or such transactions solely because such law, rule or regulation is part of a regulatory regime applicable to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party to any of the Documents or any of its affiliates due to the specific assets or business of such party or such affiliate or (ii) any law,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rule or regulation relating to national security. In addition, this opinion is subject to customary assumptions about the trustee’s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authorization, execution and delivery of the indenture and its authentication of the master note and the validity, binding nature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enforceability of the indenture with respect to the trustee, all as stated in the letter of such counsel dated February 24, 2026, which was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filed as an exhibit to the Registration Statement on Form S-3 by JPMorgan Financial and JPMorgan Chase &amp; Co. on February 24,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2026.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Additional Terms Specific to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read this pricing supplement together with the accompanying prospectus, as supplemented by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relating to our Series A medium-term notes of which these notes are a part, and the more detailed information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contained in the accompanying product supplement and the accompanying underlying supplement. This pricing supplement, together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 the documents listed below, contains the terms of the notes and supersedes all other prior or contemporaneous oral statements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well as any other written materials including preliminary or indicative pricing terms, correspondence, trade ideas, structures for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0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implementation, sample structures, fact sheets, brochures or other educational materials of ours.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This pricing supplement amends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0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  <w:t xml:space="preserve">and restates and supersedes the original pricing supplement related hereto dated August 13, 2026 in its entirety. You should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0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  <w:t xml:space="preserve">not rely on the original pricing supplement related hereto dated August 13, 2026 in making your decision to invest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404040"/>
                                <w:spacing w:val="0"/>
                                <w:sz w:val="270"/>
                              </w:rPr>
                              <w:t xml:space="preserve">notes.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carefully consider, among other things, the matters set forth in the “Risk Factors” sections of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and the accompanying product supplement, as the notes involve risks not associated with conventional debt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securities. We urge you to consult your investment, legal, tax, accounting and other advisers before you invest in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may access these documents on the SEC website at www.sec.gov as follows (or if such address has changed, by reviewing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 filings for the relevant date on the SEC website):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Product supplement no. 3-I dated April 17, 2026: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/>
                            </w:pPr>
                            <w:hyperlink r:id="rId22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http://www.sec.gov/Archives/edgar/data/19617/000121390026045198/ea0285802-20_424b2.pdf</w:t>
                              </w:r>
                            </w:hyperlink>
                            <w:hyperlink r:id="rId23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Underlying supplement no. 1-I dated April 17, 2026: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/>
                            </w:pPr>
                            <w:hyperlink r:id="rId24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http://www.sec.gov/Archives/edgar/data/19617/000121390026045209/ea0285802-11_424b2.pdf</w:t>
                              </w:r>
                            </w:hyperlink>
                            <w:hyperlink r:id="rId25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2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Prospectus supplement and prospectus, each dated April 17, 2026: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/>
                            </w:pPr>
                            <w:hyperlink r:id="rId26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FF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http://www.sec.gov/Archives/edgar/data/19617/000095010326005889/crt_dp245141-424b2.pdf</w:t>
                              </w:r>
                            </w:hyperlink>
                            <w:hyperlink r:id="rId27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40404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 xml:space="preserve"> </w:t>
                              </w:r>
                            </w:hyperlink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Our Central Index Key, or CIK, on the SEC website is 1665650, and JPMorgan Chase &amp; Co.’s CIK is 19617. As used in this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supplement, “we,” “us” and “our” refer to JPMorgan Financial.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Validity of the Notes and the Guarantee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the opinion of Davis Polk &amp; Wardwell LLP, as special products counsel to JPMorgan Financial and JPMorgan Chase &amp; Co., when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offered by this pricing supplement have been issued by JPMorgan Financial pursuant to the indenture, the trustee and/or paying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agent has made, in accordance with the instructions from JPMorgan Financial, the appropriate entries or notations in its records relating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the master global note that represents such notes (the “master note”), and such notes have been delivered against payment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contemplated herein, such notes will be valid and binding obligations of JPMorgan Financial and the related guarantee will constitute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valid and binding obligation of JPMorgan Chase &amp; Co., enforceable in accordance with their terms, subject to applicable bankruptcy,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insolvency and similar laws affecting creditors’ rights generally, concepts of reasonableness and equitable principles of general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applicability (including, without limitation, concepts of good faith, fair dealing and the lack of bad faith),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provided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such counsel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expresses no opinion as to (x)(i) the effect of fraudulent conveyance, fraudulent transfer or similar provision of applicable law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conclusions expressed above or (ii) any provision of the indenture that purports to avoid the effect of fraudulent conveyance, fraudulent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transfer or similar provision of applicable law by limiting the amount of JPMorgan Chase &amp; Co.’s obligation under the related guarantee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or (y) the validity, legally binding effect or enforceability of any provision that permits holders to collect any portion of the stated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amount upon acceleration of the notes to the extent determined to constitute unearned interest. This opinion is given as of the date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hereof and is limited to the laws of the State of New York, the General Corporation Law of the State of Delaware and the Delaware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Limited Liability Company Act, except that such counsel expresses no opinion as to (i) any law, rule or regulation that is applicable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Financial or JPMorgan Chase &amp; Co., the indenture, the notes, the related guarantee (together with the indenture and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notes, the “Documents”) or such transactions solely because such law, rule or regulation is part of a regulatory regime applicable to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party to any of the Documents or any of its affiliates due to the specific assets or business of such party or such affiliate or (ii) any law,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rule or regulation relating to national security. In addition, this opinion is subject to customary assumptions about the trustee’s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authorization, execution and delivery of the indenture and its authentication of the master note and the validity, binding nature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enforceability of the indenture with respect to the trustee, all as stated in the letter of such counsel dated February 24, 2026, which was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filed as an exhibit to the Registration Statement on Form S-3 by JPMorgan Financial and JPMorgan Chase &amp; Co. on February 24,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2026.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Additional Terms Specific to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read this pricing supplement together with the accompanying prospectus, as supplemented by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relating to our Series A medium-term notes of which these notes are a part, and the more detailed information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contained in the accompanying product supplement and the accompanying underlying supplement. This pricing supplement, together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 the documents listed below, contains the terms of the notes and supersedes all other prior or contemporaneous oral statements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well as any other written materials including preliminary or indicative pricing terms, correspondence, trade ideas, structures for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0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implementation, sample structures, fact sheets, brochures or other educational materials of ours. </w:t>
                      </w:r>
                      <w:r>
                        <w:rPr>
                          <w:rFonts w:ascii="Arial" w:hAnsi="Arial"/>
                          <w:b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This pricing supplement amends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0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  <w:t xml:space="preserve">and restates and supersedes the original pricing supplement related hereto dated August 13, 2026 in its entirety. You should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0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  <w:t xml:space="preserve">not rely on the original pricing supplement related hereto dated August 13, 2026 in making your decision to invest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404040"/>
                          <w:spacing w:val="0"/>
                          <w:sz w:val="270"/>
                        </w:rPr>
                        <w:t xml:space="preserve">notes.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carefully consider, among other things, the matters set forth in the “Risk Factors” sections of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and the accompanying product supplement, as the notes involve risks not associated with conventional debt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securities. We urge you to consult your investment, legal, tax, accounting and other advisers before you invest in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9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may access these documents on the SEC website at www.sec.gov as follows (or if such address has changed, by reviewing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 filings for the relevant date on the SEC website):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Product supplement no. 3-I dated April 17, 2026: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/>
                      </w:pPr>
                      <w:hyperlink r:id="rId28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http://www.sec.gov/Archives/edgar/data/19617/000121390026045198/ea0285802-20_424b2.pdf</w:t>
                        </w:r>
                      </w:hyperlink>
                      <w:hyperlink r:id="rId29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Underlying supplement no. 1-I dated April 17, 2026: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/>
                      </w:pPr>
                      <w:hyperlink r:id="rId30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http://www.sec.gov/Archives/edgar/data/19617/000121390026045209/ea0285802-11_424b2.pdf</w:t>
                        </w:r>
                      </w:hyperlink>
                      <w:hyperlink r:id="rId31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2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Prospectus supplement and prospectus, each dated April 17, 2026: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/>
                      </w:pPr>
                      <w:hyperlink r:id="rId32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FF"/>
                            <w:spacing w:val="0"/>
                            <w:sz w:val="270"/>
                            <w:u w:val="none"/>
                            <w:effect w:val="none"/>
                          </w:rPr>
                          <w:t>http://www.sec.gov/Archives/edgar/data/19617/000095010326005889/crt_dp245141-424b2.pdf</w:t>
                        </w:r>
                      </w:hyperlink>
                      <w:hyperlink r:id="rId33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404040"/>
                            <w:spacing w:val="0"/>
                            <w:sz w:val="270"/>
                            <w:u w:val="none"/>
                            <w:effect w:val="none"/>
                          </w:rPr>
                          <w:t xml:space="preserve"> </w:t>
                        </w:r>
                      </w:hyperlink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9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Our Central Index Key, or CIK, on the SEC website is 1665650, and JPMorgan Chase &amp; Co.’s CIK is 19617. As used in this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supplement, “we,” “us” and “our” refer to JPMorgan Financial.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6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37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PS-8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PS-8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38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39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0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does not represent future values of the notes and may differ from others’ estimates. Different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models and assumptions could provide valuations for the notes that are greater than or less than the estimated value of the notes.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addition, market conditions and other relevant factors in the future may change, and any assumptions may prove to be incorrect.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future dates, the value of the notes could change significantly based on, among other things, changes in market conditions, our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Co.’s creditworthiness, interest rate movements and other relevant factors, which may impact the price, if any,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which JPMS would be willing to buy notes from you in secondary market transactions.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lower than the original issue price of the notes because costs associated with structuring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hedging the notes are included in the original issue price of the notes. These costs include the projected profits, if any, that our affiliates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expect to realize for assuming risks inherent in hedging our obligations under the notes, the estimated cost of hedging our obligations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 the notes and the fees, if any, paid for third-party data analytics and/or electronic platform services. Because hedging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 entails risk and may be influenced by market forces beyond our control, this hedging may result in a profit that is more 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less than expected, or it may result in a loss. A portion of the profits, if any, realized in hedging our obligations under the notes may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allowed to other affiliated or unaffiliated dealers, and we or one or more of our affiliates will retain any remaining hedging profits. See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Selected Risk Considerations — The Estimated Value of the Notes Is Lower Than the Original Issue Price (Price to Public)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Secondary Market Prices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information about factors that will impact any secondary market prices of the notes, see “Risk Factors — Risks Relating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Estimated Value and Secondary Market Prices of the Notes — Secondary market prices of the notes will be impacted by many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economic and market factors” in the accompanying product supplement. In addition, we generally expect that some of the costs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included in the original issue price of the notes will be partially paid back to you in connection with any repurchases of your notes b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270"/>
                              </w:rPr>
                              <w:t xml:space="preserve">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JPMS in an amount that will decline to zero over an initial predetermined period. These costs can include projected hedging profits, if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any, and, in some circumstances, estimated hedging costs, our internal secondary market funding rates for structured debt issuances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the fees paid for third-party data analytics and/or electronic platform services. This initial predetermined time period is intended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 the shorter of six months and one-half of the stated term of the notes. The length of any such initial period reflects the structure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notes, whether our affiliates expect to earn a profit in connection with our hedging activities, the estimated costs of hedging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and when these costs are incurred, as determined by our affiliates. See “Selected Risk Considerations — The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Published by JPMS (and Which May Be Reflected on Customer Account Statements) May Be Higher Than the Then-Current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Estimated Value of the Notes for a Limited Time Period”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Supplemental Use of Proceeds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are offered to meet investor demand for products that reflect the risk-return profile and market exposure provided by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notes. See “Hypothetical Payout Profile” and “How the Notes Work” in this pricing supplement for an illustration of the risk-return profile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the notes and “The Index” in this pricing supplement for a description of the market exposure provided by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original issue price of the notes is equal to the estimated value of the notes plus (minus) the projected profits (losses) that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affiliates expect to realize for assuming risks inherent in hedging our obligations under the notes, plus the estimated cost of hedging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 under the notes, plus the fees, if any, paid for third-party data analytics and/or electronic platform services.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does not represent future values of the notes and may differ from others’ estimates. Different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models and assumptions could provide valuations for the notes that are greater than or less than the estimated value of the notes.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addition, market conditions and other relevant factors in the future may change, and any assumptions may prove to be incorrect.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future dates, the value of the notes could change significantly based on, among other things, changes in market conditions, our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Co.’s creditworthiness, interest rate movements and other relevant factors, which may impact the price, if any,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which JPMS would be willing to buy notes from you in secondary market transactions.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lower than the original issue price of the notes because costs associated with structuring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hedging the notes are included in the original issue price of the notes. These costs include the projected profits, if any, that our affiliates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expect to realize for assuming risks inherent in hedging our obligations under the notes, the estimated cost of hedging our obligations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 the notes and the fees, if any, paid for third-party data analytics and/or electronic platform services. Because hedging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 entails risk and may be influenced by market forces beyond our control, this hedging may result in a profit that is more 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less than expected, or it may result in a loss. A portion of the profits, if any, realized in hedging our obligations under the notes may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allowed to other affiliated or unaffiliated dealers, and we or one or more of our affiliates will retain any remaining hedging profits. See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Selected Risk Considerations — The Estimated Value of the Notes Is Lower Than the Original Issue Price (Price to Public)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Secondary Market Prices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information about factors that will impact any secondary market prices of the notes, see “Risk Factors — Risks Relating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Estimated Value and Secondary Market Prices of the Notes — Secondary market prices of the notes will be impacted by many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economic and market factors” in the accompanying product supplement. In addition, we generally expect that some of the costs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included in the original issue price of the notes will be partially paid back to you in connection with any repurchases of your notes b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270"/>
                        </w:rPr>
                        <w:t xml:space="preserve">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JPMS in an amount that will decline to zero over an initial predetermined period. These costs can include projected hedging profits, if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any, and, in some circumstances, estimated hedging costs, our internal secondary market funding rates for structured debt issuances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the fees paid for third-party data analytics and/or electronic platform services. This initial predetermined time period is intended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 the shorter of six months and one-half of the stated term of the notes. The length of any such initial period reflects the structure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notes, whether our affiliates expect to earn a profit in connection with our hedging activities, the estimated costs of hedging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and when these costs are incurred, as determined by our affiliates. See “Selected Risk Considerations — The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Published by JPMS (and Which May Be Reflected on Customer Account Statements) May Be Higher Than the Then-Current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Estimated Value of the Notes for a Limited Time Period”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Supplemental Use of Proceeds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are offered to meet investor demand for products that reflect the risk-return profile and market exposure provided by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notes. See “Hypothetical Payout Profile” and “How the Notes Work” in this pricing supplement for an illustration of the risk-return profile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the notes and “The Index” in this pricing supplement for a description of the market exposure provided by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original issue price of the notes is equal to the estimated value of the notes plus (minus) the projected profits (losses) that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affiliates expect to realize for assuming risks inherent in hedging our obligations under the notes, plus the estimated cost of hedging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 under the notes, plus the fees, if any, paid for third-party data analytics and/or electronic platform services.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1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2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PS-7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PS-7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43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44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5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Tax Treatment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should review carefully the section entitled “United States Federal Taxation” in the accompanying prospectus supplement.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following discussion, when read in combination with that section, constitutes the full opinion of our special tax counsel, Davis Polk &amp;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Wardwell LLP, regarding the material U.S. federal income tax consequences of owning and disposing of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Based on current market conditions, in the opinion of our special tax counsel it is reasonable to treat the notes as “open transactions”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that are not debt instruments for U.S. federal income tax purposes, as more fully described in “United States Federal Taxation — Tax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Consequences to U.S. Holders — Program Securities Treated as Prepaid Financial Contracts That are Open Transactions”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accompanying prospectus supplement. Assuming this treatment is respected, the gain or loss on your notes should be treated as long-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term capital gain or loss if you hold your notes for more than a year, whether or not you are an initial purchaser of notes at the issue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price. However, the IRS or a court may not respect this treatment, in which case the timing and character of any income or loss on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9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could be materially and adversely affected. In addition, in 2007 Treasury and the IRS released a notice requesting comments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U.S. federal income tax treatment of “prepaid forward contracts” and similar instruments. The notice focuses in particular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whether to require investors in these instruments to accrue income over the term of their investment. It also asks for comments on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number of related topics, including the character of income or loss with respect to these instruments; the relevance of factors such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nature of the underlying property to which the instruments are linked; the degree, if any, to which income (including any mandated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accruals) realized by non-U.S. investors should be subject to withholding tax; and whether these instruments are or should be subject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the “constructive ownership” regime, which very generally can operate to recharacterize certain long-term capital gain as ordinary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 and impose a notional interest charge. While the notice requests comments on appropriate transition rules and effective dates,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Treasury regulations or other guidance promulgated after consideration of these issues could materially and adversely affect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consequences of an investment in the notes, possibly with retroactive effect. You should consult your tax adviser regarding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U.S. federal income tax consequences of an investment in the notes, including possible alternative treatments and the issues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presented by this notice.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Section 871(m) of the Code and Treasury regulations promulgated thereunder (“Section 871(m)”) generally impose a 30% withholding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tax (unless an income tax treaty applies) on dividend equivalents paid or deemed paid to Non-U.S. Holders with respect to certain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financial instruments linked to U.S. equities or indices that include U.S. equities. Section 871(m) provides certain exceptions to this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withholding regime, including for instruments linked to certain broad-based indices that meet requirements set forth in the applicable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Treasury regulations. Additionally, a recent IRS notice excludes from the scope of Section 871(m) instruments issued prior to January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1, 2027 that do not have a delta of one with respect to underlying securities that could pay U.S.-source dividends for U.S. federal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income tax purposes (each an “Underlying Security”). Based on certain determinations made by us, our special tax counsel is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opinion that Section 871(m) should not apply to the notes with regard to Non-U.S. Holders. Our determination is not binding on the IRS,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the IRS may disagree with this determination. Section 871(m) is complex and its application may depend on your particular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circumstances, including whether you enter into other transactions with respect to an Underlying Security. You should consult your tax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adviser regarding the potential application of Section 871(m) to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The Estimated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set forth on the cover of this pricing supplement is equal to the sum of the values of the following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hypothetical components: (1) a fixed-income debt component with the same maturity as the notes, valued using the internal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described below, and (2) the derivative or derivatives underlying the economic terms of the notes. The estimated value of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does not represent a minimum price at which JPMS would be willing to buy your notes in any secondary market (if any exists) at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time. The internal funding rate used in the determination of the estimated value of the notes may differ from the market-implied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for vanilla fixed income instruments of a similar maturity issued by JPMorgan Chase &amp; Co. or its affiliates. Any difference may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based on, among other things, our and our affiliates’ view of the funding value of the notes as well as the higher issuance, operational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ongoing liability management costs of the notes in comparison to those costs for the conventional fixed income instruments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This internal funding rate is based on certain market inputs and assumptions, which may prove to be incorrect,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is intended to approximate the prevailing market replacement funding rate for the notes. The use of an internal funding rate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potential changes to that rate may have an adverse effect on the terms of the notes and any secondary market prices of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For additional information, see “Selected Risk Considerations — The Estimated Value of the Notes Is Derived by Reference to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Internal Funding Rate”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value of the derivative or derivatives underlying the economic terms of the notes is derived from internal pricing models of our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affiliates. These models are dependent on inputs such as the traded market prices of comparable derivative instruments and on various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other inputs, some of which are market-observable, and which can include volatility, dividend rates, interest rates and other factors,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well as assumptions about future market events and/or environments. Accordingly, the estimated value of the notes is determined when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terms of the notes are set based on market conditions and other relevant factors and assumptions existing at that time.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Tax Treatment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should review carefully the section entitled “United States Federal Taxation” in the accompanying prospectus supplement.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following discussion, when read in combination with that section, constitutes the full opinion of our special tax counsel, Davis Polk &amp;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Wardwell LLP, regarding the material U.S. federal income tax consequences of owning and disposing of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Based on current market conditions, in the opinion of our special tax counsel it is reasonable to treat the notes as “open transactions”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that are not debt instruments for U.S. federal income tax purposes, as more fully described in “United States Federal Taxation — Tax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Consequences to U.S. Holders — Program Securities Treated as Prepaid Financial Contracts That are Open Transactions”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accompanying prospectus supplement. Assuming this treatment is respected, the gain or loss on your notes should be treated as long-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term capital gain or loss if you hold your notes for more than a year, whether or not you are an initial purchaser of notes at the issue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price. However, the IRS or a court may not respect this treatment, in which case the timing and character of any income or loss on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9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could be materially and adversely affected. In addition, in 2007 Treasury and the IRS released a notice requesting comments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U.S. federal income tax treatment of “prepaid forward contracts” and similar instruments. The notice focuses in particular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whether to require investors in these instruments to accrue income over the term of their investment. It also asks for comments on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number of related topics, including the character of income or loss with respect to these instruments; the relevance of factors such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nature of the underlying property to which the instruments are linked; the degree, if any, to which income (including any mandated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accruals) realized by non-U.S. investors should be subject to withholding tax; and whether these instruments are or should be subject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the “constructive ownership” regime, which very generally can operate to recharacterize certain long-term capital gain as ordinary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 and impose a notional interest charge. While the notice requests comments on appropriate transition rules and effective dates,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Treasury regulations or other guidance promulgated after consideration of these issues could materially and adversely affect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consequences of an investment in the notes, possibly with retroactive effect. You should consult your tax adviser regarding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U.S. federal income tax consequences of an investment in the notes, including possible alternative treatments and the issues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presented by this notice.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Section 871(m) of the Code and Treasury regulations promulgated thereunder (“Section 871(m)”) generally impose a 30% withholding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tax (unless an income tax treaty applies) on dividend equivalents paid or deemed paid to Non-U.S. Holders with respect to certain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financial instruments linked to U.S. equities or indices that include U.S. equities. Section 871(m) provides certain exceptions to this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withholding regime, including for instruments linked to certain broad-based indices that meet requirements set forth in the applicable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Treasury regulations. Additionally, a recent IRS notice excludes from the scope of Section 871(m) instruments issued prior to January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1, 2027 that do not have a delta of one with respect to underlying securities that could pay U.S.-source dividends for U.S. federal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income tax purposes (each an “Underlying Security”). Based on certain determinations made by us, our special tax counsel is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opinion that Section 871(m) should not apply to the notes with regard to Non-U.S. Holders. Our determination is not binding on the IRS,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the IRS may disagree with this determination. Section 871(m) is complex and its application may depend on your particular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circumstances, including whether you enter into other transactions with respect to an Underlying Security. You should consult your tax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adviser regarding the potential application of Section 871(m) to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The Estimated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set forth on the cover of this pricing supplement is equal to the sum of the values of the following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hypothetical components: (1) a fixed-income debt component with the same maturity as the notes, valued using the internal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described below, and (2) the derivative or derivatives underlying the economic terms of the notes. The estimated value of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does not represent a minimum price at which JPMS would be willing to buy your notes in any secondary market (if any exists) at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time. The internal funding rate used in the determination of the estimated value of the notes may differ from the market-implied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for vanilla fixed income instruments of a similar maturity issued by JPMorgan Chase &amp; Co. or its affiliates. Any difference may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based on, among other things, our and our affiliates’ view of the funding value of the notes as well as the higher issuance, operational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ongoing liability management costs of the notes in comparison to those costs for the conventional fixed income instruments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This internal funding rate is based on certain market inputs and assumptions, which may prove to be incorrect,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is intended to approximate the prevailing market replacement funding rate for the notes. The use of an internal funding rate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potential changes to that rate may have an adverse effect on the terms of the notes and any secondary market prices of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For additional information, see “Selected Risk Considerations — The Estimated Value of the Notes Is Derived by Reference to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Internal Funding Rate”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value of the derivative or derivatives underlying the economic terms of the notes is derived from internal pricing models of our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affiliates. These models are dependent on inputs such as the traded market prices of comparable derivative instruments and on various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other inputs, some of which are market-observable, and which can include volatility, dividend rates, interest rates and other factors,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well as assumptions about future market events and/or environments. Accordingly, the estimated value of the notes is determined when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terms of the notes are set based on market conditions and other relevant factors and assumptions existing at that time.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6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47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PS-6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PS-6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48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49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0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The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 measures the capitalization-weighted price performance of 2,000 U.S. small-capitalization stocks listed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eligible U.S. exchanges and is designed to track the performance of the small-capitalization segment of the U.S. equity market.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companies included in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 are the middle 2,000 of the companies that form the Russell 3000E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15"/>
                                <w:sz w:val="180"/>
                              </w:rPr>
                              <w:t>TM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Index, which 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composed of the 4,000 largest U.S. companies as determined by total market capitalization and represents approximately 99%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U.S. equity market. For additional information about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 xml:space="preserve">®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Index, see “Equity Index Descriptions — The Russell Indices”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accompanying underlying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Historical Information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 graph sets forth the historical performance of the Index based on the weekly historical closing levels of the Index from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January 8, 2021 through August 7, 2026. The closing level of the Index on August 13, 2026 was 3,052.847. We obtained the closing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levels above and below from the Bloomberg Professional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service (“Bloomberg”), without independent verification.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historical closing levels of the Index should not be taken as an indication of future performance, and no assurance can be given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the closing level of the Index on the Observation Date. There can be no assurance that the performance of the Index will result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return of any of your principal amount in excess of $100.00 per $1,000 principal amount note, subject to the credit risks of JPMorgan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Financial and JPMorgan Chase &amp; Co.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The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 measures the capitalization-weighted price performance of 2,000 U.S. small-capitalization stocks listed 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eligible U.S. exchanges and is designed to track the performance of the small-capitalization segment of the U.S. equity market.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companies included in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 are the middle 2,000 of the companies that form the Russell 3000E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15"/>
                          <w:sz w:val="180"/>
                        </w:rPr>
                        <w:t>TM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Index, which 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composed of the 4,000 largest U.S. companies as determined by total market capitalization and represents approximately 99%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U.S. equity market. For additional information about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 xml:space="preserve">®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Index, see “Equity Index Descriptions — The Russell Indices”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accompanying underlying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Historical Information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 graph sets forth the historical performance of the Index based on the weekly historical closing levels of the Index from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January 8, 2021 through August 7, 2026. The closing level of the Index on August 13, 2026 was 3,052.847. We obtained the closing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levels above and below from the Bloomberg Professional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service (“Bloomberg”), without independent verification.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historical closing levels of the Index should not be taken as an indication of future performance, and no assurance can be given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the closing level of the Index on the Observation Date. There can be no assurance that the performance of the Index will result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return of any of your principal amount in excess of $100.00 per $1,000 principal amount note, subject to the credit risks of JPMorgan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Financial and JPMorgan Chase &amp; Co.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23155275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1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Historical Performance of the Russell 2000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Index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Source: Bloomberg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823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Historical Performance of the Russell 2000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Index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Source: Bloomberg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2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3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4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PS-5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PS-5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55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56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7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DERIVED BY REFERENCE TO AN INTERNAL FUNDING RATE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30"/>
                                <w:sz w:val="270"/>
                              </w:rPr>
                              <w:t>—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internal funding rate used in the determination of the estimated value of the notes may differ from the market-implied funding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rate for vanilla fixed income instruments of a similar maturity issued by JPMorgan Chase &amp; Co. or its affiliates. Any difference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 based on, among other things, our and our affiliates’ view of the funding value of the notes as well as the higher issuance,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operational and ongoing liability management costs of the notes in comparison to those costs for the conventional fixed income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instruments of JPMorgan Chase &amp; Co. This internal funding rate is based on certain market inputs and assumptions, which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prove to be incorrect, and is intended to approximate the prevailing market replacement funding rate for the notes. The use of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internal funding rate and any potential changes to that rate may have an adverse effect on the terms of the notes and 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notes. See “The Estimated Value of the Notes”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VALUE OF THE NOTES AS PUBLISHED BY JPMS (AND WHICH MAY BE REFLECTED ON CUSTOMER ACCOUNT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STATEMENTS) MAY BE HIGHER THAN THE THEN-CURRENT ESTIMATED VALUE OF THE NOTES FOR A LIMITED TIME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PERIOD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 generally expect that some of the costs included in the original issue price of the notes will be partially paid back to you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connection with any repurchases of your notes by JPMS in an amount that will decline to zero over an initial predetermined period.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“Secondary Market Prices of the Notes” in this pricing supplement for additional information relating to this initial period.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Accordingly, the estimated value of your notes during this initial period may be lower than the value of the notes as published by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JPMS (and which may be shown on your customer account statements).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WILL LIKELY BE LOWER THAN THE ORIGINAL ISSUE PRICE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Any secondary market prices of the notes will likely be lower than the original issue price of the notes because, among other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things, secondary market prices take into account our internal secondary market funding rates for structured debt issuances and,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also, because secondary market prices may exclude projected hedging profits, if any, estimated hedging costs and fees, if any,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paid for third-party data analytics and/or electronic platform services that are included in the original issue price of the notes. As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result, the price, if any, at which JPMS will be willing to buy the notes from you in secondary market transactions, if at all, is likely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be lower than the original issue price. Furthermore, if you sell your notes, you will likely be charged a commission for secondary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market transactions, or the price will likely reflect a dealer discount and/or fees for use of an electronic platform to facilitate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activity. Any sale by you prior to the Maturity Date could result in a substantial loss to you.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SECONDARY MARKET PRICES OF THE NOTES WILL BE IMPACTED BY MANY ECONOMIC AND MARKET FACTORS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secondary market price of the notes during their term will be impacted by a number of economic and market factors,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may either offset or magnify each other, aside from the projected hedging profits, if any, estimated hedging costs and the level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Index. Additionally, independent pricing vendors and/or third party broker-dealers may publish a price for the notes, which may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also be reflected on customer account statements. This price may be different (higher or lower) than the price of the notes, if any,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at which JPMS may be willing to purchase your notes in the secondary market. See “Risk Factors — Risks Relating to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Estimated Value and Secondary Market Prices of the Notes — Secondary market prices of the notes will be impacted by many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economic and market factors” in the accompanying product supplement.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DERIVED BY REFERENCE TO AN INTERNAL FUNDING RATE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30"/>
                          <w:sz w:val="270"/>
                        </w:rPr>
                        <w:t>—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internal funding rate used in the determination of the estimated value of the notes may differ from the market-implied funding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rate for vanilla fixed income instruments of a similar maturity issued by JPMorgan Chase &amp; Co. or its affiliates. Any difference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 based on, among other things, our and our affiliates’ view of the funding value of the notes as well as the higher issuance,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operational and ongoing liability management costs of the notes in comparison to those costs for the conventional fixed income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instruments of JPMorgan Chase &amp; Co. This internal funding rate is based on certain market inputs and assumptions, which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prove to be incorrect, and is intended to approximate the prevailing market replacement funding rate for the notes. The use of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internal funding rate and any potential changes to that rate may have an adverse effect on the terms of the notes and 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notes. See “The Estimated Value of the Notes”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VALUE OF THE NOTES AS PUBLISHED BY JPMS (AND WHICH MAY BE REFLECTED ON CUSTOMER ACCOUNT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STATEMENTS) MAY BE HIGHER THAN THE THEN-CURRENT ESTIMATED VALUE OF THE NOTES FOR A LIMITED TIME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PERIOD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 generally expect that some of the costs included in the original issue price of the notes will be partially paid back to you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connection with any repurchases of your notes by JPMS in an amount that will decline to zero over an initial predetermined period.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“Secondary Market Prices of the Notes” in this pricing supplement for additional information relating to this initial period.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Accordingly, the estimated value of your notes during this initial period may be lower than the value of the notes as published by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JPMS (and which may be shown on your customer account statements).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WILL LIKELY BE LOWER THAN THE ORIGINAL ISSUE PRICE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Any secondary market prices of the notes will likely be lower than the original issue price of the notes because, among other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things, secondary market prices take into account our internal secondary market funding rates for structured debt issuances and,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also, because secondary market prices may exclude projected hedging profits, if any, estimated hedging costs and fees, if any,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paid for third-party data analytics and/or electronic platform services that are included in the original issue price of the notes. As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result, the price, if any, at which JPMS will be willing to buy the notes from you in secondary market transactions, if at all, is likely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be lower than the original issue price. Furthermore, if you sell your notes, you will likely be charged a commission for secondary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market transactions, or the price will likely reflect a dealer discount and/or fees for use of an electronic platform to facilitate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activity. Any sale by you prior to the Maturity Date could result in a substantial loss to you.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SECONDARY MARKET PRICES OF THE NOTES WILL BE IMPACTED BY MANY ECONOMIC AND MARKET FACTORS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secondary market price of the notes during their term will be impacted by a number of economic and market factors, which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may either offset or magnify each other, aside from the projected hedging profits, if any, estimated hedging costs and the level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Index. Additionally, independent pricing vendors and/or third party broker-dealers may publish a price for the notes, which may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also be reflected on customer account statements. This price may be different (higher or lower) than the price of the notes, if any,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at which JPMS may be willing to purchase your notes in the secondary market. See “Risk Factors — Risks Relating to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Estimated Value and Secondary Market Prices of the Notes — Secondary market prices of the notes will be impacted by many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economic and market factors” in the accompanying product supplement.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8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59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PS-4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PS-4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60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61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2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Selected Risk Considerations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 investment in the notes involves significant risks. These risks are explained in more detail in the “Risk Factors” sections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accompanying prospectus supplement and product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INVESTMENT IN THE NOTES MAY RESULT IN A LOSS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do not guarantee any return of principal. If the Final Value is less than the Initial Value by more than 10.00%, you will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lose 1% of the principal amount of your notes for every 1% that the Final Value is less than the Initial Value by more than 10.00%.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Accordingly, under these circumstances, you will lose up to 90.00% of your principal amount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YOUR MAXIMUM GAIN ON THE NOTES IS LIMITED TO THE MAXIMUM RETURN,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regardless of any appreciation of the Index, which may be significant.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CREDIT RISKS OF JPMORGAN FINANCIAL AND JPMORGAN CHASE &amp; CO.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30"/>
                                <w:sz w:val="270"/>
                              </w:rPr>
                              <w:t>—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Investors are dependent on our and JPMorgan Chase &amp; Co.’s ability to pay all amounts due on the notes. Any actual or potential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change in our or JPMorgan Chase &amp; Co.’s creditworthiness or credit spreads, as determined by the market for taking that credit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risk, is likely to adversely affect the value of the notes. If we and JPMorgan Chase &amp; Co. were to default on our payment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obligations, you may not receive any amounts owed to you under the notes and you could lose your entire investment.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A FINANCE SUBSIDIARY, JPMORGAN FINANCIAL HAS NO INDEPENDENT ACTIVITIES AND HAS LIMITED ASSETS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 a finance subsidiary of JPMorgan Chase &amp; Co., we have no independent activities beyond the issuance and administration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our securities and the collection of intercompany obligations. Aside from the initial capital contribution from JPMorgan Chase &amp; Co.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-30"/>
                                <w:sz w:val="270"/>
                              </w:rPr>
                              <w:t xml:space="preserve">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substantially all of our assets relate to obligations of JPMorgan Chase &amp; Co. to make payments under loans made by us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JPMorgan Chase &amp; Co. or under other intercompany agreements. As a result, we are dependent upon payments from JPMorgan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Chase &amp; Co. to meet our obligations under the notes. We are not an operating subsidiary of JPMorgan Chase &amp; Co. and in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bankruptcy or resolution of JPMorgan Chase &amp; Co. we are not expected to have sufficient resources to meet our obligations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of the notes as they come due. If JPMorgan Chase &amp; Co. does not make payments to us and we are unable to make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payments on the notes, you may have to seek payment under the related guarantee by JPMorgan Chase &amp; Co., and that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guarantee will rank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pari passu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with all other unsecured and unsubordinated obligations of JPMorgan Chase &amp; Co. For more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information, see “Risk Factors — Holders of securities issued by JPMorgan Financial may be subject to losses if JPMorgan Chase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&amp; Co. were to enter into a resolution” in the accompanying prospectus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POTENTIAL CONFLICTS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We and our affiliates play a variety of roles in connection with the notes. In performing these duties, our and JPMorgan Chase &amp;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Co.’s economic interests are potentially adverse to your interests as an investor in the notes. It is possible that hedging or trading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activities of ours or our affiliates in connection with the notes could result in substantial returns for us or our affiliates while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value of the notes declines. Please refer to “Risk Factors — Risks Relating to Conflicts of Interest” in the accompanying product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DO NOT PAY INTEREST.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YOU WILL NOT RECEIVE DIVIDENDS ON THE SECURITIES INCLUDED IN THE INDEX OR HAVE ANY RIGHTS WITH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RESPECT TO THOSE SECURITIES.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 INVESTMENT IN THE NOTES IS SUBJECT TO RISKS ASSOCIATED WITH SMALL CAPITALIZATION STOCKS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Small capitalization companies may be less able to withstand adverse economic, market, trade and competitive conditions relative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larger companies. Small capitalization companies are less likely to pay dividends on their stocks, and the presence of a dividend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 could be a factor that limits downward stock price pressure under adverse market conditions.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LACK OF LIQUIDITY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notes will not be listed on any securities exchange. Accordingly, the price at which you may be able to trade your notes is likely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to depend on the price, if any, at which J.P. Morgan Securities LLC, which we refer to as JPMS, is willing to buy the notes. You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may not be able to sell your notes. The notes are not designed to be short-term trading instruments. Accordingly, you should be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able and willing to hold your notes to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LOWER THAN THE ORIGINAL ISSUE PRICE (PRICE TO PUBLIC)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is only an estimate determined by reference to several factors. The original issue price of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notes exceeds the estimated value of the notes because costs associated with structuring and hedging the notes are included in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original issue price of the notes. These costs include the projected profits, if any, that our affiliates expect to realize for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assuming risks inherent in hedging our obligations under the notes, the estimated cost of hedging our obligations under the notes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the fees, if any, paid for third-party data analytics and/or electronic platform services. See “The Estimated Value of the Notes”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>●</w:t>
                            </w: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30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ESTIMATED VALUE OF THE NOTES DOES NOT REPRESENT FUTURE VALUES OF THE NOTES AND MAY DIFFER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FROM OTHERS’ ESTIMATES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See “The Estimated Value of the Notes” in this pricing supplement.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Selected Risk Considerations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 investment in the notes involves significant risks. These risks are explained in more detail in the “Risk Factors” sections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accompanying prospectus supplement and product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INVESTMENT IN THE NOTES MAY RESULT IN A LOSS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do not guarantee any return of principal. If the Final Value is less than the Initial Value by more than 10.00%, you will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lose 1% of the principal amount of your notes for every 1% that the Final Value is less than the Initial Value by more than 10.00%.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Accordingly, under these circumstances, you will lose up to 90.00% of your principal amount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YOUR MAXIMUM GAIN ON THE NOTES IS LIMITED TO THE MAXIMUM RETURN,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regardless of any appreciation of the Index, which may be significant.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CREDIT RISKS OF JPMORGAN FINANCIAL AND JPMORGAN CHASE &amp; CO.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30"/>
                          <w:sz w:val="270"/>
                        </w:rPr>
                        <w:t>—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Investors are dependent on our and JPMorgan Chase &amp; Co.’s ability to pay all amounts due on the notes. Any actual or potential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change in our or JPMorgan Chase &amp; Co.’s creditworthiness or credit spreads, as determined by the market for taking that credit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risk, is likely to adversely affect the value of the notes. If we and JPMorgan Chase &amp; Co. were to default on our payment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obligations, you may not receive any amounts owed to you under the notes and you could lose your entire investment.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A FINANCE SUBSIDIARY, JPMORGAN FINANCIAL HAS NO INDEPENDENT ACTIVITIES AND HAS LIMITED ASSETS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 a finance subsidiary of JPMorgan Chase &amp; Co., we have no independent activities beyond the issuance and administration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our securities and the collection of intercompany obligations. Aside from the initial capital contribution from JPMorgan Chase &amp; Co.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-30"/>
                          <w:sz w:val="270"/>
                        </w:rPr>
                        <w:t xml:space="preserve">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substantially all of our assets relate to obligations of JPMorgan Chase &amp; Co. to make payments under loans made by us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JPMorgan Chase &amp; Co. or under other intercompany agreements. As a result, we are dependent upon payments from JPMorgan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Chase &amp; Co. to meet our obligations under the notes. We are not an operating subsidiary of JPMorgan Chase &amp; Co. and in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bankruptcy or resolution of JPMorgan Chase &amp; Co. we are not expected to have sufficient resources to meet our obligations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of the notes as they come due. If JPMorgan Chase &amp; Co. does not make payments to us and we are unable to make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payments on the notes, you may have to seek payment under the related guarantee by JPMorgan Chase &amp; Co., and that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guarantee will rank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pari passu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with all other unsecured and unsubordinated obligations of JPMorgan Chase &amp; Co. For more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information, see “Risk Factors — Holders of securities issued by JPMorgan Financial may be subject to losses if JPMorgan Chase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&amp; Co. were to enter into a resolution” in the accompanying prospectus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POTENTIAL CONFLICTS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We and our affiliates play a variety of roles in connection with the notes. In performing these duties, our and JPMorgan Chase &amp;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Co.’s economic interests are potentially adverse to your interests as an investor in the notes. It is possible that hedging or trading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activities of ours or our affiliates in connection with the notes could result in substantial returns for us or our affiliates while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value of the notes declines. Please refer to “Risk Factors — Risks Relating to Conflicts of Interest” in the accompanying product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DO NOT PAY INTEREST.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YOU WILL NOT RECEIVE DIVIDENDS ON THE SECURITIES INCLUDED IN THE INDEX OR HAVE ANY RIGHTS WITH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RESPECT TO THOSE SECURITIES.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 INVESTMENT IN THE NOTES IS SUBJECT TO RISKS ASSOCIATED WITH SMALL CAPITALIZATION STOCKS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Small capitalization companies may be less able to withstand adverse economic, market, trade and competitive conditions relative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larger companies. Small capitalization companies are less likely to pay dividends on their stocks, and the presence of a dividend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 could be a factor that limits downward stock price pressure under adverse market conditions.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LACK OF LIQUIDITY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notes will not be listed on any securities exchange. Accordingly, the price at which you may be able to trade your notes is likely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to depend on the price, if any, at which J.P. Morgan Securities LLC, which we refer to as JPMS, is willing to buy the notes. You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may not be able to sell your notes. The notes are not designed to be short-term trading instruments. Accordingly, you should be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able and willing to hold your notes to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LOWER THAN THE ORIGINAL ISSUE PRICE (PRICE TO PUBLIC)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is only an estimate determined by reference to several factors. The original issue price of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notes exceeds the estimated value of the notes because costs associated with structuring and hedging the notes are included in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original issue price of the notes. These costs include the projected profits, if any, that our affiliates expect to realize for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assuming risks inherent in hedging our obligations under the notes, the estimated cost of hedging our obligations under the notes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the fees, if any, paid for third-party data analytics and/or electronic platform services. See “The Estimated Value of the Notes”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>●</w:t>
                      </w:r>
                      <w:r>
                        <w:rPr>
                          <w:caps w:val="false"/>
                          <w:smallCaps w:val="false"/>
                          <w:color w:val="404040"/>
                          <w:spacing w:val="30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ESTIMATED VALUE OF THE NOTES DOES NOT REPRESENT FUTURE VALUES OF THE NOTES AND MAY DIFFER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FROM OTHERS’ ESTIMATES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See “The Estimated Value of the Notes” in this pricing supplement.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3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4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PS-3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PS-3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65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66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67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 graph demonstrates the hypothetical payments at maturity on the notes for a range of Index Returns (-50% to 50%).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There can be no assurance that the performance of the Index will result in the return of any of your principal amount in excess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$100.00 per $1,000 principal amount note, subject to the credit risks of JPMorgan Financial and 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How the Notes Work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Upside Scenario: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Final Value is greater than the Initial Value, investors will receive at maturity the $1,000 principal amount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plus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 return equal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1.50 times the Index Return, subject to the Maximum Return of 25.15%. An investor will realize the maximum payment at maturity at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Final Value at or above approximately 116.7667% of the Initial Value.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closing level of the Index increases 5.00%, investors will receive at maturity a return of 7.50%, or $1,075.00 per $1,000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principal amount note.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closing level of the Index increases 40.00%, investors will receive at maturity a return equal to the Maximum Return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25.15%, or $1,251.50 per $1,000 principal amount note, which is the maximum payment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Par Scenario: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Final Value is equal to the Initial Value or is less than the Initial Value by up to the Buffer Amount of 10.00%, investors will receive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at maturity the principal amount of their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Downside Scenario: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If the Final Value is less than the Initial Value by more than the Buffer Amount of 10.00%, investors will lose 1% of the principal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of their notes for every 1% that the Final Value is less than the Initial Value by more than the Buffer Amount.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404040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For example, if the closing level of the Index declines 50.00%, investors will lose 40.00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of their principal amount and receive only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$600.00 per $1,000 principal amount note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returns and hypothetical payments on the notes shown above apply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only if you hold the notes for their entire term.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These hypotheticals do not reflect the fees or expenses that would be associated with any sale in the secondary market. If these fees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and expenses were included, the hypothetical returns and hypothetical payments shown above would likely be lower.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 graph demonstrates the hypothetical payments at maturity on the notes for a range of Index Returns (-50% to 50%).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There can be no assurance that the performance of the Index will result in the return of any of your principal amount in excess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$100.00 per $1,000 principal amount note, subject to the credit risks of JPMorgan Financial and 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How the Notes Work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Upside Scenario: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Final Value is greater than the Initial Value, investors will receive at maturity the $1,000 principal amount 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plus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 return equal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1.50 times the Index Return, subject to the Maximum Return of 25.15%. An investor will realize the maximum payment at maturity at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Final Value at or above approximately 116.7667% of the Initial Value.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closing level of the Index increases 5.00%, investors will receive at maturity a return of 7.50%, or $1,075.00 per $1,000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principal amount note.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closing level of the Index increases 40.00%, investors will receive at maturity a return equal to the Maximum Return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25.15%, or $1,251.50 per $1,000 principal amount note, which is the maximum payment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Par Scenario: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Final Value is equal to the Initial Value or is less than the Initial Value by up to the Buffer Amount of 10.00%, investors will receive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at maturity the principal amount of their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Downside Scenario: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If the Final Value is less than the Initial Value by more than the Buffer Amount of 10.00%, investors will lose 1% of the principal amount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of their notes for every 1% that the Final Value is less than the Initial Value by more than the Buffer Amount.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404040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For example, if the closing level of the Index declines 50.00%, investors will lose 40.00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%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of their principal amount and receive only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$600.00 per $1,000 principal amount note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returns and hypothetical payments on the notes shown above apply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only if you hold the notes for their entire term.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These hypotheticals do not reflect the fees or expenses that would be associated with any sale in the secondary market. If these fees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and expenses were included, the hypothetical returns and hypothetical payments shown above would likely be lower.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68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85.0000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85.0000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69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-40.0000%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-40.0000%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0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60.0000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60.0000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1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$800.00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$800.00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2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-20.00%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-20.00%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73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-30.0000%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-30.0000%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4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70.0000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70.0000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5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$900.00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$900.00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6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77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-20.0000%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-20.0000%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8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79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$950.00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$950.00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0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81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-15.0000%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-15.0000%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2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-30.00%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-30.00%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8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4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85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6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90.0000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90.0000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87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8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89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0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95.0000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95.0000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91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2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4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5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$400.00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$400.00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96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7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98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-90.00%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-90.00%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99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-100.0000%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-100.0000%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0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01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$200.00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$200.00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02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-80.00%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-80.00%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03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-90.0000%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-90.0000%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04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5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$300.00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$300.00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6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-70.00%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-70.00%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07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-80.0000%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-80.0000%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08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09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$1,015.00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$1,015.00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0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-60.00%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-60.00%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11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-70.0000%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-70.0000%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2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30.0000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30.0000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3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$500.00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$500.00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4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15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-60.0000%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-60.0000%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16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17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$600.00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$600.00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18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-40.00%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-40.00%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19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-50.0000%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-50.0000%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24100"/>
                <wp:effectExtent l="0" t="0" r="0" b="0"/>
                <wp:wrapNone/>
                <wp:docPr id="120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24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3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1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$700.00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$700.00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22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3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140.0000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140.0000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24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5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26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150.0000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150.0000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28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29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0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60.0000%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60.0000%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1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160.0000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160.0000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3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4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70.0000%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70.0000%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5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170.0000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170.0000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6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40.0000%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40.0000%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38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80.0000%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80.0000%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39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180.0000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180.0000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40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Payment at Maturity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Payment at Maturity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7804785"/>
                <wp:effectExtent l="0" t="0" r="0" b="0"/>
                <wp:wrapNone/>
                <wp:docPr id="141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78047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Total Return on the Notes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614.5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Total Return on the Notes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42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Index Return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Index Return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13487400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43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Final Value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1062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Final Value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4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Hypothetical Payout Profile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 table and graph illustrate the hypothetical total return and payment at maturity on the notes linked to a hypothetical Index.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“total return” as used in this pricing supplement is the number, expressed as a percentage, that results from comparing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payment at maturity per $1,000 principal amount note to $1,000. The hypothetical total returns and payments set forth below assume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following: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 Initial Value of 100.00;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 Maximum Return of 25.15%;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 Upside Leverage Factor of 1.50;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 Buffer Amount of 10.00%.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hypothetical Initial Value of 100.00 has been chosen for illustrative purposes only and does not represent the actual Initial Value.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The actual Initial Value is the closing level of the Index on the Pricing Date and is specified under “Key Terms – Initial Value” in this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pricing supplement. For historical data regarding the actual closing levels of the Index, please see the historical information set forth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under “The Index” in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Each hypothetical total return or hypothetical payment at maturity set forth below is for illustrative purposes only and may not be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actual total return or payment at maturity applicable to a purchaser of the notes. The numbers appearing in the following table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graph have been rounded for ease of analysis.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Hypothetical Payout Profile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 table and graph illustrate the hypothetical total return and payment at maturity on the notes linked to a hypothetical Index.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“total return” as used in this pricing supplement is the number, expressed as a percentage, that results from comparing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payment at maturity per $1,000 principal amount note to $1,000. The hypothetical total returns and payments set forth below assume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following: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 Initial Value of 100.00;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 Maximum Return of 25.15%;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 Upside Leverage Factor of 1.50;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 Buffer Amount of 10.00%.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hypothetical Initial Value of 100.00 has been chosen for illustrative purposes only and does not represent the actual Initial Value.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The actual Initial Value is the closing level of the Index on the Pricing Date and is specified under “Key Terms – Initial Value” in this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pricing supplement. For historical data regarding the actual closing levels of the Index, please see the historical information set forth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under “The Index” in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Each hypothetical total return or hypothetical payment at maturity set forth below is for illustrative purposes only and may not be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actual total return or payment at maturity applicable to a purchaser of the notes. The numbers appearing in the following table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graph have been rounded for ease of analysis.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145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146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7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PS-2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PS-2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48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49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0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1.50%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1.50%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1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2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101.0000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101.0000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53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$1,075.00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$1,075.00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4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7.50%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7.50%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5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5.0000%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5.0000%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6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105.0000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105.0000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57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$1,150.00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$1,150.00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58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15.00%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15.00%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59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0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110.0000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110.0000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1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2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16.7667%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16.7667%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3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116.7667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116.7667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4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5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6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7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120.0000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120.0000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68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69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35499675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70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30.0000%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795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30.0000%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13439775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1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130.0000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05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130.0000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79857600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72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$1,251.50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62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$1,251.50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57588150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7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25.15%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534.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25.15%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4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5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70"/>
                              </w:rPr>
                              <w:t xml:space="preserve">PS-1 | 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>Capped Buffered Return Enhanced Notes Linked to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15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 Index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70"/>
                        </w:rPr>
                        <w:t xml:space="preserve">PS-1 | 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>Capped Buffered Return Enhanced Notes Linked to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15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 Index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68684775</wp:posOffset>
                </wp:positionH>
                <wp:positionV relativeFrom="line">
                  <wp:posOffset>635</wp:posOffset>
                </wp:positionV>
                <wp:extent cx="7560310" cy="9582150"/>
                <wp:effectExtent l="0" t="0" r="0" b="0"/>
                <wp:wrapNone/>
                <wp:docPr id="176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582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54.5pt;mso-wrap-distance-left:0pt;mso-wrap-distance-right:0pt;mso-wrap-distance-top:0pt;mso-wrap-distance-bottom:0pt;margin-top:0pt;mso-position-vertical:top;mso-position-vertical-relative:text;margin-left:540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6972300</wp:posOffset>
                </wp:positionH>
                <wp:positionV relativeFrom="line">
                  <wp:posOffset>635</wp:posOffset>
                </wp:positionV>
                <wp:extent cx="7560310" cy="3476625"/>
                <wp:effectExtent l="0" t="0" r="0" b="0"/>
                <wp:wrapNone/>
                <wp:docPr id="177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476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273.75pt;mso-wrap-distance-left:0pt;mso-wrap-distance-right:0pt;mso-wrap-distance-top:0pt;mso-wrap-distance-bottom:0pt;margin-top:0pt;mso-position-vertical:top;mso-position-vertical-relative:text;margin-left:549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8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4E8ABE"/>
                                <w:spacing w:val="0"/>
                                <w:sz w:val="299"/>
                              </w:rPr>
                              <w:t xml:space="preserve">Key Terms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4E8ABE"/>
                          <w:spacing w:val="0"/>
                          <w:sz w:val="299"/>
                        </w:rPr>
                        <w:t xml:space="preserve">Key Terms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7467600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79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Issuer: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JPMorgan Chase Financial Company LLC, a direct,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wholly owned finance subsidiary of JPMorgan Chase &amp; Co.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Guarantor: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Index: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Index (Bloomberg ticker: RTY)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Maximum Return: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25.15% (corresponding to a maximum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payment at maturity of $1,251.50 per $1,000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amount note)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Upside Leverage Factor: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1.50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>Buffer Amount: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10.00%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Pricing Date: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August 13, 2026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Original Issue Date (Settlement Date):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On or about August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18, 2026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Observation Date*: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January 13, 2028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Maturity Date*: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January 19, 2028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* Subject to postponement in the event of a market disruption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event as described under “General Terms of Notes —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Postponement of a Determination Date — Notes Linked to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Single Underlying — Notes Linked to a Single Underlying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(Other Than a Commodity Index)” and “General Terms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Notes — Postponement of a Payment Date” in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accompanying product supplement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588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Issuer: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JPMorgan Chase Financial Company LLC, a direct,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wholly owned finance subsidiary of JPMorgan Chase &amp; Co.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Guarantor: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Index: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Index (Bloomberg ticker: RTY)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Maximum Return: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25.15% (corresponding to a maximum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payment at maturity of $1,251.50 per $1,000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amount note)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Upside Leverage Factor: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1.50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>Buffer Amount: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10.00%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Pricing Date: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August 13, 2026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Original Issue Date (Settlement Date):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On or about August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18, 2026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Observation Date*: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January 13, 2028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Maturity Date*: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January 19, 2028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* Subject to postponement in the event of a market disruption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event as described under “General Terms of Notes —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Postponement of a Determination Date — Notes Linked to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Single Underlying — Notes Linked to a Single Underlying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(Other Than a Commodity Index)” and “General Terms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Notes — Postponement of a Payment Date” in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accompanying product supplement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56969025</wp:posOffset>
                </wp:positionH>
                <wp:positionV relativeFrom="line">
                  <wp:posOffset>635</wp:posOffset>
                </wp:positionV>
                <wp:extent cx="2809875" cy="10692130"/>
                <wp:effectExtent l="0" t="0" r="0" b="0"/>
                <wp:wrapNone/>
                <wp:docPr id="180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841.9pt;mso-wrap-distance-left:0pt;mso-wrap-distance-right:0pt;mso-wrap-distance-top:0pt;mso-wrap-distance-bottom:0pt;margin-top:0pt;mso-position-vertical:top;mso-position-vertical-relative:text;margin-left:4485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59788425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1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Payment at Maturity: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is greater than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Initial Value, your payment at maturity per $1,000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amount note will be calculated as follows: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$1,000 + ($1,000 × Index Return × Upside Leverage Factor),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subject to the Maximum Return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is equal to the Initial Value or is less than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Initial Value by up to the Buffer Amount, you will receive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principal amount of your notes at maturity.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is less than the Initial Value by more than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Buffer Amount, your payment at maturity per $1,000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amount note will be calculated as follows: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$1,000 + [$1,000 × (Index Return + Buffer Amount)]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2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If the Final Value is less than the Initial Value by more than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2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Buffer Amount, you will lose some or most of your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>amount at maturity.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Index Return: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(Final Value – Initial Value)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Initial Value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Initial Value: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closing level of the Index on the Pricing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Date, which was 3,052.847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Final Value: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closing level of the Index on the Observation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Date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4707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Payment at Maturity: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Final Value is greater than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Initial Value, your payment at maturity per $1,000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amount note will be calculated as follows: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$1,000 + ($1,000 × Index Return × Upside Leverage Factor),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subject to the Maximum Return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Final Value is equal to the Initial Value or is less than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Initial Value by up to the Buffer Amount, you will receive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principal amount of your notes at maturity.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If the Final Value is less than the Initial Value by more than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Buffer Amount, your payment at maturity per $1,000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amount note will be calculated as follows: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$1,000 + [$1,000 × (Index Return + Buffer Amount)]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2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If the Final Value is less than the Initial Value by more than the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2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Buffer Amount, you will lose some or most of your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>amount at maturity.</w:t>
                      </w:r>
                      <w:r>
                        <w:rPr>
                          <w:rFonts w:ascii="Arial" w:hAnsi="Arial"/>
                          <w:b w:val="false"/>
                          <w:i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Index Return: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(Final Value – Initial Value)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Initial Value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Initial Value: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closing level of the Index on the Pricing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Date, which was 3,052.847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Final Value: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closing level of the Index on the Observation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Date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27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2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29441775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83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$1,000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31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$1,000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4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estimated value of the notes, when the terms of the notes were set, was $996.90 per $1,000 principal amount note. See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000000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000000"/>
                                <w:spacing w:val="0"/>
                              </w:rPr>
                              <w:t>“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Estimated Value of the Notes” in this pricing supplement for additional information.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25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>The notes are not bank deposits, are not insured by the Federal Deposit Insurance Corporation or any other governmental agenc</w:t>
                            </w: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-15"/>
                                <w:sz w:val="270"/>
                              </w:rPr>
                              <w:t xml:space="preserve">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2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/>
                                <w:color w:val="000000"/>
                                <w:spacing w:val="0"/>
                                <w:sz w:val="270"/>
                              </w:rPr>
                              <w:t xml:space="preserve">and are not obligations of, or guaranteed by, a bank.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70"/>
                              </w:rPr>
                              <w:t>*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This pricing supplement amends and restates and supersedes the original pricing supplement related hereto dated August 13, 2026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to product supplement no. 3-I in its entirety (the original pricing supplement is available on the SEC website at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/>
                            </w:pPr>
                            <w:hyperlink r:id="rId34">
                              <w:r>
                                <w:rPr>
                                  <w:rStyle w:val="InternetLink"/>
                                  <w:rFonts w:ascii="Arial" w:hAnsi="Arial"/>
                                  <w:b w:val="false"/>
                                  <w:i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sz w:val="270"/>
                                  <w:u w:val="none"/>
                                  <w:effect w:val="none"/>
                                </w:rPr>
                                <w:t>https://www.sec.gov/Archives/edgar/data/19617/000191870426023908/form424b2.htm</w:t>
                              </w:r>
                            </w:hyperlink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estimated value of the notes, when the terms of the notes were set, was $996.90 per $1,000 principal amount note. See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000000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000000"/>
                          <w:spacing w:val="0"/>
                        </w:rPr>
                        <w:t>“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Estimated Value of the Notes” in this pricing supplement for additional information.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25" w:before="0" w:after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>The notes are not bank deposits, are not insured by the Federal Deposit Insurance Corporation or any other governmental agenc</w:t>
                      </w: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-15"/>
                          <w:sz w:val="270"/>
                        </w:rPr>
                        <w:t xml:space="preserve">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2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/>
                          <w:color w:val="000000"/>
                          <w:spacing w:val="0"/>
                          <w:sz w:val="270"/>
                        </w:rPr>
                        <w:t xml:space="preserve">and are not obligations of, or guaranteed by, a bank.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70"/>
                        </w:rPr>
                        <w:t>*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This pricing supplement amends and restates and supersedes the original pricing supplement related hereto dated August 13, 2026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to product supplement no. 3-I in its entirety (the original pricing supplement is available on the SEC website at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/>
                      </w:pPr>
                      <w:hyperlink r:id="rId35">
                        <w:r>
                          <w:rPr>
                            <w:rStyle w:val="InternetLink"/>
                            <w:rFonts w:ascii="Arial" w:hAnsi="Arial"/>
                            <w:b w:val="false"/>
                            <w:i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sz w:val="270"/>
                            <w:u w:val="none"/>
                            <w:effect w:val="none"/>
                          </w:rPr>
                          <w:t>https://www.sec.gov/Archives/edgar/data/19617/000191870426023908/form424b2.htm</w:t>
                        </w:r>
                      </w:hyperlink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(2) All sales of the notes will be made to certain fee-based advisory accounts for which an affiliated or unaffiliated broker-dealer is an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investment adviser. These broker-dealers will forgo any commissions related to these sales. See “Plan of Distribution (Conflicts of Interest)”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in the accompanying product supplement.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(2) All sales of the notes will be made to certain fee-based advisory accounts for which an affiliated or unaffiliated broker-dealer is an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investment adviser. These broker-dealers will forgo any commissions related to these sales. See “Plan of Distribution (Conflicts of Interest)”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in the accompanying product supplement.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86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240"/>
                              </w:rPr>
                              <w:t xml:space="preserve">(1) See “Supplemental Use of Proceeds” in this pricing supplement for information about the components of the price to public of the notes.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240"/>
                        </w:rPr>
                        <w:t xml:space="preserve">(1) See “Supplemental Use of Proceeds” in this pricing supplement for information about the components of the price to public of the notes.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89487375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8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$890,000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704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$890,000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58893075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88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595959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595959"/>
                                <w:spacing w:val="0"/>
                              </w:rPr>
                              <w:t xml:space="preserve">—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637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595959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595959"/>
                          <w:spacing w:val="0"/>
                        </w:rPr>
                        <w:t xml:space="preserve">—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29441775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89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$890,000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231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$890,000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90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Total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Total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89487375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9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$1,000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704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$1,000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58893075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9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595959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595959"/>
                                <w:spacing w:val="0"/>
                              </w:rPr>
                              <w:t xml:space="preserve">—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4637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595959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595959"/>
                          <w:spacing w:val="0"/>
                        </w:rPr>
                        <w:t xml:space="preserve">—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93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Per note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Per note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89487375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94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Proceeds to Issuer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7046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Proceeds to Issuer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58893075</wp:posOffset>
                </wp:positionH>
                <wp:positionV relativeFrom="line">
                  <wp:posOffset>635</wp:posOffset>
                </wp:positionV>
                <wp:extent cx="7560310" cy="5853430"/>
                <wp:effectExtent l="0" t="0" r="0" b="0"/>
                <wp:wrapNone/>
                <wp:docPr id="195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58534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Fees and Commissions (2)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460.9pt;mso-wrap-distance-left:0pt;mso-wrap-distance-right:0pt;mso-wrap-distance-top:0pt;mso-wrap-distance-bottom:0pt;margin-top:0pt;mso-position-vertical:top;mso-position-vertical-relative:text;margin-left:4637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Fees and Commissions (2)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29441775</wp:posOffset>
                </wp:positionH>
                <wp:positionV relativeFrom="line">
                  <wp:posOffset>635</wp:posOffset>
                </wp:positionV>
                <wp:extent cx="7560310" cy="3902075"/>
                <wp:effectExtent l="0" t="0" r="0" b="0"/>
                <wp:wrapNone/>
                <wp:docPr id="196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39020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70"/>
                              </w:rPr>
                              <w:t xml:space="preserve">Price to Public (1)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307.25pt;mso-wrap-distance-left:0pt;mso-wrap-distance-right:0pt;mso-wrap-distance-top:0pt;mso-wrap-distance-bottom:0pt;margin-top:0pt;mso-position-vertical:top;mso-position-vertical-relative:text;margin-left:2318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70"/>
                        </w:rPr>
                        <w:t xml:space="preserve">Price to Public (1)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15382875</wp:posOffset>
                </wp:positionH>
                <wp:positionV relativeFrom="line">
                  <wp:posOffset>635</wp:posOffset>
                </wp:positionV>
                <wp:extent cx="7560310" cy="2352675"/>
                <wp:effectExtent l="0" t="0" r="0" b="0"/>
                <wp:wrapNone/>
                <wp:docPr id="197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352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85.25pt;mso-wrap-distance-left:0pt;mso-wrap-distance-right:0pt;mso-wrap-distance-top:0pt;mso-wrap-distance-bottom:0pt;margin-top:0pt;mso-position-vertical:top;mso-position-vertical-relative:text;margin-left:1211.2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0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8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Pricing supplement to product supplement no. 3-I dated April 17, 2026, underlying supplement no. 1-I dated April 17, 2026, the prospectus and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6D6E71"/>
                                <w:spacing w:val="0"/>
                                <w:sz w:val="240"/>
                              </w:rPr>
                              <w:t xml:space="preserve">prospectus supplement, each dated April 17, 2026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  <w:t>JPMorgan Chase Financial Company LLC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404040"/>
                                <w:spacing w:val="0"/>
                                <w:sz w:val="42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420"/>
                              </w:rPr>
                              <w:t xml:space="preserve">Structured Investments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$890,000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Capped Buffered Return Enhanced Notes Linked to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>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35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659"/>
                              </w:rPr>
                              <w:t xml:space="preserve"> Index due January 19, 2028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2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4301A"/>
                                <w:spacing w:val="0"/>
                                <w:sz w:val="420"/>
                              </w:rPr>
                              <w:t xml:space="preserve">Fully and Unconditionally Guaranteed by JPMorgan Chase &amp; Co.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The notes are designed for investors who seek a return of 1.50 times any appreciation of the Russell 2000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180"/>
                              </w:rPr>
                              <w:t>®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Index, up to a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maximum return of 25.15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%,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>Investors should be willing to forgo interest and dividend payments and be willing to lose up to 90.00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%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of their principal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amount at maturity.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are unsecured and unsubordinated obligations of JPMorgan Chase Financial Company LLC, which we refer to as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JPMorgan Financial, the payment on which is fully and unconditionally guaranteed by JPMorgan Chase &amp; Co. </w:t>
                            </w: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Any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payment on the notes is subject to the credit risk of JPMorgan Financial, as issuer of the notes, and the credit risk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of JPMorgan Chase &amp; Co., as guarantor of the notes.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Minimum denominations of $1,000 and integral multiples thereof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The notes priced on August 13, 2026 and are expected to settle on or about August 18, 2026.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jc w:val="left"/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color w:val="262626"/>
                                <w:spacing w:val="0"/>
                              </w:rPr>
                              <w:t xml:space="preserve">●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CUSIP: 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>46661KHU5</w:t>
                            </w: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262626"/>
                                <w:spacing w:val="0"/>
                                <w:sz w:val="27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Investing in the notes involves a number of risks. See “Risk Factors” beginning on page S-2 of the accompanying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5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prospectus supplement, “Risk Factors” beginning on page PS-12 of the accompanying product supplement and “Selected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Risk Considerations” beginning on page PS-4 of this pricing supplement.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Neither the Securities and Exchange Commission (the “SEC”) nor any state securities commission has approved or disapproved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20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the notes or passed upon the accuracy or the adequacy of this pricing supplement or the accompanying product supplement,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000000"/>
                                <w:spacing w:val="0"/>
                                <w:sz w:val="270"/>
                              </w:rPr>
                              <w:t xml:space="preserve">underlying supplement, prospectus supplement and prospectus. Any representation to the contrary is a criminal offense.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0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Pricing supplement to product supplement no. 3-I dated April 17, 2026, underlying supplement no. 1-I dated April 17, 2026, the prospectus and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6D6E71"/>
                          <w:spacing w:val="0"/>
                          <w:sz w:val="240"/>
                        </w:rPr>
                        <w:t xml:space="preserve">prospectus supplement, each dated April 17, 2026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  <w:t>JPMorgan Chase Financial Company LLC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404040"/>
                          <w:spacing w:val="0"/>
                          <w:sz w:val="42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420"/>
                        </w:rPr>
                        <w:t xml:space="preserve">Structured Investments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$890,000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Capped Buffered Return Enhanced Notes Linked to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>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35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659"/>
                        </w:rPr>
                        <w:t xml:space="preserve"> Index due January 19, 2028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2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4301A"/>
                          <w:spacing w:val="0"/>
                          <w:sz w:val="420"/>
                        </w:rPr>
                        <w:t xml:space="preserve">Fully and Unconditionally Guaranteed by JPMorgan Chase &amp; Co.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The notes are designed for investors who seek a return of 1.50 times any appreciation of the Russell 2000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180"/>
                        </w:rPr>
                        <w:t>®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Index, up to a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maximum return of 25.15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%,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>Investors should be willing to forgo interest and dividend payments and be willing to lose up to 90.00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%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of their principal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amount at maturity.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are unsecured and unsubordinated obligations of JPMorgan Chase Financial Company LLC, which we refer to as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JPMorgan Financial, the payment on which is fully and unconditionally guaranteed by JPMorgan Chase &amp; Co. </w:t>
                      </w: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Any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payment on the notes is subject to the credit risk of JPMorgan Financial, as issuer of the notes, and the credit risk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of JPMorgan Chase &amp; Co., as guarantor of the notes.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Minimum denominations of $1,000 and integral multiples thereof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The notes priced on August 13, 2026 and are expected to settle on or about August 18, 2026.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jc w:val="left"/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</w:pPr>
                      <w:r>
                        <w:rPr>
                          <w:caps w:val="false"/>
                          <w:smallCaps w:val="false"/>
                          <w:color w:val="262626"/>
                          <w:spacing w:val="0"/>
                        </w:rPr>
                        <w:t xml:space="preserve">●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CUSIP: 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>46661KHU5</w:t>
                      </w: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262626"/>
                          <w:spacing w:val="0"/>
                          <w:sz w:val="270"/>
                        </w:rPr>
                        <w:t xml:space="preserve">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Investing in the notes involves a number of risks. See “Risk Factors” beginning on page S-2 of the accompanying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5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prospectus supplement, “Risk Factors” beginning on page PS-12 of the accompanying product supplement and “Selected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Risk Considerations” beginning on page PS-4 of this pricing supplement.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Neither the Securities and Exchange Commission (the “SEC”) nor any state securities commission has approved or disapproved of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20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the notes or passed upon the accuracy or the adequacy of this pricing supplement or the accompanying product supplement, </w:t>
                      </w:r>
                    </w:p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000000"/>
                          <w:spacing w:val="0"/>
                          <w:sz w:val="270"/>
                        </w:rPr>
                        <w:t xml:space="preserve">underlying supplement, prospectus supplement and prospectus. Any representation to the contrary is a criminal offense.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49425225</wp:posOffset>
                </wp:positionH>
                <wp:positionV relativeFrom="line">
                  <wp:posOffset>635</wp:posOffset>
                </wp:positionV>
                <wp:extent cx="7560310" cy="10692130"/>
                <wp:effectExtent l="0" t="0" r="0" b="0"/>
                <wp:wrapNone/>
                <wp:docPr id="199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  <w:t xml:space="preserve">Registration Statement Nos. 333-293684 and 333-293684-01; Rule 424(b)(8)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841.9pt;mso-wrap-distance-left:0pt;mso-wrap-distance-right:0pt;mso-wrap-distance-top:0pt;mso-wrap-distance-bottom:0pt;margin-top:0pt;mso-position-vertical:top;mso-position-vertical-relative:text;margin-left:3891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  <w:t xml:space="preserve">Registration Statement Nos. 333-293684 and 333-293684-01; Rule 424(b)(8)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9001125</wp:posOffset>
                </wp:positionH>
                <wp:positionV relativeFrom="line">
                  <wp:posOffset>635</wp:posOffset>
                </wp:positionV>
                <wp:extent cx="7560310" cy="10077450"/>
                <wp:effectExtent l="0" t="0" r="0" b="0"/>
                <wp:wrapNone/>
                <wp:docPr id="200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77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37" w:before="0" w:after="0"/>
                              <w:ind w:left="135" w:right="150" w:hanging="0"/>
                              <w:jc w:val="left"/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</w:pPr>
                            <w:r>
                              <w:rPr>
                                <w:rFonts w:ascii="Arial" w:hAnsi="Arial"/>
                                <w:b w:val="false"/>
                                <w:i w:val="false"/>
                                <w:caps w:val="false"/>
                                <w:smallCaps w:val="false"/>
                                <w:color w:val="595959"/>
                                <w:spacing w:val="0"/>
                                <w:sz w:val="240"/>
                              </w:rPr>
                              <w:t xml:space="preserve">August 18, 2026*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93.5pt;mso-wrap-distance-left:0pt;mso-wrap-distance-right:0pt;mso-wrap-distance-top:0pt;mso-wrap-distance-bottom:0pt;margin-top:0pt;mso-position-vertical:top;mso-position-vertical-relative:text;margin-left:708.75pt;mso-position-horizontal-relative:page">
                <v:textbox inset="0in,0in,0in,0in">
                  <w:txbxContent>
                    <w:p>
                      <w:pPr>
                        <w:pStyle w:val="TextBody"/>
                        <w:bidi w:val="0"/>
                        <w:spacing w:lineRule="auto" w:line="237" w:before="0" w:after="0"/>
                        <w:ind w:left="135" w:right="150" w:hanging="0"/>
                        <w:jc w:val="left"/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</w:pPr>
                      <w:r>
                        <w:rPr>
                          <w:rFonts w:ascii="Arial" w:hAnsi="Arial"/>
                          <w:b w:val="false"/>
                          <w:i w:val="false"/>
                          <w:caps w:val="false"/>
                          <w:smallCaps w:val="false"/>
                          <w:color w:val="595959"/>
                          <w:spacing w:val="0"/>
                          <w:sz w:val="240"/>
                        </w:rPr>
                        <w:t xml:space="preserve">August 18, 2026*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ind w:left="150" w:right="150" w:hanging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ea030259501_ex-filingfees.htm"/>
      <w:bookmarkStart w:id="1" w:name="ksea030259501_exfilingfees"/>
      <w:bookmarkStart w:id="2" w:name="ea030259501_ex-filingfees.htm"/>
      <w:bookmarkStart w:id="3" w:name="ksea030259501_exfilingfees"/>
      <w:bookmarkEnd w:id="2"/>
      <w:bookmarkEnd w:id="3"/>
      <w:r>
        <w:br w:type="page"/>
      </w:r>
    </w:p>
    <w:tbl>
      <w:tblPr>
        <w:tblW w:w="35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25"/>
        <w:gridCol w:w="154"/>
      </w:tblGrid>
      <w:tr>
        <w:trPr/>
        <w:tc>
          <w:tcPr>
            <w:tcW w:w="357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b/>
              </w:rPr>
              <w:t>Calculation of Filing Fee Tables</w:t>
            </w:r>
            <w:r>
              <w:rPr/>
              <w:t xml:space="preserve"> </w:t>
            </w:r>
          </w:p>
        </w:tc>
      </w:tr>
      <w:tr>
        <w:trPr/>
        <w:tc>
          <w:tcPr>
            <w:tcW w:w="34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 xml:space="preserve">S-3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 xml:space="preserve">JPMORGAN CHASE &amp; CO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3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26"/>
      </w:tblGrid>
      <w:tr>
        <w:trPr/>
        <w:tc>
          <w:tcPr>
            <w:tcW w:w="2326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>
                <w:b/>
              </w:rPr>
              <w:t>Narrative Disclosure</w:t>
            </w:r>
            <w:r>
              <w:rPr/>
              <w:t xml:space="preserve"> 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The maximum aggregate offering price of the securities to which the prospectus relates is $550,000. The prospectus is a final prospectus for the related offering.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9.jpeg"/><Relationship Id="rId20" Type="http://schemas.openxmlformats.org/officeDocument/2006/relationships/image" Target="media/image10.jpeg"/><Relationship Id="rId21" Type="http://schemas.openxmlformats.org/officeDocument/2006/relationships/image" Target="media/image10.jpeg"/><Relationship Id="rId22" Type="http://schemas.openxmlformats.org/officeDocument/2006/relationships/hyperlink" Target="http://www.sec.gov/Archives/edgar/data/19617/000121390026045198/ea0285802-20_424b2.pdf" TargetMode="External"/><Relationship Id="rId23" Type="http://schemas.openxmlformats.org/officeDocument/2006/relationships/hyperlink" Target="http://www.sec.gov/Archives/edgar/data/19617/000121390026045198/ea0285802-20_424b2.pdf" TargetMode="External"/><Relationship Id="rId24" Type="http://schemas.openxmlformats.org/officeDocument/2006/relationships/hyperlink" Target="http://www.sec.gov/Archives/edgar/data/19617/000121390026045209/ea0285802-11_424b2.pdf" TargetMode="External"/><Relationship Id="rId25" Type="http://schemas.openxmlformats.org/officeDocument/2006/relationships/hyperlink" Target="http://www.sec.gov/Archives/edgar/data/19617/000121390026045209/ea0285802-11_424b2.pdf" TargetMode="External"/><Relationship Id="rId26" Type="http://schemas.openxmlformats.org/officeDocument/2006/relationships/hyperlink" Target="http://www.sec.gov/Archives/edgar/data/19617/000095010326005889/crt_dp245141-424b2.pdf" TargetMode="External"/><Relationship Id="rId27" Type="http://schemas.openxmlformats.org/officeDocument/2006/relationships/hyperlink" Target="http://www.sec.gov/Archives/edgar/data/19617/000095010326005889/crt_dp245141-424b2.pdf" TargetMode="External"/><Relationship Id="rId28" Type="http://schemas.openxmlformats.org/officeDocument/2006/relationships/hyperlink" Target="http://www.sec.gov/Archives/edgar/data/19617/000121390026045198/ea0285802-20_424b2.pdf" TargetMode="External"/><Relationship Id="rId29" Type="http://schemas.openxmlformats.org/officeDocument/2006/relationships/hyperlink" Target="http://www.sec.gov/Archives/edgar/data/19617/000121390026045198/ea0285802-20_424b2.pdf" TargetMode="External"/><Relationship Id="rId30" Type="http://schemas.openxmlformats.org/officeDocument/2006/relationships/hyperlink" Target="http://www.sec.gov/Archives/edgar/data/19617/000121390026045209/ea0285802-11_424b2.pdf" TargetMode="External"/><Relationship Id="rId31" Type="http://schemas.openxmlformats.org/officeDocument/2006/relationships/hyperlink" Target="http://www.sec.gov/Archives/edgar/data/19617/000121390026045209/ea0285802-11_424b2.pdf" TargetMode="External"/><Relationship Id="rId32" Type="http://schemas.openxmlformats.org/officeDocument/2006/relationships/hyperlink" Target="http://www.sec.gov/Archives/edgar/data/19617/000095010326005889/crt_dp245141-424b2.pdf" TargetMode="External"/><Relationship Id="rId33" Type="http://schemas.openxmlformats.org/officeDocument/2006/relationships/hyperlink" Target="http://www.sec.gov/Archives/edgar/data/19617/000095010326005889/crt_dp245141-424b2.pdf" TargetMode="External"/><Relationship Id="rId34" Type="http://schemas.openxmlformats.org/officeDocument/2006/relationships/hyperlink" Target="https://www.sec.gov/Archives/edgar/data/19617/000191870426023908/form424b2.htm" TargetMode="External"/><Relationship Id="rId35" Type="http://schemas.openxmlformats.org/officeDocument/2006/relationships/hyperlink" Target="https://www.sec.gov/Archives/edgar/data/19617/000191870426023908/form424b2.htm" TargetMode="External"/><Relationship Id="rId36" Type="http://schemas.openxmlformats.org/officeDocument/2006/relationships/fontTable" Target="fontTable.xml"/><Relationship Id="rId3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6001</Words>
  <Characters>31662</Characters>
  <CharactersWithSpaces>37691</CharactersWithSpaces>
  <Paragraphs>495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