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7220-01_fwp.htm"/>
      <w:bookmarkStart w:id="1" w:name="ksea029722001_fwp"/>
      <w:bookmarkStart w:id="2" w:name="ea0297220-01_fwp.htm"/>
      <w:bookmarkStart w:id="3" w:name="ksea0297220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jc w:val="righ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8870" w:type="dxa"/>
        <w:jc w:val="left"/>
        <w:tblInd w:w="0" w:type="dxa"/>
        <w:tblLayout w:type="fixed"/>
        <w:tblCellMar>
          <w:top w:w="0" w:type="dxa"/>
          <w:left w:w="0" w:type="dxa"/>
          <w:bottom w:w="0" w:type="dxa"/>
          <w:right w:w="0" w:type="dxa"/>
        </w:tblCellMar>
      </w:tblPr>
      <w:tblGrid>
        <w:gridCol w:w="8870"/>
      </w:tblGrid>
      <w:tr>
        <w:trPr/>
        <w:tc>
          <w:tcPr>
            <w:tcW w:w="887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Auto-Callable with Fixed Percentage Buffered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iShares</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Bitcoin Trust ETF due August 5, 2030</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July 6, 2026 to Preliminary Pricing Supplement dated July 6, 2026</w:t>
            </w:r>
          </w:p>
        </w:tc>
      </w:tr>
    </w:tbl>
    <w:p>
      <w:pPr>
        <w:pStyle w:val="TextBody"/>
        <w:bidi w:val="0"/>
        <w:spacing w:before="80" w:after="80"/>
        <w:ind w:left="12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68"/>
                              <w:gridCol w:w="8637"/>
                            </w:tblGrid>
                            <w:tr>
                              <w:trPr/>
                              <w:tc>
                                <w:tcPr>
                                  <w:tcW w:w="15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Bitcoin Trust ETF (Bloomberg ticker: IBIT)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31,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5,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5, 2030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fund closing price of the Fund on any call date is greater than or equal to the call value, the securities will be automatically called for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 applicable to that call date.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Call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and Call Premiums</w:t>
                                  </w:r>
                                  <w:r>
                                    <w:rPr>
                                      <w:rFonts w:ascii="Times New Roman;Times;Serif" w:hAnsi="Times New Roman;Times;Serif"/>
                                      <w:b w:val="false"/>
                                      <w:i w:val="false"/>
                                      <w:caps w:val="false"/>
                                      <w:smallCaps w:val="false"/>
                                      <w:position w:val="7"/>
                                      <w:sz w:val="16"/>
                                      <w:sz w:val="20"/>
                                    </w:rPr>
                                    <w:t>†</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call premium applicable to each call date will be a percentage of the principal amount that increases for each call date based on a simple (non-compounding) return of approximately at least 13.65% per annum.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Three business days after the applicable call 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call settlement date for the final call date is the stated maturity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is less than the call value but greater than or equal to the threshold price: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is less than the threshold price:</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90% of the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2</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7</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 of the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46661CNS1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2"/>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2"/>
                                    </w:rPr>
                                    <w:t>Subject to postponement or early acceleration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68"/>
                        <w:gridCol w:w="8637"/>
                      </w:tblGrid>
                      <w:tr>
                        <w:trPr/>
                        <w:tc>
                          <w:tcPr>
                            <w:tcW w:w="15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Bitcoin Trust ETF (Bloomberg ticker: IBIT)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31,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5,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5, 2030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fund closing price of the Fund on any call date is greater than or equal to the call value, the securities will be automatically called for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 applicable to that call date.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Call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and Call Premiums</w:t>
                            </w:r>
                            <w:r>
                              <w:rPr>
                                <w:rFonts w:ascii="Times New Roman;Times;Serif" w:hAnsi="Times New Roman;Times;Serif"/>
                                <w:b w:val="false"/>
                                <w:i w:val="false"/>
                                <w:caps w:val="false"/>
                                <w:smallCaps w:val="false"/>
                                <w:position w:val="7"/>
                                <w:sz w:val="16"/>
                                <w:sz w:val="20"/>
                              </w:rPr>
                              <w:t>†</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call premium applicable to each call date will be a percentage of the principal amount that increases for each call date based on a simple (non-compounding) return of approximately at least 13.65% per annum.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Three business days after the applicable call 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call settlement date for the final call date is the stated maturity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is less than the call value but greater than or equal to the threshold price: $1,000;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is less than the threshold price:</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90% of the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2</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7</w:t>
                            </w:r>
                            <w:r>
                              <w:rPr>
                                <w:rFonts w:ascii="Georgia;Times;Serif" w:hAnsi="Georgia;Times;Serif"/>
                                <w:b w:val="false"/>
                                <w:i w:val="false"/>
                                <w:caps w:val="false"/>
                                <w:smallCaps w:val="false"/>
                                <w:sz w:val="18"/>
                              </w:rPr>
                              <w:t>5</w:t>
                            </w:r>
                            <w:r>
                              <w:rPr>
                                <w:rFonts w:ascii="Georgia;Times;Serif" w:hAnsi="Georgia;Times;Serif"/>
                                <w:b w:val="false"/>
                                <w:i w:val="false"/>
                                <w:caps w:val="false"/>
                                <w:smallCaps w:val="false"/>
                                <w:sz w:val="16"/>
                              </w:rPr>
                              <w:t>% of the starting price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46661CNS1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2"/>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2"/>
                              </w:rPr>
                              <w:t>Subject to postponement or early acceleration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604635"/>
                <wp:effectExtent l="0" t="0" r="0" b="0"/>
                <wp:wrapSquare wrapText="left"/>
                <wp:docPr id="3" name="Frame2"/>
                <a:graphic xmlns:a="http://schemas.openxmlformats.org/drawingml/2006/main">
                  <a:graphicData uri="http://schemas.microsoft.com/office/word/2010/wordprocessingShape">
                    <wps:wsp>
                      <wps:cNvSpPr txBox="1"/>
                      <wps:spPr>
                        <a:xfrm>
                          <a:off x="0" y="0"/>
                          <a:ext cx="3175000" cy="660463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333750" cy="2066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066925"/>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Assumes a call premium for each call date equal to the minimum call premium for that call date</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1-to-1 downside exposure to the decrease in the price of the Fund in excess of the buffer amount, and you will lose some, and possibly up to 75%, of the principal amount of your securities at maturity.</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positive return on the securities will be limited to the applicable call premium, even if the fund closing price of the Fund on the applicable call date significantly exceeds the starting price. You will not participate in any appreciation of the Fund beyond the applicable call premium.</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$941.10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40" w:after="40"/>
                              <w:ind w:left="120" w:right="4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http://www.sec.gov/Archives/edgar/data/19617/000121390026075616/ea0297197-01_424b2.htm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0.0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333750" cy="2066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066925"/>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Assumes a call premium for each call date equal to the minimum call premium for that call date</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1-to-1 downside exposure to the decrease in the price of the Fund in excess of the buffer amount, and you will lose some, and possibly up to 75%, of the principal amount of your securities at maturity.</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positive return on the securities will be limited to the applicable call premium, even if the fund closing price of the Fund on the applicable call date significantly exceeds the starting price. You will not participate in any appreciation of the Fund beyond the applicable call premium.</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$941.10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40" w:after="40"/>
                        <w:ind w:left="120" w:right="4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http://www.sec.gov/Archives/edgar/data/19617/000121390026075616/ea0297197-01_424b2.htm</w:t>
                        </w:r>
                      </w:hyperlink>
                    </w:p>
                  </w:txbxContent>
                </v:textbox>
                <w10:wrap type="square" side="left"/>
              </v:rect>
            </w:pict>
          </mc:Fallback>
        </mc:AlternateContent>
      </w:r>
    </w:p>
    <w:p>
      <w:pPr>
        <w:pStyle w:val="TextBody"/>
        <w:bidi w:val="0"/>
        <w:spacing w:before="80" w:after="80"/>
        <w:ind w:left="12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120"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20"/>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Call Dates and Call Premiums</w:t>
      </w:r>
    </w:p>
    <w:tbl>
      <w:tblPr>
        <w:tblW w:w="6610" w:type="dxa"/>
        <w:jc w:val="left"/>
        <w:tblInd w:w="-10" w:type="dxa"/>
        <w:tblLayout w:type="fixed"/>
        <w:tblCellMar>
          <w:top w:w="28" w:type="dxa"/>
          <w:left w:w="108" w:type="dxa"/>
          <w:bottom w:w="28" w:type="dxa"/>
          <w:right w:w="108" w:type="dxa"/>
        </w:tblCellMar>
      </w:tblPr>
      <w:tblGrid>
        <w:gridCol w:w="3320"/>
        <w:gridCol w:w="3290"/>
      </w:tblGrid>
      <w:tr>
        <w:trPr/>
        <w:tc>
          <w:tcPr>
            <w:tcW w:w="332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rFonts w:ascii="Georgia;Times;Serif" w:hAnsi="Georgia;Times;Serif"/>
                <w:b/>
                <w:i w:val="false"/>
                <w:caps w:val="false"/>
                <w:smallCaps w:val="false"/>
                <w:color w:val="000000"/>
                <w:sz w:val="18"/>
              </w:rPr>
            </w:pPr>
            <w:r>
              <w:rPr>
                <w:rFonts w:ascii="Georgia;Times;Serif" w:hAnsi="Georgia;Times;Serif"/>
                <w:b/>
                <w:i w:val="false"/>
                <w:caps w:val="false"/>
                <w:smallCaps w:val="false"/>
                <w:color w:val="000000"/>
                <w:sz w:val="18"/>
              </w:rPr>
              <w:t>Call Date</w:t>
            </w:r>
          </w:p>
        </w:tc>
        <w:tc>
          <w:tcPr>
            <w:tcW w:w="329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rFonts w:ascii="Georgia;Times;Serif" w:hAnsi="Georgia;Times;Serif"/>
                <w:b/>
                <w:i w:val="false"/>
                <w:caps w:val="false"/>
                <w:smallCaps w:val="false"/>
                <w:color w:val="000000"/>
                <w:sz w:val="18"/>
              </w:rPr>
            </w:pPr>
            <w:r>
              <w:rPr>
                <w:rFonts w:ascii="Georgia;Times;Serif" w:hAnsi="Georgia;Times;Serif"/>
                <w:b/>
                <w:i w:val="false"/>
                <w:caps w:val="false"/>
                <w:smallCaps w:val="false"/>
                <w:color w:val="000000"/>
                <w:sz w:val="18"/>
              </w:rPr>
              <w:t>Call Premium</w:t>
            </w:r>
            <w:r>
              <w:rPr>
                <w:rFonts w:ascii="Georgia;Times;Serif" w:hAnsi="Georgia;Times;Serif"/>
                <w:b/>
                <w:i w:val="false"/>
                <w:caps w:val="false"/>
                <w:smallCaps w:val="false"/>
                <w:color w:val="000000"/>
                <w:position w:val="6"/>
                <w:sz w:val="14"/>
                <w:sz w:val="18"/>
              </w:rPr>
              <w: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August 5, 2027</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13.650%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February 7, 2028</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20.475%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August 7, 2028</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27.300%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February 5, 2029</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34.125%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August 6, 2029</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40.950%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February 5, 2030</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47.775% of the principal amount</w:t>
            </w:r>
          </w:p>
        </w:tc>
      </w:tr>
      <w:tr>
        <w:trPr/>
        <w:tc>
          <w:tcPr>
            <w:tcW w:w="3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color w:val="000000"/>
                <w:sz w:val="18"/>
                <w:shd w:fill="FFFFFF" w:val="clear"/>
              </w:rPr>
            </w:pPr>
            <w:r>
              <w:rPr>
                <w:rFonts w:ascii="Georgia;Times;Serif" w:hAnsi="Georgia;Times;Serif"/>
                <w:b w:val="false"/>
                <w:i w:val="false"/>
                <w:caps w:val="false"/>
                <w:smallCaps w:val="false"/>
                <w:color w:val="000000"/>
                <w:sz w:val="18"/>
                <w:shd w:fill="FFFFFF" w:val="clear"/>
              </w:rPr>
              <w:t>July 31, 2030 (the “final calculation day”)</w:t>
            </w:r>
          </w:p>
        </w:tc>
        <w:tc>
          <w:tcPr>
            <w:tcW w:w="3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54.600% of the principal amount</w:t>
            </w:r>
          </w:p>
        </w:tc>
      </w:tr>
    </w:tbl>
    <w:p>
      <w:pPr>
        <w:pStyle w:val="TextBody"/>
        <w:bidi w:val="0"/>
        <w:spacing w:before="20" w:after="120"/>
        <w:ind w:left="20" w:right="20" w:hanging="0"/>
        <w:jc w:val="left"/>
        <w:rPr>
          <w:caps w:val="false"/>
          <w:smallCaps w:val="false"/>
        </w:rPr>
      </w:pPr>
      <w:r>
        <w:rPr>
          <w:caps w:val="false"/>
          <w:smallCaps w:val="false"/>
          <w:position w:val="8"/>
          <w:sz w:val="19"/>
        </w:rPr>
        <w:t xml:space="preserve">† </w:t>
      </w:r>
      <w:r>
        <w:rPr>
          <w:rFonts w:ascii="Georgia;Times;Serif" w:hAnsi="Georgia;Times;Serif"/>
          <w:b w:val="false"/>
          <w:i w:val="false"/>
          <w:caps w:val="false"/>
          <w:smallCaps w:val="false"/>
          <w:sz w:val="18"/>
        </w:rPr>
        <w:t>To be provided in the pricing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pStyle w:val="TextBody"/>
        <w:bidi w:val="0"/>
        <w:spacing w:before="1400" w:after="120"/>
        <w:ind w:left="1400" w:right="14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180195"/>
                <wp:effectExtent l="0" t="0" r="0" b="0"/>
                <wp:wrapSquare wrapText="right"/>
                <wp:docPr id="6" name="Frame3"/>
                <a:graphic xmlns:a="http://schemas.openxmlformats.org/drawingml/2006/main">
                  <a:graphicData uri="http://schemas.microsoft.com/office/word/2010/wordprocessingShape">
                    <wps:wsp>
                      <wps:cNvSpPr txBox="1"/>
                      <wps:spPr>
                        <a:xfrm>
                          <a:off x="0" y="0"/>
                          <a:ext cx="3110230" cy="9180195"/>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If the Securities Are Not Automatically Called and the Ending Price Is Less Than the Threshold Price, You Will Lose Up to 75% of the Principal Amount of Your Securities at Maturity.</w:t>
                                  </w:r>
                                </w:p>
                              </w:tc>
                            </w:tr>
                          </w:tbl>
                          <w:tbl>
                            <w:tblPr>
                              <w:tblW w:w="5000" w:type="pct"/>
                              <w:jc w:val="left"/>
                              <w:tblInd w:w="0" w:type="dxa"/>
                              <w:tblLayout w:type="fixed"/>
                              <w:tblCellMar>
                                <w:top w:w="0" w:type="dxa"/>
                                <w:left w:w="0" w:type="dxa"/>
                                <w:bottom w:w="0" w:type="dxa"/>
                                <w:right w:w="0" w:type="dxa"/>
                              </w:tblCellMar>
                            </w:tblPr>
                            <w:tblGrid>
                              <w:gridCol w:w="25"/>
                              <w:gridCol w:w="83"/>
                              <w:gridCol w:w="4790"/>
                            </w:tblGrid>
                            <w:tr>
                              <w:trPr/>
                              <w:tc>
                                <w:tcPr>
                                  <w:tcW w:w="2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rFonts w:ascii="Symbol" w:hAnsi="Symbol"/>
                                    </w:rPr>
                                  </w:pPr>
                                  <w:r>
                                    <w:rPr>
                                      <w:rFonts w:ascii="Symbol" w:hAnsi="Symbol"/>
                                    </w:rPr>
                                    <w:t>·</w:t>
                                  </w:r>
                                </w:p>
                              </w:tc>
                              <w:tc>
                                <w:tcPr>
                                  <w:tcW w:w="4790" w:type="dxa"/>
                                  <w:tcBorders/>
                                  <w:vAlign w:val="center"/>
                                </w:tcPr>
                                <w:p>
                                  <w:pPr>
                                    <w:pStyle w:val="TableContents"/>
                                    <w:bidi w:val="0"/>
                                    <w:spacing w:before="0" w:after="283"/>
                                    <w:jc w:val="left"/>
                                    <w:rPr>
                                      <w:b/>
                                    </w:rPr>
                                  </w:pPr>
                                  <w:r>
                                    <w:rPr>
                                      <w:b/>
                                    </w:rPr>
                                    <w:t>The Potential Return on the Securities Is Limited to the Call Premium.</w:t>
                                  </w:r>
                                </w:p>
                              </w:tc>
                            </w:tr>
                          </w:tbl>
                          <w:tbl>
                            <w:tblPr>
                              <w:tblW w:w="5000" w:type="pct"/>
                              <w:jc w:val="left"/>
                              <w:tblInd w:w="0" w:type="dxa"/>
                              <w:tblLayout w:type="fixed"/>
                              <w:tblCellMar>
                                <w:top w:w="0" w:type="dxa"/>
                                <w:left w:w="0" w:type="dxa"/>
                                <w:bottom w:w="0" w:type="dxa"/>
                                <w:right w:w="0" w:type="dxa"/>
                              </w:tblCellMar>
                            </w:tblPr>
                            <w:tblGrid>
                              <w:gridCol w:w="40"/>
                              <w:gridCol w:w="133"/>
                              <w:gridCol w:w="4725"/>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4725" w:type="dxa"/>
                                  <w:tcBorders/>
                                  <w:vAlign w:val="center"/>
                                </w:tcPr>
                                <w:p>
                                  <w:pPr>
                                    <w:pStyle w:val="TableContents"/>
                                    <w:bidi w:val="0"/>
                                    <w:spacing w:before="0" w:after="283"/>
                                    <w:jc w:val="left"/>
                                    <w:rPr>
                                      <w:b/>
                                    </w:rPr>
                                  </w:pPr>
                                  <w:r>
                                    <w:rPr>
                                      <w:b/>
                                    </w:rPr>
                                    <w:t xml:space="preserve">You Will Be Subject to Reinvestment Risk. </w:t>
                                  </w:r>
                                </w:p>
                              </w:tc>
                            </w:tr>
                          </w:tbl>
                          <w:tbl>
                            <w:tblPr>
                              <w:tblW w:w="5000" w:type="pct"/>
                              <w:jc w:val="left"/>
                              <w:tblInd w:w="0" w:type="dxa"/>
                              <w:tblLayout w:type="fixed"/>
                              <w:tblCellMar>
                                <w:top w:w="0" w:type="dxa"/>
                                <w:left w:w="0" w:type="dxa"/>
                                <w:bottom w:w="0" w:type="dxa"/>
                                <w:right w:w="0" w:type="dxa"/>
                              </w:tblCellMar>
                            </w:tblPr>
                            <w:tblGrid>
                              <w:gridCol w:w="24"/>
                              <w:gridCol w:w="82"/>
                              <w:gridCol w:w="4792"/>
                            </w:tblGrid>
                            <w:tr>
                              <w:trPr/>
                              <w:tc>
                                <w:tcPr>
                                  <w:tcW w:w="2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rFonts w:ascii="Symbol" w:hAnsi="Symbol"/>
                                    </w:rPr>
                                  </w:pPr>
                                  <w:r>
                                    <w:rPr>
                                      <w:rFonts w:ascii="Symbol" w:hAnsi="Symbol"/>
                                    </w:rPr>
                                    <w:t>·</w:t>
                                  </w:r>
                                </w:p>
                              </w:tc>
                              <w:tc>
                                <w:tcPr>
                                  <w:tcW w:w="4792" w:type="dxa"/>
                                  <w:tcBorders/>
                                  <w:vAlign w:val="center"/>
                                </w:tcPr>
                                <w:p>
                                  <w:pPr>
                                    <w:pStyle w:val="TableContents"/>
                                    <w:bidi w:val="0"/>
                                    <w:spacing w:before="0" w:after="283"/>
                                    <w:jc w:val="left"/>
                                    <w:rPr>
                                      <w:b/>
                                    </w:rPr>
                                  </w:pPr>
                                  <w:r>
                                    <w:rPr>
                                      <w:b/>
                                    </w:rPr>
                                    <w:t>We May Accelerate Your Securities if a Delisting Related Event Occurs.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Securities Are Subject to the Credit Risks of JPMorgan Financial and JPMorgan Chase &amp; Co.</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12"/>
                              <w:gridCol w:w="370"/>
                              <w:gridCol w:w="4416"/>
                            </w:tblGrid>
                            <w:tr>
                              <w:trPr/>
                              <w:tc>
                                <w:tcPr>
                                  <w:tcW w:w="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Symbol" w:hAnsi="Symbol"/>
                                    </w:rPr>
                                  </w:pPr>
                                  <w:r>
                                    <w:rPr>
                                      <w:rFonts w:ascii="Symbol" w:hAnsi="Symbol"/>
                                    </w:rPr>
                                    <w:t>·</w:t>
                                  </w:r>
                                </w:p>
                              </w:tc>
                              <w:tc>
                                <w:tcPr>
                                  <w:tcW w:w="4416" w:type="dxa"/>
                                  <w:tcBorders/>
                                  <w:vAlign w:val="center"/>
                                </w:tcPr>
                                <w:p>
                                  <w:pPr>
                                    <w:pStyle w:val="TableContents"/>
                                    <w:bidi w:val="0"/>
                                    <w:spacing w:before="0" w:after="283"/>
                                    <w:jc w:val="left"/>
                                    <w:rPr>
                                      <w:b/>
                                    </w:rPr>
                                  </w:pPr>
                                  <w:r>
                                    <w:rPr>
                                      <w:b/>
                                    </w:rPr>
                                    <w:t>Volatility Risk</w:t>
                                  </w:r>
                                </w:p>
                              </w:tc>
                            </w:tr>
                          </w:tbl>
                          <w:tbl>
                            <w:tblPr>
                              <w:tblW w:w="5000" w:type="pct"/>
                              <w:jc w:val="left"/>
                              <w:tblInd w:w="0" w:type="dxa"/>
                              <w:tblLayout w:type="fixed"/>
                              <w:tblCellMar>
                                <w:top w:w="0" w:type="dxa"/>
                                <w:left w:w="0" w:type="dxa"/>
                                <w:bottom w:w="0" w:type="dxa"/>
                                <w:right w:w="0" w:type="dxa"/>
                              </w:tblCellMar>
                            </w:tblPr>
                            <w:tblGrid>
                              <w:gridCol w:w="21"/>
                              <w:gridCol w:w="71"/>
                              <w:gridCol w:w="4806"/>
                            </w:tblGrid>
                            <w:tr>
                              <w:trPr/>
                              <w:tc>
                                <w:tcPr>
                                  <w:tcW w:w="2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rFonts w:ascii="Symbol" w:hAnsi="Symbol"/>
                                    </w:rPr>
                                  </w:pPr>
                                  <w:r>
                                    <w:rPr>
                                      <w:rFonts w:ascii="Symbol" w:hAnsi="Symbol"/>
                                    </w:rPr>
                                    <w:t>·</w:t>
                                  </w:r>
                                </w:p>
                              </w:tc>
                              <w:tc>
                                <w:tcPr>
                                  <w:tcW w:w="4806" w:type="dxa"/>
                                  <w:tcBorders/>
                                  <w:vAlign w:val="center"/>
                                </w:tcPr>
                                <w:p>
                                  <w:pPr>
                                    <w:pStyle w:val="TableContents"/>
                                    <w:bidi w:val="0"/>
                                    <w:spacing w:before="0" w:after="283"/>
                                    <w:jc w:val="left"/>
                                    <w:rPr>
                                      <w:b/>
                                    </w:rPr>
                                  </w:pPr>
                                  <w:r>
                                    <w:rPr>
                                      <w:b/>
                                    </w:rPr>
                                    <w:t xml:space="preserve">No Interest Payments or Rights With Respect to the Fund or Its Underlying Asset. </w:t>
                                  </w:r>
                                </w:p>
                              </w:tc>
                            </w:tr>
                          </w:tbl>
                          <w:tbl>
                            <w:tblPr>
                              <w:tblW w:w="5000" w:type="pct"/>
                              <w:jc w:val="left"/>
                              <w:tblInd w:w="0" w:type="dxa"/>
                              <w:tblLayout w:type="fixed"/>
                              <w:tblCellMar>
                                <w:top w:w="0" w:type="dxa"/>
                                <w:left w:w="0" w:type="dxa"/>
                                <w:bottom w:w="0" w:type="dxa"/>
                                <w:right w:w="0" w:type="dxa"/>
                              </w:tblCellMar>
                            </w:tblPr>
                            <w:tblGrid>
                              <w:gridCol w:w="93"/>
                              <w:gridCol w:w="309"/>
                              <w:gridCol w:w="4496"/>
                            </w:tblGrid>
                            <w:tr>
                              <w:trPr/>
                              <w:tc>
                                <w:tcPr>
                                  <w:tcW w:w="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Symbol" w:hAnsi="Symbol"/>
                                    </w:rPr>
                                  </w:pPr>
                                  <w:r>
                                    <w:rPr>
                                      <w:rFonts w:ascii="Symbol" w:hAnsi="Symbol"/>
                                    </w:rPr>
                                    <w:t>·</w:t>
                                  </w:r>
                                </w:p>
                              </w:tc>
                              <w:tc>
                                <w:tcPr>
                                  <w:tcW w:w="4496" w:type="dxa"/>
                                  <w:tcBorders/>
                                  <w:vAlign w:val="center"/>
                                </w:tcPr>
                                <w:p>
                                  <w:pPr>
                                    <w:pStyle w:val="TableContents"/>
                                    <w:bidi w:val="0"/>
                                    <w:spacing w:before="0" w:after="283"/>
                                    <w:jc w:val="left"/>
                                    <w:rPr>
                                      <w:b/>
                                    </w:rPr>
                                  </w:pPr>
                                  <w:r>
                                    <w:rPr>
                                      <w:b/>
                                    </w:rPr>
                                    <w:t>Lack of Liquidity</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U.S. Federal Tax Consequences of the Securities Are Uncertain, and May Be Adverse to a Holder of the Securities.</w:t>
                                  </w:r>
                                </w:p>
                              </w:tc>
                            </w:tr>
                          </w:tbl>
                          <w:tbl>
                            <w:tblPr>
                              <w:tblW w:w="5000" w:type="pct"/>
                              <w:jc w:val="left"/>
                              <w:tblInd w:w="0" w:type="dxa"/>
                              <w:tblLayout w:type="fixed"/>
                              <w:tblCellMar>
                                <w:top w:w="0" w:type="dxa"/>
                                <w:left w:w="0" w:type="dxa"/>
                                <w:bottom w:w="0" w:type="dxa"/>
                                <w:right w:w="0" w:type="dxa"/>
                              </w:tblCellMar>
                            </w:tblPr>
                            <w:tblGrid>
                              <w:gridCol w:w="90"/>
                              <w:gridCol w:w="297"/>
                              <w:gridCol w:w="4511"/>
                            </w:tblGrid>
                            <w:tr>
                              <w:trPr/>
                              <w:tc>
                                <w:tcPr>
                                  <w:tcW w:w="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Symbol" w:hAnsi="Symbol"/>
                                    </w:rPr>
                                  </w:pPr>
                                  <w:r>
                                    <w:rPr>
                                      <w:rFonts w:ascii="Symbol" w:hAnsi="Symbol"/>
                                    </w:rPr>
                                    <w:t>·</w:t>
                                  </w:r>
                                </w:p>
                              </w:tc>
                              <w:tc>
                                <w:tcPr>
                                  <w:tcW w:w="4511" w:type="dxa"/>
                                  <w:tcBorders/>
                                  <w:vAlign w:val="center"/>
                                </w:tcPr>
                                <w:p>
                                  <w:pPr>
                                    <w:pStyle w:val="TableContents"/>
                                    <w:bidi w:val="0"/>
                                    <w:spacing w:before="0" w:after="283"/>
                                    <w:jc w:val="left"/>
                                    <w:rPr>
                                      <w:b/>
                                    </w:rPr>
                                  </w:pPr>
                                  <w:r>
                                    <w:rPr>
                                      <w:b/>
                                    </w:rPr>
                                    <w:t>Potential Conflicts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Estimated Value of the Securities Will Be Lower Than the Original Issue Price (Price to Public) of the Securities.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19"/>
                              <w:gridCol w:w="65"/>
                              <w:gridCol w:w="4814"/>
                            </w:tblGrid>
                            <w:tr>
                              <w:trPr/>
                              <w:tc>
                                <w:tcPr>
                                  <w:tcW w:w="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rFonts w:ascii="Symbol" w:hAnsi="Symbol"/>
                                    </w:rPr>
                                  </w:pPr>
                                  <w:r>
                                    <w:rPr>
                                      <w:rFonts w:ascii="Symbol" w:hAnsi="Symbol"/>
                                    </w:rPr>
                                    <w:t>·</w:t>
                                  </w:r>
                                </w:p>
                              </w:tc>
                              <w:tc>
                                <w:tcPr>
                                  <w:tcW w:w="4814" w:type="dxa"/>
                                  <w:tcBorders/>
                                  <w:vAlign w:val="center"/>
                                </w:tcPr>
                                <w:p>
                                  <w:pPr>
                                    <w:pStyle w:val="TableContents"/>
                                    <w:bidi w:val="0"/>
                                    <w:spacing w:before="0" w:after="283"/>
                                    <w:jc w:val="left"/>
                                    <w:rPr>
                                      <w:b/>
                                    </w:rPr>
                                  </w:pPr>
                                  <w:r>
                                    <w:rPr>
                                      <w:b/>
                                    </w:rPr>
                                    <w:t>The Estimated Value of the Securities Is Derived by Reference to an Internal Funding Rate.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2.85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If the Securities Are Not Automatically Called and the Ending Price Is Less Than the Threshold Price, You Will Lose Up to 75% of the Principal Amount of Your Securities at Maturity.</w:t>
                            </w:r>
                          </w:p>
                        </w:tc>
                      </w:tr>
                    </w:tbl>
                    <w:tbl>
                      <w:tblPr>
                        <w:tblW w:w="5000" w:type="pct"/>
                        <w:jc w:val="left"/>
                        <w:tblInd w:w="0" w:type="dxa"/>
                        <w:tblLayout w:type="fixed"/>
                        <w:tblCellMar>
                          <w:top w:w="0" w:type="dxa"/>
                          <w:left w:w="0" w:type="dxa"/>
                          <w:bottom w:w="0" w:type="dxa"/>
                          <w:right w:w="0" w:type="dxa"/>
                        </w:tblCellMar>
                      </w:tblPr>
                      <w:tblGrid>
                        <w:gridCol w:w="25"/>
                        <w:gridCol w:w="83"/>
                        <w:gridCol w:w="4790"/>
                      </w:tblGrid>
                      <w:tr>
                        <w:trPr/>
                        <w:tc>
                          <w:tcPr>
                            <w:tcW w:w="2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rFonts w:ascii="Symbol" w:hAnsi="Symbol"/>
                              </w:rPr>
                            </w:pPr>
                            <w:r>
                              <w:rPr>
                                <w:rFonts w:ascii="Symbol" w:hAnsi="Symbol"/>
                              </w:rPr>
                              <w:t>·</w:t>
                            </w:r>
                          </w:p>
                        </w:tc>
                        <w:tc>
                          <w:tcPr>
                            <w:tcW w:w="4790" w:type="dxa"/>
                            <w:tcBorders/>
                            <w:vAlign w:val="center"/>
                          </w:tcPr>
                          <w:p>
                            <w:pPr>
                              <w:pStyle w:val="TableContents"/>
                              <w:bidi w:val="0"/>
                              <w:spacing w:before="0" w:after="283"/>
                              <w:jc w:val="left"/>
                              <w:rPr>
                                <w:b/>
                              </w:rPr>
                            </w:pPr>
                            <w:r>
                              <w:rPr>
                                <w:b/>
                              </w:rPr>
                              <w:t>The Potential Return on the Securities Is Limited to the Call Premium.</w:t>
                            </w:r>
                          </w:p>
                        </w:tc>
                      </w:tr>
                    </w:tbl>
                    <w:tbl>
                      <w:tblPr>
                        <w:tblW w:w="5000" w:type="pct"/>
                        <w:jc w:val="left"/>
                        <w:tblInd w:w="0" w:type="dxa"/>
                        <w:tblLayout w:type="fixed"/>
                        <w:tblCellMar>
                          <w:top w:w="0" w:type="dxa"/>
                          <w:left w:w="0" w:type="dxa"/>
                          <w:bottom w:w="0" w:type="dxa"/>
                          <w:right w:w="0" w:type="dxa"/>
                        </w:tblCellMar>
                      </w:tblPr>
                      <w:tblGrid>
                        <w:gridCol w:w="40"/>
                        <w:gridCol w:w="133"/>
                        <w:gridCol w:w="4725"/>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4725" w:type="dxa"/>
                            <w:tcBorders/>
                            <w:vAlign w:val="center"/>
                          </w:tcPr>
                          <w:p>
                            <w:pPr>
                              <w:pStyle w:val="TableContents"/>
                              <w:bidi w:val="0"/>
                              <w:spacing w:before="0" w:after="283"/>
                              <w:jc w:val="left"/>
                              <w:rPr>
                                <w:b/>
                              </w:rPr>
                            </w:pPr>
                            <w:r>
                              <w:rPr>
                                <w:b/>
                              </w:rPr>
                              <w:t xml:space="preserve">You Will Be Subject to Reinvestment Risk. </w:t>
                            </w:r>
                          </w:p>
                        </w:tc>
                      </w:tr>
                    </w:tbl>
                    <w:tbl>
                      <w:tblPr>
                        <w:tblW w:w="5000" w:type="pct"/>
                        <w:jc w:val="left"/>
                        <w:tblInd w:w="0" w:type="dxa"/>
                        <w:tblLayout w:type="fixed"/>
                        <w:tblCellMar>
                          <w:top w:w="0" w:type="dxa"/>
                          <w:left w:w="0" w:type="dxa"/>
                          <w:bottom w:w="0" w:type="dxa"/>
                          <w:right w:w="0" w:type="dxa"/>
                        </w:tblCellMar>
                      </w:tblPr>
                      <w:tblGrid>
                        <w:gridCol w:w="24"/>
                        <w:gridCol w:w="82"/>
                        <w:gridCol w:w="4792"/>
                      </w:tblGrid>
                      <w:tr>
                        <w:trPr/>
                        <w:tc>
                          <w:tcPr>
                            <w:tcW w:w="2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rFonts w:ascii="Symbol" w:hAnsi="Symbol"/>
                              </w:rPr>
                            </w:pPr>
                            <w:r>
                              <w:rPr>
                                <w:rFonts w:ascii="Symbol" w:hAnsi="Symbol"/>
                              </w:rPr>
                              <w:t>·</w:t>
                            </w:r>
                          </w:p>
                        </w:tc>
                        <w:tc>
                          <w:tcPr>
                            <w:tcW w:w="4792" w:type="dxa"/>
                            <w:tcBorders/>
                            <w:vAlign w:val="center"/>
                          </w:tcPr>
                          <w:p>
                            <w:pPr>
                              <w:pStyle w:val="TableContents"/>
                              <w:bidi w:val="0"/>
                              <w:spacing w:before="0" w:after="283"/>
                              <w:jc w:val="left"/>
                              <w:rPr>
                                <w:b/>
                              </w:rPr>
                            </w:pPr>
                            <w:r>
                              <w:rPr>
                                <w:b/>
                              </w:rPr>
                              <w:t>We May Accelerate Your Securities if a Delisting Related Event Occurs.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Securities Are Subject to the Credit Risks of JPMorgan Financial and JPMorgan Chase &amp; Co.</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12"/>
                        <w:gridCol w:w="370"/>
                        <w:gridCol w:w="4416"/>
                      </w:tblGrid>
                      <w:tr>
                        <w:trPr/>
                        <w:tc>
                          <w:tcPr>
                            <w:tcW w:w="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Symbol" w:hAnsi="Symbol"/>
                              </w:rPr>
                            </w:pPr>
                            <w:r>
                              <w:rPr>
                                <w:rFonts w:ascii="Symbol" w:hAnsi="Symbol"/>
                              </w:rPr>
                              <w:t>·</w:t>
                            </w:r>
                          </w:p>
                        </w:tc>
                        <w:tc>
                          <w:tcPr>
                            <w:tcW w:w="4416" w:type="dxa"/>
                            <w:tcBorders/>
                            <w:vAlign w:val="center"/>
                          </w:tcPr>
                          <w:p>
                            <w:pPr>
                              <w:pStyle w:val="TableContents"/>
                              <w:bidi w:val="0"/>
                              <w:spacing w:before="0" w:after="283"/>
                              <w:jc w:val="left"/>
                              <w:rPr>
                                <w:b/>
                              </w:rPr>
                            </w:pPr>
                            <w:r>
                              <w:rPr>
                                <w:b/>
                              </w:rPr>
                              <w:t>Volatility Risk</w:t>
                            </w:r>
                          </w:p>
                        </w:tc>
                      </w:tr>
                    </w:tbl>
                    <w:tbl>
                      <w:tblPr>
                        <w:tblW w:w="5000" w:type="pct"/>
                        <w:jc w:val="left"/>
                        <w:tblInd w:w="0" w:type="dxa"/>
                        <w:tblLayout w:type="fixed"/>
                        <w:tblCellMar>
                          <w:top w:w="0" w:type="dxa"/>
                          <w:left w:w="0" w:type="dxa"/>
                          <w:bottom w:w="0" w:type="dxa"/>
                          <w:right w:w="0" w:type="dxa"/>
                        </w:tblCellMar>
                      </w:tblPr>
                      <w:tblGrid>
                        <w:gridCol w:w="21"/>
                        <w:gridCol w:w="71"/>
                        <w:gridCol w:w="4806"/>
                      </w:tblGrid>
                      <w:tr>
                        <w:trPr/>
                        <w:tc>
                          <w:tcPr>
                            <w:tcW w:w="2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rFonts w:ascii="Symbol" w:hAnsi="Symbol"/>
                              </w:rPr>
                            </w:pPr>
                            <w:r>
                              <w:rPr>
                                <w:rFonts w:ascii="Symbol" w:hAnsi="Symbol"/>
                              </w:rPr>
                              <w:t>·</w:t>
                            </w:r>
                          </w:p>
                        </w:tc>
                        <w:tc>
                          <w:tcPr>
                            <w:tcW w:w="4806" w:type="dxa"/>
                            <w:tcBorders/>
                            <w:vAlign w:val="center"/>
                          </w:tcPr>
                          <w:p>
                            <w:pPr>
                              <w:pStyle w:val="TableContents"/>
                              <w:bidi w:val="0"/>
                              <w:spacing w:before="0" w:after="283"/>
                              <w:jc w:val="left"/>
                              <w:rPr>
                                <w:b/>
                              </w:rPr>
                            </w:pPr>
                            <w:r>
                              <w:rPr>
                                <w:b/>
                              </w:rPr>
                              <w:t xml:space="preserve">No Interest Payments or Rights With Respect to the Fund or Its Underlying Asset. </w:t>
                            </w:r>
                          </w:p>
                        </w:tc>
                      </w:tr>
                    </w:tbl>
                    <w:tbl>
                      <w:tblPr>
                        <w:tblW w:w="5000" w:type="pct"/>
                        <w:jc w:val="left"/>
                        <w:tblInd w:w="0" w:type="dxa"/>
                        <w:tblLayout w:type="fixed"/>
                        <w:tblCellMar>
                          <w:top w:w="0" w:type="dxa"/>
                          <w:left w:w="0" w:type="dxa"/>
                          <w:bottom w:w="0" w:type="dxa"/>
                          <w:right w:w="0" w:type="dxa"/>
                        </w:tblCellMar>
                      </w:tblPr>
                      <w:tblGrid>
                        <w:gridCol w:w="93"/>
                        <w:gridCol w:w="309"/>
                        <w:gridCol w:w="4496"/>
                      </w:tblGrid>
                      <w:tr>
                        <w:trPr/>
                        <w:tc>
                          <w:tcPr>
                            <w:tcW w:w="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Symbol" w:hAnsi="Symbol"/>
                              </w:rPr>
                            </w:pPr>
                            <w:r>
                              <w:rPr>
                                <w:rFonts w:ascii="Symbol" w:hAnsi="Symbol"/>
                              </w:rPr>
                              <w:t>·</w:t>
                            </w:r>
                          </w:p>
                        </w:tc>
                        <w:tc>
                          <w:tcPr>
                            <w:tcW w:w="4496" w:type="dxa"/>
                            <w:tcBorders/>
                            <w:vAlign w:val="center"/>
                          </w:tcPr>
                          <w:p>
                            <w:pPr>
                              <w:pStyle w:val="TableContents"/>
                              <w:bidi w:val="0"/>
                              <w:spacing w:before="0" w:after="283"/>
                              <w:jc w:val="left"/>
                              <w:rPr>
                                <w:b/>
                              </w:rPr>
                            </w:pPr>
                            <w:r>
                              <w:rPr>
                                <w:b/>
                              </w:rPr>
                              <w:t>Lack of Liquidity</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U.S. Federal Tax Consequences of the Securities Are Uncertain, and May Be Adverse to a Holder of the Securities.</w:t>
                            </w:r>
                          </w:p>
                        </w:tc>
                      </w:tr>
                    </w:tbl>
                    <w:tbl>
                      <w:tblPr>
                        <w:tblW w:w="5000" w:type="pct"/>
                        <w:jc w:val="left"/>
                        <w:tblInd w:w="0" w:type="dxa"/>
                        <w:tblLayout w:type="fixed"/>
                        <w:tblCellMar>
                          <w:top w:w="0" w:type="dxa"/>
                          <w:left w:w="0" w:type="dxa"/>
                          <w:bottom w:w="0" w:type="dxa"/>
                          <w:right w:w="0" w:type="dxa"/>
                        </w:tblCellMar>
                      </w:tblPr>
                      <w:tblGrid>
                        <w:gridCol w:w="90"/>
                        <w:gridCol w:w="297"/>
                        <w:gridCol w:w="4511"/>
                      </w:tblGrid>
                      <w:tr>
                        <w:trPr/>
                        <w:tc>
                          <w:tcPr>
                            <w:tcW w:w="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Symbol" w:hAnsi="Symbol"/>
                              </w:rPr>
                            </w:pPr>
                            <w:r>
                              <w:rPr>
                                <w:rFonts w:ascii="Symbol" w:hAnsi="Symbol"/>
                              </w:rPr>
                              <w:t>·</w:t>
                            </w:r>
                          </w:p>
                        </w:tc>
                        <w:tc>
                          <w:tcPr>
                            <w:tcW w:w="4511" w:type="dxa"/>
                            <w:tcBorders/>
                            <w:vAlign w:val="center"/>
                          </w:tcPr>
                          <w:p>
                            <w:pPr>
                              <w:pStyle w:val="TableContents"/>
                              <w:bidi w:val="0"/>
                              <w:spacing w:before="0" w:after="283"/>
                              <w:jc w:val="left"/>
                              <w:rPr>
                                <w:b/>
                              </w:rPr>
                            </w:pPr>
                            <w:r>
                              <w:rPr>
                                <w:b/>
                              </w:rPr>
                              <w:t>Potential Conflicts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Estimated Value of the Securities Will Be Lower Than the Original Issue Price (Price to Public) of the Securities.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19"/>
                        <w:gridCol w:w="65"/>
                        <w:gridCol w:w="4814"/>
                      </w:tblGrid>
                      <w:tr>
                        <w:trPr/>
                        <w:tc>
                          <w:tcPr>
                            <w:tcW w:w="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rFonts w:ascii="Symbol" w:hAnsi="Symbol"/>
                              </w:rPr>
                            </w:pPr>
                            <w:r>
                              <w:rPr>
                                <w:rFonts w:ascii="Symbol" w:hAnsi="Symbol"/>
                              </w:rPr>
                              <w:t>·</w:t>
                            </w:r>
                          </w:p>
                        </w:tc>
                        <w:tc>
                          <w:tcPr>
                            <w:tcW w:w="4814" w:type="dxa"/>
                            <w:tcBorders/>
                            <w:vAlign w:val="center"/>
                          </w:tcPr>
                          <w:p>
                            <w:pPr>
                              <w:pStyle w:val="TableContents"/>
                              <w:bidi w:val="0"/>
                              <w:spacing w:before="0" w:after="283"/>
                              <w:jc w:val="left"/>
                              <w:rPr>
                                <w:b/>
                              </w:rPr>
                            </w:pPr>
                            <w:r>
                              <w:rPr>
                                <w:b/>
                              </w:rPr>
                              <w:t>The Estimated Value of the Securities Is Derived by Reference to an Internal Funding Rate.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3110230" cy="7755890"/>
                <wp:effectExtent l="0" t="0" r="0" b="0"/>
                <wp:wrapSquare wrapText="left"/>
                <wp:docPr id="7" name="Frame4"/>
                <a:graphic xmlns:a="http://schemas.openxmlformats.org/drawingml/2006/main">
                  <a:graphicData uri="http://schemas.microsoft.com/office/word/2010/wordprocessingShape">
                    <wps:wsp>
                      <wps:cNvSpPr txBox="1"/>
                      <wps:spPr>
                        <a:xfrm>
                          <a:off x="0" y="0"/>
                          <a:ext cx="3110230" cy="775589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Value of the Securities as Published by JPMS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Secondary Market Prices of the Securities Will Likely Be Lower Than the Original Issue Price of the Securities.</w:t>
                                  </w:r>
                                </w:p>
                              </w:tc>
                            </w:tr>
                          </w:tbl>
                          <w:tbl>
                            <w:tblPr>
                              <w:tblW w:w="5000" w:type="pct"/>
                              <w:jc w:val="left"/>
                              <w:tblInd w:w="0" w:type="dxa"/>
                              <w:tblLayout w:type="fixed"/>
                              <w:tblCellMar>
                                <w:top w:w="0" w:type="dxa"/>
                                <w:left w:w="0" w:type="dxa"/>
                                <w:bottom w:w="0" w:type="dxa"/>
                                <w:right w:w="0" w:type="dxa"/>
                              </w:tblCellMar>
                            </w:tblPr>
                            <w:tblGrid>
                              <w:gridCol w:w="23"/>
                              <w:gridCol w:w="76"/>
                              <w:gridCol w:w="4799"/>
                            </w:tblGrid>
                            <w:tr>
                              <w:trPr/>
                              <w:tc>
                                <w:tcPr>
                                  <w:tcW w:w="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rFonts w:ascii="Symbol" w:hAnsi="Symbol"/>
                                    </w:rPr>
                                  </w:pPr>
                                  <w:r>
                                    <w:rPr>
                                      <w:rFonts w:ascii="Symbol" w:hAnsi="Symbol"/>
                                    </w:rPr>
                                    <w:t>·</w:t>
                                  </w:r>
                                </w:p>
                              </w:tc>
                              <w:tc>
                                <w:tcPr>
                                  <w:tcW w:w="4799" w:type="dxa"/>
                                  <w:tcBorders/>
                                  <w:vAlign w:val="center"/>
                                </w:tcPr>
                                <w:p>
                                  <w:pPr>
                                    <w:pStyle w:val="TableContents"/>
                                    <w:bidi w:val="0"/>
                                    <w:spacing w:before="0" w:after="283"/>
                                    <w:jc w:val="left"/>
                                    <w:rPr>
                                      <w:b/>
                                    </w:rPr>
                                  </w:pPr>
                                  <w:r>
                                    <w:rPr>
                                      <w:b/>
                                    </w:rPr>
                                    <w:t>Many Economic and Market Factors Will Impact the Value of the Securities.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Fund Is Not an Investment Company or a Commodity Pool and Will Not Be Subject to Regulation Under the Investment Company Act of 1940, As Amended, or the Commodity Exchange Act, As Amended.</w:t>
                                  </w:r>
                                </w:p>
                              </w:tc>
                            </w:tr>
                          </w:tbl>
                          <w:tbl>
                            <w:tblPr>
                              <w:tblW w:w="5000" w:type="pct"/>
                              <w:jc w:val="left"/>
                              <w:tblInd w:w="0" w:type="dxa"/>
                              <w:tblLayout w:type="fixed"/>
                              <w:tblCellMar>
                                <w:top w:w="0" w:type="dxa"/>
                                <w:left w:w="0" w:type="dxa"/>
                                <w:bottom w:w="0" w:type="dxa"/>
                                <w:right w:w="0" w:type="dxa"/>
                              </w:tblCellMar>
                            </w:tblPr>
                            <w:tblGrid>
                              <w:gridCol w:w="40"/>
                              <w:gridCol w:w="134"/>
                              <w:gridCol w:w="4724"/>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4724" w:type="dxa"/>
                                  <w:tcBorders/>
                                  <w:vAlign w:val="center"/>
                                </w:tcPr>
                                <w:p>
                                  <w:pPr>
                                    <w:pStyle w:val="TableContents"/>
                                    <w:bidi w:val="0"/>
                                    <w:spacing w:before="0" w:after="283"/>
                                    <w:jc w:val="left"/>
                                    <w:rPr>
                                      <w:b/>
                                    </w:rPr>
                                  </w:pPr>
                                  <w:r>
                                    <w:rPr>
                                      <w:b/>
                                    </w:rPr>
                                    <w:t>There Are Risks Associated with the Fund.</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Performance and Market Value of the Fund, Particularly During Periods of Market Volatility, May Not Correlate with the Performance of the Funds Underlying Asset As Well As the Net Asset Value Per Share.</w:t>
                                  </w:r>
                                </w:p>
                              </w:tc>
                            </w:tr>
                          </w:tbl>
                          <w:tbl>
                            <w:tblPr>
                              <w:tblW w:w="5000" w:type="pct"/>
                              <w:jc w:val="left"/>
                              <w:tblInd w:w="0" w:type="dxa"/>
                              <w:tblLayout w:type="fixed"/>
                              <w:tblCellMar>
                                <w:top w:w="0" w:type="dxa"/>
                                <w:left w:w="0" w:type="dxa"/>
                                <w:bottom w:w="0" w:type="dxa"/>
                                <w:right w:w="0" w:type="dxa"/>
                              </w:tblCellMar>
                            </w:tblPr>
                            <w:tblGrid>
                              <w:gridCol w:w="68"/>
                              <w:gridCol w:w="227"/>
                              <w:gridCol w:w="4603"/>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4603" w:type="dxa"/>
                                  <w:tcBorders/>
                                  <w:vAlign w:val="center"/>
                                </w:tcPr>
                                <w:p>
                                  <w:pPr>
                                    <w:pStyle w:val="TableContents"/>
                                    <w:bidi w:val="0"/>
                                    <w:spacing w:before="0" w:after="283"/>
                                    <w:jc w:val="left"/>
                                    <w:rPr>
                                      <w:b/>
                                    </w:rPr>
                                  </w:pPr>
                                  <w:r>
                                    <w:rPr>
                                      <w:b/>
                                    </w:rPr>
                                    <w:t>Limited Trading History</w:t>
                                  </w:r>
                                </w:p>
                              </w:tc>
                            </w:tr>
                          </w:tbl>
                          <w:tbl>
                            <w:tblPr>
                              <w:tblW w:w="5000" w:type="pct"/>
                              <w:jc w:val="left"/>
                              <w:tblInd w:w="0" w:type="dxa"/>
                              <w:tblLayout w:type="fixed"/>
                              <w:tblCellMar>
                                <w:top w:w="0" w:type="dxa"/>
                                <w:left w:w="0" w:type="dxa"/>
                                <w:bottom w:w="0" w:type="dxa"/>
                                <w:right w:w="0" w:type="dxa"/>
                              </w:tblCellMar>
                            </w:tblPr>
                            <w:tblGrid>
                              <w:gridCol w:w="22"/>
                              <w:gridCol w:w="73"/>
                              <w:gridCol w:w="4803"/>
                            </w:tblGrid>
                            <w:tr>
                              <w:trPr/>
                              <w:tc>
                                <w:tcPr>
                                  <w:tcW w:w="2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rFonts w:ascii="Symbol" w:hAnsi="Symbol"/>
                                    </w:rPr>
                                  </w:pPr>
                                  <w:r>
                                    <w:rPr>
                                      <w:rFonts w:ascii="Symbol" w:hAnsi="Symbol"/>
                                    </w:rPr>
                                    <w:t>·</w:t>
                                  </w:r>
                                </w:p>
                              </w:tc>
                              <w:tc>
                                <w:tcPr>
                                  <w:tcW w:w="4803" w:type="dxa"/>
                                  <w:tcBorders/>
                                  <w:vAlign w:val="center"/>
                                </w:tcPr>
                                <w:p>
                                  <w:pPr>
                                    <w:pStyle w:val="TableContents"/>
                                    <w:bidi w:val="0"/>
                                    <w:spacing w:before="0" w:after="283"/>
                                    <w:jc w:val="left"/>
                                    <w:rPr>
                                      <w:b/>
                                    </w:rPr>
                                  </w:pPr>
                                  <w:r>
                                    <w:rPr>
                                      <w:b/>
                                    </w:rPr>
                                    <w:t>The Securities Are Subject to Risks Relating to Bitcoin and the Bitcoin Network.</w:t>
                                  </w:r>
                                </w:p>
                              </w:tc>
                            </w:tr>
                          </w:tbl>
                          <w:tbl>
                            <w:tblPr>
                              <w:tblW w:w="5000" w:type="pct"/>
                              <w:jc w:val="left"/>
                              <w:tblInd w:w="0" w:type="dxa"/>
                              <w:tblLayout w:type="fixed"/>
                              <w:tblCellMar>
                                <w:top w:w="0" w:type="dxa"/>
                                <w:left w:w="0" w:type="dxa"/>
                                <w:bottom w:w="0" w:type="dxa"/>
                                <w:right w:w="0" w:type="dxa"/>
                              </w:tblCellMar>
                            </w:tblPr>
                            <w:tblGrid>
                              <w:gridCol w:w="26"/>
                              <w:gridCol w:w="87"/>
                              <w:gridCol w:w="4785"/>
                            </w:tblGrid>
                            <w:tr>
                              <w:trPr/>
                              <w:tc>
                                <w:tcPr>
                                  <w:tcW w:w="2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rFonts w:ascii="Symbol" w:hAnsi="Symbol"/>
                                    </w:rPr>
                                  </w:pPr>
                                  <w:r>
                                    <w:rPr>
                                      <w:rFonts w:ascii="Symbol" w:hAnsi="Symbol"/>
                                    </w:rPr>
                                    <w:t>·</w:t>
                                  </w:r>
                                </w:p>
                              </w:tc>
                              <w:tc>
                                <w:tcPr>
                                  <w:tcW w:w="4785" w:type="dxa"/>
                                  <w:tcBorders/>
                                  <w:vAlign w:val="center"/>
                                </w:tcPr>
                                <w:p>
                                  <w:pPr>
                                    <w:pStyle w:val="TableContents"/>
                                    <w:bidi w:val="0"/>
                                    <w:spacing w:before="0" w:after="283"/>
                                    <w:jc w:val="left"/>
                                    <w:rPr>
                                      <w:b/>
                                    </w:rPr>
                                  </w:pPr>
                                  <w:r>
                                    <w:rPr>
                                      <w:b/>
                                    </w:rPr>
                                    <w:t>The Anti-Dilution Protection Is Limited and May Be Discretionary.</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 xml:space="preserve">Any Payment on the Securities Will Depend upon the Performance of the Fund and Therefore the Securities Are Subject to the Risks Associated with the Fund, Each as Discussed in the Accompanying Preliminary Pricing Supplement and Product Supplement.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0.7pt;mso-wrap-distance-left:0pt;mso-wrap-distance-right:0pt;mso-wrap-distance-top:0pt;mso-wrap-distance-bottom:0pt;margin-top:0pt;mso-position-vertical:top;mso-position-vertical-relative:text;margin-left:265.35pt;mso-position-horizontal:right;mso-position-horizontal-relative:text">
                <v:textbox>
                  <w:txbxContent>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Value of the Securities as Published by JPMS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Secondary Market Prices of the Securities Will Likely Be Lower Than the Original Issue Price of the Securities.</w:t>
                            </w:r>
                          </w:p>
                        </w:tc>
                      </w:tr>
                    </w:tbl>
                    <w:tbl>
                      <w:tblPr>
                        <w:tblW w:w="5000" w:type="pct"/>
                        <w:jc w:val="left"/>
                        <w:tblInd w:w="0" w:type="dxa"/>
                        <w:tblLayout w:type="fixed"/>
                        <w:tblCellMar>
                          <w:top w:w="0" w:type="dxa"/>
                          <w:left w:w="0" w:type="dxa"/>
                          <w:bottom w:w="0" w:type="dxa"/>
                          <w:right w:w="0" w:type="dxa"/>
                        </w:tblCellMar>
                      </w:tblPr>
                      <w:tblGrid>
                        <w:gridCol w:w="23"/>
                        <w:gridCol w:w="76"/>
                        <w:gridCol w:w="4799"/>
                      </w:tblGrid>
                      <w:tr>
                        <w:trPr/>
                        <w:tc>
                          <w:tcPr>
                            <w:tcW w:w="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rFonts w:ascii="Symbol" w:hAnsi="Symbol"/>
                              </w:rPr>
                            </w:pPr>
                            <w:r>
                              <w:rPr>
                                <w:rFonts w:ascii="Symbol" w:hAnsi="Symbol"/>
                              </w:rPr>
                              <w:t>·</w:t>
                            </w:r>
                          </w:p>
                        </w:tc>
                        <w:tc>
                          <w:tcPr>
                            <w:tcW w:w="4799" w:type="dxa"/>
                            <w:tcBorders/>
                            <w:vAlign w:val="center"/>
                          </w:tcPr>
                          <w:p>
                            <w:pPr>
                              <w:pStyle w:val="TableContents"/>
                              <w:bidi w:val="0"/>
                              <w:spacing w:before="0" w:after="283"/>
                              <w:jc w:val="left"/>
                              <w:rPr>
                                <w:b/>
                              </w:rPr>
                            </w:pPr>
                            <w:r>
                              <w:rPr>
                                <w:b/>
                              </w:rPr>
                              <w:t>Many Economic and Market Factors Will Impact the Value of the Securities.</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Fund Is Not an Investment Company or a Commodity Pool and Will Not Be Subject to Regulation Under the Investment Company Act of 1940, As Amended, or the Commodity Exchange Act, As Amended.</w:t>
                            </w:r>
                          </w:p>
                        </w:tc>
                      </w:tr>
                    </w:tbl>
                    <w:tbl>
                      <w:tblPr>
                        <w:tblW w:w="5000" w:type="pct"/>
                        <w:jc w:val="left"/>
                        <w:tblInd w:w="0" w:type="dxa"/>
                        <w:tblLayout w:type="fixed"/>
                        <w:tblCellMar>
                          <w:top w:w="0" w:type="dxa"/>
                          <w:left w:w="0" w:type="dxa"/>
                          <w:bottom w:w="0" w:type="dxa"/>
                          <w:right w:w="0" w:type="dxa"/>
                        </w:tblCellMar>
                      </w:tblPr>
                      <w:tblGrid>
                        <w:gridCol w:w="40"/>
                        <w:gridCol w:w="134"/>
                        <w:gridCol w:w="4724"/>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4724" w:type="dxa"/>
                            <w:tcBorders/>
                            <w:vAlign w:val="center"/>
                          </w:tcPr>
                          <w:p>
                            <w:pPr>
                              <w:pStyle w:val="TableContents"/>
                              <w:bidi w:val="0"/>
                              <w:spacing w:before="0" w:after="283"/>
                              <w:jc w:val="left"/>
                              <w:rPr>
                                <w:b/>
                              </w:rPr>
                            </w:pPr>
                            <w:r>
                              <w:rPr>
                                <w:b/>
                              </w:rPr>
                              <w:t>There Are Risks Associated with the Fund.</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The Performance and Market Value of the Fund, Particularly During Periods of Market Volatility, May Not Correlate with the Performance of the Funds Underlying Asset As Well As the Net Asset Value Per Share.</w:t>
                            </w:r>
                          </w:p>
                        </w:tc>
                      </w:tr>
                    </w:tbl>
                    <w:tbl>
                      <w:tblPr>
                        <w:tblW w:w="5000" w:type="pct"/>
                        <w:jc w:val="left"/>
                        <w:tblInd w:w="0" w:type="dxa"/>
                        <w:tblLayout w:type="fixed"/>
                        <w:tblCellMar>
                          <w:top w:w="0" w:type="dxa"/>
                          <w:left w:w="0" w:type="dxa"/>
                          <w:bottom w:w="0" w:type="dxa"/>
                          <w:right w:w="0" w:type="dxa"/>
                        </w:tblCellMar>
                      </w:tblPr>
                      <w:tblGrid>
                        <w:gridCol w:w="68"/>
                        <w:gridCol w:w="227"/>
                        <w:gridCol w:w="4603"/>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4603" w:type="dxa"/>
                            <w:tcBorders/>
                            <w:vAlign w:val="center"/>
                          </w:tcPr>
                          <w:p>
                            <w:pPr>
                              <w:pStyle w:val="TableContents"/>
                              <w:bidi w:val="0"/>
                              <w:spacing w:before="0" w:after="283"/>
                              <w:jc w:val="left"/>
                              <w:rPr>
                                <w:b/>
                              </w:rPr>
                            </w:pPr>
                            <w:r>
                              <w:rPr>
                                <w:b/>
                              </w:rPr>
                              <w:t>Limited Trading History</w:t>
                            </w:r>
                          </w:p>
                        </w:tc>
                      </w:tr>
                    </w:tbl>
                    <w:tbl>
                      <w:tblPr>
                        <w:tblW w:w="5000" w:type="pct"/>
                        <w:jc w:val="left"/>
                        <w:tblInd w:w="0" w:type="dxa"/>
                        <w:tblLayout w:type="fixed"/>
                        <w:tblCellMar>
                          <w:top w:w="0" w:type="dxa"/>
                          <w:left w:w="0" w:type="dxa"/>
                          <w:bottom w:w="0" w:type="dxa"/>
                          <w:right w:w="0" w:type="dxa"/>
                        </w:tblCellMar>
                      </w:tblPr>
                      <w:tblGrid>
                        <w:gridCol w:w="22"/>
                        <w:gridCol w:w="73"/>
                        <w:gridCol w:w="4803"/>
                      </w:tblGrid>
                      <w:tr>
                        <w:trPr/>
                        <w:tc>
                          <w:tcPr>
                            <w:tcW w:w="2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rFonts w:ascii="Symbol" w:hAnsi="Symbol"/>
                              </w:rPr>
                            </w:pPr>
                            <w:r>
                              <w:rPr>
                                <w:rFonts w:ascii="Symbol" w:hAnsi="Symbol"/>
                              </w:rPr>
                              <w:t>·</w:t>
                            </w:r>
                          </w:p>
                        </w:tc>
                        <w:tc>
                          <w:tcPr>
                            <w:tcW w:w="4803" w:type="dxa"/>
                            <w:tcBorders/>
                            <w:vAlign w:val="center"/>
                          </w:tcPr>
                          <w:p>
                            <w:pPr>
                              <w:pStyle w:val="TableContents"/>
                              <w:bidi w:val="0"/>
                              <w:spacing w:before="0" w:after="283"/>
                              <w:jc w:val="left"/>
                              <w:rPr>
                                <w:b/>
                              </w:rPr>
                            </w:pPr>
                            <w:r>
                              <w:rPr>
                                <w:b/>
                              </w:rPr>
                              <w:t>The Securities Are Subject to Risks Relating to Bitcoin and the Bitcoin Network.</w:t>
                            </w:r>
                          </w:p>
                        </w:tc>
                      </w:tr>
                    </w:tbl>
                    <w:tbl>
                      <w:tblPr>
                        <w:tblW w:w="5000" w:type="pct"/>
                        <w:jc w:val="left"/>
                        <w:tblInd w:w="0" w:type="dxa"/>
                        <w:tblLayout w:type="fixed"/>
                        <w:tblCellMar>
                          <w:top w:w="0" w:type="dxa"/>
                          <w:left w:w="0" w:type="dxa"/>
                          <w:bottom w:w="0" w:type="dxa"/>
                          <w:right w:w="0" w:type="dxa"/>
                        </w:tblCellMar>
                      </w:tblPr>
                      <w:tblGrid>
                        <w:gridCol w:w="26"/>
                        <w:gridCol w:w="87"/>
                        <w:gridCol w:w="4785"/>
                      </w:tblGrid>
                      <w:tr>
                        <w:trPr/>
                        <w:tc>
                          <w:tcPr>
                            <w:tcW w:w="2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rFonts w:ascii="Symbol" w:hAnsi="Symbol"/>
                              </w:rPr>
                            </w:pPr>
                            <w:r>
                              <w:rPr>
                                <w:rFonts w:ascii="Symbol" w:hAnsi="Symbol"/>
                              </w:rPr>
                              <w:t>·</w:t>
                            </w:r>
                          </w:p>
                        </w:tc>
                        <w:tc>
                          <w:tcPr>
                            <w:tcW w:w="4785" w:type="dxa"/>
                            <w:tcBorders/>
                            <w:vAlign w:val="center"/>
                          </w:tcPr>
                          <w:p>
                            <w:pPr>
                              <w:pStyle w:val="TableContents"/>
                              <w:bidi w:val="0"/>
                              <w:spacing w:before="0" w:after="283"/>
                              <w:jc w:val="left"/>
                              <w:rPr>
                                <w:b/>
                              </w:rPr>
                            </w:pPr>
                            <w:r>
                              <w:rPr>
                                <w:b/>
                              </w:rPr>
                              <w:t>The Anti-Dilution Protection Is Limited and May Be Discretionary.</w:t>
                            </w:r>
                          </w:p>
                        </w:tc>
                      </w:tr>
                    </w:tbl>
                    <w:tbl>
                      <w:tblPr>
                        <w:tblW w:w="5000" w:type="pct"/>
                        <w:jc w:val="left"/>
                        <w:tblInd w:w="0" w:type="dxa"/>
                        <w:tblLayout w:type="fixed"/>
                        <w:tblCellMar>
                          <w:top w:w="0" w:type="dxa"/>
                          <w:left w:w="0" w:type="dxa"/>
                          <w:bottom w:w="0" w:type="dxa"/>
                          <w:right w:w="0" w:type="dxa"/>
                        </w:tblCellMar>
                      </w:tblPr>
                      <w:tblGrid>
                        <w:gridCol w:w="18"/>
                        <w:gridCol w:w="60"/>
                        <w:gridCol w:w="4820"/>
                      </w:tblGrid>
                      <w:tr>
                        <w:trPr/>
                        <w:tc>
                          <w:tcPr>
                            <w:tcW w:w="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rFonts w:ascii="Symbol" w:hAnsi="Symbol"/>
                              </w:rPr>
                            </w:pPr>
                            <w:r>
                              <w:rPr>
                                <w:rFonts w:ascii="Symbol" w:hAnsi="Symbol"/>
                              </w:rPr>
                              <w:t>·</w:t>
                            </w:r>
                          </w:p>
                        </w:tc>
                        <w:tc>
                          <w:tcPr>
                            <w:tcW w:w="4820" w:type="dxa"/>
                            <w:tcBorders/>
                            <w:vAlign w:val="center"/>
                          </w:tcPr>
                          <w:p>
                            <w:pPr>
                              <w:pStyle w:val="TableContents"/>
                              <w:bidi w:val="0"/>
                              <w:spacing w:before="0" w:after="283"/>
                              <w:jc w:val="left"/>
                              <w:rPr>
                                <w:b/>
                              </w:rPr>
                            </w:pPr>
                            <w:r>
                              <w:rPr>
                                <w:b/>
                              </w:rPr>
                              <w:t xml:space="preserve">Any Payment on the Securities Will Depend upon the Performance of the Fund and Therefore the Securities Are Subject to the Risks Associated with the Fund, Each as Discussed in the Accompanying Preliminary Pricing Supplement and Product Supplement.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75616/ea0297197-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75616/ea029719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1621</Words>
  <Characters>8506</Characters>
  <CharactersWithSpaces>10001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