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12"/>
          <w:szCs w:val="12"/>
          <w:b w:val="1"/>
          <w:bCs w:val="1"/>
          <w:color w:val="auto"/>
        </w:rPr>
        <w:t>UNITED STATES</w:t>
      </w:r>
    </w:p>
    <w:p>
      <w:pPr>
        <w:spacing w:after="0" w:line="20" w:lineRule="exact"/>
        <w:rPr>
          <w:sz w:val="24"/>
          <w:szCs w:val="24"/>
          <w:color w:val="auto"/>
        </w:rPr>
      </w:pPr>
    </w:p>
    <w:p>
      <w:pPr>
        <w:jc w:val="center"/>
        <w:ind w:right="-559"/>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559"/>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118745</wp:posOffset>
            </wp:positionV>
            <wp:extent cx="28003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92" w:lineRule="exact"/>
        <w:rPr>
          <w:sz w:val="24"/>
          <w:szCs w:val="24"/>
          <w:color w:val="auto"/>
        </w:rPr>
      </w:pPr>
    </w:p>
    <w:p>
      <w:pPr>
        <w:ind w:left="5240"/>
        <w:spacing w:after="0"/>
        <w:rPr>
          <w:sz w:val="20"/>
          <w:szCs w:val="20"/>
          <w:color w:val="auto"/>
        </w:rPr>
      </w:pPr>
      <w:r>
        <w:rPr>
          <w:rFonts w:ascii="Arial" w:cs="Arial" w:eastAsia="Arial" w:hAnsi="Arial"/>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128270</wp:posOffset>
            </wp:positionV>
            <wp:extent cx="28003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75" w:lineRule="exact"/>
        <w:rPr>
          <w:sz w:val="24"/>
          <w:szCs w:val="24"/>
          <w:color w:val="auto"/>
        </w:rPr>
      </w:pPr>
    </w:p>
    <w:p>
      <w:pPr>
        <w:jc w:val="center"/>
        <w:ind w:right="-559"/>
        <w:spacing w:after="0"/>
        <w:rPr>
          <w:sz w:val="20"/>
          <w:szCs w:val="20"/>
          <w:color w:val="auto"/>
        </w:rPr>
      </w:pPr>
      <w:r>
        <w:rPr>
          <w:rFonts w:ascii="Arial" w:cs="Arial" w:eastAsia="Arial" w:hAnsi="Arial"/>
          <w:sz w:val="12"/>
          <w:szCs w:val="12"/>
          <w:b w:val="1"/>
          <w:bCs w:val="1"/>
          <w:color w:val="auto"/>
        </w:rPr>
        <w:t>CURRENT REPORT</w:t>
      </w:r>
    </w:p>
    <w:p>
      <w:pPr>
        <w:spacing w:after="0" w:line="20" w:lineRule="exact"/>
        <w:rPr>
          <w:sz w:val="24"/>
          <w:szCs w:val="24"/>
          <w:color w:val="auto"/>
        </w:rPr>
      </w:pPr>
    </w:p>
    <w:p>
      <w:pPr>
        <w:jc w:val="center"/>
        <w:ind w:right="-559"/>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64"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Date of Report (date of earliest event reported): July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150495</wp:posOffset>
            </wp:positionV>
            <wp:extent cx="28003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266" w:lineRule="exact"/>
        <w:rPr>
          <w:sz w:val="24"/>
          <w:szCs w:val="24"/>
          <w:color w:val="auto"/>
        </w:rPr>
      </w:pPr>
    </w:p>
    <w:p>
      <w:pPr>
        <w:jc w:val="center"/>
        <w:ind w:right="-559"/>
        <w:spacing w:after="0"/>
        <w:rPr>
          <w:sz w:val="20"/>
          <w:szCs w:val="20"/>
          <w:color w:val="auto"/>
        </w:rPr>
      </w:pPr>
      <w:r>
        <w:rPr>
          <w:rFonts w:ascii="Arial" w:cs="Arial" w:eastAsia="Arial" w:hAnsi="Arial"/>
          <w:sz w:val="24"/>
          <w:szCs w:val="24"/>
          <w:b w:val="1"/>
          <w:bCs w:val="1"/>
          <w:color w:val="auto"/>
        </w:rPr>
        <w:t>JPMorgan Chase &amp; Co.</w:t>
      </w:r>
    </w:p>
    <w:p>
      <w:pPr>
        <w:spacing w:after="0" w:line="30" w:lineRule="exact"/>
        <w:rPr>
          <w:sz w:val="24"/>
          <w:szCs w:val="24"/>
          <w:color w:val="auto"/>
        </w:rPr>
      </w:pPr>
    </w:p>
    <w:p>
      <w:pPr>
        <w:ind w:left="4620"/>
        <w:spacing w:after="0"/>
        <w:rPr>
          <w:sz w:val="20"/>
          <w:szCs w:val="20"/>
          <w:color w:val="auto"/>
        </w:rPr>
      </w:pPr>
      <w:r>
        <w:rPr>
          <w:rFonts w:ascii="Arial" w:cs="Arial" w:eastAsia="Arial" w:hAnsi="Arial"/>
          <w:sz w:val="8"/>
          <w:szCs w:val="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121285</wp:posOffset>
            </wp:positionV>
            <wp:extent cx="28003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301" w:lineRule="exact"/>
        <w:rPr>
          <w:sz w:val="24"/>
          <w:szCs w:val="24"/>
          <w:color w:val="auto"/>
        </w:rPr>
      </w:pPr>
    </w:p>
    <w:tbl>
      <w:tblPr>
        <w:tblLayout w:type="fixed"/>
        <w:tblInd w:w="3540" w:type="dxa"/>
        <w:tblCellMar>
          <w:top w:w="0" w:type="dxa"/>
          <w:left w:w="0" w:type="dxa"/>
          <w:bottom w:w="0" w:type="dxa"/>
          <w:right w:w="0" w:type="dxa"/>
        </w:tblCellMar>
      </w:tblPr>
      <w:tr>
        <w:trPr>
          <w:trHeight w:val="116"/>
        </w:trPr>
        <w:tc>
          <w:tcPr>
            <w:tcW w:w="1640" w:type="dxa"/>
            <w:vAlign w:val="bottom"/>
          </w:tcPr>
          <w:p>
            <w:pPr>
              <w:jc w:val="center"/>
              <w:ind w:right="18"/>
              <w:spacing w:after="0"/>
              <w:rPr>
                <w:sz w:val="20"/>
                <w:szCs w:val="20"/>
                <w:color w:val="auto"/>
              </w:rPr>
            </w:pPr>
            <w:r>
              <w:rPr>
                <w:rFonts w:ascii="Arial" w:cs="Arial" w:eastAsia="Arial" w:hAnsi="Arial"/>
                <w:sz w:val="8"/>
                <w:szCs w:val="8"/>
                <w:b w:val="1"/>
                <w:bCs w:val="1"/>
                <w:color w:val="auto"/>
              </w:rPr>
              <w:t>Delaware</w:t>
            </w:r>
          </w:p>
        </w:tc>
        <w:tc>
          <w:tcPr>
            <w:tcW w:w="1340" w:type="dxa"/>
            <w:vAlign w:val="bottom"/>
          </w:tcPr>
          <w:p>
            <w:pPr>
              <w:jc w:val="right"/>
              <w:ind w:right="578"/>
              <w:spacing w:after="0"/>
              <w:rPr>
                <w:sz w:val="20"/>
                <w:szCs w:val="20"/>
                <w:color w:val="auto"/>
              </w:rPr>
            </w:pPr>
            <w:r>
              <w:rPr>
                <w:rFonts w:ascii="Arial" w:cs="Arial" w:eastAsia="Arial" w:hAnsi="Arial"/>
                <w:sz w:val="8"/>
                <w:szCs w:val="8"/>
                <w:b w:val="1"/>
                <w:bCs w:val="1"/>
                <w:color w:val="auto"/>
              </w:rPr>
              <w:t>1-5805</w:t>
            </w:r>
          </w:p>
        </w:tc>
        <w:tc>
          <w:tcPr>
            <w:tcW w:w="900" w:type="dxa"/>
            <w:vAlign w:val="bottom"/>
          </w:tcPr>
          <w:p>
            <w:pPr>
              <w:jc w:val="right"/>
              <w:ind w:right="78"/>
              <w:spacing w:after="0"/>
              <w:rPr>
                <w:sz w:val="20"/>
                <w:szCs w:val="20"/>
                <w:color w:val="auto"/>
              </w:rPr>
            </w:pPr>
            <w:r>
              <w:rPr>
                <w:rFonts w:ascii="Arial" w:cs="Arial" w:eastAsia="Arial" w:hAnsi="Arial"/>
                <w:sz w:val="8"/>
                <w:szCs w:val="8"/>
                <w:b w:val="1"/>
                <w:bCs w:val="1"/>
                <w:color w:val="auto"/>
              </w:rPr>
              <w:t>13-2624428</w:t>
            </w:r>
          </w:p>
        </w:tc>
      </w:tr>
      <w:tr>
        <w:trPr>
          <w:trHeight w:val="91"/>
        </w:trPr>
        <w:tc>
          <w:tcPr>
            <w:tcW w:w="1640" w:type="dxa"/>
            <w:vAlign w:val="bottom"/>
          </w:tcPr>
          <w:p>
            <w:pPr>
              <w:jc w:val="center"/>
              <w:ind w:right="18"/>
              <w:spacing w:after="0"/>
              <w:rPr>
                <w:sz w:val="20"/>
                <w:szCs w:val="20"/>
                <w:color w:val="auto"/>
              </w:rPr>
            </w:pPr>
            <w:r>
              <w:rPr>
                <w:rFonts w:ascii="Arial" w:cs="Arial" w:eastAsia="Arial" w:hAnsi="Arial"/>
                <w:sz w:val="8"/>
                <w:szCs w:val="8"/>
                <w:b w:val="1"/>
                <w:bCs w:val="1"/>
                <w:color w:val="auto"/>
              </w:rPr>
              <w:t>(State or other jurisdiction of</w:t>
            </w:r>
          </w:p>
        </w:tc>
        <w:tc>
          <w:tcPr>
            <w:tcW w:w="1340" w:type="dxa"/>
            <w:vAlign w:val="bottom"/>
          </w:tcPr>
          <w:p>
            <w:pPr>
              <w:jc w:val="center"/>
              <w:ind w:right="138"/>
              <w:spacing w:after="0"/>
              <w:rPr>
                <w:sz w:val="20"/>
                <w:szCs w:val="20"/>
                <w:color w:val="auto"/>
              </w:rPr>
            </w:pPr>
            <w:r>
              <w:rPr>
                <w:rFonts w:ascii="Arial" w:cs="Arial" w:eastAsia="Arial" w:hAnsi="Arial"/>
                <w:sz w:val="8"/>
                <w:szCs w:val="8"/>
                <w:b w:val="1"/>
                <w:bCs w:val="1"/>
                <w:color w:val="auto"/>
              </w:rPr>
              <w:t>(Commission File Number)</w:t>
            </w:r>
          </w:p>
        </w:tc>
        <w:tc>
          <w:tcPr>
            <w:tcW w:w="900" w:type="dxa"/>
            <w:vAlign w:val="bottom"/>
          </w:tcPr>
          <w:p>
            <w:pPr>
              <w:jc w:val="center"/>
              <w:ind w:left="178"/>
              <w:spacing w:after="0"/>
              <w:rPr>
                <w:sz w:val="20"/>
                <w:szCs w:val="20"/>
                <w:color w:val="auto"/>
              </w:rPr>
            </w:pPr>
            <w:r>
              <w:rPr>
                <w:rFonts w:ascii="Arial" w:cs="Arial" w:eastAsia="Arial" w:hAnsi="Arial"/>
                <w:sz w:val="8"/>
                <w:szCs w:val="8"/>
                <w:b w:val="1"/>
                <w:bCs w:val="1"/>
                <w:color w:val="auto"/>
              </w:rPr>
              <w:t>(I.R.S. employer</w:t>
            </w:r>
          </w:p>
        </w:tc>
      </w:tr>
      <w:tr>
        <w:trPr>
          <w:trHeight w:val="116"/>
        </w:trPr>
        <w:tc>
          <w:tcPr>
            <w:tcW w:w="1640" w:type="dxa"/>
            <w:vAlign w:val="bottom"/>
          </w:tcPr>
          <w:p>
            <w:pPr>
              <w:jc w:val="center"/>
              <w:ind w:right="18"/>
              <w:spacing w:after="0"/>
              <w:rPr>
                <w:sz w:val="20"/>
                <w:szCs w:val="20"/>
                <w:color w:val="auto"/>
              </w:rPr>
            </w:pPr>
            <w:r>
              <w:rPr>
                <w:rFonts w:ascii="Arial" w:cs="Arial" w:eastAsia="Arial" w:hAnsi="Arial"/>
                <w:sz w:val="8"/>
                <w:szCs w:val="8"/>
                <w:b w:val="1"/>
                <w:bCs w:val="1"/>
                <w:color w:val="auto"/>
              </w:rPr>
              <w:t>incorporation or organization)</w:t>
            </w:r>
          </w:p>
        </w:tc>
        <w:tc>
          <w:tcPr>
            <w:tcW w:w="1340" w:type="dxa"/>
            <w:vAlign w:val="bottom"/>
          </w:tcPr>
          <w:p>
            <w:pPr>
              <w:spacing w:after="0"/>
              <w:rPr>
                <w:sz w:val="10"/>
                <w:szCs w:val="10"/>
                <w:color w:val="auto"/>
              </w:rPr>
            </w:pPr>
          </w:p>
        </w:tc>
        <w:tc>
          <w:tcPr>
            <w:tcW w:w="900" w:type="dxa"/>
            <w:vAlign w:val="bottom"/>
          </w:tcPr>
          <w:p>
            <w:pPr>
              <w:jc w:val="center"/>
              <w:ind w:left="158"/>
              <w:spacing w:after="0"/>
              <w:rPr>
                <w:sz w:val="20"/>
                <w:szCs w:val="20"/>
                <w:color w:val="auto"/>
              </w:rPr>
            </w:pPr>
            <w:r>
              <w:rPr>
                <w:rFonts w:ascii="Arial" w:cs="Arial" w:eastAsia="Arial" w:hAnsi="Arial"/>
                <w:sz w:val="8"/>
                <w:szCs w:val="8"/>
                <w:b w:val="1"/>
                <w:bCs w:val="1"/>
                <w:color w:val="auto"/>
              </w:rPr>
              <w:t>identification no.)</w:t>
            </w:r>
          </w:p>
        </w:tc>
      </w:tr>
      <w:tr>
        <w:trPr>
          <w:trHeight w:val="216"/>
        </w:trPr>
        <w:tc>
          <w:tcPr>
            <w:tcW w:w="1640" w:type="dxa"/>
            <w:vAlign w:val="bottom"/>
          </w:tcPr>
          <w:p>
            <w:pPr>
              <w:jc w:val="center"/>
              <w:ind w:right="18"/>
              <w:spacing w:after="0"/>
              <w:rPr>
                <w:sz w:val="20"/>
                <w:szCs w:val="20"/>
                <w:color w:val="auto"/>
              </w:rPr>
            </w:pPr>
            <w:r>
              <w:rPr>
                <w:rFonts w:ascii="Arial" w:cs="Arial" w:eastAsia="Arial" w:hAnsi="Arial"/>
                <w:sz w:val="8"/>
                <w:szCs w:val="8"/>
                <w:b w:val="1"/>
                <w:bCs w:val="1"/>
                <w:color w:val="auto"/>
              </w:rPr>
              <w:t>383 Madison Avenue,</w:t>
            </w: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17"/>
        </w:trPr>
        <w:tc>
          <w:tcPr>
            <w:tcW w:w="1640" w:type="dxa"/>
            <w:vAlign w:val="bottom"/>
          </w:tcPr>
          <w:p>
            <w:pPr>
              <w:jc w:val="center"/>
              <w:ind w:right="38"/>
              <w:spacing w:after="0"/>
              <w:rPr>
                <w:sz w:val="20"/>
                <w:szCs w:val="20"/>
                <w:color w:val="auto"/>
              </w:rPr>
            </w:pPr>
            <w:r>
              <w:rPr>
                <w:rFonts w:ascii="Arial" w:cs="Arial" w:eastAsia="Arial" w:hAnsi="Arial"/>
                <w:sz w:val="8"/>
                <w:szCs w:val="8"/>
                <w:b w:val="1"/>
                <w:bCs w:val="1"/>
                <w:color w:val="auto"/>
              </w:rPr>
              <w:t>New York, New York</w:t>
            </w:r>
          </w:p>
        </w:tc>
        <w:tc>
          <w:tcPr>
            <w:tcW w:w="1340" w:type="dxa"/>
            <w:vAlign w:val="bottom"/>
          </w:tcPr>
          <w:p>
            <w:pPr>
              <w:spacing w:after="0"/>
              <w:rPr>
                <w:sz w:val="10"/>
                <w:szCs w:val="10"/>
                <w:color w:val="auto"/>
              </w:rPr>
            </w:pPr>
          </w:p>
        </w:tc>
        <w:tc>
          <w:tcPr>
            <w:tcW w:w="900" w:type="dxa"/>
            <w:vAlign w:val="bottom"/>
          </w:tcPr>
          <w:p>
            <w:pPr>
              <w:jc w:val="right"/>
              <w:ind w:right="178"/>
              <w:spacing w:after="0"/>
              <w:rPr>
                <w:sz w:val="20"/>
                <w:szCs w:val="20"/>
                <w:color w:val="auto"/>
              </w:rPr>
            </w:pPr>
            <w:r>
              <w:rPr>
                <w:rFonts w:ascii="Arial" w:cs="Arial" w:eastAsia="Arial" w:hAnsi="Arial"/>
                <w:sz w:val="8"/>
                <w:szCs w:val="8"/>
                <w:b w:val="1"/>
                <w:bCs w:val="1"/>
                <w:color w:val="auto"/>
              </w:rPr>
              <w:t>10179</w:t>
            </w:r>
          </w:p>
        </w:tc>
      </w:tr>
      <w:tr>
        <w:trPr>
          <w:trHeight w:val="144"/>
        </w:trPr>
        <w:tc>
          <w:tcPr>
            <w:tcW w:w="1640" w:type="dxa"/>
            <w:vAlign w:val="bottom"/>
          </w:tcPr>
          <w:p>
            <w:pPr>
              <w:jc w:val="center"/>
              <w:ind w:right="18"/>
              <w:spacing w:after="0"/>
              <w:rPr>
                <w:sz w:val="20"/>
                <w:szCs w:val="20"/>
                <w:color w:val="auto"/>
              </w:rPr>
            </w:pPr>
            <w:r>
              <w:rPr>
                <w:rFonts w:ascii="Arial" w:cs="Arial" w:eastAsia="Arial" w:hAnsi="Arial"/>
                <w:sz w:val="8"/>
                <w:szCs w:val="8"/>
                <w:b w:val="1"/>
                <w:bCs w:val="1"/>
                <w:color w:val="auto"/>
              </w:rPr>
              <w:t>(Address of principal executive offices)</w:t>
            </w:r>
          </w:p>
        </w:tc>
        <w:tc>
          <w:tcPr>
            <w:tcW w:w="1340" w:type="dxa"/>
            <w:vAlign w:val="bottom"/>
          </w:tcPr>
          <w:p>
            <w:pPr>
              <w:spacing w:after="0"/>
              <w:rPr>
                <w:sz w:val="12"/>
                <w:szCs w:val="12"/>
                <w:color w:val="auto"/>
              </w:rPr>
            </w:pPr>
          </w:p>
        </w:tc>
        <w:tc>
          <w:tcPr>
            <w:tcW w:w="900" w:type="dxa"/>
            <w:vAlign w:val="bottom"/>
          </w:tcPr>
          <w:p>
            <w:pPr>
              <w:jc w:val="center"/>
              <w:ind w:left="158"/>
              <w:spacing w:after="0"/>
              <w:rPr>
                <w:sz w:val="20"/>
                <w:szCs w:val="20"/>
                <w:color w:val="auto"/>
              </w:rPr>
            </w:pPr>
            <w:r>
              <w:rPr>
                <w:rFonts w:ascii="Arial" w:cs="Arial" w:eastAsia="Arial" w:hAnsi="Arial"/>
                <w:sz w:val="8"/>
                <w:szCs w:val="8"/>
                <w:b w:val="1"/>
                <w:bCs w:val="1"/>
                <w:color w:val="auto"/>
              </w:rPr>
              <w:t>(Zip Code)</w:t>
            </w:r>
          </w:p>
        </w:tc>
      </w:tr>
    </w:tbl>
    <w:p>
      <w:pPr>
        <w:spacing w:after="0" w:line="60" w:lineRule="exact"/>
        <w:rPr>
          <w:sz w:val="24"/>
          <w:szCs w:val="24"/>
          <w:color w:val="auto"/>
        </w:rPr>
      </w:pPr>
    </w:p>
    <w:p>
      <w:pPr>
        <w:ind w:left="4100"/>
        <w:spacing w:after="0"/>
        <w:rPr>
          <w:sz w:val="20"/>
          <w:szCs w:val="20"/>
          <w:color w:val="auto"/>
        </w:rPr>
      </w:pPr>
      <w:r>
        <w:rPr>
          <w:rFonts w:ascii="Arial" w:cs="Arial" w:eastAsia="Arial" w:hAnsi="Arial"/>
          <w:sz w:val="10"/>
          <w:szCs w:val="10"/>
          <w:b w:val="1"/>
          <w:bCs w:val="1"/>
          <w:color w:val="auto"/>
        </w:rPr>
        <w:t>Registrant’s telephone number, including area code: (212) 270-6000</w:t>
      </w:r>
    </w:p>
    <w:p>
      <w:pPr>
        <w:spacing w:after="0" w:line="69"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Check the appropriate box below if the Form 8-K filing is intended to simultaneously satisfy the filing obligation of the registrant under any of the following provisions:</w:t>
      </w:r>
    </w:p>
    <w:p>
      <w:pPr>
        <w:spacing w:after="0" w:line="97"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Written communications pursuant to Rule 425 under the Securities Act (17 CFR 230.425)</w:t>
      </w:r>
    </w:p>
    <w:p>
      <w:pPr>
        <w:spacing w:after="0" w:line="106" w:lineRule="exact"/>
        <w:rPr>
          <w:rFonts w:ascii="MS PGothic" w:cs="MS PGothic" w:eastAsia="MS PGothic" w:hAnsi="MS PGothic"/>
          <w:sz w:val="8"/>
          <w:szCs w:val="8"/>
          <w:color w:val="auto"/>
        </w:rPr>
      </w:pPr>
    </w:p>
    <w:p>
      <w:pPr>
        <w:ind w:left="400" w:hanging="396"/>
        <w:spacing w:after="0"/>
        <w:tabs>
          <w:tab w:leader="none" w:pos="40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Soliciting material pursuant to Rule 14a-12 under the Exchange Act (17 CFR 240.14a-12)</w:t>
      </w:r>
    </w:p>
    <w:p>
      <w:pPr>
        <w:spacing w:after="0" w:line="106" w:lineRule="exact"/>
        <w:rPr>
          <w:rFonts w:ascii="MS PGothic" w:cs="MS PGothic" w:eastAsia="MS PGothic" w:hAnsi="MS PGothic"/>
          <w:sz w:val="8"/>
          <w:szCs w:val="8"/>
          <w:color w:val="auto"/>
        </w:rPr>
      </w:pPr>
    </w:p>
    <w:p>
      <w:pPr>
        <w:ind w:left="400" w:hanging="396"/>
        <w:spacing w:after="0"/>
        <w:tabs>
          <w:tab w:leader="none" w:pos="40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14d-2(b) under the Exchange Act (17 CFR 240.14d-2(b))</w:t>
      </w:r>
    </w:p>
    <w:p>
      <w:pPr>
        <w:spacing w:after="0" w:line="106" w:lineRule="exact"/>
        <w:rPr>
          <w:rFonts w:ascii="MS PGothic" w:cs="MS PGothic" w:eastAsia="MS PGothic" w:hAnsi="MS PGothic"/>
          <w:sz w:val="8"/>
          <w:szCs w:val="8"/>
          <w:color w:val="auto"/>
        </w:rPr>
      </w:pPr>
    </w:p>
    <w:p>
      <w:pPr>
        <w:ind w:left="400" w:hanging="396"/>
        <w:spacing w:after="0"/>
        <w:tabs>
          <w:tab w:leader="none" w:pos="400" w:val="left"/>
        </w:tabs>
        <w:numPr>
          <w:ilvl w:val="0"/>
          <w:numId w:val="1"/>
        </w:numPr>
        <w:rPr>
          <w:rFonts w:ascii="MS PGothic" w:cs="MS PGothic" w:eastAsia="MS PGothic" w:hAnsi="MS PGothic"/>
          <w:sz w:val="8"/>
          <w:szCs w:val="8"/>
          <w:color w:val="auto"/>
        </w:rPr>
      </w:pPr>
      <w:r>
        <w:rPr>
          <w:rFonts w:ascii="Arial" w:cs="Arial" w:eastAsia="Arial" w:hAnsi="Arial"/>
          <w:sz w:val="8"/>
          <w:szCs w:val="8"/>
          <w:b w:val="1"/>
          <w:bCs w:val="1"/>
          <w:color w:val="auto"/>
        </w:rPr>
        <w:t>Pre-commencement communications pursuant to Rule 13e-4(c) under the Exchange Act (17 CFR 240.13e-4(c))</w:t>
      </w:r>
    </w:p>
    <w:p>
      <w:pPr>
        <w:spacing w:after="0" w:line="84" w:lineRule="exact"/>
        <w:rPr>
          <w:sz w:val="24"/>
          <w:szCs w:val="24"/>
          <w:color w:val="auto"/>
        </w:rPr>
      </w:pPr>
    </w:p>
    <w:p>
      <w:pPr>
        <w:ind w:left="4320"/>
        <w:spacing w:after="0"/>
        <w:rPr>
          <w:sz w:val="20"/>
          <w:szCs w:val="20"/>
          <w:color w:val="auto"/>
        </w:rPr>
      </w:pPr>
      <w:r>
        <w:rPr>
          <w:rFonts w:ascii="Arial" w:cs="Arial" w:eastAsia="Arial" w:hAnsi="Arial"/>
          <w:sz w:val="10"/>
          <w:szCs w:val="10"/>
          <w:b w:val="1"/>
          <w:bCs w:val="1"/>
          <w:color w:val="auto"/>
        </w:rPr>
        <w:t>Securities registered pursuant to Section 12(b) of the Act:</w:t>
      </w:r>
    </w:p>
    <w:p>
      <w:pPr>
        <w:spacing w:after="0" w:line="78" w:lineRule="exact"/>
        <w:rPr>
          <w:sz w:val="24"/>
          <w:szCs w:val="24"/>
          <w:color w:val="auto"/>
        </w:rPr>
      </w:pPr>
    </w:p>
    <w:tbl>
      <w:tblPr>
        <w:tblLayout w:type="fixed"/>
        <w:tblInd w:w="80" w:type="dxa"/>
        <w:tblCellMar>
          <w:top w:w="0" w:type="dxa"/>
          <w:left w:w="0" w:type="dxa"/>
          <w:bottom w:w="0" w:type="dxa"/>
          <w:right w:w="0" w:type="dxa"/>
        </w:tblCellMar>
      </w:tblPr>
      <w:tr>
        <w:trPr>
          <w:trHeight w:val="95"/>
        </w:trPr>
        <w:tc>
          <w:tcPr>
            <w:tcW w:w="72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Title of each class</w:t>
            </w:r>
          </w:p>
        </w:tc>
        <w:tc>
          <w:tcPr>
            <w:tcW w:w="5280" w:type="dxa"/>
            <w:vAlign w:val="bottom"/>
          </w:tcPr>
          <w:p>
            <w:pPr>
              <w:spacing w:after="0"/>
              <w:rPr>
                <w:sz w:val="8"/>
                <w:szCs w:val="8"/>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Trading Symbol(s)</w:t>
            </w:r>
          </w:p>
        </w:tc>
        <w:tc>
          <w:tcPr>
            <w:tcW w:w="1460" w:type="dxa"/>
            <w:vAlign w:val="bottom"/>
          </w:tcPr>
          <w:p>
            <w:pPr>
              <w:spacing w:after="0"/>
              <w:rPr>
                <w:sz w:val="8"/>
                <w:szCs w:val="8"/>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Name of each exchange on which registered</w:t>
            </w:r>
          </w:p>
        </w:tc>
      </w:tr>
      <w:tr>
        <w:trPr>
          <w:trHeight w:val="118"/>
        </w:trPr>
        <w:tc>
          <w:tcPr>
            <w:tcW w:w="6000" w:type="dxa"/>
            <w:vAlign w:val="bottom"/>
            <w:gridSpan w:val="2"/>
          </w:tcPr>
          <w:p>
            <w:pPr>
              <w:spacing w:after="0"/>
              <w:rPr>
                <w:sz w:val="20"/>
                <w:szCs w:val="20"/>
                <w:color w:val="auto"/>
              </w:rPr>
            </w:pPr>
            <w:r>
              <w:rPr>
                <w:rFonts w:ascii="Arial" w:cs="Arial" w:eastAsia="Arial" w:hAnsi="Arial"/>
                <w:sz w:val="8"/>
                <w:szCs w:val="8"/>
                <w:b w:val="1"/>
                <w:bCs w:val="1"/>
                <w:color w:val="auto"/>
              </w:rPr>
              <w:t>Common stock</w:t>
            </w:r>
          </w:p>
        </w:tc>
        <w:tc>
          <w:tcPr>
            <w:tcW w:w="2200" w:type="dxa"/>
            <w:vAlign w:val="bottom"/>
            <w:gridSpan w:val="2"/>
          </w:tcPr>
          <w:p>
            <w:pPr>
              <w:spacing w:after="0"/>
              <w:rPr>
                <w:sz w:val="20"/>
                <w:szCs w:val="20"/>
                <w:color w:val="auto"/>
              </w:rPr>
            </w:pPr>
            <w:r>
              <w:rPr>
                <w:rFonts w:ascii="Arial" w:cs="Arial" w:eastAsia="Arial" w:hAnsi="Arial"/>
                <w:sz w:val="8"/>
                <w:szCs w:val="8"/>
                <w:b w:val="1"/>
                <w:bCs w:val="1"/>
                <w:color w:val="auto"/>
              </w:rPr>
              <w:t>JPM</w:t>
            </w:r>
          </w:p>
        </w:tc>
        <w:tc>
          <w:tcPr>
            <w:tcW w:w="1780" w:type="dxa"/>
            <w:vAlign w:val="bottom"/>
          </w:tcPr>
          <w:p>
            <w:pPr>
              <w:spacing w:after="0"/>
              <w:rPr>
                <w:sz w:val="20"/>
                <w:szCs w:val="20"/>
                <w:color w:val="auto"/>
              </w:rPr>
            </w:pPr>
            <w:r>
              <w:rPr>
                <w:rFonts w:ascii="Arial" w:cs="Arial" w:eastAsia="Arial" w:hAnsi="Arial"/>
                <w:sz w:val="8"/>
                <w:szCs w:val="8"/>
                <w:b w:val="1"/>
                <w:bCs w:val="1"/>
                <w:color w:val="auto"/>
              </w:rPr>
              <w:t>The New York Stock Exchange</w:t>
            </w:r>
          </w:p>
        </w:tc>
      </w:tr>
      <w:tr>
        <w:trPr>
          <w:trHeight w:val="126"/>
        </w:trPr>
        <w:tc>
          <w:tcPr>
            <w:tcW w:w="600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5.75% Non-Cumulative Preferred Stock, Series DD</w:t>
            </w:r>
          </w:p>
        </w:tc>
        <w:tc>
          <w:tcPr>
            <w:tcW w:w="2200" w:type="dxa"/>
            <w:vAlign w:val="bottom"/>
            <w:gridSpan w:val="2"/>
          </w:tcPr>
          <w:p>
            <w:pPr>
              <w:spacing w:after="0"/>
              <w:rPr>
                <w:sz w:val="20"/>
                <w:szCs w:val="20"/>
                <w:color w:val="auto"/>
              </w:rPr>
            </w:pPr>
            <w:r>
              <w:rPr>
                <w:rFonts w:ascii="Arial" w:cs="Arial" w:eastAsia="Arial" w:hAnsi="Arial"/>
                <w:sz w:val="8"/>
                <w:szCs w:val="8"/>
                <w:b w:val="1"/>
                <w:bCs w:val="1"/>
                <w:color w:val="auto"/>
              </w:rPr>
              <w:t>JPM PR D</w:t>
            </w:r>
          </w:p>
        </w:tc>
        <w:tc>
          <w:tcPr>
            <w:tcW w:w="1780" w:type="dxa"/>
            <w:vAlign w:val="bottom"/>
          </w:tcPr>
          <w:p>
            <w:pPr>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600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6.00% Non-Cumulative Preferred Stock, Series EE</w:t>
            </w:r>
          </w:p>
        </w:tc>
        <w:tc>
          <w:tcPr>
            <w:tcW w:w="2200" w:type="dxa"/>
            <w:vAlign w:val="bottom"/>
            <w:gridSpan w:val="2"/>
          </w:tcPr>
          <w:p>
            <w:pPr>
              <w:spacing w:after="0"/>
              <w:rPr>
                <w:sz w:val="20"/>
                <w:szCs w:val="20"/>
                <w:color w:val="auto"/>
              </w:rPr>
            </w:pPr>
            <w:r>
              <w:rPr>
                <w:rFonts w:ascii="Arial" w:cs="Arial" w:eastAsia="Arial" w:hAnsi="Arial"/>
                <w:sz w:val="8"/>
                <w:szCs w:val="8"/>
                <w:b w:val="1"/>
                <w:bCs w:val="1"/>
                <w:color w:val="auto"/>
              </w:rPr>
              <w:t>JPM PR C</w:t>
            </w:r>
          </w:p>
        </w:tc>
        <w:tc>
          <w:tcPr>
            <w:tcW w:w="1780" w:type="dxa"/>
            <w:vAlign w:val="bottom"/>
          </w:tcPr>
          <w:p>
            <w:pPr>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600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4.75% Non-Cumulative Preferred Stock, Series GG</w:t>
            </w:r>
          </w:p>
        </w:tc>
        <w:tc>
          <w:tcPr>
            <w:tcW w:w="2200" w:type="dxa"/>
            <w:vAlign w:val="bottom"/>
            <w:gridSpan w:val="2"/>
          </w:tcPr>
          <w:p>
            <w:pPr>
              <w:spacing w:after="0"/>
              <w:rPr>
                <w:sz w:val="20"/>
                <w:szCs w:val="20"/>
                <w:color w:val="auto"/>
              </w:rPr>
            </w:pPr>
            <w:r>
              <w:rPr>
                <w:rFonts w:ascii="Arial" w:cs="Arial" w:eastAsia="Arial" w:hAnsi="Arial"/>
                <w:sz w:val="8"/>
                <w:szCs w:val="8"/>
                <w:b w:val="1"/>
                <w:bCs w:val="1"/>
                <w:color w:val="auto"/>
              </w:rPr>
              <w:t>JPM PR J</w:t>
            </w:r>
          </w:p>
        </w:tc>
        <w:tc>
          <w:tcPr>
            <w:tcW w:w="1780" w:type="dxa"/>
            <w:vAlign w:val="bottom"/>
          </w:tcPr>
          <w:p>
            <w:pPr>
              <w:spacing w:after="0"/>
              <w:rPr>
                <w:sz w:val="20"/>
                <w:szCs w:val="20"/>
                <w:color w:val="auto"/>
              </w:rPr>
            </w:pPr>
            <w:r>
              <w:rPr>
                <w:rFonts w:ascii="Arial" w:cs="Arial" w:eastAsia="Arial" w:hAnsi="Arial"/>
                <w:sz w:val="8"/>
                <w:szCs w:val="8"/>
                <w:b w:val="1"/>
                <w:bCs w:val="1"/>
                <w:color w:val="auto"/>
              </w:rPr>
              <w:t>The New York Stock Exchange</w:t>
            </w:r>
          </w:p>
        </w:tc>
      </w:tr>
      <w:tr>
        <w:trPr>
          <w:trHeight w:val="126"/>
        </w:trPr>
        <w:tc>
          <w:tcPr>
            <w:tcW w:w="600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4.55% Non-Cumulative Preferred Stock, Series JJ</w:t>
            </w:r>
          </w:p>
        </w:tc>
        <w:tc>
          <w:tcPr>
            <w:tcW w:w="2200" w:type="dxa"/>
            <w:vAlign w:val="bottom"/>
            <w:gridSpan w:val="2"/>
          </w:tcPr>
          <w:p>
            <w:pPr>
              <w:spacing w:after="0"/>
              <w:rPr>
                <w:sz w:val="20"/>
                <w:szCs w:val="20"/>
                <w:color w:val="auto"/>
              </w:rPr>
            </w:pPr>
            <w:r>
              <w:rPr>
                <w:rFonts w:ascii="Arial" w:cs="Arial" w:eastAsia="Arial" w:hAnsi="Arial"/>
                <w:sz w:val="8"/>
                <w:szCs w:val="8"/>
                <w:b w:val="1"/>
                <w:bCs w:val="1"/>
                <w:color w:val="auto"/>
              </w:rPr>
              <w:t>JPM PR K</w:t>
            </w:r>
          </w:p>
        </w:tc>
        <w:tc>
          <w:tcPr>
            <w:tcW w:w="1780" w:type="dxa"/>
            <w:vAlign w:val="bottom"/>
          </w:tcPr>
          <w:p>
            <w:pPr>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600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4.625% Non-Cumulative Preferred Stock, Series LL</w:t>
            </w:r>
          </w:p>
        </w:tc>
        <w:tc>
          <w:tcPr>
            <w:tcW w:w="2200" w:type="dxa"/>
            <w:vAlign w:val="bottom"/>
            <w:gridSpan w:val="2"/>
          </w:tcPr>
          <w:p>
            <w:pPr>
              <w:spacing w:after="0"/>
              <w:rPr>
                <w:sz w:val="20"/>
                <w:szCs w:val="20"/>
                <w:color w:val="auto"/>
              </w:rPr>
            </w:pPr>
            <w:r>
              <w:rPr>
                <w:rFonts w:ascii="Arial" w:cs="Arial" w:eastAsia="Arial" w:hAnsi="Arial"/>
                <w:sz w:val="8"/>
                <w:szCs w:val="8"/>
                <w:b w:val="1"/>
                <w:bCs w:val="1"/>
                <w:color w:val="auto"/>
              </w:rPr>
              <w:t>JPM PR L</w:t>
            </w:r>
          </w:p>
        </w:tc>
        <w:tc>
          <w:tcPr>
            <w:tcW w:w="1780" w:type="dxa"/>
            <w:vAlign w:val="bottom"/>
          </w:tcPr>
          <w:p>
            <w:pPr>
              <w:spacing w:after="0"/>
              <w:rPr>
                <w:sz w:val="20"/>
                <w:szCs w:val="20"/>
                <w:color w:val="auto"/>
              </w:rPr>
            </w:pPr>
            <w:r>
              <w:rPr>
                <w:rFonts w:ascii="Arial" w:cs="Arial" w:eastAsia="Arial" w:hAnsi="Arial"/>
                <w:sz w:val="8"/>
                <w:szCs w:val="8"/>
                <w:b w:val="1"/>
                <w:bCs w:val="1"/>
                <w:color w:val="auto"/>
              </w:rPr>
              <w:t>The New York Stock Exchange</w:t>
            </w:r>
          </w:p>
        </w:tc>
      </w:tr>
      <w:tr>
        <w:trPr>
          <w:trHeight w:val="117"/>
        </w:trPr>
        <w:tc>
          <w:tcPr>
            <w:tcW w:w="6000" w:type="dxa"/>
            <w:vAlign w:val="bottom"/>
            <w:gridSpan w:val="2"/>
          </w:tcPr>
          <w:p>
            <w:pPr>
              <w:spacing w:after="0"/>
              <w:rPr>
                <w:sz w:val="20"/>
                <w:szCs w:val="20"/>
                <w:color w:val="auto"/>
              </w:rPr>
            </w:pPr>
            <w:r>
              <w:rPr>
                <w:rFonts w:ascii="Arial" w:cs="Arial" w:eastAsia="Arial" w:hAnsi="Arial"/>
                <w:sz w:val="8"/>
                <w:szCs w:val="8"/>
                <w:b w:val="1"/>
                <w:bCs w:val="1"/>
                <w:color w:val="auto"/>
              </w:rPr>
              <w:t>Depositary Shares, each representing a one-four hundredth interest in a share of 4.20% Non-Cumulative Preferred Stock, Series MM</w:t>
            </w:r>
          </w:p>
        </w:tc>
        <w:tc>
          <w:tcPr>
            <w:tcW w:w="2200" w:type="dxa"/>
            <w:vAlign w:val="bottom"/>
            <w:gridSpan w:val="2"/>
          </w:tcPr>
          <w:p>
            <w:pPr>
              <w:spacing w:after="0"/>
              <w:rPr>
                <w:sz w:val="20"/>
                <w:szCs w:val="20"/>
                <w:color w:val="auto"/>
              </w:rPr>
            </w:pPr>
            <w:r>
              <w:rPr>
                <w:rFonts w:ascii="Arial" w:cs="Arial" w:eastAsia="Arial" w:hAnsi="Arial"/>
                <w:sz w:val="8"/>
                <w:szCs w:val="8"/>
                <w:b w:val="1"/>
                <w:bCs w:val="1"/>
                <w:color w:val="auto"/>
              </w:rPr>
              <w:t>JPM PR M</w:t>
            </w:r>
          </w:p>
        </w:tc>
        <w:tc>
          <w:tcPr>
            <w:tcW w:w="1780" w:type="dxa"/>
            <w:vAlign w:val="bottom"/>
          </w:tcPr>
          <w:p>
            <w:pPr>
              <w:spacing w:after="0"/>
              <w:rPr>
                <w:sz w:val="20"/>
                <w:szCs w:val="20"/>
                <w:color w:val="auto"/>
              </w:rPr>
            </w:pPr>
            <w:r>
              <w:rPr>
                <w:rFonts w:ascii="Arial" w:cs="Arial" w:eastAsia="Arial" w:hAnsi="Arial"/>
                <w:sz w:val="8"/>
                <w:szCs w:val="8"/>
                <w:b w:val="1"/>
                <w:bCs w:val="1"/>
                <w:color w:val="auto"/>
              </w:rPr>
              <w:t>The New York Stock Exchange</w:t>
            </w:r>
          </w:p>
        </w:tc>
      </w:tr>
      <w:tr>
        <w:trPr>
          <w:trHeight w:val="126"/>
        </w:trPr>
        <w:tc>
          <w:tcPr>
            <w:tcW w:w="6000" w:type="dxa"/>
            <w:vAlign w:val="bottom"/>
            <w:gridSpan w:val="2"/>
          </w:tcPr>
          <w:p>
            <w:pPr>
              <w:spacing w:after="0"/>
              <w:rPr>
                <w:sz w:val="20"/>
                <w:szCs w:val="20"/>
                <w:color w:val="auto"/>
              </w:rPr>
            </w:pPr>
            <w:r>
              <w:rPr>
                <w:rFonts w:ascii="Arial" w:cs="Arial" w:eastAsia="Arial" w:hAnsi="Arial"/>
                <w:sz w:val="8"/>
                <w:szCs w:val="8"/>
                <w:b w:val="1"/>
                <w:bCs w:val="1"/>
                <w:color w:val="auto"/>
              </w:rPr>
              <w:t>Alerian MLP Index ETNs due May 24, 2024</w:t>
            </w:r>
          </w:p>
        </w:tc>
        <w:tc>
          <w:tcPr>
            <w:tcW w:w="2200" w:type="dxa"/>
            <w:vAlign w:val="bottom"/>
            <w:gridSpan w:val="2"/>
          </w:tcPr>
          <w:p>
            <w:pPr>
              <w:spacing w:after="0"/>
              <w:rPr>
                <w:sz w:val="20"/>
                <w:szCs w:val="20"/>
                <w:color w:val="auto"/>
              </w:rPr>
            </w:pPr>
            <w:r>
              <w:rPr>
                <w:rFonts w:ascii="Arial" w:cs="Arial" w:eastAsia="Arial" w:hAnsi="Arial"/>
                <w:sz w:val="8"/>
                <w:szCs w:val="8"/>
                <w:b w:val="1"/>
                <w:bCs w:val="1"/>
                <w:color w:val="auto"/>
              </w:rPr>
              <w:t>AMJ</w:t>
            </w:r>
          </w:p>
        </w:tc>
        <w:tc>
          <w:tcPr>
            <w:tcW w:w="1780" w:type="dxa"/>
            <w:vAlign w:val="bottom"/>
          </w:tcPr>
          <w:p>
            <w:pPr>
              <w:spacing w:after="0"/>
              <w:rPr>
                <w:sz w:val="20"/>
                <w:szCs w:val="20"/>
                <w:color w:val="auto"/>
              </w:rPr>
            </w:pPr>
            <w:r>
              <w:rPr>
                <w:rFonts w:ascii="Arial" w:cs="Arial" w:eastAsia="Arial" w:hAnsi="Arial"/>
                <w:sz w:val="8"/>
                <w:szCs w:val="8"/>
                <w:b w:val="1"/>
                <w:bCs w:val="1"/>
                <w:color w:val="auto"/>
              </w:rPr>
              <w:t>NYSE Arca, Inc.</w:t>
            </w:r>
          </w:p>
        </w:tc>
      </w:tr>
      <w:tr>
        <w:trPr>
          <w:trHeight w:val="117"/>
        </w:trPr>
        <w:tc>
          <w:tcPr>
            <w:tcW w:w="6000" w:type="dxa"/>
            <w:vAlign w:val="bottom"/>
            <w:gridSpan w:val="2"/>
          </w:tcPr>
          <w:p>
            <w:pPr>
              <w:spacing w:after="0"/>
              <w:rPr>
                <w:sz w:val="20"/>
                <w:szCs w:val="20"/>
                <w:color w:val="auto"/>
              </w:rPr>
            </w:pPr>
            <w:r>
              <w:rPr>
                <w:rFonts w:ascii="Arial" w:cs="Arial" w:eastAsia="Arial" w:hAnsi="Arial"/>
                <w:sz w:val="8"/>
                <w:szCs w:val="8"/>
                <w:b w:val="1"/>
                <w:bCs w:val="1"/>
                <w:color w:val="auto"/>
              </w:rPr>
              <w:t>Guarantee of Callable Fixed Rate Notes due June 10, 2032 of JPMorgan Chase Financial Company LLC</w:t>
            </w:r>
          </w:p>
        </w:tc>
        <w:tc>
          <w:tcPr>
            <w:tcW w:w="2200" w:type="dxa"/>
            <w:vAlign w:val="bottom"/>
            <w:gridSpan w:val="2"/>
          </w:tcPr>
          <w:p>
            <w:pPr>
              <w:spacing w:after="0"/>
              <w:rPr>
                <w:sz w:val="20"/>
                <w:szCs w:val="20"/>
                <w:color w:val="auto"/>
              </w:rPr>
            </w:pPr>
            <w:r>
              <w:rPr>
                <w:rFonts w:ascii="Arial" w:cs="Arial" w:eastAsia="Arial" w:hAnsi="Arial"/>
                <w:sz w:val="8"/>
                <w:szCs w:val="8"/>
                <w:b w:val="1"/>
                <w:bCs w:val="1"/>
                <w:color w:val="auto"/>
              </w:rPr>
              <w:t>JPM/32</w:t>
            </w:r>
          </w:p>
        </w:tc>
        <w:tc>
          <w:tcPr>
            <w:tcW w:w="1780" w:type="dxa"/>
            <w:vAlign w:val="bottom"/>
          </w:tcPr>
          <w:p>
            <w:pPr>
              <w:spacing w:after="0"/>
              <w:rPr>
                <w:sz w:val="20"/>
                <w:szCs w:val="20"/>
                <w:color w:val="auto"/>
              </w:rPr>
            </w:pPr>
            <w:r>
              <w:rPr>
                <w:rFonts w:ascii="Arial" w:cs="Arial" w:eastAsia="Arial" w:hAnsi="Arial"/>
                <w:sz w:val="8"/>
                <w:szCs w:val="8"/>
                <w:b w:val="1"/>
                <w:bCs w:val="1"/>
                <w:color w:val="auto"/>
              </w:rPr>
              <w:t>The New York Stock Exchange</w:t>
            </w:r>
          </w:p>
        </w:tc>
      </w:tr>
    </w:tbl>
    <w:p>
      <w:pPr>
        <w:spacing w:after="0" w:line="66" w:lineRule="exact"/>
        <w:rPr>
          <w:sz w:val="24"/>
          <w:szCs w:val="24"/>
          <w:color w:val="auto"/>
        </w:rPr>
      </w:pPr>
    </w:p>
    <w:p>
      <w:pPr>
        <w:ind w:right="600"/>
        <w:spacing w:after="0" w:line="145" w:lineRule="exact"/>
        <w:rPr>
          <w:sz w:val="20"/>
          <w:szCs w:val="20"/>
          <w:color w:val="auto"/>
        </w:rPr>
      </w:pPr>
      <w:r>
        <w:rPr>
          <w:rFonts w:ascii="Arial" w:cs="Arial" w:eastAsia="Arial" w:hAnsi="Arial"/>
          <w:sz w:val="10"/>
          <w:szCs w:val="10"/>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0"/>
          <w:szCs w:val="10"/>
          <w:color w:val="auto"/>
        </w:rPr>
        <w:t>☐</w:t>
      </w:r>
    </w:p>
    <w:p>
      <w:pPr>
        <w:spacing w:after="0" w:line="92" w:lineRule="exact"/>
        <w:rPr>
          <w:sz w:val="20"/>
          <w:szCs w:val="20"/>
          <w:color w:val="auto"/>
        </w:rPr>
      </w:pPr>
      <w:r>
        <w:rPr>
          <w:rFonts w:ascii="Arial" w:cs="Arial" w:eastAsia="Arial" w:hAnsi="Arial"/>
          <w:sz w:val="8"/>
          <w:szCs w:val="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381000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740"/>
          </w:cols>
          <w:pgMar w:left="300" w:top="710" w:right="859" w:bottom="1440" w:gutter="0" w:footer="0" w:header="0"/>
        </w:sectPr>
      </w:pPr>
    </w:p>
    <w:bookmarkStart w:id="1" w:name="page2"/>
    <w:bookmarkEnd w:id="1"/>
    <w:p>
      <w:pPr>
        <w:ind w:left="8"/>
        <w:spacing w:after="0"/>
        <w:rPr>
          <w:sz w:val="20"/>
          <w:szCs w:val="20"/>
          <w:color w:val="auto"/>
        </w:rPr>
      </w:pPr>
      <w:r>
        <w:rPr>
          <w:rFonts w:ascii="Arial" w:cs="Arial" w:eastAsia="Arial" w:hAnsi="Arial"/>
          <w:sz w:val="12"/>
          <w:szCs w:val="12"/>
          <w:b w:val="1"/>
          <w:bCs w:val="1"/>
          <w:color w:val="auto"/>
        </w:rPr>
        <w:t>Item 7.01 Regulation FD Disclosure</w:t>
      </w:r>
    </w:p>
    <w:p>
      <w:pPr>
        <w:spacing w:after="0" w:line="48"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July 14, 2023, JPMorgan Chase &amp; Co. (“JPMorgan Chase” or the “Firm”) held an investor presentation to review 2023 second quarter earnings.</w:t>
      </w:r>
    </w:p>
    <w:p>
      <w:pPr>
        <w:spacing w:after="0" w:line="150" w:lineRule="exact"/>
        <w:rPr>
          <w:sz w:val="20"/>
          <w:szCs w:val="20"/>
          <w:color w:val="auto"/>
        </w:rPr>
      </w:pPr>
    </w:p>
    <w:p>
      <w:pPr>
        <w:ind w:left="8" w:right="80"/>
        <w:spacing w:after="0" w:line="263" w:lineRule="auto"/>
        <w:rPr>
          <w:sz w:val="20"/>
          <w:szCs w:val="20"/>
          <w:color w:val="auto"/>
        </w:rPr>
      </w:pPr>
      <w:r>
        <w:rPr>
          <w:rFonts w:ascii="Arial" w:cs="Arial" w:eastAsia="Arial" w:hAnsi="Arial"/>
          <w:sz w:val="12"/>
          <w:szCs w:val="12"/>
          <w:color w:val="auto"/>
        </w:rPr>
        <w:t>Exhibit 99 is a copy of slides furnished for, and posted on the Firm’s website in connection with, the presentation. The slides are being furnished pursuant to Item 7.01, and the information contained therein shall not be deemed to be “filed” for purposes of Section 18 of the Securities Exchange Act of 1934, or otherwise subject to the liabilities under that Section. Furthermore, the information contained in Exhibit 99 shall not be deemed to be incorporated by reference into the filings of the Firm under the Securities Act of 1933.</w:t>
      </w:r>
    </w:p>
    <w:p>
      <w:pPr>
        <w:spacing w:after="0" w:line="118" w:lineRule="exact"/>
        <w:rPr>
          <w:sz w:val="20"/>
          <w:szCs w:val="20"/>
          <w:color w:val="auto"/>
        </w:rPr>
      </w:pPr>
    </w:p>
    <w:p>
      <w:pPr>
        <w:ind w:left="8" w:right="20"/>
        <w:spacing w:after="0" w:line="256" w:lineRule="auto"/>
        <w:rPr>
          <w:sz w:val="20"/>
          <w:szCs w:val="20"/>
          <w:color w:val="auto"/>
        </w:rPr>
      </w:pPr>
      <w:r>
        <w:rPr>
          <w:rFonts w:ascii="Arial" w:cs="Arial" w:eastAsia="Arial" w:hAnsi="Arial"/>
          <w:sz w:val="12"/>
          <w:szCs w:val="12"/>
          <w:i w:val="1"/>
          <w:iCs w:val="1"/>
          <w:color w:val="auto"/>
        </w:rPr>
        <w:t>This Current Report on Form 8-K (including the Exhibit hereto) contains forward-looking statements within the meaning of the Private Securities Litigation Reform Act of 1995. These statements are based on the current beliefs and expectations of JPMorgan Chase’s management and are subject to significant risks and uncertainties. Actual results may differ from those set forth in the forward-looking statements. Factors that could cause JPMorgan Chase’s actual results to differ materially from those described in the forward-looking statements can be found in JPMorgan Chase’s Annual Report on Form 10-K for the year ended December 31, 2022, and Quarterly Report on Form 10-Q for the quarter ended March 31, 2023, which have been filed with the Securities and Exchange Commission and are available on JPMorgan Chase’s website (</w:t>
      </w:r>
      <w:r>
        <w:rPr>
          <w:rFonts w:ascii="Arial" w:cs="Arial" w:eastAsia="Arial" w:hAnsi="Arial"/>
          <w:sz w:val="12"/>
          <w:szCs w:val="12"/>
          <w:i w:val="1"/>
          <w:iCs w:val="1"/>
          <w:u w:val="single" w:color="auto"/>
          <w:color w:val="auto"/>
        </w:rPr>
        <w:t>https://jpmorganchaseco.gcs-web.com/financial-information/sec-filings</w:t>
      </w:r>
      <w:r>
        <w:rPr>
          <w:rFonts w:ascii="Arial" w:cs="Arial" w:eastAsia="Arial" w:hAnsi="Arial"/>
          <w:sz w:val="12"/>
          <w:szCs w:val="12"/>
          <w:i w:val="1"/>
          <w:iCs w:val="1"/>
          <w:color w:val="auto"/>
        </w:rPr>
        <w:t>) and on the Securities and Exchange Commission’s website (</w:t>
      </w:r>
      <w:r>
        <w:rPr>
          <w:rFonts w:ascii="Arial" w:cs="Arial" w:eastAsia="Arial" w:hAnsi="Arial"/>
          <w:sz w:val="12"/>
          <w:szCs w:val="12"/>
          <w:i w:val="1"/>
          <w:iCs w:val="1"/>
          <w:u w:val="single" w:color="auto"/>
          <w:color w:val="auto"/>
        </w:rPr>
        <w:t>www.sec.gov</w:t>
      </w:r>
      <w:r>
        <w:rPr>
          <w:rFonts w:ascii="Arial" w:cs="Arial" w:eastAsia="Arial" w:hAnsi="Arial"/>
          <w:sz w:val="12"/>
          <w:szCs w:val="12"/>
          <w:i w:val="1"/>
          <w:iCs w:val="1"/>
          <w:color w:val="auto"/>
        </w:rPr>
        <w:t>). JPMorgan Chase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74" w:lineRule="exact"/>
        <w:rPr>
          <w:sz w:val="20"/>
          <w:szCs w:val="20"/>
          <w:color w:val="auto"/>
        </w:rPr>
      </w:pPr>
    </w:p>
    <w:p>
      <w:pPr>
        <w:ind w:left="288" w:hanging="288"/>
        <w:spacing w:after="0"/>
        <w:tabs>
          <w:tab w:leader="none" w:pos="288" w:val="left"/>
        </w:tabs>
        <w:numPr>
          <w:ilvl w:val="0"/>
          <w:numId w:val="2"/>
        </w:numPr>
        <w:rPr>
          <w:rFonts w:ascii="Arial" w:cs="Arial" w:eastAsia="Arial" w:hAnsi="Arial"/>
          <w:sz w:val="12"/>
          <w:szCs w:val="12"/>
          <w:color w:val="auto"/>
        </w:rPr>
      </w:pPr>
      <w:r>
        <w:rPr>
          <w:rFonts w:ascii="Arial" w:cs="Arial" w:eastAsia="Arial" w:hAnsi="Arial"/>
          <w:sz w:val="12"/>
          <w:szCs w:val="12"/>
          <w:color w:val="auto"/>
        </w:rPr>
        <w:t>Exhibit</w:t>
      </w:r>
    </w:p>
    <w:p>
      <w:pPr>
        <w:spacing w:after="0" w:line="270"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560" w:type="dxa"/>
            <w:vAlign w:val="bottom"/>
          </w:tcPr>
          <w:p>
            <w:pPr>
              <w:spacing w:after="0"/>
              <w:rPr>
                <w:sz w:val="13"/>
                <w:szCs w:val="13"/>
                <w:color w:val="auto"/>
              </w:rPr>
            </w:pPr>
          </w:p>
        </w:tc>
        <w:tc>
          <w:tcPr>
            <w:tcW w:w="152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Exhibit No.</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80" w:type="dxa"/>
            <w:vAlign w:val="bottom"/>
            <w:tcBorders>
              <w:bottom w:val="single" w:sz="8" w:color="auto"/>
            </w:tcBorders>
            <w:gridSpan w:val="2"/>
          </w:tcPr>
          <w:p>
            <w:pPr>
              <w:ind w:left="3620"/>
              <w:spacing w:after="0"/>
              <w:rPr>
                <w:sz w:val="20"/>
                <w:szCs w:val="20"/>
                <w:color w:val="auto"/>
              </w:rPr>
            </w:pPr>
            <w:r>
              <w:rPr>
                <w:rFonts w:ascii="Arial" w:cs="Arial" w:eastAsia="Arial" w:hAnsi="Arial"/>
                <w:sz w:val="12"/>
                <w:szCs w:val="12"/>
                <w:b w:val="1"/>
                <w:bCs w:val="1"/>
                <w:color w:val="auto"/>
              </w:rPr>
              <w:t>Description of Exhibit</w:t>
            </w:r>
          </w:p>
        </w:tc>
        <w:tc>
          <w:tcPr>
            <w:tcW w:w="580" w:type="dxa"/>
            <w:vAlign w:val="bottom"/>
          </w:tcPr>
          <w:p>
            <w:pPr>
              <w:spacing w:after="0"/>
              <w:rPr>
                <w:sz w:val="13"/>
                <w:szCs w:val="13"/>
                <w:color w:val="auto"/>
              </w:rPr>
            </w:pPr>
          </w:p>
        </w:tc>
      </w:tr>
      <w:tr>
        <w:trPr>
          <w:trHeight w:val="214"/>
        </w:trPr>
        <w:tc>
          <w:tcPr>
            <w:tcW w:w="2080" w:type="dxa"/>
            <w:vAlign w:val="bottom"/>
            <w:gridSpan w:val="2"/>
          </w:tcPr>
          <w:p>
            <w:pPr>
              <w:ind w:left="580"/>
              <w:spacing w:after="0"/>
              <w:rPr>
                <w:sz w:val="20"/>
                <w:szCs w:val="20"/>
                <w:color w:val="auto"/>
              </w:rPr>
            </w:pPr>
            <w:r>
              <w:rPr>
                <w:rFonts w:ascii="Arial" w:cs="Arial" w:eastAsia="Arial" w:hAnsi="Arial"/>
                <w:sz w:val="12"/>
                <w:szCs w:val="12"/>
                <w:color w:val="auto"/>
              </w:rPr>
              <w:t>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Borders>
              <w:bottom w:val="single" w:sz="8" w:color="0000FF"/>
            </w:tcBorders>
          </w:tcPr>
          <w:p>
            <w:pPr>
              <w:spacing w:after="0"/>
              <w:rPr>
                <w:sz w:val="20"/>
                <w:szCs w:val="20"/>
                <w:color w:val="auto"/>
              </w:rPr>
            </w:pPr>
            <w:r>
              <w:rPr>
                <w:rFonts w:ascii="Arial" w:cs="Arial" w:eastAsia="Arial" w:hAnsi="Arial"/>
                <w:sz w:val="12"/>
                <w:szCs w:val="12"/>
                <w:color w:val="0000FF"/>
                <w:w w:val="99"/>
              </w:rPr>
              <w:t>JPMorgan Chase &amp; Co. Earnings Presentation Slides – Financial Results – 2Q23</w:t>
            </w:r>
          </w:p>
        </w:tc>
        <w:tc>
          <w:tcPr>
            <w:tcW w:w="4760" w:type="dxa"/>
            <w:vAlign w:val="bottom"/>
            <w:gridSpan w:val="2"/>
          </w:tcPr>
          <w:p>
            <w:pPr>
              <w:spacing w:after="0"/>
              <w:rPr>
                <w:sz w:val="18"/>
                <w:szCs w:val="18"/>
                <w:color w:val="auto"/>
              </w:rPr>
            </w:pPr>
          </w:p>
        </w:tc>
      </w:tr>
      <w:tr>
        <w:trPr>
          <w:trHeight w:val="169"/>
        </w:trPr>
        <w:tc>
          <w:tcPr>
            <w:tcW w:w="2080" w:type="dxa"/>
            <w:vAlign w:val="bottom"/>
            <w:gridSpan w:val="2"/>
          </w:tcPr>
          <w:p>
            <w:pPr>
              <w:ind w:left="580"/>
              <w:spacing w:after="0"/>
              <w:rPr>
                <w:sz w:val="20"/>
                <w:szCs w:val="20"/>
                <w:color w:val="auto"/>
              </w:rPr>
            </w:pPr>
            <w:r>
              <w:rPr>
                <w:rFonts w:ascii="Arial" w:cs="Arial" w:eastAsia="Arial" w:hAnsi="Arial"/>
                <w:sz w:val="12"/>
                <w:szCs w:val="12"/>
                <w:color w:val="auto"/>
              </w:rPr>
              <w:t>101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gridSpan w:val="3"/>
          </w:tcPr>
          <w:p>
            <w:pPr>
              <w:spacing w:after="0"/>
              <w:rPr>
                <w:sz w:val="20"/>
                <w:szCs w:val="20"/>
                <w:color w:val="auto"/>
              </w:rPr>
            </w:pPr>
            <w:r>
              <w:rPr>
                <w:rFonts w:ascii="Arial" w:cs="Arial" w:eastAsia="Arial" w:hAnsi="Arial"/>
                <w:sz w:val="12"/>
                <w:szCs w:val="12"/>
                <w:color w:val="auto"/>
              </w:rPr>
              <w:t>Pursuant to Rule 406 of Regulation S-T, the cover page is formatted in Inline XBRL (Inline eXtensible Business Reporting Language).</w:t>
            </w:r>
          </w:p>
        </w:tc>
      </w:tr>
      <w:tr>
        <w:trPr>
          <w:trHeight w:val="153"/>
        </w:trPr>
        <w:tc>
          <w:tcPr>
            <w:tcW w:w="2080" w:type="dxa"/>
            <w:vAlign w:val="bottom"/>
            <w:gridSpan w:val="2"/>
          </w:tcPr>
          <w:p>
            <w:pPr>
              <w:ind w:left="580"/>
              <w:spacing w:after="0"/>
              <w:rPr>
                <w:sz w:val="20"/>
                <w:szCs w:val="20"/>
                <w:color w:val="auto"/>
              </w:rPr>
            </w:pPr>
            <w:r>
              <w:rPr>
                <w:rFonts w:ascii="Arial" w:cs="Arial" w:eastAsia="Arial" w:hAnsi="Arial"/>
                <w:sz w:val="12"/>
                <w:szCs w:val="12"/>
                <w:color w:val="auto"/>
              </w:rPr>
              <w:t>104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the Inline XBRL document and included in Exhibit 101).</w:t>
            </w:r>
          </w:p>
        </w:tc>
      </w:tr>
      <w:tr>
        <w:trPr>
          <w:trHeight w:val="738"/>
        </w:trPr>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60" w:type="dxa"/>
            <w:vAlign w:val="bottom"/>
            <w:gridSpan w:val="3"/>
          </w:tcPr>
          <w:p>
            <w:pPr>
              <w:jc w:val="right"/>
              <w:ind w:right="800"/>
              <w:spacing w:after="0"/>
              <w:rPr>
                <w:sz w:val="20"/>
                <w:szCs w:val="20"/>
                <w:color w:val="auto"/>
              </w:rPr>
            </w:pPr>
            <w:r>
              <w:rPr>
                <w:rFonts w:ascii="Arial" w:cs="Arial" w:eastAsia="Arial" w:hAnsi="Arial"/>
                <w:sz w:val="12"/>
                <w:szCs w:val="12"/>
                <w:color w:val="auto"/>
              </w:rPr>
              <w:t>2</w:t>
            </w:r>
          </w:p>
        </w:tc>
        <w:tc>
          <w:tcPr>
            <w:tcW w:w="4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72"/>
        </w:trPr>
        <w:tc>
          <w:tcPr>
            <w:tcW w:w="560" w:type="dxa"/>
            <w:vAlign w:val="bottom"/>
            <w:tcBorders>
              <w:bottom w:val="single" w:sz="8" w:color="9A9A9A"/>
            </w:tcBorders>
          </w:tcPr>
          <w:p>
            <w:pPr>
              <w:spacing w:after="0"/>
              <w:rPr>
                <w:sz w:val="6"/>
                <w:szCs w:val="6"/>
                <w:color w:val="auto"/>
              </w:rPr>
            </w:pPr>
          </w:p>
        </w:tc>
        <w:tc>
          <w:tcPr>
            <w:tcW w:w="15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300" w:type="dxa"/>
            <w:vAlign w:val="bottom"/>
            <w:tcBorders>
              <w:bottom w:val="single" w:sz="8" w:color="9A9A9A"/>
            </w:tcBorders>
          </w:tcPr>
          <w:p>
            <w:pPr>
              <w:spacing w:after="0"/>
              <w:rPr>
                <w:sz w:val="6"/>
                <w:szCs w:val="6"/>
                <w:color w:val="auto"/>
              </w:rPr>
            </w:pPr>
          </w:p>
        </w:tc>
        <w:tc>
          <w:tcPr>
            <w:tcW w:w="41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638"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u w:val="single" w:color="auto"/>
          <w:color w:val="auto"/>
        </w:rPr>
        <w:t>SIGNATURE</w:t>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96" w:lineRule="exact"/>
        <w:rPr>
          <w:sz w:val="20"/>
          <w:szCs w:val="20"/>
          <w:color w:val="auto"/>
        </w:rPr>
      </w:pPr>
    </w:p>
    <w:tbl>
      <w:tblPr>
        <w:tblLayout w:type="fixed"/>
        <w:tblInd w:w="5800" w:type="dxa"/>
        <w:tblCellMar>
          <w:top w:w="0" w:type="dxa"/>
          <w:left w:w="0" w:type="dxa"/>
          <w:bottom w:w="0" w:type="dxa"/>
          <w:right w:w="0" w:type="dxa"/>
        </w:tblCellMar>
      </w:tblPr>
      <w:tr>
        <w:trPr>
          <w:trHeight w:val="153"/>
        </w:trPr>
        <w:tc>
          <w:tcPr>
            <w:tcW w:w="5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JPMorgan Chase &amp; Co.</w:t>
            </w:r>
          </w:p>
        </w:tc>
      </w:tr>
      <w:tr>
        <w:trPr>
          <w:trHeight w:val="142"/>
        </w:trPr>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60" w:type="dxa"/>
            <w:vAlign w:val="bottom"/>
          </w:tcPr>
          <w:p>
            <w:pPr>
              <w:jc w:val="center"/>
              <w:spacing w:after="0"/>
              <w:rPr>
                <w:sz w:val="20"/>
                <w:szCs w:val="20"/>
                <w:color w:val="auto"/>
              </w:rPr>
            </w:pPr>
            <w:r>
              <w:rPr>
                <w:rFonts w:ascii="Arial" w:cs="Arial" w:eastAsia="Arial" w:hAnsi="Arial"/>
                <w:sz w:val="12"/>
                <w:szCs w:val="12"/>
                <w:color w:val="auto"/>
                <w:w w:val="98"/>
              </w:rPr>
              <w:t>(Registrant)</w:t>
            </w:r>
          </w:p>
        </w:tc>
      </w:tr>
      <w:tr>
        <w:trPr>
          <w:trHeight w:val="396"/>
        </w:trPr>
        <w:tc>
          <w:tcPr>
            <w:tcW w:w="520" w:type="dxa"/>
            <w:vAlign w:val="bottom"/>
          </w:tcPr>
          <w:p>
            <w:pPr>
              <w:spacing w:after="0"/>
              <w:rPr>
                <w:sz w:val="20"/>
                <w:szCs w:val="20"/>
                <w:color w:val="auto"/>
              </w:rPr>
            </w:pPr>
            <w:r>
              <w:rPr>
                <w:rFonts w:ascii="Arial" w:cs="Arial" w:eastAsia="Arial" w:hAnsi="Arial"/>
                <w:sz w:val="12"/>
                <w:szCs w:val="12"/>
                <w:color w:val="auto"/>
              </w:rPr>
              <w:t>By:</w:t>
            </w:r>
          </w:p>
        </w:tc>
        <w:tc>
          <w:tcPr>
            <w:tcW w:w="20" w:type="dxa"/>
            <w:vAlign w:val="bottom"/>
          </w:tcPr>
          <w:p>
            <w:pPr>
              <w:spacing w:after="0"/>
              <w:rPr>
                <w:sz w:val="24"/>
                <w:szCs w:val="24"/>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Elena Korablina</w:t>
            </w:r>
          </w:p>
        </w:tc>
      </w:tr>
      <w:tr>
        <w:trPr>
          <w:trHeight w:val="142"/>
        </w:trPr>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60" w:type="dxa"/>
            <w:vAlign w:val="bottom"/>
          </w:tcPr>
          <w:p>
            <w:pPr>
              <w:jc w:val="center"/>
              <w:spacing w:after="0"/>
              <w:rPr>
                <w:sz w:val="20"/>
                <w:szCs w:val="20"/>
                <w:color w:val="auto"/>
              </w:rPr>
            </w:pPr>
            <w:r>
              <w:rPr>
                <w:rFonts w:ascii="Arial" w:cs="Arial" w:eastAsia="Arial" w:hAnsi="Arial"/>
                <w:sz w:val="12"/>
                <w:szCs w:val="12"/>
                <w:color w:val="auto"/>
                <w:w w:val="99"/>
              </w:rPr>
              <w:t>Elena Korablina</w:t>
            </w:r>
          </w:p>
        </w:tc>
      </w:tr>
      <w:tr>
        <w:trPr>
          <w:trHeight w:val="162"/>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60" w:type="dxa"/>
            <w:vAlign w:val="bottom"/>
          </w:tcPr>
          <w:p>
            <w:pPr>
              <w:jc w:val="center"/>
              <w:spacing w:after="0"/>
              <w:rPr>
                <w:sz w:val="20"/>
                <w:szCs w:val="20"/>
                <w:color w:val="auto"/>
              </w:rPr>
            </w:pPr>
            <w:r>
              <w:rPr>
                <w:rFonts w:ascii="Arial" w:cs="Arial" w:eastAsia="Arial" w:hAnsi="Arial"/>
                <w:sz w:val="12"/>
                <w:szCs w:val="12"/>
                <w:color w:val="auto"/>
                <w:w w:val="99"/>
              </w:rPr>
              <w:t>Managing Director and Firmwide Controller</w:t>
            </w:r>
          </w:p>
        </w:tc>
      </w:tr>
      <w:tr>
        <w:trPr>
          <w:trHeight w:val="153"/>
        </w:trPr>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Pr>
          <w:p>
            <w:pPr>
              <w:jc w:val="center"/>
              <w:spacing w:after="0"/>
              <w:rPr>
                <w:sz w:val="20"/>
                <w:szCs w:val="20"/>
                <w:color w:val="auto"/>
              </w:rPr>
            </w:pPr>
            <w:r>
              <w:rPr>
                <w:rFonts w:ascii="Arial" w:cs="Arial" w:eastAsia="Arial" w:hAnsi="Arial"/>
                <w:sz w:val="12"/>
                <w:szCs w:val="12"/>
                <w:color w:val="auto"/>
                <w:w w:val="99"/>
              </w:rPr>
              <w:t>(Principal Accounting Officer)</w:t>
            </w:r>
          </w:p>
        </w:tc>
      </w:tr>
    </w:tbl>
    <w:p>
      <w:pPr>
        <w:spacing w:after="0" w:line="270"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color w:val="auto"/>
        </w:rPr>
        <w:t>Dated:</w:t>
        <w:tab/>
        <w:t>July 14, 2023</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779" w:right="29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5495" cy="3644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9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9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9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2023-07-14T09:17:10Z</dcterms:created>
  <dcterms:modified xsi:type="dcterms:W3CDTF">2023-07-14T09:17:10Z</dcterms:modified>
</cp:coreProperties>
</file>