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299549-01_fwp.htm"/>
      <w:bookmarkStart w:id="1" w:name="ksea029954901_fwp"/>
      <w:bookmarkStart w:id="2" w:name="ea0299549-01_fwp.htm"/>
      <w:bookmarkStart w:id="3" w:name="ksea029954901_fwp"/>
      <w:bookmarkEnd w:id="2"/>
      <w:bookmarkEnd w:id="3"/>
    </w:p>
    <w:tbl>
      <w:tblPr>
        <w:tblW w:w="10205" w:type="dxa"/>
        <w:jc w:val="left"/>
        <w:tblInd w:w="0" w:type="dxa"/>
        <w:tblLayout w:type="fixed"/>
        <w:tblCellMar>
          <w:top w:w="0" w:type="dxa"/>
          <w:left w:w="0" w:type="dxa"/>
          <w:bottom w:w="0" w:type="dxa"/>
          <w:right w:w="0" w:type="dxa"/>
        </w:tblCellMar>
      </w:tblPr>
      <w:tblGrid>
        <w:gridCol w:w="7036"/>
        <w:gridCol w:w="3169"/>
      </w:tblGrid>
      <w:tr>
        <w:trPr/>
        <w:tc>
          <w:tcPr>
            <w:tcW w:w="7036" w:type="dxa"/>
            <w:vMerge w:val="restart"/>
            <w:tcBorders/>
            <w:vAlign w:val="center"/>
          </w:tcPr>
          <w:p>
            <w:pPr>
              <w:pStyle w:val="TableContents"/>
              <w:bidi w:val="0"/>
              <w:spacing w:before="0" w:after="0"/>
              <w:ind w:left="0" w:right="0" w:hanging="0"/>
              <w:jc w:val="left"/>
              <w:rPr>
                <w:rFonts w:ascii="Verdana;sans-serif" w:hAnsi="Verdana;sans-serif"/>
                <w:b/>
                <w:i w:val="false"/>
                <w:caps w:val="false"/>
                <w:smallCaps w:val="false"/>
                <w:color w:val="BB0826"/>
                <w:sz w:val="32"/>
              </w:rPr>
            </w:pPr>
            <w:r>
              <w:rPr>
                <w:rFonts w:ascii="Verdana;sans-serif" w:hAnsi="Verdana;sans-serif"/>
                <w:b/>
                <w:i w:val="false"/>
                <w:caps w:val="false"/>
                <w:smallCaps w:val="false"/>
                <w:color w:val="BB0826"/>
                <w:sz w:val="32"/>
              </w:rPr>
              <w:t>JPMorgan Chase Financial Company LLC</w:t>
            </w:r>
          </w:p>
          <w:p>
            <w:pPr>
              <w:pStyle w:val="TableContents"/>
              <w:bidi w:val="0"/>
              <w:spacing w:before="0" w:after="0"/>
              <w:ind w:left="0" w:right="0" w:hanging="0"/>
              <w:jc w:val="both"/>
              <w:rPr>
                <w:rFonts w:ascii="Verdana;sans-serif" w:hAnsi="Verdana;sans-serif"/>
                <w:b/>
                <w:i/>
                <w:caps w:val="false"/>
                <w:smallCaps w:val="false"/>
                <w:color w:val="BB0826"/>
                <w:sz w:val="20"/>
              </w:rPr>
            </w:pPr>
            <w:r>
              <w:rPr>
                <w:rFonts w:ascii="Verdana;sans-serif" w:hAnsi="Verdana;sans-serif"/>
                <w:b/>
                <w:i/>
                <w:caps w:val="false"/>
                <w:smallCaps w:val="false"/>
                <w:color w:val="BB0826"/>
                <w:sz w:val="20"/>
              </w:rPr>
              <w:t>Fully and Unconditionally Guaranteed by JPMorgan Chase &amp; Co.</w:t>
            </w:r>
          </w:p>
          <w:p>
            <w:pPr>
              <w:pStyle w:val="TableContents"/>
              <w:bidi w:val="0"/>
              <w:spacing w:before="0" w:after="0"/>
              <w:ind w:left="0" w:right="0" w:hanging="0"/>
              <w:jc w:val="left"/>
              <w:rPr>
                <w:rFonts w:ascii="Verdana;sans-serif" w:hAnsi="Verdana;sans-serif"/>
                <w:b/>
                <w:i w:val="false"/>
                <w:caps w:val="false"/>
                <w:smallCaps w:val="false"/>
                <w:color w:val="BB0826"/>
                <w:sz w:val="24"/>
              </w:rPr>
            </w:pPr>
            <w:r>
              <w:rPr>
                <w:rFonts w:ascii="Verdana;sans-serif" w:hAnsi="Verdana;sans-serif"/>
                <w:b/>
                <w:i w:val="false"/>
                <w:caps w:val="false"/>
                <w:smallCaps w:val="false"/>
                <w:color w:val="BB0826"/>
                <w:sz w:val="24"/>
              </w:rPr>
              <w:t>Market Linked Securities</w:t>
            </w:r>
          </w:p>
        </w:tc>
        <w:tc>
          <w:tcPr>
            <w:tcW w:w="3169" w:type="dxa"/>
            <w:tcBorders/>
            <w:vAlign w:val="center"/>
          </w:tcPr>
          <w:p>
            <w:pPr>
              <w:pStyle w:val="TableContents"/>
              <w:bidi w:val="0"/>
              <w:spacing w:before="0" w:after="0"/>
              <w:ind w:left="0" w:right="0" w:hanging="0"/>
              <w:jc w:val="right"/>
              <w:rPr>
                <w:rFonts w:ascii="Verdana;sans-serif" w:hAnsi="Verdana;sans-serif"/>
                <w:b w:val="false"/>
                <w:i w:val="false"/>
                <w:caps w:val="false"/>
                <w:smallCaps w:val="false"/>
                <w:sz w:val="14"/>
              </w:rPr>
            </w:pPr>
            <w:r>
              <w:rPr>
                <w:rFonts w:ascii="Verdana;sans-serif" w:hAnsi="Verdana;sans-serif"/>
                <w:b w:val="false"/>
                <w:i w:val="false"/>
                <w:caps w:val="false"/>
                <w:smallCaps w:val="false"/>
                <w:sz w:val="14"/>
              </w:rPr>
              <w:t>Filed Pursuant to Rule 433</w:t>
            </w:r>
          </w:p>
          <w:p>
            <w:pPr>
              <w:pStyle w:val="TableContents"/>
              <w:bidi w:val="0"/>
              <w:spacing w:before="0" w:after="0"/>
              <w:ind w:left="0" w:right="0" w:hanging="0"/>
              <w:jc w:val="right"/>
              <w:rPr>
                <w:rFonts w:ascii="Verdana;sans-serif" w:hAnsi="Verdana;sans-serif"/>
                <w:b w:val="false"/>
                <w:i w:val="false"/>
                <w:caps w:val="false"/>
                <w:smallCaps w:val="false"/>
                <w:sz w:val="14"/>
              </w:rPr>
            </w:pPr>
            <w:r>
              <w:rPr>
                <w:rFonts w:ascii="Verdana;sans-serif" w:hAnsi="Verdana;sans-serif"/>
                <w:b w:val="false"/>
                <w:i w:val="false"/>
                <w:caps w:val="false"/>
                <w:smallCaps w:val="false"/>
                <w:sz w:val="14"/>
              </w:rPr>
              <w:t>Registration Statement Nos. 333-293684 and</w:t>
              <w:br/>
              <w:t>333-293684-01</w:t>
            </w:r>
          </w:p>
        </w:tc>
      </w:tr>
      <w:tr>
        <w:trPr/>
        <w:tc>
          <w:tcPr>
            <w:tcW w:w="7036" w:type="dxa"/>
            <w:vMerge w:val="continue"/>
            <w:tcBorders/>
            <w:vAlign w:val="center"/>
          </w:tcPr>
          <w:p>
            <w:pPr>
              <w:pStyle w:val="Normal"/>
              <w:bidi w:val="0"/>
              <w:jc w:val="left"/>
              <w:rPr/>
            </w:pPr>
            <w:r>
              <w:rPr/>
            </w:r>
          </w:p>
        </w:tc>
        <w:tc>
          <w:tcPr>
            <w:tcW w:w="3169"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Verdana;sans-serif" w:hAnsi="Verdana;sans-serif"/>
                <w:b w:val="false"/>
                <w:i w:val="false"/>
                <w:caps w:val="false"/>
                <w:smallCaps w:val="false"/>
                <w:color w:val="FFFFFF"/>
                <w:sz w:val="20"/>
              </w:rPr>
            </w:pPr>
            <w:r>
              <w:rPr>
                <w:rFonts w:ascii="Verdana;sans-serif" w:hAnsi="Verdan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0" w:after="0"/>
              <w:ind w:left="0" w:right="0" w:hanging="0"/>
              <w:jc w:val="left"/>
              <w:rPr>
                <w:rFonts w:ascii="Verdana;sans-serif" w:hAnsi="Verdana;sans-serif"/>
                <w:b w:val="false"/>
                <w:i w:val="false"/>
                <w:caps w:val="false"/>
                <w:smallCaps w:val="false"/>
                <w:color w:val="FFFFFF"/>
                <w:sz w:val="20"/>
              </w:rPr>
            </w:pPr>
            <w:r>
              <w:rPr>
                <w:rFonts w:ascii="Verdana;sans-serif" w:hAnsi="Verdana;sans-serif"/>
                <w:b w:val="false"/>
                <w:i w:val="false"/>
                <w:caps w:val="false"/>
                <w:smallCaps w:val="false"/>
                <w:color w:val="FFFFFF"/>
                <w:sz w:val="20"/>
              </w:rPr>
              <w:t>Principal at Risk Securities Linked to the Lowest Performing of the Common Stock of Netflix, Inc., the Class A Common Stock of Affirm Holdings, Inc. and the Common Stock of Oracle Corporation due August 2, 2029</w:t>
            </w:r>
          </w:p>
          <w:p>
            <w:pPr>
              <w:pStyle w:val="TableContents"/>
              <w:bidi w:val="0"/>
              <w:spacing w:before="0" w:after="0"/>
              <w:ind w:left="0" w:right="0" w:hanging="0"/>
              <w:jc w:val="left"/>
              <w:rPr>
                <w:rFonts w:ascii="Verdana;sans-serif" w:hAnsi="Verdana;sans-serif"/>
                <w:b w:val="false"/>
                <w:i w:val="false"/>
                <w:caps w:val="false"/>
                <w:smallCaps w:val="false"/>
                <w:color w:val="FFFFFF"/>
                <w:sz w:val="20"/>
              </w:rPr>
            </w:pPr>
            <w:r>
              <w:rPr>
                <w:rFonts w:ascii="Verdana;sans-serif" w:hAnsi="Verdana;sans-serif"/>
                <w:b w:val="false"/>
                <w:i w:val="false"/>
                <w:caps w:val="false"/>
                <w:smallCaps w:val="false"/>
                <w:color w:val="FFFFFF"/>
                <w:sz w:val="20"/>
              </w:rPr>
              <w:t>Fact Sheet dated July 28, 2026 to Preliminary Pricing Supplement dated July 28, 2026</w:t>
            </w:r>
          </w:p>
        </w:tc>
      </w:tr>
    </w:tbl>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8839835"/>
                <wp:effectExtent l="0" t="0" r="0" b="0"/>
                <wp:wrapSquare wrapText="right"/>
                <wp:docPr id="2" name="Frame1"/>
                <a:graphic xmlns:a="http://schemas.openxmlformats.org/drawingml/2006/main">
                  <a:graphicData uri="http://schemas.microsoft.com/office/word/2010/wordprocessingShape">
                    <wps:wsp>
                      <wps:cNvSpPr txBox="1"/>
                      <wps:spPr>
                        <a:xfrm>
                          <a:off x="0" y="0"/>
                          <a:ext cx="3110230" cy="8839835"/>
                        </a:xfrm>
                        <a:prstGeom prst="rect"/>
                        <a:solidFill>
                          <a:srgbClr val="FFFFFF"/>
                        </a:solidFill>
                      </wps:spPr>
                      <wps:txbx>
                        <w:txbxContent>
                          <w:p>
                            <w:pPr>
                              <w:pStyle w:val="TextBody"/>
                              <w:bidi w:val="0"/>
                              <w:spacing w:before="0" w:after="0"/>
                              <w:ind w:left="90" w:right="0" w:hanging="0"/>
                              <w:jc w:val="left"/>
                              <w:rPr>
                                <w:rFonts w:ascii="Verdana;sans-serif" w:hAnsi="Verdana;sans-serif"/>
                                <w:b w:val="false"/>
                                <w:i w:val="false"/>
                                <w:caps w:val="false"/>
                                <w:smallCaps w:val="false"/>
                                <w:color w:val="8F8F8F"/>
                                <w:sz w:val="26"/>
                              </w:rPr>
                            </w:pPr>
                            <w:r>
                              <w:rPr>
                                <w:rFonts w:ascii="Verdana;sans-serif" w:hAnsi="Verdana;sans-serif"/>
                                <w:b w:val="false"/>
                                <w:i w:val="false"/>
                                <w:caps w:val="false"/>
                                <w:smallCaps w:val="false"/>
                                <w:color w:val="8F8F8F"/>
                                <w:sz w:val="26"/>
                              </w:rPr>
                              <w:t>Summary of Terms</w:t>
                            </w:r>
                          </w:p>
                          <w:tbl>
                            <w:tblPr>
                              <w:tblW w:w="10205" w:type="dxa"/>
                              <w:jc w:val="left"/>
                              <w:tblInd w:w="-10" w:type="dxa"/>
                              <w:tblLayout w:type="fixed"/>
                              <w:tblCellMar>
                                <w:top w:w="28" w:type="dxa"/>
                                <w:left w:w="90" w:type="dxa"/>
                                <w:bottom w:w="28" w:type="dxa"/>
                                <w:right w:w="108" w:type="dxa"/>
                              </w:tblCellMar>
                            </w:tblPr>
                            <w:tblGrid>
                              <w:gridCol w:w="1145"/>
                              <w:gridCol w:w="9060"/>
                            </w:tblGrid>
                            <w:tr>
                              <w:trPr/>
                              <w:tc>
                                <w:tcPr>
                                  <w:tcW w:w="11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Issuer:</w:t>
                                  </w:r>
                                </w:p>
                              </w:tc>
                              <w:tc>
                                <w:tcPr>
                                  <w:tcW w:w="90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JPMorgan Chase Financial Company LLC, a direct, wholly owned finance subsidiary of 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Guarantor:</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Underlying Stocks:</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The common stock of Netflix, Inc. (Bloomberg ticker: NFLX), the Class A common stock of Affirm Holdings, Inc. (Bloomberg ticker: AFRM) and the common stock of Oracle Corporation (Bloomberg ticker: ORCL)</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Pricing Date</w:t>
                                  </w:r>
                                  <w:r>
                                    <w:rPr>
                                      <w:rFonts w:ascii="Georgia;serif" w:hAnsi="Georgia;serif"/>
                                      <w:b w:val="false"/>
                                      <w:i w:val="false"/>
                                      <w:caps w:val="false"/>
                                      <w:smallCaps w:val="false"/>
                                      <w:position w:val="5"/>
                                      <w:sz w:val="13"/>
                                      <w:sz w:val="16"/>
                                    </w:rPr>
                                    <w:t>1</w:t>
                                  </w:r>
                                  <w:r>
                                    <w:rPr>
                                      <w:rFonts w:ascii="Georgia;serif" w:hAnsi="Georgia;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July 29,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Issue Date</w:t>
                                  </w:r>
                                  <w:r>
                                    <w:rPr>
                                      <w:rFonts w:ascii="Georgia;serif" w:hAnsi="Georgia;serif"/>
                                      <w:b w:val="false"/>
                                      <w:i w:val="false"/>
                                      <w:caps w:val="false"/>
                                      <w:smallCaps w:val="false"/>
                                      <w:position w:val="5"/>
                                      <w:sz w:val="13"/>
                                      <w:sz w:val="16"/>
                                    </w:rPr>
                                    <w:t>1</w:t>
                                  </w:r>
                                  <w:r>
                                    <w:rPr>
                                      <w:rFonts w:ascii="Georgia;serif" w:hAnsi="Georgia;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August 3,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Stated Maturity Date</w:t>
                                  </w:r>
                                  <w:r>
                                    <w:rPr>
                                      <w:rFonts w:ascii="Georgia;serif" w:hAnsi="Georgia;serif"/>
                                      <w:b w:val="false"/>
                                      <w:i w:val="false"/>
                                      <w:caps w:val="false"/>
                                      <w:smallCaps w:val="false"/>
                                      <w:position w:val="5"/>
                                      <w:sz w:val="13"/>
                                      <w:sz w:val="16"/>
                                    </w:rPr>
                                    <w:t>1, 2</w:t>
                                  </w:r>
                                  <w:r>
                                    <w:rPr>
                                      <w:rFonts w:ascii="Georgia;serif" w:hAnsi="Georgia;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August 2, 2029</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Principal Amount: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$1,000 per security (100% of par)</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Contingent Coupon Payment: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serif" w:hAnsi="Georgia;serif"/>
                                      <w:b/>
                                      <w:i w:val="false"/>
                                      <w:caps w:val="false"/>
                                      <w:smallCaps w:val="false"/>
                                      <w:sz w:val="16"/>
                                    </w:rPr>
                                    <w:t>and only if</w:t>
                                  </w:r>
                                  <w:r>
                                    <w:rPr>
                                      <w:rFonts w:ascii="Georgia;serif" w:hAnsi="Georgia;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serif" w:hAnsi="Georgia;serif"/>
                                      <w:b w:val="false"/>
                                      <w:i/>
                                      <w:caps w:val="false"/>
                                      <w:smallCaps w:val="false"/>
                                      <w:sz w:val="16"/>
                                    </w:rPr>
                                    <w:t>plus</w:t>
                                  </w:r>
                                  <w:r>
                                    <w:rPr>
                                      <w:rFonts w:ascii="Georgia;serif" w:hAnsi="Georgia;serif"/>
                                      <w:b w:val="false"/>
                                      <w:i w:val="false"/>
                                      <w:caps w:val="false"/>
                                      <w:smallCaps w:val="false"/>
                                      <w:sz w:val="16"/>
                                    </w:rPr>
                                    <w:t xml:space="preserve"> all previously unpaid contingent coupon payments (without interest on amounts previously unpaid). Each “</w:t>
                                  </w:r>
                                  <w:r>
                                    <w:rPr>
                                      <w:rFonts w:ascii="Georgia;serif" w:hAnsi="Georgia;serif"/>
                                      <w:b w:val="false"/>
                                      <w:i w:val="false"/>
                                      <w:caps w:val="false"/>
                                      <w:smallCaps w:val="false"/>
                                      <w:sz w:val="16"/>
                                      <w:u w:val="single"/>
                                    </w:rPr>
                                    <w:t>contingent coupon payment</w:t>
                                  </w:r>
                                  <w:r>
                                    <w:rPr>
                                      <w:rFonts w:ascii="Georgia;serif" w:hAnsi="Georgia;serif"/>
                                      <w:b w:val="false"/>
                                      <w:i w:val="false"/>
                                      <w:caps w:val="false"/>
                                      <w:smallCaps w:val="false"/>
                                      <w:sz w:val="16"/>
                                    </w:rPr>
                                    <w:t>,” if any, will be calculated per security as follows:</w:t>
                                  </w:r>
                                </w:p>
                                <w:p>
                                  <w:pPr>
                                    <w:pStyle w:val="TableContents"/>
                                    <w:bidi w:val="0"/>
                                    <w:spacing w:before="0" w:after="0"/>
                                    <w:ind w:left="0" w:right="0" w:hanging="0"/>
                                    <w:jc w:val="center"/>
                                    <w:rPr>
                                      <w:rFonts w:ascii="Georgia;serif" w:hAnsi="Georgia;serif"/>
                                      <w:b w:val="false"/>
                                      <w:i w:val="false"/>
                                      <w:caps w:val="false"/>
                                      <w:smallCaps w:val="false"/>
                                      <w:sz w:val="16"/>
                                    </w:rPr>
                                  </w:pPr>
                                  <w:r>
                                    <w:rPr>
                                      <w:rFonts w:ascii="Georgia;serif" w:hAnsi="Georgia;serif"/>
                                      <w:b w:val="false"/>
                                      <w:i w:val="false"/>
                                      <w:caps w:val="false"/>
                                      <w:smallCaps w:val="false"/>
                                      <w:sz w:val="16"/>
                                    </w:rPr>
                                    <w:t>($1,000 × contingent coupon rate) / 12.</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Contingent Coupon Payment Dates</w:t>
                                  </w:r>
                                  <w:r>
                                    <w:rPr>
                                      <w:rFonts w:ascii="Georgia;serif" w:hAnsi="Georgia;serif"/>
                                      <w:b w:val="false"/>
                                      <w:i w:val="false"/>
                                      <w:caps w:val="false"/>
                                      <w:smallCaps w:val="false"/>
                                      <w:position w:val="5"/>
                                      <w:sz w:val="13"/>
                                      <w:sz w:val="16"/>
                                    </w:rPr>
                                    <w:t>1, 2</w:t>
                                  </w:r>
                                  <w:r>
                                    <w:rPr>
                                      <w:rFonts w:ascii="Georgia;serif" w:hAnsi="Georgia;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 xml:space="preserve">Monthly, on the third business day following each calculation day, </w:t>
                                  </w:r>
                                  <w:r>
                                    <w:rPr>
                                      <w:rFonts w:ascii="Georgia;serif" w:hAnsi="Georgia;serif"/>
                                      <w:b w:val="false"/>
                                      <w:i/>
                                      <w:caps w:val="false"/>
                                      <w:smallCaps w:val="false"/>
                                      <w:sz w:val="16"/>
                                    </w:rPr>
                                    <w:t xml:space="preserve">provided </w:t>
                                  </w:r>
                                  <w:r>
                                    <w:rPr>
                                      <w:rFonts w:ascii="Georgia;serif" w:hAnsi="Georgia;serif"/>
                                      <w:b w:val="false"/>
                                      <w:i w:val="false"/>
                                      <w:caps w:val="false"/>
                                      <w:smallCaps w:val="false"/>
                                      <w:sz w:val="16"/>
                                    </w:rPr>
                                    <w:t>that the contingent coupon payment date with respect to the final calculation day will be the stated maturity date</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Contingent Coupon Rate:</w:t>
                                  </w:r>
                                </w:p>
                              </w:tc>
                              <w:tc>
                                <w:tcPr>
                                  <w:tcW w:w="9060"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At least 26.35% per annum (to be provided in the pricing supplement)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 xml:space="preserve">Automatic Call: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 xml:space="preserve">If the stock closing price of the lowest performing Underlying Stock on any of the calculation days from January 2027 to June 2029,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serif" w:hAnsi="Georgia;serif"/>
                                      <w:b w:val="false"/>
                                      <w:i/>
                                      <w:caps w:val="false"/>
                                      <w:smallCaps w:val="false"/>
                                      <w:sz w:val="16"/>
                                    </w:rPr>
                                    <w:t>plus</w:t>
                                  </w:r>
                                  <w:r>
                                    <w:rPr>
                                      <w:rFonts w:ascii="Georgia;serif" w:hAnsi="Georgia;serif"/>
                                      <w:b w:val="false"/>
                                      <w:i w:val="false"/>
                                      <w:caps w:val="false"/>
                                      <w:smallCaps w:val="false"/>
                                      <w:sz w:val="16"/>
                                    </w:rPr>
                                    <w:t xml:space="preserve"> a final contingent coupon payment and any previously unpaid contingent coupon payments. </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Calculation Days</w:t>
                                  </w:r>
                                  <w:r>
                                    <w:rPr>
                                      <w:rFonts w:ascii="Georgia;serif" w:hAnsi="Georgia;serif"/>
                                      <w:b w:val="false"/>
                                      <w:i w:val="false"/>
                                      <w:caps w:val="false"/>
                                      <w:smallCaps w:val="false"/>
                                      <w:position w:val="5"/>
                                      <w:sz w:val="13"/>
                                      <w:sz w:val="16"/>
                                    </w:rPr>
                                    <w:t>1, 2</w:t>
                                  </w:r>
                                  <w:r>
                                    <w:rPr>
                                      <w:rFonts w:ascii="Georgia;serif" w:hAnsi="Georgia;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Monthly, on the 28</w:t>
                                  </w:r>
                                  <w:r>
                                    <w:rPr>
                                      <w:rFonts w:ascii="Georgia;serif" w:hAnsi="Georgia;serif"/>
                                      <w:b w:val="false"/>
                                      <w:i w:val="false"/>
                                      <w:caps w:val="false"/>
                                      <w:smallCaps w:val="false"/>
                                      <w:position w:val="5"/>
                                      <w:sz w:val="13"/>
                                      <w:sz w:val="16"/>
                                    </w:rPr>
                                    <w:t>th</w:t>
                                  </w:r>
                                  <w:r>
                                    <w:rPr>
                                      <w:rFonts w:ascii="Georgia;serif" w:hAnsi="Georgia;serif"/>
                                      <w:b w:val="false"/>
                                      <w:i w:val="false"/>
                                      <w:caps w:val="false"/>
                                      <w:smallCaps w:val="false"/>
                                      <w:sz w:val="16"/>
                                    </w:rPr>
                                    <w:t xml:space="preserve"> day of each month, commencing August 2026 and ending July 2029, </w:t>
                                  </w:r>
                                  <w:r>
                                    <w:rPr>
                                      <w:rFonts w:ascii="Georgia;serif" w:hAnsi="Georgia;serif"/>
                                      <w:b w:val="false"/>
                                      <w:i/>
                                      <w:caps w:val="false"/>
                                      <w:smallCaps w:val="false"/>
                                      <w:sz w:val="16"/>
                                    </w:rPr>
                                    <w:t>provided</w:t>
                                  </w:r>
                                  <w:r>
                                    <w:rPr>
                                      <w:rFonts w:ascii="Georgia;serif" w:hAnsi="Georgia;serif"/>
                                      <w:b w:val="false"/>
                                      <w:i w:val="false"/>
                                      <w:caps w:val="false"/>
                                      <w:smallCaps w:val="false"/>
                                      <w:sz w:val="16"/>
                                    </w:rPr>
                                    <w:t xml:space="preserve"> that the July 2029 calculation day will be July 30, 2029. We refer to July 30, 2029 as the “</w:t>
                                  </w:r>
                                  <w:r>
                                    <w:rPr>
                                      <w:rFonts w:ascii="Georgia;serif" w:hAnsi="Georgia;serif"/>
                                      <w:b w:val="false"/>
                                      <w:i w:val="false"/>
                                      <w:caps w:val="false"/>
                                      <w:smallCaps w:val="false"/>
                                      <w:sz w:val="16"/>
                                      <w:u w:val="single"/>
                                    </w:rPr>
                                    <w:t>final calculation day</w:t>
                                  </w:r>
                                  <w:r>
                                    <w:rPr>
                                      <w:rFonts w:ascii="Georgia;serif" w:hAnsi="Georgia;serif"/>
                                      <w:b w:val="false"/>
                                      <w:i w:val="false"/>
                                      <w:caps w:val="false"/>
                                      <w:smallCaps w:val="false"/>
                                      <w:sz w:val="16"/>
                                    </w:rPr>
                                    <w: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Call Settlement Date</w:t>
                                  </w:r>
                                  <w:r>
                                    <w:rPr>
                                      <w:rFonts w:ascii="Georgia;serif" w:hAnsi="Georgia;serif"/>
                                      <w:b w:val="false"/>
                                      <w:i w:val="false"/>
                                      <w:caps w:val="false"/>
                                      <w:smallCaps w:val="false"/>
                                      <w:position w:val="5"/>
                                      <w:sz w:val="13"/>
                                      <w:sz w:val="16"/>
                                    </w:rPr>
                                    <w:t>1, 2</w:t>
                                  </w:r>
                                  <w:r>
                                    <w:rPr>
                                      <w:rFonts w:ascii="Georgia;serif" w:hAnsi="Georgia;serif"/>
                                      <w:b w:val="false"/>
                                      <w:i w:val="false"/>
                                      <w:caps w:val="false"/>
                                      <w:smallCaps w:val="false"/>
                                      <w:sz w:val="16"/>
                                    </w:rPr>
                                    <w:t xml:space="preserve">: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Three business days after the applicable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Maturity Payment Amount (per Security):</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If the securities are not automatically called:</w:t>
                                  </w:r>
                                </w:p>
                                <w:p>
                                  <w:pPr>
                                    <w:pStyle w:val="TableContents"/>
                                    <w:bidi w:val="0"/>
                                    <w:spacing w:before="0" w:after="0"/>
                                    <w:ind w:left="173" w:right="0" w:hanging="187"/>
                                    <w:jc w:val="left"/>
                                    <w:rPr>
                                      <w:rFonts w:ascii="Times New Roman;serif" w:hAnsi="Times New Roman;serif"/>
                                      <w:b w:val="false"/>
                                      <w:i w:val="false"/>
                                      <w:caps w:val="false"/>
                                      <w:smallCaps w:val="false"/>
                                      <w:sz w:val="20"/>
                                    </w:rPr>
                                  </w:pPr>
                                  <w:r>
                                    <w:rPr>
                                      <w:rFonts w:ascii="Symbol" w:hAnsi="Symbol"/>
                                      <w:b w:val="false"/>
                                      <w:i w:val="false"/>
                                      <w:caps w:val="false"/>
                                      <w:smallCaps w:val="false"/>
                                      <w:sz w:val="16"/>
                                    </w:rPr>
                                    <w:t>·</w:t>
                                  </w:r>
                                  <w:r>
                                    <w:rPr>
                                      <w:rFonts w:ascii="Times New Roman;serif" w:hAnsi="Times New Roman;serif"/>
                                      <w:b w:val="false"/>
                                      <w:i w:val="false"/>
                                      <w:caps w:val="false"/>
                                      <w:smallCaps w:val="false"/>
                                      <w:sz w:val="20"/>
                                    </w:rPr>
                                    <w:t>   </w:t>
                                  </w:r>
                                  <w:r>
                                    <w:rPr>
                                      <w:rFonts w:ascii="Georgia;serif" w:hAnsi="Georgia;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0" w:after="0"/>
                                    <w:ind w:left="160" w:right="0" w:hanging="180"/>
                                    <w:jc w:val="left"/>
                                    <w:rPr>
                                      <w:rFonts w:ascii="Times New Roman;serif" w:hAnsi="Times New Roman;serif"/>
                                      <w:b w:val="false"/>
                                      <w:i w:val="false"/>
                                      <w:caps w:val="false"/>
                                      <w:smallCaps w:val="false"/>
                                      <w:sz w:val="20"/>
                                    </w:rPr>
                                  </w:pPr>
                                  <w:r>
                                    <w:rPr>
                                      <w:rFonts w:ascii="Symbol" w:hAnsi="Symbol"/>
                                      <w:b w:val="false"/>
                                      <w:i w:val="false"/>
                                      <w:caps w:val="false"/>
                                      <w:smallCaps w:val="false"/>
                                      <w:sz w:val="16"/>
                                    </w:rPr>
                                    <w:t>·</w:t>
                                  </w:r>
                                  <w:r>
                                    <w:rPr>
                                      <w:rFonts w:ascii="Times New Roman;serif" w:hAnsi="Times New Roman;serif"/>
                                      <w:b w:val="false"/>
                                      <w:i w:val="false"/>
                                      <w:caps w:val="false"/>
                                      <w:smallCaps w:val="false"/>
                                      <w:sz w:val="20"/>
                                    </w:rPr>
                                    <w:t xml:space="preserve">   </w:t>
                                  </w:r>
                                  <w:r>
                                    <w:rPr>
                                      <w:rFonts w:ascii="Georgia;serif" w:hAnsi="Georgia;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0" w:after="0"/>
                                    <w:ind w:left="160" w:right="0" w:hanging="180"/>
                                    <w:jc w:val="left"/>
                                    <w:rPr>
                                      <w:caps w:val="false"/>
                                      <w:smallCaps w:val="false"/>
                                    </w:rPr>
                                  </w:pPr>
                                  <w:r>
                                    <w:rPr>
                                      <w:caps w:val="false"/>
                                      <w:smallCaps w:val="false"/>
                                    </w:rPr>
                                    <w:t>   </w:t>
                                  </w:r>
                                  <w:r>
                                    <w:rPr>
                                      <w:rFonts w:ascii="Times New Roman;serif" w:hAnsi="Times New Roman;serif"/>
                                      <w:b w:val="false"/>
                                      <w:i w:val="false"/>
                                      <w:caps w:val="false"/>
                                      <w:smallCaps w:val="false"/>
                                      <w:sz w:val="20"/>
                                    </w:rPr>
                                    <w:t>$1,000 + ($1,000 × stock return of the lowest performing Underlying Stock on the final calculation day)</w:t>
                                  </w:r>
                                </w:p>
                                <w:p>
                                  <w:pPr>
                                    <w:pStyle w:val="TableContents"/>
                                    <w:bidi w:val="0"/>
                                    <w:spacing w:before="0" w:after="0"/>
                                    <w:ind w:left="0" w:right="0" w:hanging="0"/>
                                    <w:jc w:val="center"/>
                                    <w:rPr>
                                      <w:caps w:val="false"/>
                                      <w:smallCaps w:val="false"/>
                                    </w:rPr>
                                  </w:pPr>
                                  <w:r>
                                    <w:rPr>
                                      <w:caps w:val="false"/>
                                      <w:smallCaps w:val="false"/>
                                    </w:rPr>
                                    <w:t> </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color w:val="000000"/>
                                      <w:sz w:val="16"/>
                                    </w:rPr>
                                  </w:pPr>
                                  <w:r>
                                    <w:rPr>
                                      <w:rFonts w:ascii="Georgia;serif" w:hAnsi="Georgia;serif"/>
                                      <w:b w:val="false"/>
                                      <w:i w:val="false"/>
                                      <w:caps w:val="false"/>
                                      <w:smallCaps w:val="false"/>
                                      <w:color w:val="000000"/>
                                      <w:sz w:val="16"/>
                                    </w:rPr>
                                    <w:t>Lowest Performing Underlying Stock:</w:t>
                                  </w:r>
                                </w:p>
                              </w:tc>
                              <w:tc>
                                <w:tcPr>
                                  <w:tcW w:w="906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For any calculation day, the “</w:t>
                                  </w:r>
                                  <w:r>
                                    <w:rPr>
                                      <w:rFonts w:ascii="Georgia;serif" w:hAnsi="Georgia;serif"/>
                                      <w:b w:val="false"/>
                                      <w:i w:val="false"/>
                                      <w:caps w:val="false"/>
                                      <w:smallCaps w:val="false"/>
                                      <w:sz w:val="16"/>
                                      <w:u w:val="single"/>
                                    </w:rPr>
                                    <w:t>lowest performing Underlying Stock</w:t>
                                  </w:r>
                                  <w:r>
                                    <w:rPr>
                                      <w:rFonts w:ascii="Georgia;serif" w:hAnsi="Georgia;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9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90" w:right="0" w:hanging="0"/>
                        <w:jc w:val="left"/>
                        <w:rPr>
                          <w:rFonts w:ascii="Verdana;sans-serif" w:hAnsi="Verdana;sans-serif"/>
                          <w:b w:val="false"/>
                          <w:i w:val="false"/>
                          <w:caps w:val="false"/>
                          <w:smallCaps w:val="false"/>
                          <w:color w:val="8F8F8F"/>
                          <w:sz w:val="26"/>
                        </w:rPr>
                      </w:pPr>
                      <w:r>
                        <w:rPr>
                          <w:rFonts w:ascii="Verdana;sans-serif" w:hAnsi="Verdana;sans-serif"/>
                          <w:b w:val="false"/>
                          <w:i w:val="false"/>
                          <w:caps w:val="false"/>
                          <w:smallCaps w:val="false"/>
                          <w:color w:val="8F8F8F"/>
                          <w:sz w:val="26"/>
                        </w:rPr>
                        <w:t>Summary of Terms</w:t>
                      </w:r>
                    </w:p>
                    <w:tbl>
                      <w:tblPr>
                        <w:tblW w:w="10205" w:type="dxa"/>
                        <w:jc w:val="left"/>
                        <w:tblInd w:w="-10" w:type="dxa"/>
                        <w:tblLayout w:type="fixed"/>
                        <w:tblCellMar>
                          <w:top w:w="28" w:type="dxa"/>
                          <w:left w:w="90" w:type="dxa"/>
                          <w:bottom w:w="28" w:type="dxa"/>
                          <w:right w:w="108" w:type="dxa"/>
                        </w:tblCellMar>
                      </w:tblPr>
                      <w:tblGrid>
                        <w:gridCol w:w="1145"/>
                        <w:gridCol w:w="9060"/>
                      </w:tblGrid>
                      <w:tr>
                        <w:trPr/>
                        <w:tc>
                          <w:tcPr>
                            <w:tcW w:w="11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Issuer:</w:t>
                            </w:r>
                          </w:p>
                        </w:tc>
                        <w:tc>
                          <w:tcPr>
                            <w:tcW w:w="90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JPMorgan Chase Financial Company LLC, a direct, wholly owned finance subsidiary of 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Guarantor:</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Underlying Stocks:</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The common stock of Netflix, Inc. (Bloomberg ticker: NFLX), the Class A common stock of Affirm Holdings, Inc. (Bloomberg ticker: AFRM) and the common stock of Oracle Corporation (Bloomberg ticker: ORCL)</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Pricing Date</w:t>
                            </w:r>
                            <w:r>
                              <w:rPr>
                                <w:rFonts w:ascii="Georgia;serif" w:hAnsi="Georgia;serif"/>
                                <w:b w:val="false"/>
                                <w:i w:val="false"/>
                                <w:caps w:val="false"/>
                                <w:smallCaps w:val="false"/>
                                <w:position w:val="5"/>
                                <w:sz w:val="13"/>
                                <w:sz w:val="16"/>
                              </w:rPr>
                              <w:t>1</w:t>
                            </w:r>
                            <w:r>
                              <w:rPr>
                                <w:rFonts w:ascii="Georgia;serif" w:hAnsi="Georgia;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July 29,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Issue Date</w:t>
                            </w:r>
                            <w:r>
                              <w:rPr>
                                <w:rFonts w:ascii="Georgia;serif" w:hAnsi="Georgia;serif"/>
                                <w:b w:val="false"/>
                                <w:i w:val="false"/>
                                <w:caps w:val="false"/>
                                <w:smallCaps w:val="false"/>
                                <w:position w:val="5"/>
                                <w:sz w:val="13"/>
                                <w:sz w:val="16"/>
                              </w:rPr>
                              <w:t>1</w:t>
                            </w:r>
                            <w:r>
                              <w:rPr>
                                <w:rFonts w:ascii="Georgia;serif" w:hAnsi="Georgia;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August 3,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Stated Maturity Date</w:t>
                            </w:r>
                            <w:r>
                              <w:rPr>
                                <w:rFonts w:ascii="Georgia;serif" w:hAnsi="Georgia;serif"/>
                                <w:b w:val="false"/>
                                <w:i w:val="false"/>
                                <w:caps w:val="false"/>
                                <w:smallCaps w:val="false"/>
                                <w:position w:val="5"/>
                                <w:sz w:val="13"/>
                                <w:sz w:val="16"/>
                              </w:rPr>
                              <w:t>1, 2</w:t>
                            </w:r>
                            <w:r>
                              <w:rPr>
                                <w:rFonts w:ascii="Georgia;serif" w:hAnsi="Georgia;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August 2, 2029</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Principal Amount: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$1,000 per security (100% of par)</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Contingent Coupon Payment: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serif" w:hAnsi="Georgia;serif"/>
                                <w:b/>
                                <w:i w:val="false"/>
                                <w:caps w:val="false"/>
                                <w:smallCaps w:val="false"/>
                                <w:sz w:val="16"/>
                              </w:rPr>
                              <w:t>and only if</w:t>
                            </w:r>
                            <w:r>
                              <w:rPr>
                                <w:rFonts w:ascii="Georgia;serif" w:hAnsi="Georgia;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serif" w:hAnsi="Georgia;serif"/>
                                <w:b w:val="false"/>
                                <w:i/>
                                <w:caps w:val="false"/>
                                <w:smallCaps w:val="false"/>
                                <w:sz w:val="16"/>
                              </w:rPr>
                              <w:t>plus</w:t>
                            </w:r>
                            <w:r>
                              <w:rPr>
                                <w:rFonts w:ascii="Georgia;serif" w:hAnsi="Georgia;serif"/>
                                <w:b w:val="false"/>
                                <w:i w:val="false"/>
                                <w:caps w:val="false"/>
                                <w:smallCaps w:val="false"/>
                                <w:sz w:val="16"/>
                              </w:rPr>
                              <w:t xml:space="preserve"> all previously unpaid contingent coupon payments (without interest on amounts previously unpaid). Each “</w:t>
                            </w:r>
                            <w:r>
                              <w:rPr>
                                <w:rFonts w:ascii="Georgia;serif" w:hAnsi="Georgia;serif"/>
                                <w:b w:val="false"/>
                                <w:i w:val="false"/>
                                <w:caps w:val="false"/>
                                <w:smallCaps w:val="false"/>
                                <w:sz w:val="16"/>
                                <w:u w:val="single"/>
                              </w:rPr>
                              <w:t>contingent coupon payment</w:t>
                            </w:r>
                            <w:r>
                              <w:rPr>
                                <w:rFonts w:ascii="Georgia;serif" w:hAnsi="Georgia;serif"/>
                                <w:b w:val="false"/>
                                <w:i w:val="false"/>
                                <w:caps w:val="false"/>
                                <w:smallCaps w:val="false"/>
                                <w:sz w:val="16"/>
                              </w:rPr>
                              <w:t>,” if any, will be calculated per security as follows:</w:t>
                            </w:r>
                          </w:p>
                          <w:p>
                            <w:pPr>
                              <w:pStyle w:val="TableContents"/>
                              <w:bidi w:val="0"/>
                              <w:spacing w:before="0" w:after="0"/>
                              <w:ind w:left="0" w:right="0" w:hanging="0"/>
                              <w:jc w:val="center"/>
                              <w:rPr>
                                <w:rFonts w:ascii="Georgia;serif" w:hAnsi="Georgia;serif"/>
                                <w:b w:val="false"/>
                                <w:i w:val="false"/>
                                <w:caps w:val="false"/>
                                <w:smallCaps w:val="false"/>
                                <w:sz w:val="16"/>
                              </w:rPr>
                            </w:pPr>
                            <w:r>
                              <w:rPr>
                                <w:rFonts w:ascii="Georgia;serif" w:hAnsi="Georgia;serif"/>
                                <w:b w:val="false"/>
                                <w:i w:val="false"/>
                                <w:caps w:val="false"/>
                                <w:smallCaps w:val="false"/>
                                <w:sz w:val="16"/>
                              </w:rPr>
                              <w:t>($1,000 × contingent coupon rate) / 12.</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Contingent Coupon Payment Dates</w:t>
                            </w:r>
                            <w:r>
                              <w:rPr>
                                <w:rFonts w:ascii="Georgia;serif" w:hAnsi="Georgia;serif"/>
                                <w:b w:val="false"/>
                                <w:i w:val="false"/>
                                <w:caps w:val="false"/>
                                <w:smallCaps w:val="false"/>
                                <w:position w:val="5"/>
                                <w:sz w:val="13"/>
                                <w:sz w:val="16"/>
                              </w:rPr>
                              <w:t>1, 2</w:t>
                            </w:r>
                            <w:r>
                              <w:rPr>
                                <w:rFonts w:ascii="Georgia;serif" w:hAnsi="Georgia;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 xml:space="preserve">Monthly, on the third business day following each calculation day, </w:t>
                            </w:r>
                            <w:r>
                              <w:rPr>
                                <w:rFonts w:ascii="Georgia;serif" w:hAnsi="Georgia;serif"/>
                                <w:b w:val="false"/>
                                <w:i/>
                                <w:caps w:val="false"/>
                                <w:smallCaps w:val="false"/>
                                <w:sz w:val="16"/>
                              </w:rPr>
                              <w:t xml:space="preserve">provided </w:t>
                            </w:r>
                            <w:r>
                              <w:rPr>
                                <w:rFonts w:ascii="Georgia;serif" w:hAnsi="Georgia;serif"/>
                                <w:b w:val="false"/>
                                <w:i w:val="false"/>
                                <w:caps w:val="false"/>
                                <w:smallCaps w:val="false"/>
                                <w:sz w:val="16"/>
                              </w:rPr>
                              <w:t>that the contingent coupon payment date with respect to the final calculation day will be the stated maturity date</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Contingent Coupon Rate:</w:t>
                            </w:r>
                          </w:p>
                        </w:tc>
                        <w:tc>
                          <w:tcPr>
                            <w:tcW w:w="9060"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At least 26.35% per annum (to be provided in the pricing supplement)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 xml:space="preserve">Automatic Call: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 xml:space="preserve">If the stock closing price of the lowest performing Underlying Stock on any of the calculation days from January 2027 to June 2029,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serif" w:hAnsi="Georgia;serif"/>
                                <w:b w:val="false"/>
                                <w:i/>
                                <w:caps w:val="false"/>
                                <w:smallCaps w:val="false"/>
                                <w:sz w:val="16"/>
                              </w:rPr>
                              <w:t>plus</w:t>
                            </w:r>
                            <w:r>
                              <w:rPr>
                                <w:rFonts w:ascii="Georgia;serif" w:hAnsi="Georgia;serif"/>
                                <w:b w:val="false"/>
                                <w:i w:val="false"/>
                                <w:caps w:val="false"/>
                                <w:smallCaps w:val="false"/>
                                <w:sz w:val="16"/>
                              </w:rPr>
                              <w:t xml:space="preserve"> a final contingent coupon payment and any previously unpaid contingent coupon payments. </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Calculation Days</w:t>
                            </w:r>
                            <w:r>
                              <w:rPr>
                                <w:rFonts w:ascii="Georgia;serif" w:hAnsi="Georgia;serif"/>
                                <w:b w:val="false"/>
                                <w:i w:val="false"/>
                                <w:caps w:val="false"/>
                                <w:smallCaps w:val="false"/>
                                <w:position w:val="5"/>
                                <w:sz w:val="13"/>
                                <w:sz w:val="16"/>
                              </w:rPr>
                              <w:t>1, 2</w:t>
                            </w:r>
                            <w:r>
                              <w:rPr>
                                <w:rFonts w:ascii="Georgia;serif" w:hAnsi="Georgia;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Monthly, on the 28</w:t>
                            </w:r>
                            <w:r>
                              <w:rPr>
                                <w:rFonts w:ascii="Georgia;serif" w:hAnsi="Georgia;serif"/>
                                <w:b w:val="false"/>
                                <w:i w:val="false"/>
                                <w:caps w:val="false"/>
                                <w:smallCaps w:val="false"/>
                                <w:position w:val="5"/>
                                <w:sz w:val="13"/>
                                <w:sz w:val="16"/>
                              </w:rPr>
                              <w:t>th</w:t>
                            </w:r>
                            <w:r>
                              <w:rPr>
                                <w:rFonts w:ascii="Georgia;serif" w:hAnsi="Georgia;serif"/>
                                <w:b w:val="false"/>
                                <w:i w:val="false"/>
                                <w:caps w:val="false"/>
                                <w:smallCaps w:val="false"/>
                                <w:sz w:val="16"/>
                              </w:rPr>
                              <w:t xml:space="preserve"> day of each month, commencing August 2026 and ending July 2029, </w:t>
                            </w:r>
                            <w:r>
                              <w:rPr>
                                <w:rFonts w:ascii="Georgia;serif" w:hAnsi="Georgia;serif"/>
                                <w:b w:val="false"/>
                                <w:i/>
                                <w:caps w:val="false"/>
                                <w:smallCaps w:val="false"/>
                                <w:sz w:val="16"/>
                              </w:rPr>
                              <w:t>provided</w:t>
                            </w:r>
                            <w:r>
                              <w:rPr>
                                <w:rFonts w:ascii="Georgia;serif" w:hAnsi="Georgia;serif"/>
                                <w:b w:val="false"/>
                                <w:i w:val="false"/>
                                <w:caps w:val="false"/>
                                <w:smallCaps w:val="false"/>
                                <w:sz w:val="16"/>
                              </w:rPr>
                              <w:t xml:space="preserve"> that the July 2029 calculation day will be July 30, 2029. We refer to July 30, 2029 as the “</w:t>
                            </w:r>
                            <w:r>
                              <w:rPr>
                                <w:rFonts w:ascii="Georgia;serif" w:hAnsi="Georgia;serif"/>
                                <w:b w:val="false"/>
                                <w:i w:val="false"/>
                                <w:caps w:val="false"/>
                                <w:smallCaps w:val="false"/>
                                <w:sz w:val="16"/>
                                <w:u w:val="single"/>
                              </w:rPr>
                              <w:t>final calculation day</w:t>
                            </w:r>
                            <w:r>
                              <w:rPr>
                                <w:rFonts w:ascii="Georgia;serif" w:hAnsi="Georgia;serif"/>
                                <w:b w:val="false"/>
                                <w:i w:val="false"/>
                                <w:caps w:val="false"/>
                                <w:smallCaps w:val="false"/>
                                <w:sz w:val="16"/>
                              </w:rPr>
                              <w: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Call Settlement Date</w:t>
                            </w:r>
                            <w:r>
                              <w:rPr>
                                <w:rFonts w:ascii="Georgia;serif" w:hAnsi="Georgia;serif"/>
                                <w:b w:val="false"/>
                                <w:i w:val="false"/>
                                <w:caps w:val="false"/>
                                <w:smallCaps w:val="false"/>
                                <w:position w:val="5"/>
                                <w:sz w:val="13"/>
                                <w:sz w:val="16"/>
                              </w:rPr>
                              <w:t>1, 2</w:t>
                            </w:r>
                            <w:r>
                              <w:rPr>
                                <w:rFonts w:ascii="Georgia;serif" w:hAnsi="Georgia;serif"/>
                                <w:b w:val="false"/>
                                <w:i w:val="false"/>
                                <w:caps w:val="false"/>
                                <w:smallCaps w:val="false"/>
                                <w:sz w:val="16"/>
                              </w:rPr>
                              <w:t xml:space="preserve">: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Three business days after the applicable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Maturity Payment Amount (per Security):</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If the securities are not automatically called:</w:t>
                            </w:r>
                          </w:p>
                          <w:p>
                            <w:pPr>
                              <w:pStyle w:val="TableContents"/>
                              <w:bidi w:val="0"/>
                              <w:spacing w:before="0" w:after="0"/>
                              <w:ind w:left="173" w:right="0" w:hanging="187"/>
                              <w:jc w:val="left"/>
                              <w:rPr>
                                <w:rFonts w:ascii="Times New Roman;serif" w:hAnsi="Times New Roman;serif"/>
                                <w:b w:val="false"/>
                                <w:i w:val="false"/>
                                <w:caps w:val="false"/>
                                <w:smallCaps w:val="false"/>
                                <w:sz w:val="20"/>
                              </w:rPr>
                            </w:pPr>
                            <w:r>
                              <w:rPr>
                                <w:rFonts w:ascii="Symbol" w:hAnsi="Symbol"/>
                                <w:b w:val="false"/>
                                <w:i w:val="false"/>
                                <w:caps w:val="false"/>
                                <w:smallCaps w:val="false"/>
                                <w:sz w:val="16"/>
                              </w:rPr>
                              <w:t>·</w:t>
                            </w:r>
                            <w:r>
                              <w:rPr>
                                <w:rFonts w:ascii="Times New Roman;serif" w:hAnsi="Times New Roman;serif"/>
                                <w:b w:val="false"/>
                                <w:i w:val="false"/>
                                <w:caps w:val="false"/>
                                <w:smallCaps w:val="false"/>
                                <w:sz w:val="20"/>
                              </w:rPr>
                              <w:t>   </w:t>
                            </w:r>
                            <w:r>
                              <w:rPr>
                                <w:rFonts w:ascii="Georgia;serif" w:hAnsi="Georgia;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0" w:after="0"/>
                              <w:ind w:left="160" w:right="0" w:hanging="180"/>
                              <w:jc w:val="left"/>
                              <w:rPr>
                                <w:rFonts w:ascii="Times New Roman;serif" w:hAnsi="Times New Roman;serif"/>
                                <w:b w:val="false"/>
                                <w:i w:val="false"/>
                                <w:caps w:val="false"/>
                                <w:smallCaps w:val="false"/>
                                <w:sz w:val="20"/>
                              </w:rPr>
                            </w:pPr>
                            <w:r>
                              <w:rPr>
                                <w:rFonts w:ascii="Symbol" w:hAnsi="Symbol"/>
                                <w:b w:val="false"/>
                                <w:i w:val="false"/>
                                <w:caps w:val="false"/>
                                <w:smallCaps w:val="false"/>
                                <w:sz w:val="16"/>
                              </w:rPr>
                              <w:t>·</w:t>
                            </w:r>
                            <w:r>
                              <w:rPr>
                                <w:rFonts w:ascii="Times New Roman;serif" w:hAnsi="Times New Roman;serif"/>
                                <w:b w:val="false"/>
                                <w:i w:val="false"/>
                                <w:caps w:val="false"/>
                                <w:smallCaps w:val="false"/>
                                <w:sz w:val="20"/>
                              </w:rPr>
                              <w:t xml:space="preserve">   </w:t>
                            </w:r>
                            <w:r>
                              <w:rPr>
                                <w:rFonts w:ascii="Georgia;serif" w:hAnsi="Georgia;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0" w:after="0"/>
                              <w:ind w:left="160" w:right="0" w:hanging="180"/>
                              <w:jc w:val="left"/>
                              <w:rPr>
                                <w:caps w:val="false"/>
                                <w:smallCaps w:val="false"/>
                              </w:rPr>
                            </w:pPr>
                            <w:r>
                              <w:rPr>
                                <w:caps w:val="false"/>
                                <w:smallCaps w:val="false"/>
                              </w:rPr>
                              <w:t>   </w:t>
                            </w:r>
                            <w:r>
                              <w:rPr>
                                <w:rFonts w:ascii="Times New Roman;serif" w:hAnsi="Times New Roman;serif"/>
                                <w:b w:val="false"/>
                                <w:i w:val="false"/>
                                <w:caps w:val="false"/>
                                <w:smallCaps w:val="false"/>
                                <w:sz w:val="20"/>
                              </w:rPr>
                              <w:t>$1,000 + ($1,000 × stock return of the lowest performing Underlying Stock on the final calculation day)</w:t>
                            </w:r>
                          </w:p>
                          <w:p>
                            <w:pPr>
                              <w:pStyle w:val="TableContents"/>
                              <w:bidi w:val="0"/>
                              <w:spacing w:before="0" w:after="0"/>
                              <w:ind w:left="0" w:right="0" w:hanging="0"/>
                              <w:jc w:val="center"/>
                              <w:rPr>
                                <w:caps w:val="false"/>
                                <w:smallCaps w:val="false"/>
                              </w:rPr>
                            </w:pPr>
                            <w:r>
                              <w:rPr>
                                <w:caps w:val="false"/>
                                <w:smallCaps w:val="false"/>
                              </w:rPr>
                              <w:t> </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color w:val="000000"/>
                                <w:sz w:val="16"/>
                              </w:rPr>
                            </w:pPr>
                            <w:r>
                              <w:rPr>
                                <w:rFonts w:ascii="Georgia;serif" w:hAnsi="Georgia;serif"/>
                                <w:b w:val="false"/>
                                <w:i w:val="false"/>
                                <w:caps w:val="false"/>
                                <w:smallCaps w:val="false"/>
                                <w:color w:val="000000"/>
                                <w:sz w:val="16"/>
                              </w:rPr>
                              <w:t>Lowest Performing Underlying Stock:</w:t>
                            </w:r>
                          </w:p>
                        </w:tc>
                        <w:tc>
                          <w:tcPr>
                            <w:tcW w:w="906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For any calculation day, the “</w:t>
                            </w:r>
                            <w:r>
                              <w:rPr>
                                <w:rFonts w:ascii="Georgia;serif" w:hAnsi="Georgia;serif"/>
                                <w:b w:val="false"/>
                                <w:i w:val="false"/>
                                <w:caps w:val="false"/>
                                <w:smallCaps w:val="false"/>
                                <w:sz w:val="16"/>
                                <w:u w:val="single"/>
                              </w:rPr>
                              <w:t>lowest performing Underlying Stock</w:t>
                            </w:r>
                            <w:r>
                              <w:rPr>
                                <w:rFonts w:ascii="Georgia;serif" w:hAnsi="Georgia;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23977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239770" cy="9972040"/>
                        </a:xfrm>
                        <a:prstGeom prst="rect"/>
                        <a:solidFill>
                          <a:srgbClr val="FFFFFF"/>
                        </a:solidFill>
                      </wps:spPr>
                      <wps:txbx>
                        <w:txbxContent>
                          <w:p>
                            <w:pPr>
                              <w:pStyle w:val="TextBody"/>
                              <w:bidi w:val="0"/>
                              <w:spacing w:before="0" w:after="0"/>
                              <w:ind w:left="90" w:right="0" w:hanging="0"/>
                              <w:jc w:val="left"/>
                              <w:rPr>
                                <w:rFonts w:ascii="Verdana;sans-serif" w:hAnsi="Verdana;sans-serif"/>
                                <w:b w:val="false"/>
                                <w:i w:val="false"/>
                                <w:caps w:val="false"/>
                                <w:smallCaps w:val="false"/>
                                <w:color w:val="8F8F8F"/>
                                <w:sz w:val="26"/>
                              </w:rPr>
                            </w:pPr>
                            <w:r>
                              <w:rPr>
                                <w:rFonts w:ascii="Verdana;sans-serif" w:hAnsi="Verdana;sans-serif"/>
                                <w:b w:val="false"/>
                                <w:i w:val="false"/>
                                <w:caps w:val="false"/>
                                <w:smallCaps w:val="false"/>
                                <w:color w:val="8F8F8F"/>
                                <w:sz w:val="26"/>
                              </w:rPr>
                              <w:t>Summary of Terms (continued)</w:t>
                            </w:r>
                          </w:p>
                          <w:tbl>
                            <w:tblPr>
                              <w:tblW w:w="10205" w:type="dxa"/>
                              <w:jc w:val="left"/>
                              <w:tblInd w:w="-10" w:type="dxa"/>
                              <w:tblLayout w:type="fixed"/>
                              <w:tblCellMar>
                                <w:top w:w="28" w:type="dxa"/>
                                <w:left w:w="90"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For each Underlying Stock, 45%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J.P. Morgan Securities LLC (“</w:t>
                                  </w:r>
                                  <w:r>
                                    <w:rPr>
                                      <w:rFonts w:ascii="Georgia;serif" w:hAnsi="Georgia;serif"/>
                                      <w:b w:val="false"/>
                                      <w:i w:val="false"/>
                                      <w:caps w:val="false"/>
                                      <w:smallCaps w:val="false"/>
                                      <w:sz w:val="16"/>
                                      <w:u w:val="single"/>
                                    </w:rPr>
                                    <w:t>JPMS</w:t>
                                  </w:r>
                                  <w:r>
                                    <w:rPr>
                                      <w:rFonts w:ascii="Georgia;serif" w:hAnsi="Georgia;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46661KYS1</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Up to 2.325% for Wells Fargo Securities, LLC (“</w:t>
                                  </w:r>
                                  <w:r>
                                    <w:rPr>
                                      <w:rFonts w:ascii="Georgia;serif" w:hAnsi="Georgia;serif"/>
                                      <w:b w:val="false"/>
                                      <w:i w:val="false"/>
                                      <w:caps w:val="false"/>
                                      <w:smallCaps w:val="false"/>
                                      <w:sz w:val="16"/>
                                      <w:u w:val="single"/>
                                    </w:rPr>
                                    <w:t>WFS</w:t>
                                  </w:r>
                                  <w:r>
                                    <w:rPr>
                                      <w:rFonts w:ascii="Georgia;serif" w:hAnsi="Georgia;serif"/>
                                      <w:b w:val="false"/>
                                      <w:i w:val="false"/>
                                      <w:caps w:val="false"/>
                                      <w:smallCaps w:val="false"/>
                                      <w:sz w:val="16"/>
                                    </w:rPr>
                                    <w:t>”); WFS has advised us that dealers, including Wells Fargo Advisors (“</w:t>
                                  </w:r>
                                  <w:r>
                                    <w:rPr>
                                      <w:rFonts w:ascii="Georgia;serif" w:hAnsi="Georgia;serif"/>
                                      <w:b w:val="false"/>
                                      <w:i w:val="false"/>
                                      <w:caps w:val="false"/>
                                      <w:smallCaps w:val="false"/>
                                      <w:sz w:val="16"/>
                                      <w:u w:val="single"/>
                                    </w:rPr>
                                    <w:t>WFA</w:t>
                                  </w:r>
                                  <w:r>
                                    <w:rPr>
                                      <w:rFonts w:ascii="Georgia;serif" w:hAnsi="Georgia;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0"/>
                                    <w:ind w:left="0" w:right="0" w:hanging="0"/>
                                    <w:jc w:val="left"/>
                                    <w:rPr>
                                      <w:rFonts w:ascii="Georgia;serif" w:hAnsi="Georgia;serif"/>
                                      <w:b w:val="false"/>
                                      <w:i w:val="false"/>
                                      <w:caps w:val="false"/>
                                      <w:smallCaps w:val="false"/>
                                      <w:sz w:val="15"/>
                                    </w:rPr>
                                  </w:pPr>
                                  <w:r>
                                    <w:rPr>
                                      <w:rFonts w:ascii="Georgia;serif" w:hAnsi="Georgia;serif"/>
                                      <w:b w:val="false"/>
                                      <w:i w:val="false"/>
                                      <w:caps w:val="false"/>
                                      <w:smallCaps w:val="false"/>
                                      <w:position w:val="5"/>
                                      <w:sz w:val="12"/>
                                      <w:sz w:val="15"/>
                                    </w:rPr>
                                    <w:t xml:space="preserve">1 </w:t>
                                  </w:r>
                                  <w:r>
                                    <w:rPr>
                                      <w:rFonts w:ascii="Georgia;serif" w:hAnsi="Georgia;serif"/>
                                      <w:b w:val="false"/>
                                      <w:i w:val="false"/>
                                      <w:caps w:val="false"/>
                                      <w:smallCaps w:val="false"/>
                                      <w:sz w:val="15"/>
                                    </w:rPr>
                                    <w:t>Subject to change</w:t>
                                  </w:r>
                                </w:p>
                                <w:p>
                                  <w:pPr>
                                    <w:pStyle w:val="TableContents"/>
                                    <w:bidi w:val="0"/>
                                    <w:spacing w:before="0" w:after="0"/>
                                    <w:ind w:left="0" w:right="0" w:hanging="0"/>
                                    <w:jc w:val="left"/>
                                    <w:rPr>
                                      <w:rFonts w:ascii="Georgia;serif" w:hAnsi="Georgia;serif"/>
                                      <w:b w:val="false"/>
                                      <w:i w:val="false"/>
                                      <w:caps w:val="false"/>
                                      <w:smallCaps w:val="false"/>
                                      <w:sz w:val="15"/>
                                    </w:rPr>
                                  </w:pPr>
                                  <w:r>
                                    <w:rPr>
                                      <w:rFonts w:ascii="Georgia;serif" w:hAnsi="Georgia;serif"/>
                                      <w:b w:val="false"/>
                                      <w:i w:val="false"/>
                                      <w:caps w:val="false"/>
                                      <w:smallCaps w:val="false"/>
                                      <w:position w:val="5"/>
                                      <w:sz w:val="12"/>
                                      <w:sz w:val="15"/>
                                    </w:rPr>
                                    <w:t xml:space="preserve">2 </w:t>
                                  </w:r>
                                  <w:r>
                                    <w:rPr>
                                      <w:rFonts w:ascii="Georgia;serif" w:hAnsi="Georgia;serif"/>
                                      <w:b w:val="false"/>
                                      <w:i w:val="false"/>
                                      <w:caps w:val="false"/>
                                      <w:smallCaps w:val="false"/>
                                      <w:sz w:val="15"/>
                                    </w:rPr>
                                    <w:t>Subject to postponement</w:t>
                                  </w:r>
                                </w:p>
                              </w:tc>
                            </w:tr>
                          </w:tbl>
                          <w:p>
                            <w:pPr>
                              <w:pStyle w:val="TextBody"/>
                              <w:bidi w:val="0"/>
                              <w:spacing w:before="0" w:after="0"/>
                              <w:ind w:left="57" w:right="0" w:hanging="12"/>
                              <w:jc w:val="left"/>
                              <w:rPr>
                                <w:rFonts w:ascii="Verdana;sans-serif" w:hAnsi="Verdana;sans-serif"/>
                                <w:b w:val="false"/>
                                <w:i w:val="false"/>
                                <w:caps w:val="false"/>
                                <w:smallCaps w:val="false"/>
                                <w:color w:val="8F8F8F"/>
                                <w:sz w:val="26"/>
                              </w:rPr>
                            </w:pPr>
                            <w:r>
                              <w:rPr>
                                <w:rFonts w:ascii="Verdana;sans-serif" w:hAnsi="Verdana;sans-serif"/>
                                <w:b w:val="false"/>
                                <w:i w:val="false"/>
                                <w:caps w:val="false"/>
                                <w:smallCaps w:val="false"/>
                                <w:color w:val="8F8F8F"/>
                                <w:sz w:val="26"/>
                              </w:rPr>
                              <w:t>Hypothetical Payout Profile (Maturity Payment Amount)</w:t>
                            </w:r>
                          </w:p>
                          <w:p>
                            <w:pPr>
                              <w:pStyle w:val="TextBody"/>
                              <w:bidi w:val="0"/>
                              <w:spacing w:before="0" w:after="0"/>
                              <w:ind w:left="57" w:right="0" w:hanging="12"/>
                              <w:jc w:val="left"/>
                              <w:rPr>
                                <w:caps w:val="false"/>
                                <w:smallCaps w:val="false"/>
                              </w:rPr>
                            </w:pPr>
                            <w:r>
                              <w:rPr>
                                <w:caps w:val="false"/>
                                <w:smallCaps w:val="false"/>
                              </w:rPr>
                              <w:drawing>
                                <wp:inline distT="0" distB="0" distL="0" distR="0">
                                  <wp:extent cx="3352800" cy="2295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52800" cy="2295525"/>
                                          </a:xfrm>
                                          <a:prstGeom prst="rect">
                                            <a:avLst/>
                                          </a:prstGeom>
                                        </pic:spPr>
                                      </pic:pic>
                                    </a:graphicData>
                                  </a:graphic>
                                </wp:inline>
                              </w:drawing>
                            </w:r>
                          </w:p>
                          <w:p>
                            <w:pPr>
                              <w:pStyle w:val="TextBody"/>
                              <w:bidi w:val="0"/>
                              <w:spacing w:before="0" w:after="0"/>
                              <w:ind w:left="130" w:right="0" w:hanging="0"/>
                              <w:jc w:val="left"/>
                              <w:rPr>
                                <w:rFonts w:ascii="Georgia;serif" w:hAnsi="Georgia;serif"/>
                                <w:b/>
                                <w:i w:val="false"/>
                                <w:caps w:val="false"/>
                                <w:smallCaps w:val="false"/>
                                <w:sz w:val="16"/>
                              </w:rPr>
                            </w:pPr>
                            <w:r>
                              <w:rPr>
                                <w:rFonts w:ascii="Georgia;serif" w:hAnsi="Georgia;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55%, and possibly all, of the principal amount of your securities at maturity.</w:t>
                            </w:r>
                          </w:p>
                          <w:p>
                            <w:pPr>
                              <w:pStyle w:val="TextBody"/>
                              <w:bidi w:val="0"/>
                              <w:spacing w:before="0" w:after="0"/>
                              <w:ind w:left="130" w:right="0" w:hanging="0"/>
                              <w:jc w:val="left"/>
                              <w:rPr>
                                <w:rFonts w:ascii="Georgia;serif" w:hAnsi="Georgia;serif"/>
                                <w:b/>
                                <w:i w:val="false"/>
                                <w:caps w:val="false"/>
                                <w:smallCaps w:val="false"/>
                                <w:sz w:val="16"/>
                              </w:rPr>
                            </w:pPr>
                            <w:r>
                              <w:rPr>
                                <w:rFonts w:ascii="Georgia;serif" w:hAnsi="Georgia;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0"/>
                              <w:ind w:left="130" w:right="0" w:hanging="0"/>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serif" w:hAnsi="Georgia;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0"/>
                              <w:ind w:left="130" w:right="0" w:hanging="0"/>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If the securities priced on the date of the accompanying preliminary pricing supplement, the estimated value of the securities would be approximately $947.80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0" w:after="0"/>
                              <w:ind w:left="130" w:right="0" w:hanging="0"/>
                              <w:jc w:val="left"/>
                              <w:rPr/>
                            </w:pPr>
                            <w:r>
                              <w:rPr>
                                <w:rFonts w:ascii="Georgia;serif" w:hAnsi="Georgia;serif"/>
                                <w:b w:val="false"/>
                                <w:i w:val="false"/>
                                <w:caps w:val="false"/>
                                <w:smallCaps w:val="false"/>
                                <w:sz w:val="16"/>
                              </w:rPr>
                              <w:t xml:space="preserve">Preliminary Pricing Supplement: </w:t>
                            </w:r>
                            <w:hyperlink r:id="rId4">
                              <w:r>
                                <w:rPr>
                                  <w:rStyle w:val="InternetLink"/>
                                  <w:rFonts w:ascii="Georgia;serif" w:hAnsi="Georgia;serif"/>
                                  <w:b w:val="false"/>
                                  <w:i w:val="false"/>
                                  <w:caps w:val="false"/>
                                  <w:smallCaps w:val="false"/>
                                  <w:sz w:val="16"/>
                                </w:rPr>
                                <w:t>http://www.sec.gov/Archives/edgar/data/19617/000121390026082139</w:t>
                                <w:br/>
                                <w:t>/ea0299519-01_424b2.htm</w:t>
                              </w:r>
                            </w:hyperlink>
                          </w:p>
                        </w:txbxContent>
                      </wps:txbx>
                      <wps:bodyPr anchor="t" lIns="0" tIns="0" rIns="0" bIns="0">
                        <a:noAutofit/>
                      </wps:bodyPr>
                    </wps:wsp>
                  </a:graphicData>
                </a:graphic>
                <wp14:sizeRelH relativeFrom="margin">
                  <wp14:pctWidth>50000</wp14:pctWidth>
                </wp14:sizeRelH>
              </wp:anchor>
            </w:drawing>
          </mc:Choice>
          <mc:Fallback>
            <w:pict>
              <v:rect style="position:absolute;rotation:-0;width:255.1pt;height:785.2pt;mso-wrap-distance-left:0pt;mso-wrap-distance-right:0pt;mso-wrap-distance-top:0pt;mso-wrap-distance-bottom:0pt;margin-top:0pt;mso-position-vertical:top;mso-position-vertical-relative:text;margin-left:255.15pt;mso-position-horizontal:right;mso-position-horizontal-relative:text">
                <v:textbox>
                  <w:txbxContent>
                    <w:p>
                      <w:pPr>
                        <w:pStyle w:val="TextBody"/>
                        <w:bidi w:val="0"/>
                        <w:spacing w:before="0" w:after="0"/>
                        <w:ind w:left="90" w:right="0" w:hanging="0"/>
                        <w:jc w:val="left"/>
                        <w:rPr>
                          <w:rFonts w:ascii="Verdana;sans-serif" w:hAnsi="Verdana;sans-serif"/>
                          <w:b w:val="false"/>
                          <w:i w:val="false"/>
                          <w:caps w:val="false"/>
                          <w:smallCaps w:val="false"/>
                          <w:color w:val="8F8F8F"/>
                          <w:sz w:val="26"/>
                        </w:rPr>
                      </w:pPr>
                      <w:r>
                        <w:rPr>
                          <w:rFonts w:ascii="Verdana;sans-serif" w:hAnsi="Verdana;sans-serif"/>
                          <w:b w:val="false"/>
                          <w:i w:val="false"/>
                          <w:caps w:val="false"/>
                          <w:smallCaps w:val="false"/>
                          <w:color w:val="8F8F8F"/>
                          <w:sz w:val="26"/>
                        </w:rPr>
                        <w:t>Summary of Terms (continued)</w:t>
                      </w:r>
                    </w:p>
                    <w:tbl>
                      <w:tblPr>
                        <w:tblW w:w="10205" w:type="dxa"/>
                        <w:jc w:val="left"/>
                        <w:tblInd w:w="-10" w:type="dxa"/>
                        <w:tblLayout w:type="fixed"/>
                        <w:tblCellMar>
                          <w:top w:w="28" w:type="dxa"/>
                          <w:left w:w="90"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For each Underlying Stock, 45%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J.P. Morgan Securities LLC (“</w:t>
                            </w:r>
                            <w:r>
                              <w:rPr>
                                <w:rFonts w:ascii="Georgia;serif" w:hAnsi="Georgia;serif"/>
                                <w:b w:val="false"/>
                                <w:i w:val="false"/>
                                <w:caps w:val="false"/>
                                <w:smallCaps w:val="false"/>
                                <w:sz w:val="16"/>
                                <w:u w:val="single"/>
                              </w:rPr>
                              <w:t>JPMS</w:t>
                            </w:r>
                            <w:r>
                              <w:rPr>
                                <w:rFonts w:ascii="Georgia;serif" w:hAnsi="Georgia;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46661KYS1</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Up to 2.325% for Wells Fargo Securities, LLC (“</w:t>
                            </w:r>
                            <w:r>
                              <w:rPr>
                                <w:rFonts w:ascii="Georgia;serif" w:hAnsi="Georgia;serif"/>
                                <w:b w:val="false"/>
                                <w:i w:val="false"/>
                                <w:caps w:val="false"/>
                                <w:smallCaps w:val="false"/>
                                <w:sz w:val="16"/>
                                <w:u w:val="single"/>
                              </w:rPr>
                              <w:t>WFS</w:t>
                            </w:r>
                            <w:r>
                              <w:rPr>
                                <w:rFonts w:ascii="Georgia;serif" w:hAnsi="Georgia;serif"/>
                                <w:b w:val="false"/>
                                <w:i w:val="false"/>
                                <w:caps w:val="false"/>
                                <w:smallCaps w:val="false"/>
                                <w:sz w:val="16"/>
                              </w:rPr>
                              <w:t>”); WFS has advised us that dealers, including Wells Fargo Advisors (“</w:t>
                            </w:r>
                            <w:r>
                              <w:rPr>
                                <w:rFonts w:ascii="Georgia;serif" w:hAnsi="Georgia;serif"/>
                                <w:b w:val="false"/>
                                <w:i w:val="false"/>
                                <w:caps w:val="false"/>
                                <w:smallCaps w:val="false"/>
                                <w:sz w:val="16"/>
                                <w:u w:val="single"/>
                              </w:rPr>
                              <w:t>WFA</w:t>
                            </w:r>
                            <w:r>
                              <w:rPr>
                                <w:rFonts w:ascii="Georgia;serif" w:hAnsi="Georgia;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0"/>
                              <w:ind w:left="0" w:right="0" w:hanging="0"/>
                              <w:jc w:val="left"/>
                              <w:rPr>
                                <w:rFonts w:ascii="Georgia;serif" w:hAnsi="Georgia;serif"/>
                                <w:b w:val="false"/>
                                <w:i w:val="false"/>
                                <w:caps w:val="false"/>
                                <w:smallCaps w:val="false"/>
                                <w:sz w:val="15"/>
                              </w:rPr>
                            </w:pPr>
                            <w:r>
                              <w:rPr>
                                <w:rFonts w:ascii="Georgia;serif" w:hAnsi="Georgia;serif"/>
                                <w:b w:val="false"/>
                                <w:i w:val="false"/>
                                <w:caps w:val="false"/>
                                <w:smallCaps w:val="false"/>
                                <w:position w:val="5"/>
                                <w:sz w:val="12"/>
                                <w:sz w:val="15"/>
                              </w:rPr>
                              <w:t xml:space="preserve">1 </w:t>
                            </w:r>
                            <w:r>
                              <w:rPr>
                                <w:rFonts w:ascii="Georgia;serif" w:hAnsi="Georgia;serif"/>
                                <w:b w:val="false"/>
                                <w:i w:val="false"/>
                                <w:caps w:val="false"/>
                                <w:smallCaps w:val="false"/>
                                <w:sz w:val="15"/>
                              </w:rPr>
                              <w:t>Subject to change</w:t>
                            </w:r>
                          </w:p>
                          <w:p>
                            <w:pPr>
                              <w:pStyle w:val="TableContents"/>
                              <w:bidi w:val="0"/>
                              <w:spacing w:before="0" w:after="0"/>
                              <w:ind w:left="0" w:right="0" w:hanging="0"/>
                              <w:jc w:val="left"/>
                              <w:rPr>
                                <w:rFonts w:ascii="Georgia;serif" w:hAnsi="Georgia;serif"/>
                                <w:b w:val="false"/>
                                <w:i w:val="false"/>
                                <w:caps w:val="false"/>
                                <w:smallCaps w:val="false"/>
                                <w:sz w:val="15"/>
                              </w:rPr>
                            </w:pPr>
                            <w:r>
                              <w:rPr>
                                <w:rFonts w:ascii="Georgia;serif" w:hAnsi="Georgia;serif"/>
                                <w:b w:val="false"/>
                                <w:i w:val="false"/>
                                <w:caps w:val="false"/>
                                <w:smallCaps w:val="false"/>
                                <w:position w:val="5"/>
                                <w:sz w:val="12"/>
                                <w:sz w:val="15"/>
                              </w:rPr>
                              <w:t xml:space="preserve">2 </w:t>
                            </w:r>
                            <w:r>
                              <w:rPr>
                                <w:rFonts w:ascii="Georgia;serif" w:hAnsi="Georgia;serif"/>
                                <w:b w:val="false"/>
                                <w:i w:val="false"/>
                                <w:caps w:val="false"/>
                                <w:smallCaps w:val="false"/>
                                <w:sz w:val="15"/>
                              </w:rPr>
                              <w:t>Subject to postponement</w:t>
                            </w:r>
                          </w:p>
                        </w:tc>
                      </w:tr>
                    </w:tbl>
                    <w:p>
                      <w:pPr>
                        <w:pStyle w:val="TextBody"/>
                        <w:bidi w:val="0"/>
                        <w:spacing w:before="0" w:after="0"/>
                        <w:ind w:left="57" w:right="0" w:hanging="12"/>
                        <w:jc w:val="left"/>
                        <w:rPr>
                          <w:rFonts w:ascii="Verdana;sans-serif" w:hAnsi="Verdana;sans-serif"/>
                          <w:b w:val="false"/>
                          <w:i w:val="false"/>
                          <w:caps w:val="false"/>
                          <w:smallCaps w:val="false"/>
                          <w:color w:val="8F8F8F"/>
                          <w:sz w:val="26"/>
                        </w:rPr>
                      </w:pPr>
                      <w:r>
                        <w:rPr>
                          <w:rFonts w:ascii="Verdana;sans-serif" w:hAnsi="Verdana;sans-serif"/>
                          <w:b w:val="false"/>
                          <w:i w:val="false"/>
                          <w:caps w:val="false"/>
                          <w:smallCaps w:val="false"/>
                          <w:color w:val="8F8F8F"/>
                          <w:sz w:val="26"/>
                        </w:rPr>
                        <w:t>Hypothetical Payout Profile (Maturity Payment Amount)</w:t>
                      </w:r>
                    </w:p>
                    <w:p>
                      <w:pPr>
                        <w:pStyle w:val="TextBody"/>
                        <w:bidi w:val="0"/>
                        <w:spacing w:before="0" w:after="0"/>
                        <w:ind w:left="57" w:right="0" w:hanging="12"/>
                        <w:jc w:val="left"/>
                        <w:rPr>
                          <w:caps w:val="false"/>
                          <w:smallCaps w:val="false"/>
                        </w:rPr>
                      </w:pPr>
                      <w:r>
                        <w:rPr>
                          <w:caps w:val="false"/>
                          <w:smallCaps w:val="false"/>
                        </w:rPr>
                        <w:drawing>
                          <wp:inline distT="0" distB="0" distL="0" distR="0">
                            <wp:extent cx="3352800" cy="22955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52800" cy="2295525"/>
                                    </a:xfrm>
                                    <a:prstGeom prst="rect">
                                      <a:avLst/>
                                    </a:prstGeom>
                                  </pic:spPr>
                                </pic:pic>
                              </a:graphicData>
                            </a:graphic>
                          </wp:inline>
                        </w:drawing>
                      </w:r>
                    </w:p>
                    <w:p>
                      <w:pPr>
                        <w:pStyle w:val="TextBody"/>
                        <w:bidi w:val="0"/>
                        <w:spacing w:before="0" w:after="0"/>
                        <w:ind w:left="130" w:right="0" w:hanging="0"/>
                        <w:jc w:val="left"/>
                        <w:rPr>
                          <w:rFonts w:ascii="Georgia;serif" w:hAnsi="Georgia;serif"/>
                          <w:b/>
                          <w:i w:val="false"/>
                          <w:caps w:val="false"/>
                          <w:smallCaps w:val="false"/>
                          <w:sz w:val="16"/>
                        </w:rPr>
                      </w:pPr>
                      <w:r>
                        <w:rPr>
                          <w:rFonts w:ascii="Georgia;serif" w:hAnsi="Georgia;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55%, and possibly all, of the principal amount of your securities at maturity.</w:t>
                      </w:r>
                    </w:p>
                    <w:p>
                      <w:pPr>
                        <w:pStyle w:val="TextBody"/>
                        <w:bidi w:val="0"/>
                        <w:spacing w:before="0" w:after="0"/>
                        <w:ind w:left="130" w:right="0" w:hanging="0"/>
                        <w:jc w:val="left"/>
                        <w:rPr>
                          <w:rFonts w:ascii="Georgia;serif" w:hAnsi="Georgia;serif"/>
                          <w:b/>
                          <w:i w:val="false"/>
                          <w:caps w:val="false"/>
                          <w:smallCaps w:val="false"/>
                          <w:sz w:val="16"/>
                        </w:rPr>
                      </w:pPr>
                      <w:r>
                        <w:rPr>
                          <w:rFonts w:ascii="Georgia;serif" w:hAnsi="Georgia;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0"/>
                        <w:ind w:left="130" w:right="0" w:hanging="0"/>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serif" w:hAnsi="Georgia;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0"/>
                        <w:ind w:left="130" w:right="0" w:hanging="0"/>
                        <w:jc w:val="left"/>
                        <w:rPr>
                          <w:rFonts w:ascii="Georgia;serif" w:hAnsi="Georgia;serif"/>
                          <w:b w:val="false"/>
                          <w:i w:val="false"/>
                          <w:caps w:val="false"/>
                          <w:smallCaps w:val="false"/>
                          <w:sz w:val="16"/>
                        </w:rPr>
                      </w:pPr>
                      <w:r>
                        <w:rPr>
                          <w:rFonts w:ascii="Georgia;serif" w:hAnsi="Georgia;serif"/>
                          <w:b w:val="false"/>
                          <w:i w:val="false"/>
                          <w:caps w:val="false"/>
                          <w:smallCaps w:val="false"/>
                          <w:sz w:val="16"/>
                        </w:rPr>
                        <w:t>If the securities priced on the date of the accompanying preliminary pricing supplement, the estimated value of the securities would be approximately $947.80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0" w:after="0"/>
                        <w:ind w:left="130" w:right="0" w:hanging="0"/>
                        <w:jc w:val="left"/>
                        <w:rPr/>
                      </w:pPr>
                      <w:r>
                        <w:rPr>
                          <w:rFonts w:ascii="Georgia;serif" w:hAnsi="Georgia;serif"/>
                          <w:b w:val="false"/>
                          <w:i w:val="false"/>
                          <w:caps w:val="false"/>
                          <w:smallCaps w:val="false"/>
                          <w:sz w:val="16"/>
                        </w:rPr>
                        <w:t xml:space="preserve">Preliminary Pricing Supplement: </w:t>
                      </w:r>
                      <w:hyperlink r:id="rId6">
                        <w:r>
                          <w:rPr>
                            <w:rStyle w:val="InternetLink"/>
                            <w:rFonts w:ascii="Georgia;serif" w:hAnsi="Georgia;serif"/>
                            <w:b w:val="false"/>
                            <w:i w:val="false"/>
                            <w:caps w:val="false"/>
                            <w:smallCaps w:val="false"/>
                            <w:sz w:val="16"/>
                          </w:rPr>
                          <w:t>http://www.sec.gov/Archives/edgar/data/19617/000121390026082139</w:t>
                          <w:br/>
                          <w:t>/ea0299519-01_424b2.htm</w:t>
                        </w:r>
                      </w:hyperlink>
                    </w:p>
                  </w:txbxContent>
                </v:textbox>
                <w10:wrap type="square" side="left"/>
              </v:rect>
            </w:pict>
          </mc:Fallback>
        </mc:AlternateContent>
      </w:r>
    </w:p>
    <w:p>
      <w:pPr>
        <w:pStyle w:val="TextBody"/>
        <w:bidi w:val="0"/>
        <w:spacing w:before="0" w:after="0"/>
        <w:ind w:left="0" w:right="0" w:hanging="0"/>
        <w:jc w:val="left"/>
        <w:rPr>
          <w:rFonts w:ascii="Georgia;serif" w:hAnsi="Georgia;serif"/>
          <w:b/>
          <w:i w:val="false"/>
          <w:caps w:val="false"/>
          <w:smallCaps w:val="false"/>
          <w:sz w:val="16"/>
        </w:rPr>
      </w:pPr>
      <w:r>
        <w:rPr>
          <w:rFonts w:ascii="Georgia;serif" w:hAnsi="Georgia;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spacing w:before="0" w:after="0"/>
        <w:ind w:left="0" w:right="0" w:hanging="0"/>
        <w:jc w:val="left"/>
        <w:rPr>
          <w:rFonts w:ascii="Georgia;serif" w:hAnsi="Georgia;serif"/>
          <w:b w:val="false"/>
          <w:i/>
          <w:caps w:val="false"/>
          <w:smallCaps w:val="false"/>
          <w:sz w:val="16"/>
        </w:rPr>
      </w:pPr>
      <w:r>
        <w:rPr>
          <w:rFonts w:ascii="Georgia;serif" w:hAnsi="Georgia;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0" w:after="0"/>
        <w:ind w:left="0" w:right="0" w:hanging="0"/>
        <w:jc w:val="left"/>
        <w:rPr>
          <w:rFonts w:ascii="Georgia;serif" w:hAnsi="Georgia;serif"/>
          <w:b w:val="false"/>
          <w:i w:val="false"/>
          <w:caps w:val="false"/>
          <w:smallCaps w:val="false"/>
          <w:sz w:val="16"/>
        </w:rPr>
      </w:pPr>
      <w:r>
        <w:rPr>
          <w:rFonts w:ascii="Georgia;serif" w:hAnsi="Georgia;serif"/>
          <w:b/>
          <w:i w:val="false"/>
          <w:caps w:val="false"/>
          <w:smallCaps w:val="false"/>
          <w:color w:val="C00000"/>
          <w:sz w:val="16"/>
        </w:rPr>
        <w:t xml:space="preserve">THIS FACT SHEET DOES NOT PROVIDE ALL OF THE INFORMATION THAT AN INVESTOR SHOULD CONSIDER PRIOR TO MAKING AN INVESTMENT DECISION. </w:t>
      </w:r>
      <w:r>
        <w:rPr>
          <w:rFonts w:ascii="Georgia;serif" w:hAnsi="Georgia;serif"/>
          <w:b/>
          <w:i w:val="false"/>
          <w:caps w:val="false"/>
          <w:smallCaps w:val="false"/>
          <w:sz w:val="16"/>
        </w:rPr>
        <w:t>This fact sheet should be read in conjunction with the accompanying preliminary pricing supplement, prospectus, prospectus supplement and product supplement.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Georgia;serif" w:hAnsi="Georgia;serif"/>
          <w:b w:val="false"/>
          <w:i w:val="false"/>
          <w:caps w:val="false"/>
          <w:smallCaps w:val="false"/>
          <w:color w:val="8F8F8F"/>
          <w:sz w:val="28"/>
        </w:rPr>
      </w:pPr>
      <w:r>
        <w:rPr>
          <w:rFonts w:ascii="Georgia;serif" w:hAnsi="Georgia;serif"/>
          <w:b w:val="false"/>
          <w:i w:val="false"/>
          <w:caps w:val="false"/>
          <w:smallCaps w:val="false"/>
          <w:color w:val="8F8F8F"/>
          <w:sz w:val="28"/>
        </w:rPr>
        <w:t>Selected Risk Considerations</w:t>
      </w:r>
    </w:p>
    <w:p>
      <w:pPr>
        <w:pStyle w:val="TextBody"/>
        <w:bidi w:val="0"/>
        <w:spacing w:before="0" w:after="0"/>
        <w:ind w:left="0" w:right="0" w:hanging="0"/>
        <w:jc w:val="left"/>
        <w:rPr>
          <w:caps w:val="false"/>
          <w:smallCaps w:val="false"/>
          <w:color w:val="8F8F8F"/>
        </w:rPr>
      </w:pPr>
      <w:r>
        <w:rPr>
          <w:caps w:val="false"/>
          <w:smallCaps w:val="false"/>
          <w:color w:val="8F8F8F"/>
        </w:rPr>
        <w:t> </w:t>
      </w:r>
    </w:p>
    <w:p>
      <w:pPr>
        <w:pStyle w:val="TextBody"/>
        <w:bidi w:val="0"/>
        <w:spacing w:before="0" w:after="0"/>
        <w:ind w:left="0" w:right="0" w:hanging="0"/>
        <w:jc w:val="left"/>
        <w:rPr>
          <w:rFonts w:ascii="Georgia;serif" w:hAnsi="Georgia;serif"/>
          <w:b w:val="false"/>
          <w:i w:val="false"/>
          <w:caps w:val="false"/>
          <w:smallCaps w:val="false"/>
          <w:sz w:val="18"/>
        </w:rPr>
      </w:pPr>
      <w:r>
        <w:rPr>
          <w:rFonts w:ascii="Georgia;serif" w:hAnsi="Georgia;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24"/>
        <w:gridCol w:w="5181"/>
      </w:tblGrid>
      <w:tr>
        <w:trPr/>
        <w:tc>
          <w:tcPr>
            <w:tcW w:w="5024" w:type="dxa"/>
            <w:tcBorders/>
            <w:vAlign w:val="center"/>
          </w:tcPr>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If the Securities Are Not Automatically Called and the Ending Price of the Lowest Performing Underlying Stock on the Final Calculation Day Is Less Than Its Threshold Price, You Will Lose More Than 55%, and Possibly All, of the Principal Amount of Your Securities at Maturity.</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w:t>
            </w:r>
            <w:r>
              <w:rPr>
                <w:rFonts w:ascii="Georgia;serif" w:hAnsi="Georgia;serif"/>
                <w:b/>
                <w:i w:val="false"/>
                <w:caps w:val="false"/>
                <w:smallCaps w:val="false"/>
                <w:sz w:val="18"/>
              </w:rPr>
              <w:t>The Securities Do Not Guarantee the Payment of Interest and May Not Pay Any Interest at All.</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shd w:fill="FFFFFF" w:val="clear"/>
              </w:rPr>
              <w:t xml:space="preserve">The Potential Return on the Securities Is Limited to the Sum of Any Contingent Coupon Payments </w:t>
            </w:r>
            <w:r>
              <w:rPr>
                <w:rFonts w:ascii="Georgia;serif" w:hAnsi="Georgia;serif"/>
                <w:b/>
                <w:i w:val="false"/>
                <w:caps w:val="false"/>
                <w:smallCaps w:val="false"/>
                <w:sz w:val="18"/>
              </w:rPr>
              <w:t>and You Will Not Participate in Any Appreciation of Any Underlying Stock.</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You Will Be Subject to Reinvestment Risk.</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The Securities Are Subject to the Credit Risks of JPMorgan Financial and JPMorgan Chase &amp; Co.</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As a Finance Subsidiary, JPMorgan Financial Has No Independent Activities and Has Limited Assets.</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You Are Exposed to the Risk of Decline in the Price of Each Underlying Stock.</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Your Maturity Payment Amount Will Be Determined by the Lowest Performing Underlying Stock.</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You Will Be Subject to Risks Resulting from the Relationship Among the Underlying Stocks.</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Higher Contingent Coupon Rates Are Associated with Greater Risk.</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The Benefit Provided by the Threshold Price May Terminate on the Final Calculation Day.</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No Dividend Payments or Voting Rights</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Lack of Liquidity</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The Final Terms and Estimated Valuation of the Securities Will Be Provided in the Pricing Supplement.</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The U.S. Federal Tax Consequences of the Securities Are Uncertain, and May Be Adverse to a Holder of the Securities.</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Potential Conflicts</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The Estimated Value of the Securities Will Be Lower Than the Original Issue Price (Price to Public) of the Securities.</w:t>
            </w:r>
          </w:p>
          <w:p>
            <w:pPr>
              <w:pStyle w:val="TableContents"/>
              <w:bidi w:val="0"/>
              <w:spacing w:before="0" w:after="0"/>
              <w:ind w:left="360" w:right="0" w:hanging="360"/>
              <w:jc w:val="left"/>
              <w:rPr>
                <w:caps w:val="false"/>
                <w:smallCaps w:val="false"/>
              </w:rPr>
            </w:pPr>
            <w:r>
              <w:rPr>
                <w:caps w:val="false"/>
                <w:smallCaps w:val="false"/>
              </w:rPr>
              <w:t> </w:t>
            </w:r>
          </w:p>
        </w:tc>
        <w:tc>
          <w:tcPr>
            <w:tcW w:w="5181" w:type="dxa"/>
            <w:tcBorders/>
            <w:vAlign w:val="center"/>
          </w:tcPr>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The Estimated Value of the Securities Is Derived by Reference to an Internal Funding Rate.</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Secondary Market Prices of the Securities Will Likely Be Lower Than the Original Issue Price of the Securities.</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Many Economic and Market Factors Will Impact the Value of the Securities.</w:t>
            </w:r>
          </w:p>
          <w:p>
            <w:pPr>
              <w:pStyle w:val="TableContents"/>
              <w:bidi w:val="0"/>
              <w:spacing w:before="0" w:after="0"/>
              <w:ind w:left="360" w:right="0" w:hanging="360"/>
              <w:jc w:val="left"/>
              <w:rPr>
                <w:rFonts w:ascii="Times New Roman;serif" w:hAnsi="Times New Roman;serif"/>
                <w:b w:val="false"/>
                <w:i w:val="false"/>
                <w:caps w:val="false"/>
                <w:smallCaps w:val="false"/>
                <w:sz w:val="24"/>
              </w:rPr>
            </w:pPr>
            <w:r>
              <w:rPr>
                <w:rFonts w:ascii="Symbol" w:hAnsi="Symbol"/>
                <w:b w:val="false"/>
                <w:i w:val="false"/>
                <w:caps w:val="false"/>
                <w:smallCaps w:val="false"/>
                <w:sz w:val="18"/>
              </w:rPr>
              <w:t>·</w:t>
            </w:r>
            <w:r>
              <w:rPr>
                <w:rFonts w:ascii="Times New Roman;serif" w:hAnsi="Times New Roman;serif"/>
                <w:b w:val="false"/>
                <w:i w:val="false"/>
                <w:caps w:val="false"/>
                <w:smallCaps w:val="false"/>
                <w:sz w:val="24"/>
              </w:rPr>
              <w:t xml:space="preserve">        </w:t>
            </w:r>
            <w:r>
              <w:rPr>
                <w:rFonts w:ascii="Georgia;serif" w:hAnsi="Georgia;serif"/>
                <w:b/>
                <w:i w:val="false"/>
                <w:caps w:val="false"/>
                <w:smallCaps w:val="false"/>
                <w:sz w:val="18"/>
              </w:rPr>
              <w:t>No Affiliation with Any Underlying Stock Issuer</w:t>
            </w:r>
          </w:p>
          <w:p>
            <w:pPr>
              <w:pStyle w:val="TableContents"/>
              <w:bidi w:val="0"/>
              <w:spacing w:before="0" w:after="0"/>
              <w:ind w:left="360" w:right="0" w:hanging="360"/>
              <w:jc w:val="left"/>
              <w:rPr>
                <w:rFonts w:ascii="Times New Roman;serif" w:hAnsi="Times New Roman;serif"/>
                <w:b w:val="false"/>
                <w:i w:val="false"/>
                <w:caps w:val="false"/>
                <w:smallCaps w:val="false"/>
                <w:sz w:val="24"/>
              </w:rPr>
            </w:pPr>
            <w:r>
              <w:rPr>
                <w:rFonts w:ascii="Symbol" w:hAnsi="Symbol"/>
                <w:b w:val="false"/>
                <w:i w:val="false"/>
                <w:caps w:val="false"/>
                <w:smallCaps w:val="false"/>
                <w:sz w:val="18"/>
              </w:rPr>
              <w:t>·</w:t>
            </w:r>
            <w:r>
              <w:rPr>
                <w:rFonts w:ascii="Times New Roman;serif" w:hAnsi="Times New Roman;serif"/>
                <w:b w:val="false"/>
                <w:i w:val="false"/>
                <w:caps w:val="false"/>
                <w:smallCaps w:val="false"/>
                <w:sz w:val="24"/>
              </w:rPr>
              <w:t xml:space="preserve">        </w:t>
            </w:r>
            <w:r>
              <w:rPr>
                <w:rFonts w:ascii="Georgia;serif" w:hAnsi="Georgia;serif"/>
                <w:b/>
                <w:i w:val="false"/>
                <w:caps w:val="false"/>
                <w:smallCaps w:val="false"/>
                <w:sz w:val="18"/>
                <w:shd w:fill="FFFFFF" w:val="clear"/>
              </w:rPr>
              <w:t>Limited Trading History with Respect to the Class A Common Stock of Affirm Holdings, Inc.</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The Anti-Dilution Protection Is Limited and May Be Discretionary.</w:t>
            </w:r>
          </w:p>
          <w:p>
            <w:pPr>
              <w:pStyle w:val="TableContents"/>
              <w:bidi w:val="0"/>
              <w:spacing w:before="0" w:after="0"/>
              <w:ind w:left="360" w:right="0" w:hanging="360"/>
              <w:jc w:val="left"/>
              <w:rPr>
                <w:rFonts w:ascii="Georgia;serif" w:hAnsi="Georgia;serif"/>
                <w:b w:val="false"/>
                <w:i w:val="false"/>
                <w:caps w:val="false"/>
                <w:smallCaps w:val="false"/>
                <w:sz w:val="18"/>
              </w:rPr>
            </w:pPr>
            <w:r>
              <w:rPr>
                <w:rFonts w:ascii="Symbol" w:hAnsi="Symbol"/>
                <w:b w:val="false"/>
                <w:i w:val="false"/>
                <w:caps w:val="false"/>
                <w:smallCaps w:val="false"/>
                <w:sz w:val="18"/>
              </w:rPr>
              <w:t>·</w:t>
            </w:r>
            <w:r>
              <w:rPr>
                <w:rFonts w:ascii="Georgia;serif" w:hAnsi="Georgia;serif"/>
                <w:b w:val="false"/>
                <w:i w:val="false"/>
                <w:caps w:val="false"/>
                <w:smallCaps w:val="false"/>
                <w:sz w:val="18"/>
              </w:rPr>
              <w:t xml:space="preserve">        </w:t>
            </w:r>
            <w:r>
              <w:rPr>
                <w:rFonts w:ascii="Georgia;serif" w:hAnsi="Georgia;serif"/>
                <w:b/>
                <w:i w:val="false"/>
                <w:caps w:val="false"/>
                <w:smallCaps w:val="false"/>
                <w:sz w:val="18"/>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0"/>
              <w:jc w:val="left"/>
              <w:rPr>
                <w:caps w:val="false"/>
                <w:smallCaps w:val="false"/>
              </w:rPr>
            </w:pPr>
            <w:r>
              <w:rPr>
                <w:caps w:val="false"/>
                <w:smallCaps w:val="false"/>
              </w:rPr>
              <w:t> </w:t>
            </w:r>
          </w:p>
          <w:p>
            <w:pPr>
              <w:pStyle w:val="TableContents"/>
              <w:bidi w:val="0"/>
              <w:spacing w:before="0" w:after="0"/>
              <w:ind w:left="36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8F8F8F"/>
        </w:rPr>
      </w:pPr>
      <w:r>
        <w:rPr>
          <w:caps w:val="false"/>
          <w:smallCaps w:val="false"/>
          <w:color w:val="8F8F8F"/>
        </w:rPr>
        <w:t> </w:t>
      </w:r>
    </w:p>
    <w:p>
      <w:pPr>
        <w:pStyle w:val="TextBody"/>
        <w:bidi w:val="0"/>
        <w:spacing w:before="0" w:after="0"/>
        <w:ind w:left="0" w:right="0" w:hanging="0"/>
        <w:jc w:val="left"/>
        <w:rPr>
          <w:caps w:val="false"/>
          <w:smallCaps w:val="false"/>
          <w:color w:val="8F8F8F"/>
        </w:rPr>
      </w:pPr>
      <w:r>
        <w:rPr>
          <w:caps w:val="false"/>
          <w:smallCaps w:val="false"/>
          <w:color w:val="8F8F8F"/>
        </w:rPr>
        <w:t> </w:t>
      </w:r>
    </w:p>
    <w:p>
      <w:pPr>
        <w:pStyle w:val="TextBody"/>
        <w:bidi w:val="0"/>
        <w:spacing w:before="0" w:after="0"/>
        <w:ind w:left="0" w:right="0" w:hanging="0"/>
        <w:jc w:val="left"/>
        <w:rPr>
          <w:caps w:val="false"/>
          <w:smallCaps w:val="false"/>
          <w:color w:val="8F8F8F"/>
        </w:rPr>
      </w:pPr>
      <w:r>
        <w:rPr>
          <w:caps w:val="false"/>
          <w:smallCaps w:val="false"/>
          <w:color w:val="8F8F8F"/>
        </w:rPr>
        <w:t> </w:t>
      </w:r>
    </w:p>
    <w:p>
      <w:pPr>
        <w:pStyle w:val="TextBody"/>
        <w:bidi w:val="0"/>
        <w:spacing w:before="0" w:after="0"/>
        <w:ind w:left="0" w:right="0" w:hanging="0"/>
        <w:jc w:val="left"/>
        <w:rPr>
          <w:rFonts w:ascii="Georgia;serif" w:hAnsi="Georgia;serif"/>
          <w:b w:val="false"/>
          <w:i w:val="false"/>
          <w:caps w:val="false"/>
          <w:smallCaps w:val="false"/>
          <w:color w:val="8F8F8F"/>
          <w:sz w:val="18"/>
        </w:rPr>
      </w:pPr>
      <w:r>
        <w:rPr>
          <w:rFonts w:ascii="Georgia;serif" w:hAnsi="Georgia;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0"/>
        <w:ind w:left="0" w:right="0" w:hanging="0"/>
        <w:jc w:val="left"/>
        <w:rPr>
          <w:caps w:val="false"/>
          <w:smallCaps w:val="false"/>
          <w:color w:val="8F8F8F"/>
        </w:rPr>
      </w:pPr>
      <w:r>
        <w:rPr>
          <w:caps w:val="false"/>
          <w:smallCaps w:val="false"/>
          <w:color w:val="8F8F8F"/>
        </w:rPr>
        <w:t> </w:t>
      </w:r>
    </w:p>
    <w:p>
      <w:pPr>
        <w:pStyle w:val="TextBody"/>
        <w:bidi w:val="0"/>
        <w:spacing w:before="0" w:after="0"/>
        <w:ind w:left="0" w:right="0" w:hanging="0"/>
        <w:jc w:val="left"/>
        <w:rPr>
          <w:rFonts w:ascii="Georgia;serif" w:hAnsi="Georgia;serif"/>
          <w:b w:val="false"/>
          <w:i w:val="false"/>
          <w:caps w:val="false"/>
          <w:smallCaps w:val="false"/>
          <w:color w:val="8F8F8F"/>
          <w:sz w:val="18"/>
        </w:rPr>
      </w:pPr>
      <w:r>
        <w:rPr>
          <w:rFonts w:ascii="Georgia;serif" w:hAnsi="Georgia;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sans-serif"/>
    <w:charset w:val="01"/>
    <w:family w:val="auto"/>
    <w:pitch w:val="default"/>
  </w:font>
  <w:font w:name="Georgia">
    <w:altName w:val="serif"/>
    <w:charset w:val="01"/>
    <w:family w:val="auto"/>
    <w:pitch w:val="default"/>
  </w:font>
  <w:font w:name="Symbol">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82139/ea0299519-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82139/ea0299519-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1875</Words>
  <Characters>10064</Characters>
  <CharactersWithSpaces>12042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