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ea0308469-01_fwp.htm"/>
      <w:bookmarkStart w:id="1" w:name="ksea030846901_fwp"/>
      <w:bookmarkStart w:id="2" w:name="ea0308469-01_fwp.htm"/>
      <w:bookmarkStart w:id="3" w:name="ksea030846901_fwp"/>
      <w:bookmarkEnd w:id="2"/>
      <w:bookmarkEnd w:id="3"/>
    </w:p>
    <w:tbl>
      <w:tblPr>
        <w:tblW w:w="9970" w:type="dxa"/>
        <w:jc w:val="left"/>
        <w:tblInd w:w="0" w:type="dxa"/>
        <w:tblLayout w:type="fixed"/>
        <w:tblCellMar>
          <w:top w:w="0" w:type="dxa"/>
          <w:left w:w="0" w:type="dxa"/>
          <w:bottom w:w="0" w:type="dxa"/>
          <w:right w:w="0" w:type="dxa"/>
        </w:tblCellMar>
      </w:tblPr>
      <w:tblGrid>
        <w:gridCol w:w="7055"/>
        <w:gridCol w:w="2915"/>
      </w:tblGrid>
      <w:tr>
        <w:trPr/>
        <w:tc>
          <w:tcPr>
            <w:tcW w:w="7055" w:type="dxa"/>
            <w:vMerge w:val="restart"/>
            <w:tcBorders/>
            <w:vAlign w:val="center"/>
          </w:tcPr>
          <w:p>
            <w:pPr>
              <w:pStyle w:val="TableContents"/>
              <w:bidi w:val="0"/>
              <w:spacing w:before="0" w:after="60"/>
              <w:jc w:val="left"/>
              <w:rPr>
                <w:rFonts w:ascii="Verdana;Helvetica;Sans-Serif" w:hAnsi="Verdana;Helvetica;Sans-Serif"/>
                <w:b/>
                <w:i w:val="false"/>
                <w:caps w:val="false"/>
                <w:smallCaps w:val="false"/>
                <w:color w:val="BB0826"/>
                <w:sz w:val="32"/>
              </w:rPr>
            </w:pPr>
            <w:r>
              <w:rPr>
                <w:rFonts w:ascii="Verdana;Helvetica;Sans-Serif" w:hAnsi="Verdana;Helvetica;Sans-Serif"/>
                <w:b/>
                <w:i w:val="false"/>
                <w:caps w:val="false"/>
                <w:smallCaps w:val="false"/>
                <w:color w:val="BB0826"/>
                <w:sz w:val="32"/>
              </w:rPr>
              <w:t>JPMorgan Chase Financial Company LLC</w:t>
            </w:r>
          </w:p>
          <w:p>
            <w:pPr>
              <w:pStyle w:val="TableContents"/>
              <w:bidi w:val="0"/>
              <w:spacing w:before="0" w:after="60"/>
              <w:jc w:val="both"/>
              <w:rPr>
                <w:rFonts w:ascii="Verdana;Helvetica;Sans-Serif" w:hAnsi="Verdana;Helvetica;Sans-Serif"/>
                <w:b/>
                <w:i/>
                <w:caps w:val="false"/>
                <w:smallCaps w:val="false"/>
                <w:color w:val="BB0826"/>
                <w:sz w:val="20"/>
              </w:rPr>
            </w:pPr>
            <w:r>
              <w:rPr>
                <w:rFonts w:ascii="Verdana;Helvetica;Sans-Serif" w:hAnsi="Verdana;Helvetica;Sans-Serif"/>
                <w:b/>
                <w:i/>
                <w:caps w:val="false"/>
                <w:smallCaps w:val="false"/>
                <w:color w:val="BB0826"/>
                <w:sz w:val="20"/>
              </w:rPr>
              <w:t>Fully and Unconditionally Guaranteed by JPMorgan Chase &amp; Co.</w:t>
            </w:r>
          </w:p>
          <w:p>
            <w:pPr>
              <w:pStyle w:val="TableContents"/>
              <w:bidi w:val="0"/>
              <w:spacing w:before="0" w:after="20"/>
              <w:jc w:val="left"/>
              <w:rPr>
                <w:rFonts w:ascii="Verdana;Helvetica;Sans-Serif" w:hAnsi="Verdana;Helvetica;Sans-Serif"/>
                <w:b/>
                <w:i w:val="false"/>
                <w:caps w:val="false"/>
                <w:smallCaps w:val="false"/>
                <w:color w:val="BB0826"/>
                <w:sz w:val="24"/>
              </w:rPr>
            </w:pPr>
            <w:r>
              <w:rPr>
                <w:rFonts w:ascii="Verdana;Helvetica;Sans-Serif" w:hAnsi="Verdana;Helvetica;Sans-Serif"/>
                <w:b/>
                <w:i w:val="false"/>
                <w:caps w:val="false"/>
                <w:smallCaps w:val="false"/>
                <w:color w:val="BB0826"/>
                <w:sz w:val="24"/>
              </w:rPr>
              <w:t>Market Linked Securities</w:t>
            </w:r>
          </w:p>
        </w:tc>
        <w:tc>
          <w:tcPr>
            <w:tcW w:w="2915" w:type="dxa"/>
            <w:tcBorders/>
            <w:vAlign w:val="center"/>
          </w:tcPr>
          <w:p>
            <w:pPr>
              <w:pStyle w:val="TableContents"/>
              <w:bidi w:val="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Filed Pursuant to Rule 433</w:t>
            </w:r>
          </w:p>
          <w:p>
            <w:pPr>
              <w:pStyle w:val="TableContents"/>
              <w:bidi w:val="0"/>
              <w:spacing w:before="0" w:after="283"/>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 xml:space="preserve">Registration Statement Nos. 333-293684 </w:t>
              <w:br/>
              <w:t>and 333-293684-01</w:t>
            </w:r>
          </w:p>
        </w:tc>
      </w:tr>
      <w:tr>
        <w:trPr/>
        <w:tc>
          <w:tcPr>
            <w:tcW w:w="7055" w:type="dxa"/>
            <w:vMerge w:val="continue"/>
            <w:tcBorders/>
            <w:vAlign w:val="center"/>
          </w:tcPr>
          <w:p>
            <w:pPr>
              <w:pStyle w:val="Normal"/>
              <w:bidi w:val="0"/>
              <w:jc w:val="left"/>
              <w:rPr/>
            </w:pPr>
            <w:r>
              <w:rPr/>
            </w:r>
          </w:p>
        </w:tc>
        <w:tc>
          <w:tcPr>
            <w:tcW w:w="2915" w:type="dxa"/>
            <w:tcBorders/>
            <w:vAlign w:val="center"/>
          </w:tcPr>
          <w:p>
            <w:pPr>
              <w:pStyle w:val="TableContents"/>
              <w:bidi w:val="0"/>
              <w:spacing w:before="0" w:after="283"/>
              <w:jc w:val="right"/>
              <w:rPr>
                <w:caps w:val="false"/>
                <w:smallCaps w:val="false"/>
              </w:rPr>
            </w:pPr>
            <w:r>
              <w:rPr>
                <w:caps w:val="false"/>
                <w:smallCaps w:val="false"/>
              </w:rPr>
              <w:drawing>
                <wp:inline distT="0" distB="0" distL="0" distR="0">
                  <wp:extent cx="1428750" cy="37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371475"/>
                          </a:xfrm>
                          <a:prstGeom prst="rect">
                            <a:avLst/>
                          </a:prstGeom>
                        </pic:spPr>
                      </pic:pic>
                    </a:graphicData>
                  </a:graphic>
                </wp:inline>
              </w:drawing>
            </w:r>
          </w:p>
        </w:tc>
      </w:tr>
    </w:tbl>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120" w:after="0"/>
              <w:ind w:left="0" w:right="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Market Linked Securities— Leveraged Upside Participation and Fixed Percentage Buffered Downside</w:t>
            </w:r>
          </w:p>
          <w:p>
            <w:pPr>
              <w:pStyle w:val="TableContents"/>
              <w:bidi w:val="0"/>
              <w:spacing w:before="0" w:after="0"/>
              <w:ind w:left="0" w:right="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Principal at Risk Securities Linked to the Lowest Performing of the S&amp;P 500</w:t>
            </w:r>
            <w:r>
              <w:rPr>
                <w:rFonts w:ascii="Verdana;Helvetica;Sans-Serif" w:hAnsi="Verdana;Helvetica;Sans-Serif"/>
                <w:b w:val="false"/>
                <w:i w:val="false"/>
                <w:caps w:val="false"/>
                <w:smallCaps w:val="false"/>
                <w:color w:val="FFFFFF"/>
                <w:position w:val="7"/>
                <w:sz w:val="16"/>
                <w:sz w:val="20"/>
              </w:rPr>
              <w:t>®</w:t>
            </w:r>
            <w:r>
              <w:rPr>
                <w:rFonts w:ascii="Verdana;Helvetica;Sans-Serif" w:hAnsi="Verdana;Helvetica;Sans-Serif"/>
                <w:b w:val="false"/>
                <w:i w:val="false"/>
                <w:caps w:val="false"/>
                <w:smallCaps w:val="false"/>
                <w:color w:val="FFFFFF"/>
                <w:sz w:val="20"/>
              </w:rPr>
              <w:t xml:space="preserve"> Index, the Dow Jones Industrial Average</w:t>
            </w:r>
            <w:r>
              <w:rPr>
                <w:rFonts w:ascii="Verdana;Helvetica;Sans-Serif" w:hAnsi="Verdana;Helvetica;Sans-Serif"/>
                <w:b w:val="false"/>
                <w:i w:val="false"/>
                <w:caps w:val="false"/>
                <w:smallCaps w:val="false"/>
                <w:color w:val="FFFFFF"/>
                <w:position w:val="7"/>
                <w:sz w:val="16"/>
                <w:sz w:val="20"/>
              </w:rPr>
              <w:t>®</w:t>
            </w:r>
            <w:r>
              <w:rPr>
                <w:rFonts w:ascii="Verdana;Helvetica;Sans-Serif" w:hAnsi="Verdana;Helvetica;Sans-Serif"/>
                <w:b w:val="false"/>
                <w:i w:val="false"/>
                <w:caps w:val="false"/>
                <w:smallCaps w:val="false"/>
                <w:color w:val="FFFFFF"/>
                <w:sz w:val="20"/>
              </w:rPr>
              <w:t>, the Nasdaq-100 Index</w:t>
            </w:r>
            <w:r>
              <w:rPr>
                <w:rFonts w:ascii="Verdana;Helvetica;Sans-Serif" w:hAnsi="Verdana;Helvetica;Sans-Serif"/>
                <w:b w:val="false"/>
                <w:i w:val="false"/>
                <w:caps w:val="false"/>
                <w:smallCaps w:val="false"/>
                <w:color w:val="FFFFFF"/>
                <w:position w:val="7"/>
                <w:sz w:val="16"/>
                <w:sz w:val="20"/>
              </w:rPr>
              <w:t>®</w:t>
            </w:r>
            <w:r>
              <w:rPr>
                <w:rFonts w:ascii="Verdana;Helvetica;Sans-Serif" w:hAnsi="Verdana;Helvetica;Sans-Serif"/>
                <w:b w:val="false"/>
                <w:i w:val="false"/>
                <w:caps w:val="false"/>
                <w:smallCaps w:val="false"/>
                <w:color w:val="FFFFFF"/>
                <w:sz w:val="20"/>
              </w:rPr>
              <w:t xml:space="preserve"> and the State Street</w:t>
            </w:r>
            <w:r>
              <w:rPr>
                <w:rFonts w:ascii="Verdana;Helvetica;Sans-Serif" w:hAnsi="Verdana;Helvetica;Sans-Serif"/>
                <w:b w:val="false"/>
                <w:i w:val="false"/>
                <w:caps w:val="false"/>
                <w:smallCaps w:val="false"/>
                <w:color w:val="FFFFFF"/>
                <w:position w:val="7"/>
                <w:sz w:val="16"/>
                <w:sz w:val="20"/>
              </w:rPr>
              <w:t>®</w:t>
            </w:r>
            <w:r>
              <w:rPr>
                <w:rFonts w:ascii="Verdana;Helvetica;Sans-Serif" w:hAnsi="Verdana;Helvetica;Sans-Serif"/>
                <w:b w:val="false"/>
                <w:i w:val="false"/>
                <w:caps w:val="false"/>
                <w:smallCaps w:val="false"/>
                <w:color w:val="FFFFFF"/>
                <w:sz w:val="20"/>
              </w:rPr>
              <w:t xml:space="preserve"> Utilities Select Sector SPDR</w:t>
            </w:r>
            <w:r>
              <w:rPr>
                <w:rFonts w:ascii="Verdana;Helvetica;Sans-Serif" w:hAnsi="Verdana;Helvetica;Sans-Serif"/>
                <w:b w:val="false"/>
                <w:i w:val="false"/>
                <w:caps w:val="false"/>
                <w:smallCaps w:val="false"/>
                <w:color w:val="FFFFFF"/>
                <w:position w:val="7"/>
                <w:sz w:val="16"/>
                <w:sz w:val="20"/>
              </w:rPr>
              <w:t>®</w:t>
            </w:r>
            <w:r>
              <w:rPr>
                <w:rFonts w:ascii="Verdana;Helvetica;Sans-Serif" w:hAnsi="Verdana;Helvetica;Sans-Serif"/>
                <w:b w:val="false"/>
                <w:i w:val="false"/>
                <w:caps w:val="false"/>
                <w:smallCaps w:val="false"/>
                <w:color w:val="FFFFFF"/>
                <w:sz w:val="20"/>
              </w:rPr>
              <w:t xml:space="preserve"> ETF due November 8, 2027</w:t>
            </w:r>
          </w:p>
          <w:p>
            <w:pPr>
              <w:pStyle w:val="TableContents"/>
              <w:bidi w:val="0"/>
              <w:spacing w:before="0" w:after="12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Fact Sheet dated October 13, 2026 to Preliminary Pricing Supplement dated October 12, 2026</w:t>
            </w:r>
          </w:p>
        </w:tc>
      </w:tr>
    </w:tbl>
    <w:p>
      <w:pPr>
        <w:pStyle w:val="TextBody"/>
        <w:bidi w:val="0"/>
        <w:spacing w:before="40" w:after="0"/>
        <w:ind w:left="0" w:right="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The securities have complex features and investing in the securities involves risks not associated with an investment in conventional debt securities. See “Risk Factors” in the accompanying prospectus supplement and the accompanying product supplement and “Selected Risk Considerations” in the accompanying preliminary pricing supplement.</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75000" cy="9972040"/>
                <wp:effectExtent l="0" t="0" r="0" b="0"/>
                <wp:wrapSquare wrapText="right"/>
                <wp:docPr id="2" name="Frame1"/>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p>
                            <w:pPr>
                              <w:pStyle w:val="TextBody"/>
                              <w:bidi w:val="0"/>
                              <w:spacing w:before="0" w:after="0"/>
                              <w:ind w:left="108"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28" w:type="dxa"/>
                                <w:right w:w="108" w:type="dxa"/>
                              </w:tblCellMar>
                            </w:tblPr>
                            <w:tblGrid>
                              <w:gridCol w:w="1588"/>
                              <w:gridCol w:w="8617"/>
                            </w:tblGrid>
                            <w:tr>
                              <w:trPr/>
                              <w:tc>
                                <w:tcPr>
                                  <w:tcW w:w="1588"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Issuer:</w:t>
                                  </w:r>
                                </w:p>
                              </w:tc>
                              <w:tc>
                                <w:tcPr>
                                  <w:tcW w:w="8617"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Financial Company LLC</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Guarantor:</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&amp; C0.</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Underlyings:</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S&amp;P 500</w:t>
                                  </w:r>
                                  <w:r>
                                    <w:rPr>
                                      <w:rFonts w:ascii="Georgia;Times;Serif" w:hAnsi="Georgia;Times;Serif"/>
                                      <w:b w:val="false"/>
                                      <w:i w:val="false"/>
                                      <w:caps w:val="false"/>
                                      <w:smallCaps w:val="false"/>
                                      <w:position w:val="5"/>
                                      <w:sz w:val="13"/>
                                      <w:sz w:val="16"/>
                                    </w:rPr>
                                    <w:t>®</w:t>
                                  </w:r>
                                  <w:r>
                                    <w:rPr>
                                      <w:rFonts w:ascii="Georgia;Times;Serif" w:hAnsi="Georgia;Times;Serif"/>
                                      <w:b w:val="false"/>
                                      <w:i w:val="false"/>
                                      <w:caps w:val="false"/>
                                      <w:smallCaps w:val="false"/>
                                      <w:sz w:val="16"/>
                                    </w:rPr>
                                    <w:t xml:space="preserve"> Index (Bloomberg ticker: SPX), Dow Jones Industrial Average</w:t>
                                  </w:r>
                                  <w:r>
                                    <w:rPr>
                                      <w:rFonts w:ascii="Georgia;Times;Serif" w:hAnsi="Georgia;Times;Serif"/>
                                      <w:b w:val="false"/>
                                      <w:i w:val="false"/>
                                      <w:caps w:val="false"/>
                                      <w:smallCaps w:val="false"/>
                                      <w:position w:val="5"/>
                                      <w:sz w:val="13"/>
                                      <w:sz w:val="16"/>
                                    </w:rPr>
                                    <w:t>®</w:t>
                                  </w:r>
                                  <w:r>
                                    <w:rPr>
                                      <w:rFonts w:ascii="Georgia;Times;Serif" w:hAnsi="Georgia;Times;Serif"/>
                                      <w:b w:val="false"/>
                                      <w:i w:val="false"/>
                                      <w:caps w:val="false"/>
                                      <w:smallCaps w:val="false"/>
                                      <w:sz w:val="16"/>
                                    </w:rPr>
                                    <w:t xml:space="preserve"> (Bloomberg ticker: INDU) and Nasdaq-100 Index</w:t>
                                  </w:r>
                                  <w:r>
                                    <w:rPr>
                                      <w:rFonts w:ascii="Georgia;Times;Serif" w:hAnsi="Georgia;Times;Serif"/>
                                      <w:b w:val="false"/>
                                      <w:i w:val="false"/>
                                      <w:caps w:val="false"/>
                                      <w:smallCaps w:val="false"/>
                                      <w:position w:val="5"/>
                                      <w:sz w:val="13"/>
                                      <w:sz w:val="16"/>
                                    </w:rPr>
                                    <w:t>®</w:t>
                                  </w:r>
                                  <w:r>
                                    <w:rPr>
                                      <w:rFonts w:ascii="Georgia;Times;Serif" w:hAnsi="Georgia;Times;Serif"/>
                                      <w:b w:val="false"/>
                                      <w:i w:val="false"/>
                                      <w:caps w:val="false"/>
                                      <w:smallCaps w:val="false"/>
                                      <w:sz w:val="16"/>
                                    </w:rPr>
                                    <w:t xml:space="preserve"> (Bloomberg ticker: NDX) (each referred to as an “Index,” and collectively as the “Indices”) and the State Street</w:t>
                                  </w:r>
                                  <w:r>
                                    <w:rPr>
                                      <w:rFonts w:ascii="Georgia;Times;Serif" w:hAnsi="Georgia;Times;Serif"/>
                                      <w:b w:val="false"/>
                                      <w:i w:val="false"/>
                                      <w:caps w:val="false"/>
                                      <w:smallCaps w:val="false"/>
                                      <w:position w:val="5"/>
                                      <w:sz w:val="13"/>
                                      <w:sz w:val="16"/>
                                    </w:rPr>
                                    <w:t>®</w:t>
                                  </w:r>
                                  <w:r>
                                    <w:rPr>
                                      <w:rFonts w:ascii="Georgia;Times;Serif" w:hAnsi="Georgia;Times;Serif"/>
                                      <w:b w:val="false"/>
                                      <w:i w:val="false"/>
                                      <w:caps w:val="false"/>
                                      <w:smallCaps w:val="false"/>
                                      <w:sz w:val="16"/>
                                    </w:rPr>
                                    <w:t xml:space="preserve"> Utilities Select Sector SPDR</w:t>
                                  </w:r>
                                  <w:r>
                                    <w:rPr>
                                      <w:rFonts w:ascii="Georgia;Times;Serif" w:hAnsi="Georgia;Times;Serif"/>
                                      <w:b w:val="false"/>
                                      <w:i w:val="false"/>
                                      <w:caps w:val="false"/>
                                      <w:smallCaps w:val="false"/>
                                      <w:position w:val="5"/>
                                      <w:sz w:val="13"/>
                                      <w:sz w:val="16"/>
                                    </w:rPr>
                                    <w:t>®</w:t>
                                  </w:r>
                                  <w:r>
                                    <w:rPr>
                                      <w:rFonts w:ascii="Georgia;Times;Serif" w:hAnsi="Georgia;Times;Serif"/>
                                      <w:b w:val="false"/>
                                      <w:i w:val="false"/>
                                      <w:caps w:val="false"/>
                                      <w:smallCaps w:val="false"/>
                                      <w:sz w:val="16"/>
                                    </w:rPr>
                                    <w:t xml:space="preserve"> ETF (Bloomberg ticker: XLU) (referred to as the “Fund,” and collectively with the Indices, as the “Underlyings”)</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Pricing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October 27, 2026</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October 30, 2026</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Day</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November 3, 2027</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Stated Maturity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November 8, 2027</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Principal Amount:</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per security (100% of par)</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Maturity Payment Amount (per Security):</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40"/>
                                    <w:ind w:left="130" w:right="0" w:hanging="144"/>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val="false"/>
                                      <w:i w:val="false"/>
                                      <w:caps w:val="false"/>
                                      <w:smallCaps w:val="false"/>
                                      <w:sz w:val="16"/>
                                    </w:rPr>
                                    <w:t>If the ending value of the lowest performing Underlying is greater than its starting value:</w:t>
                                  </w:r>
                                </w:p>
                                <w:p>
                                  <w:pPr>
                                    <w:pStyle w:val="TableContents"/>
                                    <w:bidi w:val="0"/>
                                    <w:ind w:left="316" w:right="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underlying return of the lowest performing Underlying × upside participation rate);</w:t>
                                  </w:r>
                                </w:p>
                                <w:p>
                                  <w:pPr>
                                    <w:pStyle w:val="TableContents"/>
                                    <w:bidi w:val="0"/>
                                    <w:ind w:left="130" w:right="0" w:hanging="144"/>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val="false"/>
                                      <w:i w:val="false"/>
                                      <w:caps w:val="false"/>
                                      <w:smallCaps w:val="false"/>
                                      <w:sz w:val="16"/>
                                    </w:rPr>
                                    <w:t>If the ending value of the lowest performing Underlying is less than or equal to its starting value, but greater than or equal to its threshold value: $1,000; or</w:t>
                                  </w:r>
                                </w:p>
                                <w:p>
                                  <w:pPr>
                                    <w:pStyle w:val="TableContents"/>
                                    <w:bidi w:val="0"/>
                                    <w:ind w:left="130" w:right="0" w:hanging="144"/>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val="false"/>
                                      <w:i w:val="false"/>
                                      <w:caps w:val="false"/>
                                      <w:smallCaps w:val="false"/>
                                      <w:sz w:val="16"/>
                                    </w:rPr>
                                    <w:t xml:space="preserve">If the ending value of the lowest performing Underlying is less than its threshold value: </w:t>
                                  </w:r>
                                </w:p>
                                <w:p>
                                  <w:pPr>
                                    <w:pStyle w:val="TableContents"/>
                                    <w:bidi w:val="0"/>
                                    <w:ind w:left="346" w:right="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(underlying return of the lowest performing Underlying + buffer amount)]</w:t>
                                  </w:r>
                                </w:p>
                                <w:p>
                                  <w:pPr>
                                    <w:pStyle w:val="TableContents"/>
                                    <w:bidi w:val="0"/>
                                    <w:spacing w:before="0" w:after="283"/>
                                    <w:jc w:val="left"/>
                                    <w:rPr>
                                      <w:caps w:val="false"/>
                                      <w:smallCaps w:val="false"/>
                                    </w:rPr>
                                  </w:pPr>
                                  <w:r>
                                    <w:rPr>
                                      <w:caps w:val="false"/>
                                      <w:smallCaps w:val="false"/>
                                    </w:rPr>
                                    <w:t> </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Lowest Performing Underlying:</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Underlying with the lowest underlying return</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Upside Participation Rate:</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At least 109.00% (to be provided in the pricing supplement)</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Starting Value:</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its closing value on the pricing date</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Value:</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its closing value on the calculation day</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Buffer Amount:</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20%</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Threshold Value:</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For each Underlying, 80% of its starting value </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Underlying Return:</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(ending value – starting value) / starting value</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Agent:</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 Morgan Securities LLC (“</w:t>
                                  </w:r>
                                  <w:r>
                                    <w:rPr>
                                      <w:rFonts w:ascii="Georgia;Times;Serif" w:hAnsi="Georgia;Times;Serif"/>
                                      <w:b w:val="false"/>
                                      <w:i w:val="false"/>
                                      <w:caps w:val="false"/>
                                      <w:smallCaps w:val="false"/>
                                      <w:sz w:val="16"/>
                                      <w:u w:val="single"/>
                                    </w:rPr>
                                    <w:t>JPMS</w:t>
                                  </w:r>
                                  <w:r>
                                    <w:rPr>
                                      <w:rFonts w:ascii="Georgia;Times;Serif" w:hAnsi="Georgia;Times;Serif"/>
                                      <w:b w:val="false"/>
                                      <w:i w:val="false"/>
                                      <w:caps w:val="false"/>
                                      <w:smallCaps w:val="false"/>
                                      <w:sz w:val="16"/>
                                    </w:rPr>
                                    <w:t>”)</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Denominations:</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and any integral multiple of $1,000</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CUSIP:</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46661PPS0</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Fees and Commissions:</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 to 2.325% for Wells Fargo Securities, LLC (“</w:t>
                                  </w:r>
                                  <w:r>
                                    <w:rPr>
                                      <w:rFonts w:ascii="Georgia;Times;Serif" w:hAnsi="Georgia;Times;Serif"/>
                                      <w:b w:val="false"/>
                                      <w:i w:val="false"/>
                                      <w:caps w:val="false"/>
                                      <w:smallCaps w:val="false"/>
                                      <w:sz w:val="16"/>
                                      <w:u w:val="single"/>
                                    </w:rPr>
                                    <w:t>WFS</w:t>
                                  </w:r>
                                  <w:r>
                                    <w:rPr>
                                      <w:rFonts w:ascii="Georgia;Times;Serif" w:hAnsi="Georgia;Times;Serif"/>
                                      <w:b w:val="false"/>
                                      <w:i w:val="false"/>
                                      <w:caps w:val="false"/>
                                      <w:smallCaps w:val="false"/>
                                      <w:sz w:val="16"/>
                                    </w:rPr>
                                    <w:t>”); WFS has advised us that dealers, including Wells Fargo Advisors (“</w:t>
                                  </w:r>
                                  <w:r>
                                    <w:rPr>
                                      <w:rFonts w:ascii="Georgia;Times;Serif" w:hAnsi="Georgia;Times;Serif"/>
                                      <w:b w:val="false"/>
                                      <w:i w:val="false"/>
                                      <w:caps w:val="false"/>
                                      <w:smallCaps w:val="false"/>
                                      <w:sz w:val="16"/>
                                      <w:u w:val="single"/>
                                    </w:rPr>
                                    <w:t>WFA</w:t>
                                  </w:r>
                                  <w:r>
                                    <w:rPr>
                                      <w:rFonts w:ascii="Georgia;Times;Serif" w:hAnsi="Georgia;Times;Serif"/>
                                      <w:b w:val="false"/>
                                      <w:i w:val="false"/>
                                      <w:caps w:val="false"/>
                                      <w:smallCaps w:val="false"/>
                                      <w:sz w:val="16"/>
                                    </w:rPr>
                                    <w:t>”), may receive 1.75% of WFS’s fee, and WFA may also receive a distribution expense fee of 0.075%.  In addition, in respect of certain securities sold in this offering, JPMS may pay a fee of up to 0.20% to selected dealers in consideration for marketing and other services in connection with the distribution of the securities to other dealers.</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Tax Considerations:</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108"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28" w:type="dxa"/>
                          <w:right w:w="108" w:type="dxa"/>
                        </w:tblCellMar>
                      </w:tblPr>
                      <w:tblGrid>
                        <w:gridCol w:w="1588"/>
                        <w:gridCol w:w="8617"/>
                      </w:tblGrid>
                      <w:tr>
                        <w:trPr/>
                        <w:tc>
                          <w:tcPr>
                            <w:tcW w:w="1588"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Issuer:</w:t>
                            </w:r>
                          </w:p>
                        </w:tc>
                        <w:tc>
                          <w:tcPr>
                            <w:tcW w:w="8617"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Financial Company LLC</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Guarantor:</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&amp; C0.</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Underlyings:</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S&amp;P 500</w:t>
                            </w:r>
                            <w:r>
                              <w:rPr>
                                <w:rFonts w:ascii="Georgia;Times;Serif" w:hAnsi="Georgia;Times;Serif"/>
                                <w:b w:val="false"/>
                                <w:i w:val="false"/>
                                <w:caps w:val="false"/>
                                <w:smallCaps w:val="false"/>
                                <w:position w:val="5"/>
                                <w:sz w:val="13"/>
                                <w:sz w:val="16"/>
                              </w:rPr>
                              <w:t>®</w:t>
                            </w:r>
                            <w:r>
                              <w:rPr>
                                <w:rFonts w:ascii="Georgia;Times;Serif" w:hAnsi="Georgia;Times;Serif"/>
                                <w:b w:val="false"/>
                                <w:i w:val="false"/>
                                <w:caps w:val="false"/>
                                <w:smallCaps w:val="false"/>
                                <w:sz w:val="16"/>
                              </w:rPr>
                              <w:t xml:space="preserve"> Index (Bloomberg ticker: SPX), Dow Jones Industrial Average</w:t>
                            </w:r>
                            <w:r>
                              <w:rPr>
                                <w:rFonts w:ascii="Georgia;Times;Serif" w:hAnsi="Georgia;Times;Serif"/>
                                <w:b w:val="false"/>
                                <w:i w:val="false"/>
                                <w:caps w:val="false"/>
                                <w:smallCaps w:val="false"/>
                                <w:position w:val="5"/>
                                <w:sz w:val="13"/>
                                <w:sz w:val="16"/>
                              </w:rPr>
                              <w:t>®</w:t>
                            </w:r>
                            <w:r>
                              <w:rPr>
                                <w:rFonts w:ascii="Georgia;Times;Serif" w:hAnsi="Georgia;Times;Serif"/>
                                <w:b w:val="false"/>
                                <w:i w:val="false"/>
                                <w:caps w:val="false"/>
                                <w:smallCaps w:val="false"/>
                                <w:sz w:val="16"/>
                              </w:rPr>
                              <w:t xml:space="preserve"> (Bloomberg ticker: INDU) and Nasdaq-100 Index</w:t>
                            </w:r>
                            <w:r>
                              <w:rPr>
                                <w:rFonts w:ascii="Georgia;Times;Serif" w:hAnsi="Georgia;Times;Serif"/>
                                <w:b w:val="false"/>
                                <w:i w:val="false"/>
                                <w:caps w:val="false"/>
                                <w:smallCaps w:val="false"/>
                                <w:position w:val="5"/>
                                <w:sz w:val="13"/>
                                <w:sz w:val="16"/>
                              </w:rPr>
                              <w:t>®</w:t>
                            </w:r>
                            <w:r>
                              <w:rPr>
                                <w:rFonts w:ascii="Georgia;Times;Serif" w:hAnsi="Georgia;Times;Serif"/>
                                <w:b w:val="false"/>
                                <w:i w:val="false"/>
                                <w:caps w:val="false"/>
                                <w:smallCaps w:val="false"/>
                                <w:sz w:val="16"/>
                              </w:rPr>
                              <w:t xml:space="preserve"> (Bloomberg ticker: NDX) (each referred to as an “Index,” and collectively as the “Indices”) and the State Street</w:t>
                            </w:r>
                            <w:r>
                              <w:rPr>
                                <w:rFonts w:ascii="Georgia;Times;Serif" w:hAnsi="Georgia;Times;Serif"/>
                                <w:b w:val="false"/>
                                <w:i w:val="false"/>
                                <w:caps w:val="false"/>
                                <w:smallCaps w:val="false"/>
                                <w:position w:val="5"/>
                                <w:sz w:val="13"/>
                                <w:sz w:val="16"/>
                              </w:rPr>
                              <w:t>®</w:t>
                            </w:r>
                            <w:r>
                              <w:rPr>
                                <w:rFonts w:ascii="Georgia;Times;Serif" w:hAnsi="Georgia;Times;Serif"/>
                                <w:b w:val="false"/>
                                <w:i w:val="false"/>
                                <w:caps w:val="false"/>
                                <w:smallCaps w:val="false"/>
                                <w:sz w:val="16"/>
                              </w:rPr>
                              <w:t xml:space="preserve"> Utilities Select Sector SPDR</w:t>
                            </w:r>
                            <w:r>
                              <w:rPr>
                                <w:rFonts w:ascii="Georgia;Times;Serif" w:hAnsi="Georgia;Times;Serif"/>
                                <w:b w:val="false"/>
                                <w:i w:val="false"/>
                                <w:caps w:val="false"/>
                                <w:smallCaps w:val="false"/>
                                <w:position w:val="5"/>
                                <w:sz w:val="13"/>
                                <w:sz w:val="16"/>
                              </w:rPr>
                              <w:t>®</w:t>
                            </w:r>
                            <w:r>
                              <w:rPr>
                                <w:rFonts w:ascii="Georgia;Times;Serif" w:hAnsi="Georgia;Times;Serif"/>
                                <w:b w:val="false"/>
                                <w:i w:val="false"/>
                                <w:caps w:val="false"/>
                                <w:smallCaps w:val="false"/>
                                <w:sz w:val="16"/>
                              </w:rPr>
                              <w:t xml:space="preserve"> ETF (Bloomberg ticker: XLU) (referred to as the “Fund,” and collectively with the Indices, as the “Underlyings”)</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Pricing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October 27, 2026</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October 30, 2026</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Day</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November 3, 2027</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Stated Maturity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November 8, 2027</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Principal Amount:</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per security (100% of par)</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Maturity Payment Amount (per Security):</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40"/>
                              <w:ind w:left="130" w:right="0" w:hanging="144"/>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val="false"/>
                                <w:i w:val="false"/>
                                <w:caps w:val="false"/>
                                <w:smallCaps w:val="false"/>
                                <w:sz w:val="16"/>
                              </w:rPr>
                              <w:t>If the ending value of the lowest performing Underlying is greater than its starting value:</w:t>
                            </w:r>
                          </w:p>
                          <w:p>
                            <w:pPr>
                              <w:pStyle w:val="TableContents"/>
                              <w:bidi w:val="0"/>
                              <w:ind w:left="316" w:right="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underlying return of the lowest performing Underlying × upside participation rate);</w:t>
                            </w:r>
                          </w:p>
                          <w:p>
                            <w:pPr>
                              <w:pStyle w:val="TableContents"/>
                              <w:bidi w:val="0"/>
                              <w:ind w:left="130" w:right="0" w:hanging="144"/>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val="false"/>
                                <w:i w:val="false"/>
                                <w:caps w:val="false"/>
                                <w:smallCaps w:val="false"/>
                                <w:sz w:val="16"/>
                              </w:rPr>
                              <w:t>If the ending value of the lowest performing Underlying is less than or equal to its starting value, but greater than or equal to its threshold value: $1,000; or</w:t>
                            </w:r>
                          </w:p>
                          <w:p>
                            <w:pPr>
                              <w:pStyle w:val="TableContents"/>
                              <w:bidi w:val="0"/>
                              <w:ind w:left="130" w:right="0" w:hanging="144"/>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val="false"/>
                                <w:i w:val="false"/>
                                <w:caps w:val="false"/>
                                <w:smallCaps w:val="false"/>
                                <w:sz w:val="16"/>
                              </w:rPr>
                              <w:t xml:space="preserve">If the ending value of the lowest performing Underlying is less than its threshold value: </w:t>
                            </w:r>
                          </w:p>
                          <w:p>
                            <w:pPr>
                              <w:pStyle w:val="TableContents"/>
                              <w:bidi w:val="0"/>
                              <w:ind w:left="346" w:right="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(underlying return of the lowest performing Underlying + buffer amount)]</w:t>
                            </w:r>
                          </w:p>
                          <w:p>
                            <w:pPr>
                              <w:pStyle w:val="TableContents"/>
                              <w:bidi w:val="0"/>
                              <w:spacing w:before="0" w:after="283"/>
                              <w:jc w:val="left"/>
                              <w:rPr>
                                <w:caps w:val="false"/>
                                <w:smallCaps w:val="false"/>
                              </w:rPr>
                            </w:pPr>
                            <w:r>
                              <w:rPr>
                                <w:caps w:val="false"/>
                                <w:smallCaps w:val="false"/>
                              </w:rPr>
                              <w:t> </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Lowest Performing Underlying:</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Underlying with the lowest underlying return</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Upside Participation Rate:</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At least 109.00% (to be provided in the pricing supplement)</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Starting Value:</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its closing value on the pricing date</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Value:</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its closing value on the calculation day</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Buffer Amount:</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20%</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Threshold Value:</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For each Underlying, 80% of its starting value </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Underlying Return:</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(ending value – starting value) / starting value</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Agent:</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 Morgan Securities LLC (“</w:t>
                            </w:r>
                            <w:r>
                              <w:rPr>
                                <w:rFonts w:ascii="Georgia;Times;Serif" w:hAnsi="Georgia;Times;Serif"/>
                                <w:b w:val="false"/>
                                <w:i w:val="false"/>
                                <w:caps w:val="false"/>
                                <w:smallCaps w:val="false"/>
                                <w:sz w:val="16"/>
                                <w:u w:val="single"/>
                              </w:rPr>
                              <w:t>JPMS</w:t>
                            </w:r>
                            <w:r>
                              <w:rPr>
                                <w:rFonts w:ascii="Georgia;Times;Serif" w:hAnsi="Georgia;Times;Serif"/>
                                <w:b w:val="false"/>
                                <w:i w:val="false"/>
                                <w:caps w:val="false"/>
                                <w:smallCaps w:val="false"/>
                                <w:sz w:val="16"/>
                              </w:rPr>
                              <w:t>”)</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Denominations:</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and any integral multiple of $1,000</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CUSIP:</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46661PPS0</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Fees and Commissions:</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 to 2.325% for Wells Fargo Securities, LLC (“</w:t>
                            </w:r>
                            <w:r>
                              <w:rPr>
                                <w:rFonts w:ascii="Georgia;Times;Serif" w:hAnsi="Georgia;Times;Serif"/>
                                <w:b w:val="false"/>
                                <w:i w:val="false"/>
                                <w:caps w:val="false"/>
                                <w:smallCaps w:val="false"/>
                                <w:sz w:val="16"/>
                                <w:u w:val="single"/>
                              </w:rPr>
                              <w:t>WFS</w:t>
                            </w:r>
                            <w:r>
                              <w:rPr>
                                <w:rFonts w:ascii="Georgia;Times;Serif" w:hAnsi="Georgia;Times;Serif"/>
                                <w:b w:val="false"/>
                                <w:i w:val="false"/>
                                <w:caps w:val="false"/>
                                <w:smallCaps w:val="false"/>
                                <w:sz w:val="16"/>
                              </w:rPr>
                              <w:t>”); WFS has advised us that dealers, including Wells Fargo Advisors (“</w:t>
                            </w:r>
                            <w:r>
                              <w:rPr>
                                <w:rFonts w:ascii="Georgia;Times;Serif" w:hAnsi="Georgia;Times;Serif"/>
                                <w:b w:val="false"/>
                                <w:i w:val="false"/>
                                <w:caps w:val="false"/>
                                <w:smallCaps w:val="false"/>
                                <w:sz w:val="16"/>
                                <w:u w:val="single"/>
                              </w:rPr>
                              <w:t>WFA</w:t>
                            </w:r>
                            <w:r>
                              <w:rPr>
                                <w:rFonts w:ascii="Georgia;Times;Serif" w:hAnsi="Georgia;Times;Serif"/>
                                <w:b w:val="false"/>
                                <w:i w:val="false"/>
                                <w:caps w:val="false"/>
                                <w:smallCaps w:val="false"/>
                                <w:sz w:val="16"/>
                              </w:rPr>
                              <w:t>”), may receive 1.75% of WFS’s fee, and WFA may also receive a distribution expense fee of 0.075%.  In addition, in respect of certain securities sold in this offering, JPMS may pay a fee of up to 0.20% to selected dealers in consideration for marketing and other services in connection with the distribution of the securities to other dealers.</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Tax Considerations:</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4">
                <wp:simplePos x="0" y="0"/>
                <wp:positionH relativeFrom="column">
                  <wp:align>right</wp:align>
                </wp:positionH>
                <wp:positionV relativeFrom="line">
                  <wp:posOffset>635</wp:posOffset>
                </wp:positionV>
                <wp:extent cx="3175000" cy="6806565"/>
                <wp:effectExtent l="0" t="0" r="0" b="0"/>
                <wp:wrapSquare wrapText="left"/>
                <wp:docPr id="3" name="Frame2"/>
                <a:graphic xmlns:a="http://schemas.openxmlformats.org/drawingml/2006/main">
                  <a:graphicData uri="http://schemas.microsoft.com/office/word/2010/wordprocessingShape">
                    <wps:wsp>
                      <wps:cNvSpPr txBox="1"/>
                      <wps:spPr>
                        <a:xfrm>
                          <a:off x="0" y="0"/>
                          <a:ext cx="3175000" cy="6806565"/>
                        </a:xfrm>
                        <a:prstGeom prst="rect"/>
                        <a:solidFill>
                          <a:srgbClr val="FFFFFF"/>
                        </a:solidFill>
                      </wps:spPr>
                      <wps:txb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w:t>
                            </w:r>
                          </w:p>
                          <w:p>
                            <w:pPr>
                              <w:pStyle w:val="TextBody"/>
                              <w:bidi w:val="0"/>
                              <w:jc w:val="center"/>
                              <w:rPr>
                                <w:caps w:val="false"/>
                                <w:smallCaps w:val="false"/>
                              </w:rPr>
                            </w:pPr>
                            <w:r>
                              <w:rPr>
                                <w:caps w:val="false"/>
                                <w:smallCaps w:val="false"/>
                              </w:rPr>
                              <w:drawing>
                                <wp:inline distT="0" distB="0" distL="0" distR="0">
                                  <wp:extent cx="3067050" cy="191452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3067050" cy="1914525"/>
                                          </a:xfrm>
                                          <a:prstGeom prst="rect">
                                            <a:avLst/>
                                          </a:prstGeom>
                                        </pic:spPr>
                                      </pic:pic>
                                    </a:graphicData>
                                  </a:graphic>
                                </wp:inline>
                              </w:drawing>
                            </w:r>
                          </w:p>
                          <w:p>
                            <w:pPr>
                              <w:pStyle w:val="TextBody"/>
                              <w:bidi w:val="0"/>
                              <w:jc w:val="left"/>
                              <w:rPr>
                                <w:caps w:val="false"/>
                                <w:smallCaps w:val="false"/>
                                <w:color w:val="8F8F8F"/>
                              </w:rPr>
                            </w:pPr>
                            <w:r>
                              <w:rPr>
                                <w:caps w:val="false"/>
                                <w:smallCaps w:val="false"/>
                                <w:color w:val="8F8F8F"/>
                              </w:rPr>
                              <w:t> </w:t>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*Assumes an upside participation rate equal to the minimum upside participation rate.</w:t>
                            </w:r>
                          </w:p>
                          <w:p>
                            <w:pPr>
                              <w:pStyle w:val="TextBody"/>
                              <w:bidi w:val="0"/>
                              <w:spacing w:before="0" w:after="6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the ending value of the lowest performing Underlying is less than its threshold value, you will have 1-to-1 downside exposure to the decrease in the value of that Underlying in excess of the buffer amount, and you will lose some, and possibly up to 80%, of the principal amount of your securities at maturity.</w:t>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6"/>
                              </w:rPr>
                              <w:t>Any payment on the securities is subject to the credit risk of JPMorgan Financial, as issuer of the securities, and the credit risk of JPMorgan Chase &amp; Co., as guarantor of the securities.</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priced on the date of the accompanying preliminary pricing supplement, the estimated value of the securities would be approximately $962.80 per security. The estimated value of the securities, when the terms of the securities are set, will be provided in the pricing supplement and will not be less than $930.00 per security. See “The Estimated Value of the Securities” in the preliminary pricing supplement for additional information.</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Preliminary Pricing Supplement:</w:t>
                            </w:r>
                          </w:p>
                          <w:p>
                            <w:pPr>
                              <w:pStyle w:val="TextBody"/>
                              <w:bidi w:val="0"/>
                              <w:spacing w:before="0" w:after="283"/>
                              <w:jc w:val="left"/>
                              <w:rPr/>
                            </w:pPr>
                            <w:hyperlink r:id="rId4">
                              <w:r>
                                <w:rPr>
                                  <w:rStyle w:val="InternetLink"/>
                                  <w:rFonts w:ascii="Georgia;Times;Serif" w:hAnsi="Georgia;Times;Serif"/>
                                  <w:b w:val="false"/>
                                  <w:i w:val="false"/>
                                  <w:caps w:val="false"/>
                                  <w:smallCaps w:val="false"/>
                                  <w:sz w:val="16"/>
                                </w:rPr>
                                <w:t>http://www.sec.gov/Archives/edgar/data/19617/000121390026108687/</w:t>
                                <w:br/>
                                <w:t>ea0308374-01_424b2.htm</w:t>
                              </w:r>
                            </w:hyperlink>
                          </w:p>
                          <w:p>
                            <w:pPr>
                              <w:pStyle w:val="TextBody"/>
                              <w:bidi w:val="0"/>
                              <w:spacing w:before="0" w:after="283"/>
                              <w:jc w:val="left"/>
                              <w:rPr>
                                <w:caps w:val="false"/>
                                <w:smallCaps w:val="false"/>
                              </w:rPr>
                            </w:pPr>
                            <w:r>
                              <w:rPr>
                                <w:caps w:val="false"/>
                                <w:smallCaps w:val="false"/>
                              </w:rPr>
                              <w: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35.95pt;mso-wrap-distance-left:0pt;mso-wrap-distance-right:0pt;mso-wrap-distance-top:0pt;mso-wrap-distance-bottom:0pt;margin-top:0pt;mso-position-vertical:top;mso-position-vertical-relative:text;margin-left:260.25pt;mso-position-horizontal:right;mso-position-horizontal-relative:text">
                <v:textbo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w:t>
                      </w:r>
                    </w:p>
                    <w:p>
                      <w:pPr>
                        <w:pStyle w:val="TextBody"/>
                        <w:bidi w:val="0"/>
                        <w:jc w:val="center"/>
                        <w:rPr>
                          <w:caps w:val="false"/>
                          <w:smallCaps w:val="false"/>
                        </w:rPr>
                      </w:pPr>
                      <w:r>
                        <w:rPr>
                          <w:caps w:val="false"/>
                          <w:smallCaps w:val="false"/>
                        </w:rPr>
                        <w:drawing>
                          <wp:inline distT="0" distB="0" distL="0" distR="0">
                            <wp:extent cx="3067050" cy="19145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5"/>
                                    <a:stretch>
                                      <a:fillRect/>
                                    </a:stretch>
                                  </pic:blipFill>
                                  <pic:spPr bwMode="auto">
                                    <a:xfrm>
                                      <a:off x="0" y="0"/>
                                      <a:ext cx="3067050" cy="1914525"/>
                                    </a:xfrm>
                                    <a:prstGeom prst="rect">
                                      <a:avLst/>
                                    </a:prstGeom>
                                  </pic:spPr>
                                </pic:pic>
                              </a:graphicData>
                            </a:graphic>
                          </wp:inline>
                        </w:drawing>
                      </w:r>
                    </w:p>
                    <w:p>
                      <w:pPr>
                        <w:pStyle w:val="TextBody"/>
                        <w:bidi w:val="0"/>
                        <w:jc w:val="left"/>
                        <w:rPr>
                          <w:caps w:val="false"/>
                          <w:smallCaps w:val="false"/>
                          <w:color w:val="8F8F8F"/>
                        </w:rPr>
                      </w:pPr>
                      <w:r>
                        <w:rPr>
                          <w:caps w:val="false"/>
                          <w:smallCaps w:val="false"/>
                          <w:color w:val="8F8F8F"/>
                        </w:rPr>
                        <w:t> </w:t>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*Assumes an upside participation rate equal to the minimum upside participation rate.</w:t>
                      </w:r>
                    </w:p>
                    <w:p>
                      <w:pPr>
                        <w:pStyle w:val="TextBody"/>
                        <w:bidi w:val="0"/>
                        <w:spacing w:before="0" w:after="6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the ending value of the lowest performing Underlying is less than its threshold value, you will have 1-to-1 downside exposure to the decrease in the value of that Underlying in excess of the buffer amount, and you will lose some, and possibly up to 80%, of the principal amount of your securities at maturity.</w:t>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6"/>
                        </w:rPr>
                        <w:t>Any payment on the securities is subject to the credit risk of JPMorgan Financial, as issuer of the securities, and the credit risk of JPMorgan Chase &amp; Co., as guarantor of the securities.</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priced on the date of the accompanying preliminary pricing supplement, the estimated value of the securities would be approximately $962.80 per security. The estimated value of the securities, when the terms of the securities are set, will be provided in the pricing supplement and will not be less than $930.00 per security. See “The Estimated Value of the Securities” in the preliminary pricing supplement for additional information.</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Preliminary Pricing Supplement:</w:t>
                      </w:r>
                    </w:p>
                    <w:p>
                      <w:pPr>
                        <w:pStyle w:val="TextBody"/>
                        <w:bidi w:val="0"/>
                        <w:spacing w:before="0" w:after="283"/>
                        <w:jc w:val="left"/>
                        <w:rPr/>
                      </w:pPr>
                      <w:hyperlink r:id="rId6">
                        <w:r>
                          <w:rPr>
                            <w:rStyle w:val="InternetLink"/>
                            <w:rFonts w:ascii="Georgia;Times;Serif" w:hAnsi="Georgia;Times;Serif"/>
                            <w:b w:val="false"/>
                            <w:i w:val="false"/>
                            <w:caps w:val="false"/>
                            <w:smallCaps w:val="false"/>
                            <w:sz w:val="16"/>
                          </w:rPr>
                          <w:t>http://www.sec.gov/Archives/edgar/data/19617/000121390026108687/</w:t>
                          <w:br/>
                          <w:t>ea0308374-01_424b2.htm</w:t>
                        </w:r>
                      </w:hyperlink>
                    </w:p>
                    <w:p>
                      <w:pPr>
                        <w:pStyle w:val="TextBody"/>
                        <w:bidi w:val="0"/>
                        <w:spacing w:before="0" w:after="283"/>
                        <w:jc w:val="left"/>
                        <w:rPr>
                          <w:caps w:val="false"/>
                          <w:smallCaps w:val="false"/>
                        </w:rPr>
                      </w:pPr>
                      <w:r>
                        <w:rPr>
                          <w:caps w:val="false"/>
                          <w:smallCaps w:val="false"/>
                        </w:rPr>
                        <w:t> </w:t>
                      </w:r>
                    </w:p>
                  </w:txbxContent>
                </v:textbox>
                <w10:wrap type="square" side="left"/>
              </v:rect>
            </w:pict>
          </mc:Fallback>
        </mc:AlternateContent>
      </w:r>
    </w:p>
    <w:p>
      <w:pPr>
        <w:pStyle w:val="TextBody"/>
        <w:bidi w:val="0"/>
        <w:jc w:val="left"/>
        <w:rPr>
          <w:caps w:val="false"/>
          <w:smallCaps w:val="false"/>
        </w:rPr>
      </w:pPr>
      <w:r>
        <w:rPr>
          <w:caps w:val="false"/>
          <w:smallCaps w:val="false"/>
        </w:rPr>
        <w:t> </w:t>
      </w:r>
    </w:p>
    <w:p>
      <w:pPr>
        <w:pStyle w:val="TextBody"/>
        <w:bidi w:val="0"/>
        <w:spacing w:before="0" w:after="120"/>
        <w:ind w:left="0" w:right="0" w:hanging="0"/>
        <w:jc w:val="left"/>
        <w:rPr>
          <w:rFonts w:ascii="Georgia;Times;Serif" w:hAnsi="Georgia;Times;Serif"/>
          <w:b w:val="false"/>
          <w:i/>
          <w:caps w:val="false"/>
          <w:smallCaps w:val="false"/>
          <w:sz w:val="16"/>
        </w:rPr>
      </w:pPr>
      <w:r>
        <w:rPr>
          <w:rFonts w:ascii="Georgia;Times;Serif" w:hAnsi="Georgia;Times;Serif"/>
          <w:b w:val="false"/>
          <w:i/>
          <w:caps w:val="false"/>
          <w:smallCaps w:val="false"/>
          <w:sz w:val="16"/>
        </w:rPr>
        <w:t>The securities are not bank deposits, are not insured by the Federal Deposit Insurance Corporation or any other governmental agency and are not obligations of, or guaranteed by, a bank.</w:t>
      </w:r>
    </w:p>
    <w:p>
      <w:pPr>
        <w:pStyle w:val="TextBody"/>
        <w:pBdr>
          <w:top w:val="single" w:sz="4" w:space="1" w:color="7F7F7F"/>
        </w:pBdr>
        <w:bidi w:val="0"/>
        <w:spacing w:before="0" w:after="80"/>
        <w:jc w:val="left"/>
        <w:rPr>
          <w:rFonts w:ascii="Georgia;Times;Serif" w:hAnsi="Georgia;Times;Serif"/>
          <w:b w:val="false"/>
          <w:i w:val="false"/>
          <w:caps w:val="false"/>
          <w:smallCaps w:val="false"/>
          <w:sz w:val="16"/>
        </w:rPr>
      </w:pPr>
      <w:r>
        <w:rPr>
          <w:rFonts w:ascii="Georgia;Times;Serif" w:hAnsi="Georgia;Times;Serif"/>
          <w:b/>
          <w:i w:val="false"/>
          <w:caps w:val="false"/>
          <w:smallCaps w:val="false"/>
          <w:color w:val="C00000"/>
          <w:sz w:val="16"/>
        </w:rPr>
        <w:t xml:space="preserve">THIS FACT SHEET DOES NOT PROVIDE ALL OF THE INFORMATION THAT AN INVESTOR SHOULD CONSIDER PRIOR TO MAKING AN INVESTMENT DECISION. </w:t>
      </w:r>
      <w:r>
        <w:rPr>
          <w:rFonts w:ascii="Georgia;Times;Serif" w:hAnsi="Georgia;Times;Serif"/>
          <w:b/>
          <w:i w:val="false"/>
          <w:caps w:val="false"/>
          <w:smallCaps w:val="false"/>
          <w:sz w:val="16"/>
        </w:rPr>
        <w:t>This fact sheet should be read in conjunction with the accompanying preliminary pricing supplement, prospectus, prospectus supplement, product supplement and underlying supplement.</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60" w:after="144"/>
        <w:ind w:left="60" w:right="60" w:hanging="0"/>
        <w:jc w:val="left"/>
        <w:rPr>
          <w:rFonts w:ascii="Georgia;Times;Serif" w:hAnsi="Georgia;Times;Serif"/>
          <w:b w:val="false"/>
          <w:i w:val="false"/>
          <w:caps w:val="false"/>
          <w:smallCaps w:val="false"/>
          <w:color w:val="8F8F8F"/>
          <w:sz w:val="28"/>
        </w:rPr>
      </w:pPr>
      <w:r>
        <w:rPr>
          <w:rFonts w:ascii="Georgia;Times;Serif" w:hAnsi="Georgia;Times;Serif"/>
          <w:b w:val="false"/>
          <w:i w:val="false"/>
          <w:caps w:val="false"/>
          <w:smallCaps w:val="false"/>
          <w:color w:val="8F8F8F"/>
          <w:sz w:val="28"/>
        </w:rPr>
        <w:t>Selected Risk Considerations</w:t>
      </w:r>
    </w:p>
    <w:p>
      <w:pPr>
        <w:pStyle w:val="TextBody"/>
        <w:bidi w:val="0"/>
        <w:spacing w:before="20" w:after="120"/>
        <w:ind w:left="20" w:right="20" w:hanging="0"/>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The risks set forth below are discussed in detail in the “Selected Risk Considerations” section in the accompanying preliminary pricing supplement and the “Risk Factors” sections in the accompanying prospectus supplement and product supplement. Please review the risk disclosure carefully.</w:t>
      </w:r>
    </w:p>
    <w:tbl>
      <w:tblPr>
        <w:tblW w:w="10205" w:type="dxa"/>
        <w:jc w:val="left"/>
        <w:tblInd w:w="0" w:type="dxa"/>
        <w:tblLayout w:type="fixed"/>
        <w:tblCellMar>
          <w:top w:w="0" w:type="dxa"/>
          <w:left w:w="0" w:type="dxa"/>
          <w:bottom w:w="0" w:type="dxa"/>
          <w:right w:w="0" w:type="dxa"/>
        </w:tblCellMar>
      </w:tblPr>
      <w:tblGrid>
        <w:gridCol w:w="4565"/>
        <w:gridCol w:w="5640"/>
      </w:tblGrid>
      <w:tr>
        <w:trPr/>
        <w:tc>
          <w:tcPr>
            <w:tcW w:w="4565" w:type="dxa"/>
            <w:tcBorders/>
            <w:vAlign w:val="center"/>
          </w:tcPr>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If the Ending Value of the Lowest Performing Underlying Is Less Than Its Threshold Value, You Will Lose Up to 80% of the Principal Amount of Your Securities at Maturity.</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Securities Are Subject to the Credit Risks of JPMorgan Financial and JPMorgan Chase &amp; Co.</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As a Finance Subsidiary, JPMorgan Financial Has No Independent Activities and Has Limited Assets.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 Are Exposed to the Risk of Decline in the Value of Each Underlying.</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Your Maturity Payment Amount Will Be Determined by the Lowest Performing Underlying.</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 Will Be Subject to Risks Resulting from the Relationship Among the Underlyings.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No Interest or Dividend Payments or Voting Rights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Lack of Liquidity</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Final Terms and Estimated Valuation of the Securities Will Be Provided in the Pricing Supplement.</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U.S. Federal Tax Consequences of the Securities Are Uncertain, and May Be Adverse to a Holder of the Securities.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Potential Conflicts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Will Be Lower Than the Original Issue Price (Price to Public) of the Securities.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Does Not Represent Future Values of the Securities and May Differ from Others’ Estimates.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Is Derived by Reference to an Internal Funding Rate.</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Value of the Securities as Published by JPMS (and Which May Be Reflected on Customer Account Statements) May Be Higher Than the Then-Current Estimated Value of the Securities for a Limited Time Period.</w:t>
            </w:r>
          </w:p>
          <w:p>
            <w:pPr>
              <w:pStyle w:val="TableContents"/>
              <w:bidi w:val="0"/>
              <w:spacing w:before="120" w:after="40"/>
              <w:ind w:left="360" w:right="120" w:hanging="0"/>
              <w:jc w:val="left"/>
              <w:rPr>
                <w:caps w:val="false"/>
                <w:smallCaps w:val="false"/>
              </w:rPr>
            </w:pPr>
            <w:r>
              <w:rPr>
                <w:caps w:val="false"/>
                <w:smallCaps w:val="false"/>
              </w:rPr>
              <w:t> </w:t>
            </w:r>
          </w:p>
        </w:tc>
        <w:tc>
          <w:tcPr>
            <w:tcW w:w="5640" w:type="dxa"/>
            <w:tcBorders/>
            <w:vAlign w:val="center"/>
          </w:tcPr>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Secondary Market Prices of the Securities Will Likely Be Lower Than the Original Issue Price of the Securities.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Many Economic and Market Factors Will Impact the Value of the Securities.</w:t>
            </w:r>
          </w:p>
          <w:p>
            <w:pPr>
              <w:pStyle w:val="TableContents"/>
              <w:bidi w:val="0"/>
              <w:ind w:left="389" w:right="0" w:hanging="389"/>
              <w:jc w:val="left"/>
              <w:rPr>
                <w:rFonts w:ascii="Times New Roman;Times;Serif" w:hAnsi="Times New Roman;Times;Serif"/>
                <w:b w:val="false"/>
                <w:i w:val="false"/>
                <w:caps w:val="false"/>
                <w:smallCaps w:val="false"/>
                <w:sz w:val="18"/>
              </w:rPr>
            </w:pPr>
            <w:r>
              <w:rPr>
                <w:rFonts w:ascii="Symbol" w:hAnsi="Symbol"/>
                <w:b w:val="false"/>
                <w:i w:val="false"/>
                <w:caps w:val="false"/>
                <w:smallCaps w:val="false"/>
                <w:sz w:val="18"/>
              </w:rPr>
              <w:t>·</w:t>
            </w:r>
            <w:r>
              <w:rPr>
                <w:rFonts w:ascii="Times New Roman;Times;Serif" w:hAnsi="Times New Roman;Times;Serif"/>
                <w:b w:val="false"/>
                <w:i w:val="false"/>
                <w:caps w:val="false"/>
                <w:smallCaps w:val="false"/>
                <w:sz w:val="18"/>
              </w:rPr>
              <w:t>      </w:t>
            </w:r>
            <w:r>
              <w:rPr>
                <w:rFonts w:ascii="Georgia;Times;Serif" w:hAnsi="Georgia;Times;Serif"/>
                <w:b/>
                <w:i w:val="false"/>
                <w:caps w:val="false"/>
                <w:smallCaps w:val="false"/>
                <w:sz w:val="18"/>
              </w:rPr>
              <w:t>Each of JPMorgan Chase &amp; Co. and Wells Fargo &amp; Company (the Parent Company of WFS) Is Currently One of the Companies that Make Up the S&amp;P 500</w:t>
            </w:r>
            <w:r>
              <w:rPr>
                <w:rFonts w:ascii="Georgia;Times;Serif" w:hAnsi="Georgia;Times;Serif"/>
                <w:b/>
                <w:i w:val="false"/>
                <w:caps w:val="false"/>
                <w:smallCaps w:val="false"/>
                <w:position w:val="6"/>
                <w:sz w:val="14"/>
                <w:sz w:val="18"/>
              </w:rPr>
              <w:t>®</w:t>
            </w:r>
            <w:r>
              <w:rPr>
                <w:rFonts w:ascii="Georgia;Times;Serif" w:hAnsi="Georgia;Times;Serif"/>
                <w:b/>
                <w:i w:val="false"/>
                <w:caps w:val="false"/>
                <w:smallCaps w:val="false"/>
                <w:sz w:val="18"/>
              </w:rPr>
              <w:t xml:space="preserve"> Index, and JPMorgan Chase &amp; Co. Is Currently One of the Companies that Make Up the Dow Jones Industrial Average</w:t>
            </w:r>
            <w:r>
              <w:rPr>
                <w:rFonts w:ascii="Georgia;Times;Serif" w:hAnsi="Georgia;Times;Serif"/>
                <w:b/>
                <w:i w:val="false"/>
                <w:caps w:val="false"/>
                <w:smallCaps w:val="false"/>
                <w:position w:val="6"/>
                <w:sz w:val="14"/>
                <w:sz w:val="18"/>
              </w:rPr>
              <w:t>®</w:t>
            </w:r>
            <w:r>
              <w:rPr>
                <w:rFonts w:ascii="Georgia;Times;Serif" w:hAnsi="Georgia;Times;Serif"/>
                <w:b/>
                <w:i w:val="false"/>
                <w:caps w:val="false"/>
                <w:smallCaps w:val="false"/>
                <w:sz w:val="18"/>
              </w:rPr>
              <w:t>.</w:t>
            </w:r>
          </w:p>
          <w:p>
            <w:pPr>
              <w:pStyle w:val="TableContents"/>
              <w:bidi w:val="0"/>
              <w:ind w:left="389" w:right="0" w:hanging="389"/>
              <w:jc w:val="left"/>
              <w:rPr>
                <w:rFonts w:ascii="Times New Roman;Times;Serif" w:hAnsi="Times New Roman;Times;Serif"/>
                <w:b w:val="false"/>
                <w:i w:val="false"/>
                <w:caps w:val="false"/>
                <w:smallCaps w:val="false"/>
                <w:sz w:val="18"/>
              </w:rPr>
            </w:pPr>
            <w:r>
              <w:rPr>
                <w:rFonts w:ascii="Symbol" w:hAnsi="Symbol"/>
                <w:b w:val="false"/>
                <w:i w:val="false"/>
                <w:caps w:val="false"/>
                <w:smallCaps w:val="false"/>
                <w:sz w:val="18"/>
              </w:rPr>
              <w:t>·</w:t>
            </w:r>
            <w:r>
              <w:rPr>
                <w:rFonts w:ascii="Times New Roman;Times;Serif" w:hAnsi="Times New Roman;Times;Serif"/>
                <w:b w:val="false"/>
                <w:i w:val="false"/>
                <w:caps w:val="false"/>
                <w:smallCaps w:val="false"/>
                <w:sz w:val="18"/>
              </w:rPr>
              <w:t>      </w:t>
            </w:r>
            <w:r>
              <w:rPr>
                <w:rFonts w:ascii="Georgia;Times;Serif" w:hAnsi="Georgia;Times;Serif"/>
                <w:b/>
                <w:i w:val="false"/>
                <w:caps w:val="false"/>
                <w:smallCaps w:val="false"/>
                <w:sz w:val="18"/>
              </w:rPr>
              <w:t xml:space="preserve">The </w:t>
            </w:r>
            <w:r>
              <w:rPr>
                <w:rFonts w:ascii="Georgia;Times;Serif" w:hAnsi="Georgia;Times;Serif"/>
                <w:b/>
                <w:i w:val="false"/>
                <w:caps w:val="false"/>
                <w:smallCaps w:val="false"/>
                <w:sz w:val="18"/>
                <w:shd w:fill="FFFFFF" w:val="clear"/>
              </w:rPr>
              <w:t>Securities Are Subject to Non-U.S. Securities Risk with Respect to the Nasdaq-100 Index</w:t>
            </w:r>
            <w:r>
              <w:rPr>
                <w:rFonts w:ascii="Georgia;Times;Serif" w:hAnsi="Georgia;Times;Serif"/>
                <w:b/>
                <w:i w:val="false"/>
                <w:caps w:val="false"/>
                <w:smallCaps w:val="false"/>
                <w:position w:val="6"/>
                <w:sz w:val="14"/>
                <w:sz w:val="18"/>
                <w:shd w:fill="FFFFFF" w:val="clear"/>
              </w:rPr>
              <w:t>®</w:t>
            </w:r>
            <w:r>
              <w:rPr>
                <w:rFonts w:ascii="Georgia;Times;Serif" w:hAnsi="Georgia;Times;Serif"/>
                <w:b/>
                <w:i w:val="false"/>
                <w:caps w:val="false"/>
                <w:smallCaps w:val="false"/>
                <w:sz w:val="18"/>
                <w:shd w:fill="FFFFFF" w:val="clear"/>
              </w:rPr>
              <w:t>.</w:t>
            </w:r>
          </w:p>
          <w:p>
            <w:pPr>
              <w:pStyle w:val="TableContents"/>
              <w:bidi w:val="0"/>
              <w:spacing w:before="0" w:after="40"/>
              <w:ind w:left="389" w:right="0" w:hanging="389"/>
              <w:jc w:val="left"/>
              <w:rPr>
                <w:rFonts w:ascii="Times New Roman;Times;Serif" w:hAnsi="Times New Roman;Times;Serif"/>
                <w:b w:val="false"/>
                <w:i w:val="false"/>
                <w:caps w:val="false"/>
                <w:smallCaps w:val="false"/>
                <w:sz w:val="18"/>
              </w:rPr>
            </w:pPr>
            <w:r>
              <w:rPr>
                <w:rFonts w:ascii="Symbol" w:hAnsi="Symbol"/>
                <w:b w:val="false"/>
                <w:i w:val="false"/>
                <w:caps w:val="false"/>
                <w:smallCaps w:val="false"/>
                <w:sz w:val="18"/>
              </w:rPr>
              <w:t>·</w:t>
            </w:r>
            <w:r>
              <w:rPr>
                <w:rFonts w:ascii="Times New Roman;Times;Serif" w:hAnsi="Times New Roman;Times;Serif"/>
                <w:b w:val="false"/>
                <w:i w:val="false"/>
                <w:caps w:val="false"/>
                <w:smallCaps w:val="false"/>
                <w:sz w:val="18"/>
              </w:rPr>
              <w:t>      </w:t>
            </w:r>
            <w:r>
              <w:rPr>
                <w:rFonts w:ascii="Georgia;Times;Serif" w:hAnsi="Georgia;Times;Serif"/>
                <w:b/>
                <w:i w:val="false"/>
                <w:caps w:val="false"/>
                <w:smallCaps w:val="false"/>
                <w:sz w:val="18"/>
              </w:rPr>
              <w:t>There Are Risks Associated with the Fund.</w:t>
            </w:r>
          </w:p>
          <w:p>
            <w:pPr>
              <w:pStyle w:val="TableContents"/>
              <w:bidi w:val="0"/>
              <w:spacing w:before="0" w:after="40"/>
              <w:ind w:left="389" w:right="0" w:hanging="389"/>
              <w:jc w:val="left"/>
              <w:rPr>
                <w:rFonts w:ascii="Times New Roman;Times;Serif" w:hAnsi="Times New Roman;Times;Serif"/>
                <w:b w:val="false"/>
                <w:i w:val="false"/>
                <w:caps w:val="false"/>
                <w:smallCaps w:val="false"/>
                <w:sz w:val="18"/>
              </w:rPr>
            </w:pPr>
            <w:r>
              <w:rPr>
                <w:rFonts w:ascii="Symbol" w:hAnsi="Symbol"/>
                <w:b w:val="false"/>
                <w:i w:val="false"/>
                <w:caps w:val="false"/>
                <w:smallCaps w:val="false"/>
                <w:sz w:val="18"/>
              </w:rPr>
              <w:t>·</w:t>
            </w:r>
            <w:r>
              <w:rPr>
                <w:rFonts w:ascii="Times New Roman;Times;Serif" w:hAnsi="Times New Roman;Times;Serif"/>
                <w:b w:val="false"/>
                <w:i w:val="false"/>
                <w:caps w:val="false"/>
                <w:smallCaps w:val="false"/>
                <w:sz w:val="18"/>
              </w:rPr>
              <w:t>      </w:t>
            </w:r>
            <w:r>
              <w:rPr>
                <w:rFonts w:ascii="Georgia;Times;Serif" w:hAnsi="Georgia;Times;Serif"/>
                <w:b/>
                <w:i w:val="false"/>
                <w:caps w:val="false"/>
                <w:smallCaps w:val="false"/>
                <w:sz w:val="18"/>
              </w:rPr>
              <w:t>The Performance and Market Value of the Fund, Particularly During Periods of Market Volatility, May Not Correlate with the Performance of the Fund’s Fund Underlying Index As Well As the Net Asset Value Per Share.</w:t>
            </w:r>
          </w:p>
          <w:p>
            <w:pPr>
              <w:pStyle w:val="TableContents"/>
              <w:bidi w:val="0"/>
              <w:spacing w:before="0" w:after="40"/>
              <w:ind w:left="389" w:right="0" w:hanging="389"/>
              <w:jc w:val="left"/>
              <w:rPr>
                <w:rFonts w:ascii="Times New Roman;Times;Serif" w:hAnsi="Times New Roman;Times;Serif"/>
                <w:b w:val="false"/>
                <w:i w:val="false"/>
                <w:caps w:val="false"/>
                <w:smallCaps w:val="false"/>
                <w:sz w:val="18"/>
              </w:rPr>
            </w:pPr>
            <w:r>
              <w:rPr>
                <w:rFonts w:ascii="Symbol" w:hAnsi="Symbol"/>
                <w:b w:val="false"/>
                <w:i w:val="false"/>
                <w:caps w:val="false"/>
                <w:smallCaps w:val="false"/>
                <w:sz w:val="18"/>
              </w:rPr>
              <w:t>·</w:t>
            </w:r>
            <w:r>
              <w:rPr>
                <w:rFonts w:ascii="Times New Roman;Times;Serif" w:hAnsi="Times New Roman;Times;Serif"/>
                <w:b w:val="false"/>
                <w:i w:val="false"/>
                <w:caps w:val="false"/>
                <w:smallCaps w:val="false"/>
                <w:sz w:val="18"/>
              </w:rPr>
              <w:t>      </w:t>
            </w:r>
            <w:r>
              <w:rPr>
                <w:rFonts w:ascii="Georgia;Times;Serif" w:hAnsi="Georgia;Times;Serif"/>
                <w:b/>
                <w:i w:val="false"/>
                <w:caps w:val="false"/>
                <w:smallCaps w:val="false"/>
                <w:sz w:val="18"/>
              </w:rPr>
              <w:t>The Securities Are Subject to Risks Associated with the Utilities Sector with Respect to the Fund</w:t>
            </w:r>
          </w:p>
          <w:p>
            <w:pPr>
              <w:pStyle w:val="TableContents"/>
              <w:bidi w:val="0"/>
              <w:spacing w:before="0" w:after="40"/>
              <w:ind w:left="389" w:right="0" w:hanging="389"/>
              <w:jc w:val="left"/>
              <w:rPr>
                <w:rFonts w:ascii="Times New Roman;Times;Serif" w:hAnsi="Times New Roman;Times;Serif"/>
                <w:b w:val="false"/>
                <w:i w:val="false"/>
                <w:caps w:val="false"/>
                <w:smallCaps w:val="false"/>
                <w:sz w:val="18"/>
              </w:rPr>
            </w:pPr>
            <w:r>
              <w:rPr>
                <w:rFonts w:ascii="Symbol" w:hAnsi="Symbol"/>
                <w:b w:val="false"/>
                <w:i w:val="false"/>
                <w:caps w:val="false"/>
                <w:smallCaps w:val="false"/>
                <w:sz w:val="18"/>
              </w:rPr>
              <w:t>·</w:t>
            </w:r>
            <w:r>
              <w:rPr>
                <w:rFonts w:ascii="Times New Roman;Times;Serif" w:hAnsi="Times New Roman;Times;Serif"/>
                <w:b w:val="false"/>
                <w:i w:val="false"/>
                <w:caps w:val="false"/>
                <w:smallCaps w:val="false"/>
                <w:sz w:val="18"/>
              </w:rPr>
              <w:t>      </w:t>
            </w:r>
            <w:r>
              <w:rPr>
                <w:rFonts w:ascii="Georgia;Times;Serif" w:hAnsi="Georgia;Times;Serif"/>
                <w:b/>
                <w:i w:val="false"/>
                <w:caps w:val="false"/>
                <w:smallCaps w:val="false"/>
                <w:sz w:val="18"/>
              </w:rPr>
              <w:t>The Anti-Dilution Protection for the Fund Is Limited and May Be Discretionary.</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shd w:fill="FFFFFF" w:val="clear"/>
              </w:rPr>
              <w:t>The Maturity Payment Amount Will Depend upon the Performance of Each Underlying and Therefore the Securities Are Subject to the Risks Associated with Each Underlying, Each as Discussed in the Accompanying Preliminary Pricing Supplement and Product Supplement.</w:t>
            </w:r>
          </w:p>
          <w:p>
            <w:pPr>
              <w:pStyle w:val="TableContents"/>
              <w:bidi w:val="0"/>
              <w:spacing w:before="120" w:after="40"/>
              <w:ind w:left="450" w:right="120" w:hanging="0"/>
              <w:jc w:val="left"/>
              <w:rPr>
                <w:caps w:val="false"/>
                <w:smallCaps w:val="false"/>
              </w:rPr>
            </w:pPr>
            <w:r>
              <w:rPr>
                <w:caps w:val="false"/>
                <w:smallCaps w:val="false"/>
              </w:rPr>
              <w:t> </w:t>
            </w:r>
          </w:p>
        </w:tc>
      </w:tr>
    </w:tbl>
    <w:p>
      <w:pPr>
        <w:pStyle w:val="TextBody"/>
        <w:bidi w:val="0"/>
        <w:spacing w:before="20" w:after="120"/>
        <w:ind w:left="20" w:right="20" w:hanging="0"/>
        <w:jc w:val="left"/>
        <w:rPr>
          <w:caps w:val="false"/>
          <w:smallCaps w:val="false"/>
        </w:rPr>
      </w:pPr>
      <w:r>
        <w:rPr>
          <w:caps w:val="false"/>
          <w:smallCaps w:val="false"/>
        </w:rPr>
        <w:t> </w:t>
      </w:r>
    </w:p>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have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w:t>
      </w:r>
    </w:p>
    <w:p>
      <w:pPr>
        <w:pStyle w:val="TextBody"/>
        <w:bidi w:val="0"/>
        <w:spacing w:before="0" w:after="6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As used in this fact sheet, “we,” “us” and “our” refer to JPMorgan Chase Financial Company LLC. Wells Fargo Advisors is a trade name used by Wells Fargo Clearing Services, LLC and Wells Fargo Advisors Financial Network, LLC, members SIPC, separate registered broker-dealers and non-bank affiliates of Wells Fargo &amp; Company.</w:t>
      </w:r>
    </w:p>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Verdana">
    <w:altName w:val="Helvetica"/>
    <w:charset w:val="01"/>
    <w:family w:val="auto"/>
    <w:pitch w:val="default"/>
  </w:font>
  <w:font w:name="Georgia">
    <w:altName w:val="Times"/>
    <w:charset w:val="01"/>
    <w:family w:val="auto"/>
    <w:pitch w:val="default"/>
  </w:font>
  <w:font w:name="Symbol">
    <w:charset w:val="02"/>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9617/000121390026108687/ea0308374-01_424b2.htm" TargetMode="External"/><Relationship Id="rId5" Type="http://schemas.openxmlformats.org/officeDocument/2006/relationships/image" Target="media/image2.jpeg"/><Relationship Id="rId6" Type="http://schemas.openxmlformats.org/officeDocument/2006/relationships/hyperlink" Target="http://www.sec.gov/Archives/edgar/data/19617/000121390026108687/ea0308374-01_424b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1506</Words>
  <Characters>8191</Characters>
  <CharactersWithSpaces>9744</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