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003-01_fwp.htm"/>
      <w:bookmarkStart w:id="1" w:name="ksea0303003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United Rentals, Inc. Pricing Date: August 26, 2026 Final Review Date: August 31, 2028 Maturity Date: August 31, 2028 Review Dates: Quarterly Contingent Interest Rate: At least 12.00%* per annum, payable quarterly at a rate of at least 3.00%*, if applicable Interest Barrier/ Trigger Value: An amount that represents 60.00% of the Initial Value CUSIP: 46661MF66 Preliminary Pricing Supplement: http://sp.jpmorgan.com/document/cusip/46661MF66/doctype/Product_Termsheet/document.pdf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4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URI Auto Callable Contingent Interest Notes North America Structured Investments Payment at Maturity (assuming 12.00% per annum Contingent Interest Rate) Stock Return $1,030.00 60.00% $1,030.00 40.00% $1,030.00 20.00% $1,030.00 5.00% $1,030.00 0.00% $1,030.00 - 5.00% $1,030.00 - 10.00% $1,030.00 - 20.00% $1,030.00 - 30.00% $1,030.00 - 40.00% $599.90 - 40.01% $500.00 - 50.00%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$30.00 (equivalent to a Contingent Interest Rate of at least 12.00% per annum, payable at a rate of at least 3.00%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We may accelerate your notes if an acceleration event occurs. • No dividend payments or voting rights.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URI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1573</Words>
  <Characters>8002</Characters>
  <CharactersWithSpaces>9576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