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4391-01_fwp.htm"/>
      <w:bookmarkStart w:id="1" w:name="ksea030439101_fwp"/>
      <w:bookmarkStart w:id="2" w:name="ea0304391-01_fwp.htm"/>
      <w:bookmarkStart w:id="3" w:name="ksea030439101_fwp"/>
      <w:bookmarkEnd w:id="2"/>
      <w:bookmarkEnd w:id="3"/>
    </w:p>
    <w:tbl>
      <w:tblPr>
        <w:tblW w:w="10205" w:type="dxa"/>
        <w:jc w:val="left"/>
        <w:tblInd w:w="0" w:type="dxa"/>
        <w:tblLayout w:type="fixed"/>
        <w:tblCellMar>
          <w:top w:w="0" w:type="dxa"/>
          <w:left w:w="0" w:type="dxa"/>
          <w:bottom w:w="0" w:type="dxa"/>
          <w:right w:w="0" w:type="dxa"/>
        </w:tblCellMar>
      </w:tblPr>
      <w:tblGrid>
        <w:gridCol w:w="6163"/>
        <w:gridCol w:w="4042"/>
      </w:tblGrid>
      <w:tr>
        <w:trPr/>
        <w:tc>
          <w:tcPr>
            <w:tcW w:w="6163" w:type="dxa"/>
            <w:vMerge w:val="restart"/>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83"/>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Notes</w:t>
            </w:r>
          </w:p>
        </w:tc>
        <w:tc>
          <w:tcPr>
            <w:tcW w:w="4042"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6163" w:type="dxa"/>
            <w:vMerge w:val="continue"/>
            <w:tcBorders/>
            <w:vAlign w:val="center"/>
          </w:tcPr>
          <w:p>
            <w:pPr>
              <w:pStyle w:val="Normal"/>
              <w:bidi w:val="0"/>
              <w:jc w:val="left"/>
              <w:rPr/>
            </w:pPr>
            <w:r>
              <w:rPr/>
            </w:r>
          </w:p>
        </w:tc>
        <w:tc>
          <w:tcPr>
            <w:tcW w:w="4042"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6668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361950"/>
                          </a:xfrm>
                          <a:prstGeom prst="rect">
                            <a:avLst/>
                          </a:prstGeom>
                        </pic:spPr>
                      </pic:pic>
                    </a:graphicData>
                  </a:graphic>
                </wp:inline>
              </w:drawing>
            </w:r>
          </w:p>
        </w:tc>
      </w:tr>
    </w:tbl>
    <w:tbl>
      <w:tblPr>
        <w:tblW w:w="9860" w:type="dxa"/>
        <w:jc w:val="left"/>
        <w:tblInd w:w="0" w:type="dxa"/>
        <w:tblLayout w:type="fixed"/>
        <w:tblCellMar>
          <w:top w:w="0" w:type="dxa"/>
          <w:left w:w="0" w:type="dxa"/>
          <w:bottom w:w="0" w:type="dxa"/>
          <w:right w:w="0" w:type="dxa"/>
        </w:tblCellMar>
      </w:tblPr>
      <w:tblGrid>
        <w:gridCol w:w="9860"/>
      </w:tblGrid>
      <w:tr>
        <w:trPr/>
        <w:tc>
          <w:tcPr>
            <w:tcW w:w="9860"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Notes — Leveraged Upside Participation and Principal Return at Maturity</w:t>
            </w:r>
          </w:p>
          <w:p>
            <w:pPr>
              <w:pStyle w:val="TableContents"/>
              <w:bidi w:val="0"/>
              <w:spacing w:before="0" w:after="6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Notes Linked to a Basket due September 8, 2031</w:t>
            </w:r>
          </w:p>
          <w:p>
            <w:pPr>
              <w:pStyle w:val="TableContents"/>
              <w:bidi w:val="0"/>
              <w:spacing w:before="0" w:after="12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2, 2026 to Preliminary Pricing Supplement dated September 1, 2026</w:t>
            </w:r>
          </w:p>
        </w:tc>
      </w:tr>
    </w:tbl>
    <w:p>
      <w:pPr>
        <w:pStyle w:val="TextBody"/>
        <w:bidi w:val="0"/>
        <w:spacing w:before="0" w:after="60"/>
        <w:jc w:val="left"/>
        <w:rPr>
          <w:rFonts w:ascii="Georgia;Times;Serif" w:hAnsi="Georgia;Times;Serif"/>
          <w:b/>
          <w:i w:val="false"/>
          <w:caps w:val="false"/>
          <w:smallCaps w:val="false"/>
          <w:sz w:val="18"/>
        </w:rPr>
      </w:pPr>
      <w:r>
        <w:rPr>
          <w:rFonts w:ascii="Georgia;Times;Serif" w:hAnsi="Georgia;Times;Serif"/>
          <w:b/>
          <w:i w:val="false"/>
          <w:caps w:val="false"/>
          <w:smallCaps w:val="false"/>
          <w:sz w:val="18"/>
        </w:rPr>
        <w:t>The notes have complex features and investing in the notes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647"/>
                              <w:gridCol w:w="8558"/>
                            </w:tblGrid>
                            <w:tr>
                              <w:trPr/>
                              <w:tc>
                                <w:tcPr>
                                  <w:tcW w:w="164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Issuer:</w:t>
                                  </w:r>
                                </w:p>
                              </w:tc>
                              <w:tc>
                                <w:tcPr>
                                  <w:tcW w:w="855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JPMorgan Chase Financial Company LLC</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Guarantor:</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JPMorgan Chase &amp; C0.</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Georgia;Times;Serif" w:hAnsi="Georgia;Times;Serif"/>
                                      <w:b w:val="false"/>
                                      <w:i w:val="false"/>
                                      <w:caps w:val="false"/>
                                      <w:smallCaps w:val="false"/>
                                      <w:sz w:val="16"/>
                                    </w:rPr>
                                    <w:t>Basket / Basket Components</w:t>
                                  </w:r>
                                  <w:r>
                                    <w:rPr>
                                      <w:rFonts w:ascii="Georgia;Times;Serif" w:hAnsi="Georgia;Times;Serif"/>
                                      <w:b w:val="false"/>
                                      <w:i w:val="false"/>
                                      <w:caps w:val="false"/>
                                      <w:smallCaps w:val="false"/>
                                      <w:sz w:val="18"/>
                                    </w:rPr>
                                    <w:t>:</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shd w:fill="FFFFFF" w:val="clear"/>
                                    </w:rPr>
                                  </w:pPr>
                                  <w:r>
                                    <w:rPr>
                                      <w:rFonts w:ascii="Georgia;Times;Serif" w:hAnsi="Georgia;Times;Serif"/>
                                      <w:b w:val="false"/>
                                      <w:i w:val="false"/>
                                      <w:caps w:val="false"/>
                                      <w:smallCaps w:val="false"/>
                                      <w:sz w:val="18"/>
                                      <w:shd w:fill="FFFFFF" w:val="clear"/>
                                    </w:rPr>
                                    <w:t>An equally weighted basket (the “</w:t>
                                  </w:r>
                                  <w:r>
                                    <w:rPr>
                                      <w:rFonts w:ascii="Georgia;Times;Serif" w:hAnsi="Georgia;Times;Serif"/>
                                      <w:b w:val="false"/>
                                      <w:i w:val="false"/>
                                      <w:caps w:val="false"/>
                                      <w:smallCaps w:val="false"/>
                                      <w:sz w:val="18"/>
                                      <w:u w:val="single"/>
                                      <w:shd w:fill="FFFFFF" w:val="clear"/>
                                    </w:rPr>
                                    <w:t>basket</w:t>
                                  </w:r>
                                  <w:r>
                                    <w:rPr>
                                      <w:rFonts w:ascii="Georgia;Times;Serif" w:hAnsi="Georgia;Times;Serif"/>
                                      <w:b w:val="false"/>
                                      <w:i w:val="false"/>
                                      <w:caps w:val="false"/>
                                      <w:smallCaps w:val="false"/>
                                      <w:sz w:val="18"/>
                                      <w:shd w:fill="FFFFFF" w:val="clear"/>
                                    </w:rPr>
                                    <w:t>”) composed of the following basket components, with the weighting percentages noted parenthetically: the EURO STOXX 50</w:t>
                                  </w:r>
                                  <w:r>
                                    <w:rPr>
                                      <w:rFonts w:ascii="Georgia;Times;Serif" w:hAnsi="Georgia;Times;Serif"/>
                                      <w:b w:val="false"/>
                                      <w:i w:val="false"/>
                                      <w:caps w:val="false"/>
                                      <w:smallCaps w:val="false"/>
                                      <w:position w:val="6"/>
                                      <w:sz w:val="14"/>
                                      <w:sz w:val="18"/>
                                      <w:shd w:fill="FFFFFF" w:val="clear"/>
                                    </w:rPr>
                                    <w:t>®</w:t>
                                  </w:r>
                                  <w:r>
                                    <w:rPr>
                                      <w:rFonts w:ascii="Georgia;Times;Serif" w:hAnsi="Georgia;Times;Serif"/>
                                      <w:b w:val="false"/>
                                      <w:i w:val="false"/>
                                      <w:caps w:val="false"/>
                                      <w:smallCaps w:val="false"/>
                                      <w:sz w:val="18"/>
                                      <w:shd w:fill="FFFFFF" w:val="clear"/>
                                    </w:rPr>
                                    <w:t xml:space="preserve"> Index (Bloomberg ticker: SX5E) (25%), the TOPIX</w:t>
                                  </w:r>
                                  <w:r>
                                    <w:rPr>
                                      <w:rFonts w:ascii="Georgia;Times;Serif" w:hAnsi="Georgia;Times;Serif"/>
                                      <w:b w:val="false"/>
                                      <w:i w:val="false"/>
                                      <w:caps w:val="false"/>
                                      <w:smallCaps w:val="false"/>
                                      <w:position w:val="6"/>
                                      <w:sz w:val="14"/>
                                      <w:sz w:val="18"/>
                                      <w:shd w:fill="FFFFFF" w:val="clear"/>
                                    </w:rPr>
                                    <w:t>®</w:t>
                                  </w:r>
                                  <w:r>
                                    <w:rPr>
                                      <w:rFonts w:ascii="Georgia;Times;Serif" w:hAnsi="Georgia;Times;Serif"/>
                                      <w:b w:val="false"/>
                                      <w:i w:val="false"/>
                                      <w:caps w:val="false"/>
                                      <w:smallCaps w:val="false"/>
                                      <w:sz w:val="18"/>
                                      <w:shd w:fill="FFFFFF" w:val="clear"/>
                                    </w:rPr>
                                    <w:t xml:space="preserve"> Index (Bloomberg ticker: TPX) (25%), the FTSE</w:t>
                                  </w:r>
                                  <w:r>
                                    <w:rPr>
                                      <w:rFonts w:ascii="Georgia;Times;Serif" w:hAnsi="Georgia;Times;Serif"/>
                                      <w:b w:val="false"/>
                                      <w:i w:val="false"/>
                                      <w:caps w:val="false"/>
                                      <w:smallCaps w:val="false"/>
                                      <w:position w:val="6"/>
                                      <w:sz w:val="14"/>
                                      <w:sz w:val="18"/>
                                      <w:shd w:fill="FFFFFF" w:val="clear"/>
                                    </w:rPr>
                                    <w:t>®</w:t>
                                  </w:r>
                                  <w:r>
                                    <w:rPr>
                                      <w:rFonts w:ascii="Georgia;Times;Serif" w:hAnsi="Georgia;Times;Serif"/>
                                      <w:b w:val="false"/>
                                      <w:i w:val="false"/>
                                      <w:caps w:val="false"/>
                                      <w:smallCaps w:val="false"/>
                                      <w:sz w:val="18"/>
                                      <w:shd w:fill="FFFFFF" w:val="clear"/>
                                    </w:rPr>
                                    <w:t xml:space="preserve"> 100 Index (Bloomberg ticker: UKX) (25%) and the Swiss Market Index (Bloomberg ticker: SMI) (25%) (each referred to as a “basket component” and collectively as the “basket components”)</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Pricing Date</w:t>
                                  </w:r>
                                  <w:r>
                                    <w:rPr>
                                      <w:rFonts w:ascii="Georgia;Times;Serif" w:hAnsi="Georgia;Times;Serif"/>
                                      <w:b w:val="false"/>
                                      <w:i w:val="false"/>
                                      <w:caps w:val="false"/>
                                      <w:smallCaps w:val="false"/>
                                      <w:position w:val="6"/>
                                      <w:sz w:val="14"/>
                                      <w:sz w:val="18"/>
                                    </w:rPr>
                                    <w:t>1</w:t>
                                  </w:r>
                                  <w:r>
                                    <w:rPr>
                                      <w:rFonts w:ascii="Georgia;Times;Serif" w:hAnsi="Georgia;Times;Serif"/>
                                      <w:b w:val="false"/>
                                      <w:i w:val="false"/>
                                      <w:caps w:val="false"/>
                                      <w:smallCaps w:val="false"/>
                                      <w:sz w:val="18"/>
                                    </w:rPr>
                                    <w:t>:</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September 3, 2026</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Issue Date</w:t>
                                  </w:r>
                                  <w:r>
                                    <w:rPr>
                                      <w:rFonts w:ascii="Georgia;Times;Serif" w:hAnsi="Georgia;Times;Serif"/>
                                      <w:b w:val="false"/>
                                      <w:i w:val="false"/>
                                      <w:caps w:val="false"/>
                                      <w:smallCaps w:val="false"/>
                                      <w:position w:val="6"/>
                                      <w:sz w:val="14"/>
                                      <w:sz w:val="18"/>
                                    </w:rPr>
                                    <w:t>1</w:t>
                                  </w:r>
                                  <w:r>
                                    <w:rPr>
                                      <w:rFonts w:ascii="Georgia;Times;Serif" w:hAnsi="Georgia;Times;Serif"/>
                                      <w:b w:val="false"/>
                                      <w:i w:val="false"/>
                                      <w:caps w:val="false"/>
                                      <w:smallCaps w:val="false"/>
                                      <w:sz w:val="18"/>
                                    </w:rPr>
                                    <w:t>:</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September 9, 2026</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Calculation Day</w:t>
                                  </w:r>
                                  <w:r>
                                    <w:rPr>
                                      <w:rFonts w:ascii="Georgia;Times;Serif" w:hAnsi="Georgia;Times;Serif"/>
                                      <w:b w:val="false"/>
                                      <w:i w:val="false"/>
                                      <w:caps w:val="false"/>
                                      <w:smallCaps w:val="false"/>
                                      <w:position w:val="6"/>
                                      <w:sz w:val="14"/>
                                      <w:sz w:val="18"/>
                                    </w:rPr>
                                    <w:t>1, 2</w:t>
                                  </w:r>
                                  <w:r>
                                    <w:rPr>
                                      <w:rFonts w:ascii="Georgia;Times;Serif" w:hAnsi="Georgia;Times;Serif"/>
                                      <w:b w:val="false"/>
                                      <w:i w:val="false"/>
                                      <w:caps w:val="false"/>
                                      <w:smallCaps w:val="false"/>
                                      <w:sz w:val="18"/>
                                    </w:rPr>
                                    <w:t>:</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September 3, 2031</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Stated Maturity Date</w:t>
                                  </w:r>
                                  <w:r>
                                    <w:rPr>
                                      <w:rFonts w:ascii="Georgia;Times;Serif" w:hAnsi="Georgia;Times;Serif"/>
                                      <w:b w:val="false"/>
                                      <w:i w:val="false"/>
                                      <w:caps w:val="false"/>
                                      <w:smallCaps w:val="false"/>
                                      <w:position w:val="6"/>
                                      <w:sz w:val="14"/>
                                      <w:sz w:val="18"/>
                                    </w:rPr>
                                    <w:t>1, 2</w:t>
                                  </w:r>
                                  <w:r>
                                    <w:rPr>
                                      <w:rFonts w:ascii="Georgia;Times;Serif" w:hAnsi="Georgia;Times;Serif"/>
                                      <w:b w:val="false"/>
                                      <w:i w:val="false"/>
                                      <w:caps w:val="false"/>
                                      <w:smallCaps w:val="false"/>
                                      <w:sz w:val="18"/>
                                    </w:rPr>
                                    <w:t>:</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September 8, 2031</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Principal Amount:</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$1,000 per note (100% of par)</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Maturity Payment Amount (per Note):</w:t>
                                  </w:r>
                                </w:p>
                              </w:tc>
                              <w:tc>
                                <w:tcPr>
                                  <w:tcW w:w="8558" w:type="dxa"/>
                                  <w:tcBorders>
                                    <w:bottom w:val="single" w:sz="8" w:space="0" w:color="000000"/>
                                    <w:right w:val="single" w:sz="8" w:space="0" w:color="000000"/>
                                  </w:tcBorders>
                                  <w:tcMar>
                                    <w:top w:w="0" w:type="dxa"/>
                                    <w:left w:w="0" w:type="dxa"/>
                                  </w:tcMar>
                                  <w:vAlign w:val="center"/>
                                </w:tcPr>
                                <w:p>
                                  <w:pPr>
                                    <w:pStyle w:val="TableContents"/>
                                    <w:bidi w:val="0"/>
                                    <w:ind w:left="230" w:right="0" w:hanging="23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if the ending level is greater than the starting level:</w:t>
                                  </w:r>
                                </w:p>
                                <w:p>
                                  <w:pPr>
                                    <w:pStyle w:val="TableContents"/>
                                    <w:bidi w:val="0"/>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$1,000 + ($1,000 × basket return × upside participation rate); or</w:t>
                                  </w:r>
                                </w:p>
                                <w:p>
                                  <w:pPr>
                                    <w:pStyle w:val="TableContents"/>
                                    <w:bidi w:val="0"/>
                                    <w:spacing w:before="0" w:after="283"/>
                                    <w:ind w:left="216" w:right="0" w:hanging="21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if the ending level is less than or equal to the starting level: $1,000</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Upside Participation Rate:</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127.35% (the actual upside participation rate will be provided in the pricing supplement)</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 xml:space="preserve">Basket Return: </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 xml:space="preserve">(ending level - starting level) / starting level </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Starting Level:</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100.00</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Ending Level:</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shd w:fill="FFFFFF" w:val="clear"/>
                                    </w:rPr>
                                  </w:pPr>
                                  <w:r>
                                    <w:rPr>
                                      <w:rFonts w:ascii="Georgia;Times;Serif" w:hAnsi="Georgia;Times;Serif"/>
                                      <w:b w:val="false"/>
                                      <w:i w:val="false"/>
                                      <w:caps w:val="false"/>
                                      <w:smallCaps w:val="false"/>
                                      <w:sz w:val="18"/>
                                      <w:shd w:fill="FFFFFF" w:val="clear"/>
                                    </w:rPr>
                                    <w:t xml:space="preserve">The weighted returns of the basket components, equal to the product of (i) 100 and (ii) an amount equal to 1 </w:t>
                                  </w:r>
                                  <w:r>
                                    <w:rPr>
                                      <w:rFonts w:ascii="Georgia;Times;Serif" w:hAnsi="Georgia;Times;Serif"/>
                                      <w:b w:val="false"/>
                                      <w:i/>
                                      <w:caps w:val="false"/>
                                      <w:smallCaps w:val="false"/>
                                      <w:sz w:val="18"/>
                                      <w:shd w:fill="FFFFFF" w:val="clear"/>
                                    </w:rPr>
                                    <w:t>plus</w:t>
                                  </w:r>
                                  <w:r>
                                    <w:rPr>
                                      <w:rFonts w:ascii="Georgia;Times;Serif" w:hAnsi="Georgia;Times;Serif"/>
                                      <w:b w:val="false"/>
                                      <w:i w:val="false"/>
                                      <w:caps w:val="false"/>
                                      <w:smallCaps w:val="false"/>
                                      <w:sz w:val="18"/>
                                      <w:shd w:fill="FFFFFF" w:val="clear"/>
                                    </w:rPr>
                                    <w:t xml:space="preserve"> the sum of (A) 25% of the basket component return of the EURO STOXX 50</w:t>
                                  </w:r>
                                  <w:r>
                                    <w:rPr>
                                      <w:rFonts w:ascii="Georgia;Times;Serif" w:hAnsi="Georgia;Times;Serif"/>
                                      <w:b w:val="false"/>
                                      <w:i w:val="false"/>
                                      <w:caps w:val="false"/>
                                      <w:smallCaps w:val="false"/>
                                      <w:position w:val="6"/>
                                      <w:sz w:val="14"/>
                                      <w:sz w:val="18"/>
                                      <w:shd w:fill="FFFFFF" w:val="clear"/>
                                    </w:rPr>
                                    <w:t>®</w:t>
                                  </w:r>
                                  <w:r>
                                    <w:rPr>
                                      <w:rFonts w:ascii="Georgia;Times;Serif" w:hAnsi="Georgia;Times;Serif"/>
                                      <w:b w:val="false"/>
                                      <w:i w:val="false"/>
                                      <w:caps w:val="false"/>
                                      <w:smallCaps w:val="false"/>
                                      <w:sz w:val="18"/>
                                      <w:shd w:fill="FFFFFF" w:val="clear"/>
                                    </w:rPr>
                                    <w:t xml:space="preserve"> Index; (B) 25% of the basket component return of the TOPIX</w:t>
                                  </w:r>
                                  <w:r>
                                    <w:rPr>
                                      <w:rFonts w:ascii="Georgia;Times;Serif" w:hAnsi="Georgia;Times;Serif"/>
                                      <w:b w:val="false"/>
                                      <w:i w:val="false"/>
                                      <w:caps w:val="false"/>
                                      <w:smallCaps w:val="false"/>
                                      <w:position w:val="6"/>
                                      <w:sz w:val="14"/>
                                      <w:sz w:val="18"/>
                                      <w:shd w:fill="FFFFFF" w:val="clear"/>
                                    </w:rPr>
                                    <w:t>®</w:t>
                                  </w:r>
                                  <w:r>
                                    <w:rPr>
                                      <w:rFonts w:ascii="Georgia;Times;Serif" w:hAnsi="Georgia;Times;Serif"/>
                                      <w:b w:val="false"/>
                                      <w:i w:val="false"/>
                                      <w:caps w:val="false"/>
                                      <w:smallCaps w:val="false"/>
                                      <w:sz w:val="18"/>
                                      <w:shd w:fill="FFFFFF" w:val="clear"/>
                                    </w:rPr>
                                    <w:t xml:space="preserve"> Index; (C) 25% of the basket component return of the FTSE</w:t>
                                  </w:r>
                                  <w:r>
                                    <w:rPr>
                                      <w:rFonts w:ascii="Georgia;Times;Serif" w:hAnsi="Georgia;Times;Serif"/>
                                      <w:b w:val="false"/>
                                      <w:i w:val="false"/>
                                      <w:caps w:val="false"/>
                                      <w:smallCaps w:val="false"/>
                                      <w:position w:val="6"/>
                                      <w:sz w:val="14"/>
                                      <w:sz w:val="18"/>
                                      <w:shd w:fill="FFFFFF" w:val="clear"/>
                                    </w:rPr>
                                    <w:t>®</w:t>
                                  </w:r>
                                  <w:r>
                                    <w:rPr>
                                      <w:rFonts w:ascii="Georgia;Times;Serif" w:hAnsi="Georgia;Times;Serif"/>
                                      <w:b w:val="false"/>
                                      <w:i w:val="false"/>
                                      <w:caps w:val="false"/>
                                      <w:smallCaps w:val="false"/>
                                      <w:sz w:val="18"/>
                                      <w:shd w:fill="FFFFFF" w:val="clear"/>
                                    </w:rPr>
                                    <w:t xml:space="preserve"> 100 Index; and (C) 25% of the basket component return of the Swiss Market Index</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 xml:space="preserve">Basket Component Return: </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40" w:after="40"/>
                                    <w:ind w:left="40" w:right="4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For each basket component:</w:t>
                                  </w:r>
                                </w:p>
                                <w:p>
                                  <w:pPr>
                                    <w:pStyle w:val="TableContents"/>
                                    <w:bidi w:val="0"/>
                                    <w:spacing w:before="40" w:after="40"/>
                                    <w:ind w:left="144" w:right="40" w:hanging="0"/>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(final basket component level – initial basket component level) / initial basket component level</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Initial Basket Component Level:</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For each basket component, its closing level on the pricing date</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Final Basket Component Level:</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For each basket component, its closing level on the calculation day</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Calculation Agent:</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J.P. Morgan Securities LLC (“JPMS”)</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Denominations:</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$1,000 and any integral multiple of $1,000</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CUSIP:</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46661M6R0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647"/>
                        <w:gridCol w:w="8558"/>
                      </w:tblGrid>
                      <w:tr>
                        <w:trPr/>
                        <w:tc>
                          <w:tcPr>
                            <w:tcW w:w="164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Issuer:</w:t>
                            </w:r>
                          </w:p>
                        </w:tc>
                        <w:tc>
                          <w:tcPr>
                            <w:tcW w:w="855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JPMorgan Chase Financial Company LLC</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Guarantor:</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JPMorgan Chase &amp; C0.</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Georgia;Times;Serif" w:hAnsi="Georgia;Times;Serif"/>
                                <w:b w:val="false"/>
                                <w:i w:val="false"/>
                                <w:caps w:val="false"/>
                                <w:smallCaps w:val="false"/>
                                <w:sz w:val="16"/>
                              </w:rPr>
                              <w:t>Basket / Basket Components</w:t>
                            </w:r>
                            <w:r>
                              <w:rPr>
                                <w:rFonts w:ascii="Georgia;Times;Serif" w:hAnsi="Georgia;Times;Serif"/>
                                <w:b w:val="false"/>
                                <w:i w:val="false"/>
                                <w:caps w:val="false"/>
                                <w:smallCaps w:val="false"/>
                                <w:sz w:val="18"/>
                              </w:rPr>
                              <w:t>:</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shd w:fill="FFFFFF" w:val="clear"/>
                              </w:rPr>
                            </w:pPr>
                            <w:r>
                              <w:rPr>
                                <w:rFonts w:ascii="Georgia;Times;Serif" w:hAnsi="Georgia;Times;Serif"/>
                                <w:b w:val="false"/>
                                <w:i w:val="false"/>
                                <w:caps w:val="false"/>
                                <w:smallCaps w:val="false"/>
                                <w:sz w:val="18"/>
                                <w:shd w:fill="FFFFFF" w:val="clear"/>
                              </w:rPr>
                              <w:t>An equally weighted basket (the “</w:t>
                            </w:r>
                            <w:r>
                              <w:rPr>
                                <w:rFonts w:ascii="Georgia;Times;Serif" w:hAnsi="Georgia;Times;Serif"/>
                                <w:b w:val="false"/>
                                <w:i w:val="false"/>
                                <w:caps w:val="false"/>
                                <w:smallCaps w:val="false"/>
                                <w:sz w:val="18"/>
                                <w:u w:val="single"/>
                                <w:shd w:fill="FFFFFF" w:val="clear"/>
                              </w:rPr>
                              <w:t>basket</w:t>
                            </w:r>
                            <w:r>
                              <w:rPr>
                                <w:rFonts w:ascii="Georgia;Times;Serif" w:hAnsi="Georgia;Times;Serif"/>
                                <w:b w:val="false"/>
                                <w:i w:val="false"/>
                                <w:caps w:val="false"/>
                                <w:smallCaps w:val="false"/>
                                <w:sz w:val="18"/>
                                <w:shd w:fill="FFFFFF" w:val="clear"/>
                              </w:rPr>
                              <w:t>”) composed of the following basket components, with the weighting percentages noted parenthetically: the EURO STOXX 50</w:t>
                            </w:r>
                            <w:r>
                              <w:rPr>
                                <w:rFonts w:ascii="Georgia;Times;Serif" w:hAnsi="Georgia;Times;Serif"/>
                                <w:b w:val="false"/>
                                <w:i w:val="false"/>
                                <w:caps w:val="false"/>
                                <w:smallCaps w:val="false"/>
                                <w:position w:val="6"/>
                                <w:sz w:val="14"/>
                                <w:sz w:val="18"/>
                                <w:shd w:fill="FFFFFF" w:val="clear"/>
                              </w:rPr>
                              <w:t>®</w:t>
                            </w:r>
                            <w:r>
                              <w:rPr>
                                <w:rFonts w:ascii="Georgia;Times;Serif" w:hAnsi="Georgia;Times;Serif"/>
                                <w:b w:val="false"/>
                                <w:i w:val="false"/>
                                <w:caps w:val="false"/>
                                <w:smallCaps w:val="false"/>
                                <w:sz w:val="18"/>
                                <w:shd w:fill="FFFFFF" w:val="clear"/>
                              </w:rPr>
                              <w:t xml:space="preserve"> Index (Bloomberg ticker: SX5E) (25%), the TOPIX</w:t>
                            </w:r>
                            <w:r>
                              <w:rPr>
                                <w:rFonts w:ascii="Georgia;Times;Serif" w:hAnsi="Georgia;Times;Serif"/>
                                <w:b w:val="false"/>
                                <w:i w:val="false"/>
                                <w:caps w:val="false"/>
                                <w:smallCaps w:val="false"/>
                                <w:position w:val="6"/>
                                <w:sz w:val="14"/>
                                <w:sz w:val="18"/>
                                <w:shd w:fill="FFFFFF" w:val="clear"/>
                              </w:rPr>
                              <w:t>®</w:t>
                            </w:r>
                            <w:r>
                              <w:rPr>
                                <w:rFonts w:ascii="Georgia;Times;Serif" w:hAnsi="Georgia;Times;Serif"/>
                                <w:b w:val="false"/>
                                <w:i w:val="false"/>
                                <w:caps w:val="false"/>
                                <w:smallCaps w:val="false"/>
                                <w:sz w:val="18"/>
                                <w:shd w:fill="FFFFFF" w:val="clear"/>
                              </w:rPr>
                              <w:t xml:space="preserve"> Index (Bloomberg ticker: TPX) (25%), the FTSE</w:t>
                            </w:r>
                            <w:r>
                              <w:rPr>
                                <w:rFonts w:ascii="Georgia;Times;Serif" w:hAnsi="Georgia;Times;Serif"/>
                                <w:b w:val="false"/>
                                <w:i w:val="false"/>
                                <w:caps w:val="false"/>
                                <w:smallCaps w:val="false"/>
                                <w:position w:val="6"/>
                                <w:sz w:val="14"/>
                                <w:sz w:val="18"/>
                                <w:shd w:fill="FFFFFF" w:val="clear"/>
                              </w:rPr>
                              <w:t>®</w:t>
                            </w:r>
                            <w:r>
                              <w:rPr>
                                <w:rFonts w:ascii="Georgia;Times;Serif" w:hAnsi="Georgia;Times;Serif"/>
                                <w:b w:val="false"/>
                                <w:i w:val="false"/>
                                <w:caps w:val="false"/>
                                <w:smallCaps w:val="false"/>
                                <w:sz w:val="18"/>
                                <w:shd w:fill="FFFFFF" w:val="clear"/>
                              </w:rPr>
                              <w:t xml:space="preserve"> 100 Index (Bloomberg ticker: UKX) (25%) and the Swiss Market Index (Bloomberg ticker: SMI) (25%) (each referred to as a “basket component” and collectively as the “basket components”)</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Pricing Date</w:t>
                            </w:r>
                            <w:r>
                              <w:rPr>
                                <w:rFonts w:ascii="Georgia;Times;Serif" w:hAnsi="Georgia;Times;Serif"/>
                                <w:b w:val="false"/>
                                <w:i w:val="false"/>
                                <w:caps w:val="false"/>
                                <w:smallCaps w:val="false"/>
                                <w:position w:val="6"/>
                                <w:sz w:val="14"/>
                                <w:sz w:val="18"/>
                              </w:rPr>
                              <w:t>1</w:t>
                            </w:r>
                            <w:r>
                              <w:rPr>
                                <w:rFonts w:ascii="Georgia;Times;Serif" w:hAnsi="Georgia;Times;Serif"/>
                                <w:b w:val="false"/>
                                <w:i w:val="false"/>
                                <w:caps w:val="false"/>
                                <w:smallCaps w:val="false"/>
                                <w:sz w:val="18"/>
                              </w:rPr>
                              <w:t>:</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September 3, 2026</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Issue Date</w:t>
                            </w:r>
                            <w:r>
                              <w:rPr>
                                <w:rFonts w:ascii="Georgia;Times;Serif" w:hAnsi="Georgia;Times;Serif"/>
                                <w:b w:val="false"/>
                                <w:i w:val="false"/>
                                <w:caps w:val="false"/>
                                <w:smallCaps w:val="false"/>
                                <w:position w:val="6"/>
                                <w:sz w:val="14"/>
                                <w:sz w:val="18"/>
                              </w:rPr>
                              <w:t>1</w:t>
                            </w:r>
                            <w:r>
                              <w:rPr>
                                <w:rFonts w:ascii="Georgia;Times;Serif" w:hAnsi="Georgia;Times;Serif"/>
                                <w:b w:val="false"/>
                                <w:i w:val="false"/>
                                <w:caps w:val="false"/>
                                <w:smallCaps w:val="false"/>
                                <w:sz w:val="18"/>
                              </w:rPr>
                              <w:t>:</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September 9, 2026</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Calculation Day</w:t>
                            </w:r>
                            <w:r>
                              <w:rPr>
                                <w:rFonts w:ascii="Georgia;Times;Serif" w:hAnsi="Georgia;Times;Serif"/>
                                <w:b w:val="false"/>
                                <w:i w:val="false"/>
                                <w:caps w:val="false"/>
                                <w:smallCaps w:val="false"/>
                                <w:position w:val="6"/>
                                <w:sz w:val="14"/>
                                <w:sz w:val="18"/>
                              </w:rPr>
                              <w:t>1, 2</w:t>
                            </w:r>
                            <w:r>
                              <w:rPr>
                                <w:rFonts w:ascii="Georgia;Times;Serif" w:hAnsi="Georgia;Times;Serif"/>
                                <w:b w:val="false"/>
                                <w:i w:val="false"/>
                                <w:caps w:val="false"/>
                                <w:smallCaps w:val="false"/>
                                <w:sz w:val="18"/>
                              </w:rPr>
                              <w:t>:</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September 3, 2031</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Stated Maturity Date</w:t>
                            </w:r>
                            <w:r>
                              <w:rPr>
                                <w:rFonts w:ascii="Georgia;Times;Serif" w:hAnsi="Georgia;Times;Serif"/>
                                <w:b w:val="false"/>
                                <w:i w:val="false"/>
                                <w:caps w:val="false"/>
                                <w:smallCaps w:val="false"/>
                                <w:position w:val="6"/>
                                <w:sz w:val="14"/>
                                <w:sz w:val="18"/>
                              </w:rPr>
                              <w:t>1, 2</w:t>
                            </w:r>
                            <w:r>
                              <w:rPr>
                                <w:rFonts w:ascii="Georgia;Times;Serif" w:hAnsi="Georgia;Times;Serif"/>
                                <w:b w:val="false"/>
                                <w:i w:val="false"/>
                                <w:caps w:val="false"/>
                                <w:smallCaps w:val="false"/>
                                <w:sz w:val="18"/>
                              </w:rPr>
                              <w:t>:</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September 8, 2031</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Principal Amount:</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$1,000 per note (100% of par)</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Maturity Payment Amount (per Note):</w:t>
                            </w:r>
                          </w:p>
                        </w:tc>
                        <w:tc>
                          <w:tcPr>
                            <w:tcW w:w="8558" w:type="dxa"/>
                            <w:tcBorders>
                              <w:bottom w:val="single" w:sz="8" w:space="0" w:color="000000"/>
                              <w:right w:val="single" w:sz="8" w:space="0" w:color="000000"/>
                            </w:tcBorders>
                            <w:tcMar>
                              <w:top w:w="0" w:type="dxa"/>
                              <w:left w:w="0" w:type="dxa"/>
                            </w:tcMar>
                            <w:vAlign w:val="center"/>
                          </w:tcPr>
                          <w:p>
                            <w:pPr>
                              <w:pStyle w:val="TableContents"/>
                              <w:bidi w:val="0"/>
                              <w:ind w:left="230" w:right="0" w:hanging="23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if the ending level is greater than the starting level:</w:t>
                            </w:r>
                          </w:p>
                          <w:p>
                            <w:pPr>
                              <w:pStyle w:val="TableContents"/>
                              <w:bidi w:val="0"/>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$1,000 + ($1,000 × basket return × upside participation rate); or</w:t>
                            </w:r>
                          </w:p>
                          <w:p>
                            <w:pPr>
                              <w:pStyle w:val="TableContents"/>
                              <w:bidi w:val="0"/>
                              <w:spacing w:before="0" w:after="283"/>
                              <w:ind w:left="216" w:right="0" w:hanging="21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if the ending level is less than or equal to the starting level: $1,000</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Upside Participation Rate:</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127.35% (the actual upside participation rate will be provided in the pricing supplement)</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 xml:space="preserve">Basket Return: </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 xml:space="preserve">(ending level - starting level) / starting level </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Starting Level:</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100.00</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Ending Level:</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shd w:fill="FFFFFF" w:val="clear"/>
                              </w:rPr>
                            </w:pPr>
                            <w:r>
                              <w:rPr>
                                <w:rFonts w:ascii="Georgia;Times;Serif" w:hAnsi="Georgia;Times;Serif"/>
                                <w:b w:val="false"/>
                                <w:i w:val="false"/>
                                <w:caps w:val="false"/>
                                <w:smallCaps w:val="false"/>
                                <w:sz w:val="18"/>
                                <w:shd w:fill="FFFFFF" w:val="clear"/>
                              </w:rPr>
                              <w:t xml:space="preserve">The weighted returns of the basket components, equal to the product of (i) 100 and (ii) an amount equal to 1 </w:t>
                            </w:r>
                            <w:r>
                              <w:rPr>
                                <w:rFonts w:ascii="Georgia;Times;Serif" w:hAnsi="Georgia;Times;Serif"/>
                                <w:b w:val="false"/>
                                <w:i/>
                                <w:caps w:val="false"/>
                                <w:smallCaps w:val="false"/>
                                <w:sz w:val="18"/>
                                <w:shd w:fill="FFFFFF" w:val="clear"/>
                              </w:rPr>
                              <w:t>plus</w:t>
                            </w:r>
                            <w:r>
                              <w:rPr>
                                <w:rFonts w:ascii="Georgia;Times;Serif" w:hAnsi="Georgia;Times;Serif"/>
                                <w:b w:val="false"/>
                                <w:i w:val="false"/>
                                <w:caps w:val="false"/>
                                <w:smallCaps w:val="false"/>
                                <w:sz w:val="18"/>
                                <w:shd w:fill="FFFFFF" w:val="clear"/>
                              </w:rPr>
                              <w:t xml:space="preserve"> the sum of (A) 25% of the basket component return of the EURO STOXX 50</w:t>
                            </w:r>
                            <w:r>
                              <w:rPr>
                                <w:rFonts w:ascii="Georgia;Times;Serif" w:hAnsi="Georgia;Times;Serif"/>
                                <w:b w:val="false"/>
                                <w:i w:val="false"/>
                                <w:caps w:val="false"/>
                                <w:smallCaps w:val="false"/>
                                <w:position w:val="6"/>
                                <w:sz w:val="14"/>
                                <w:sz w:val="18"/>
                                <w:shd w:fill="FFFFFF" w:val="clear"/>
                              </w:rPr>
                              <w:t>®</w:t>
                            </w:r>
                            <w:r>
                              <w:rPr>
                                <w:rFonts w:ascii="Georgia;Times;Serif" w:hAnsi="Georgia;Times;Serif"/>
                                <w:b w:val="false"/>
                                <w:i w:val="false"/>
                                <w:caps w:val="false"/>
                                <w:smallCaps w:val="false"/>
                                <w:sz w:val="18"/>
                                <w:shd w:fill="FFFFFF" w:val="clear"/>
                              </w:rPr>
                              <w:t xml:space="preserve"> Index; (B) 25% of the basket component return of the TOPIX</w:t>
                            </w:r>
                            <w:r>
                              <w:rPr>
                                <w:rFonts w:ascii="Georgia;Times;Serif" w:hAnsi="Georgia;Times;Serif"/>
                                <w:b w:val="false"/>
                                <w:i w:val="false"/>
                                <w:caps w:val="false"/>
                                <w:smallCaps w:val="false"/>
                                <w:position w:val="6"/>
                                <w:sz w:val="14"/>
                                <w:sz w:val="18"/>
                                <w:shd w:fill="FFFFFF" w:val="clear"/>
                              </w:rPr>
                              <w:t>®</w:t>
                            </w:r>
                            <w:r>
                              <w:rPr>
                                <w:rFonts w:ascii="Georgia;Times;Serif" w:hAnsi="Georgia;Times;Serif"/>
                                <w:b w:val="false"/>
                                <w:i w:val="false"/>
                                <w:caps w:val="false"/>
                                <w:smallCaps w:val="false"/>
                                <w:sz w:val="18"/>
                                <w:shd w:fill="FFFFFF" w:val="clear"/>
                              </w:rPr>
                              <w:t xml:space="preserve"> Index; (C) 25% of the basket component return of the FTSE</w:t>
                            </w:r>
                            <w:r>
                              <w:rPr>
                                <w:rFonts w:ascii="Georgia;Times;Serif" w:hAnsi="Georgia;Times;Serif"/>
                                <w:b w:val="false"/>
                                <w:i w:val="false"/>
                                <w:caps w:val="false"/>
                                <w:smallCaps w:val="false"/>
                                <w:position w:val="6"/>
                                <w:sz w:val="14"/>
                                <w:sz w:val="18"/>
                                <w:shd w:fill="FFFFFF" w:val="clear"/>
                              </w:rPr>
                              <w:t>®</w:t>
                            </w:r>
                            <w:r>
                              <w:rPr>
                                <w:rFonts w:ascii="Georgia;Times;Serif" w:hAnsi="Georgia;Times;Serif"/>
                                <w:b w:val="false"/>
                                <w:i w:val="false"/>
                                <w:caps w:val="false"/>
                                <w:smallCaps w:val="false"/>
                                <w:sz w:val="18"/>
                                <w:shd w:fill="FFFFFF" w:val="clear"/>
                              </w:rPr>
                              <w:t xml:space="preserve"> 100 Index; and (C) 25% of the basket component return of the Swiss Market Index</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 xml:space="preserve">Basket Component Return: </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40" w:after="40"/>
                              <w:ind w:left="40" w:right="4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For each basket component:</w:t>
                            </w:r>
                          </w:p>
                          <w:p>
                            <w:pPr>
                              <w:pStyle w:val="TableContents"/>
                              <w:bidi w:val="0"/>
                              <w:spacing w:before="40" w:after="40"/>
                              <w:ind w:left="144" w:right="40" w:hanging="0"/>
                              <w:jc w:val="center"/>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(final basket component level – initial basket component level) / initial basket component level</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Initial Basket Component Level:</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For each basket component, its closing level on the pricing date</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Final Basket Component Level:</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For each basket component, its closing level on the calculation day</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Calculation Agent:</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J.P. Morgan Securities LLC (“JPMS”)</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Denominations:</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$1,000 and any integral multiple of $1,000</w:t>
                            </w:r>
                          </w:p>
                        </w:tc>
                      </w:tr>
                      <w:tr>
                        <w:trPr/>
                        <w:tc>
                          <w:tcPr>
                            <w:tcW w:w="16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CUSIP:</w:t>
                            </w:r>
                          </w:p>
                        </w:tc>
                        <w:tc>
                          <w:tcPr>
                            <w:tcW w:w="8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46661M6R0</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5681980"/>
                <wp:effectExtent l="0" t="0" r="0" b="0"/>
                <wp:wrapSquare wrapText="left"/>
                <wp:docPr id="3" name="Frame2"/>
                <a:graphic xmlns:a="http://schemas.openxmlformats.org/drawingml/2006/main">
                  <a:graphicData uri="http://schemas.microsoft.com/office/word/2010/wordprocessingShape">
                    <wps:wsp>
                      <wps:cNvSpPr txBox="1"/>
                      <wps:spPr>
                        <a:xfrm>
                          <a:off x="0" y="0"/>
                          <a:ext cx="3175000" cy="5681980"/>
                        </a:xfrm>
                        <a:prstGeom prst="rect"/>
                        <a:solidFill>
                          <a:srgbClr val="FFFFFF"/>
                        </a:solidFill>
                      </wps:spPr>
                      <wps:txbx>
                        <w:txbxContent>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547"/>
                              <w:gridCol w:w="8658"/>
                            </w:tblGrid>
                            <w:tr>
                              <w:trPr/>
                              <w:tc>
                                <w:tcPr>
                                  <w:tcW w:w="154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Fees and Commissions:</w:t>
                                  </w:r>
                                </w:p>
                              </w:tc>
                              <w:tc>
                                <w:tcPr>
                                  <w:tcW w:w="865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Up to 4.17% for Wells Fargo Securities, LLC (“WFS”); WFS has advised us that dealers, including Wells Fargo Advisors (“WFA”), may receive 3.00% of WFS’s fee, and WFA may also receive a distribution expense fee of 0.12%.</w:t>
                                  </w:r>
                                </w:p>
                              </w:tc>
                            </w:tr>
                            <w:tr>
                              <w:trPr/>
                              <w:tc>
                                <w:tcPr>
                                  <w:tcW w:w="15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Tax Considerations:</w:t>
                                  </w:r>
                                </w:p>
                              </w:tc>
                              <w:tc>
                                <w:tcPr>
                                  <w:tcW w:w="86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See the preliminary pricing supplement.</w:t>
                                  </w:r>
                                </w:p>
                              </w:tc>
                            </w:tr>
                          </w:tbl>
                          <w:tbl>
                            <w:tblPr>
                              <w:tblW w:w="2150" w:type="dxa"/>
                              <w:jc w:val="left"/>
                              <w:tblInd w:w="-10" w:type="dxa"/>
                              <w:tblLayout w:type="fixed"/>
                              <w:tblCellMar>
                                <w:top w:w="0" w:type="dxa"/>
                                <w:left w:w="108" w:type="dxa"/>
                                <w:bottom w:w="28" w:type="dxa"/>
                                <w:right w:w="108" w:type="dxa"/>
                              </w:tblCellMar>
                            </w:tblPr>
                            <w:tblGrid>
                              <w:gridCol w:w="2150"/>
                            </w:tblGrid>
                            <w:tr>
                              <w:trPr/>
                              <w:tc>
                                <w:tcPr>
                                  <w:tcW w:w="2150" w:type="dxa"/>
                                  <w:tcBorders>
                                    <w:left w:val="single" w:sz="8" w:space="0" w:color="000000"/>
                                    <w:bottom w:val="single" w:sz="8" w:space="0" w:color="000000"/>
                                    <w:right w:val="single" w:sz="8" w:space="0" w:color="000000"/>
                                  </w:tcBorders>
                                  <w:vAlign w:val="center"/>
                                </w:tcPr>
                                <w:p>
                                  <w:pPr>
                                    <w:pStyle w:val="TableContents"/>
                                    <w:bidi w:val="0"/>
                                    <w:spacing w:before="0" w:after="2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position w:val="6"/>
                                      <w:sz w:val="14"/>
                                      <w:sz w:val="18"/>
                                    </w:rPr>
                                    <w:t xml:space="preserve">1 </w:t>
                                  </w:r>
                                  <w:r>
                                    <w:rPr>
                                      <w:rFonts w:ascii="Georgia;Times;Serif" w:hAnsi="Georgia;Times;Serif"/>
                                      <w:b w:val="false"/>
                                      <w:i w:val="false"/>
                                      <w:caps w:val="false"/>
                                      <w:smallCaps w:val="false"/>
                                      <w:sz w:val="18"/>
                                    </w:rPr>
                                    <w:t>Subject to change</w:t>
                                  </w:r>
                                </w:p>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position w:val="6"/>
                                      <w:sz w:val="14"/>
                                      <w:sz w:val="18"/>
                                    </w:rPr>
                                    <w:t xml:space="preserve">2 </w:t>
                                  </w:r>
                                  <w:r>
                                    <w:rPr>
                                      <w:rFonts w:ascii="Georgia;Times;Serif" w:hAnsi="Georgia;Times;Serif"/>
                                      <w:b w:val="false"/>
                                      <w:i w:val="false"/>
                                      <w:caps w:val="false"/>
                                      <w:smallCaps w:val="false"/>
                                      <w:sz w:val="18"/>
                                    </w:rPr>
                                    <w:t>Subject to postponement</w:t>
                                  </w:r>
                                </w:p>
                              </w:tc>
                            </w:tr>
                          </w:tbl>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8"/>
                              </w:rPr>
                            </w:pPr>
                            <w:r>
                              <w:rPr>
                                <w:rFonts w:ascii="Georgia;Times;Serif" w:hAnsi="Georgia;Times;Serif"/>
                                <w:b/>
                                <w:i w:val="false"/>
                                <w:caps w:val="false"/>
                                <w:smallCaps w:val="false"/>
                                <w:sz w:val="18"/>
                              </w:rPr>
                              <w:t>If the ending level of the basket is less than or equal to the starting level, you will not receive any positive return on the notes.</w:t>
                            </w:r>
                          </w:p>
                          <w:p>
                            <w:pPr>
                              <w:pStyle w:val="TextBody"/>
                              <w:bidi w:val="0"/>
                              <w:spacing w:before="0" w:after="6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 xml:space="preserve">The notes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8"/>
                              </w:rPr>
                              <w:t>Any payment on the notes is subject to the credit risk of JPMorgan Financial, as issuer of the notes, and the credit risk of JPMorgan Chase &amp; Co., as guarantor of the notes.</w:t>
                            </w:r>
                          </w:p>
                          <w:p>
                            <w:pPr>
                              <w:pStyle w:val="TextBody"/>
                              <w:bidi w:val="0"/>
                              <w:spacing w:before="0" w:after="6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If the notes priced on the date of the accompanying preliminary pricing supplement, the estimated value of the notes would be approximately $942.40 per note. The estimated value of the notes, when the terms of the notes are set, will be provided in the pricing supplement and will not be less than $910.00 per note. See “The Estimated Value of the Notes” in the preliminary pricing supplement for additional information.</w:t>
                            </w:r>
                          </w:p>
                          <w:p>
                            <w:pPr>
                              <w:pStyle w:val="TextBody"/>
                              <w:bidi w:val="0"/>
                              <w:spacing w:before="0" w:after="60"/>
                              <w:jc w:val="left"/>
                              <w:rPr/>
                            </w:pPr>
                            <w:r>
                              <w:rPr>
                                <w:rFonts w:ascii="Georgia;Times;Serif" w:hAnsi="Georgia;Times;Serif"/>
                                <w:b w:val="false"/>
                                <w:i w:val="false"/>
                                <w:caps w:val="false"/>
                                <w:smallCaps w:val="false"/>
                                <w:sz w:val="18"/>
                              </w:rPr>
                              <w:t xml:space="preserve">Preliminary Pricing Supplement: </w:t>
                            </w:r>
                            <w:hyperlink r:id="rId3">
                              <w:r>
                                <w:rPr>
                                  <w:rStyle w:val="InternetLink"/>
                                  <w:rFonts w:ascii="Georgia;Times;Serif" w:hAnsi="Georgia;Times;Serif"/>
                                  <w:b w:val="false"/>
                                  <w:i w:val="false"/>
                                  <w:caps w:val="false"/>
                                  <w:smallCaps w:val="false"/>
                                  <w:sz w:val="18"/>
                                </w:rPr>
                                <w:t>http://www.sec.gov/Archives/edgar/data/19617/000121390026096360/</w:t>
                                <w:br/>
                                <w:t>ea0304324-01_424b2.htm</w:t>
                              </w:r>
                            </w:hyperlink>
                          </w:p>
                          <w:p>
                            <w:pPr>
                              <w:pStyle w:val="TextBody"/>
                              <w:bidi w:val="0"/>
                              <w:spacing w:before="60" w:after="40"/>
                              <w:ind w:left="180" w:right="60" w:hanging="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47.4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14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547"/>
                        <w:gridCol w:w="8658"/>
                      </w:tblGrid>
                      <w:tr>
                        <w:trPr/>
                        <w:tc>
                          <w:tcPr>
                            <w:tcW w:w="154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Fees and Commissions:</w:t>
                            </w:r>
                          </w:p>
                        </w:tc>
                        <w:tc>
                          <w:tcPr>
                            <w:tcW w:w="865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Up to 4.17% for Wells Fargo Securities, LLC (“WFS”); WFS has advised us that dealers, including Wells Fargo Advisors (“WFA”), may receive 3.00% of WFS’s fee, and WFA may also receive a distribution expense fee of 0.12%.</w:t>
                            </w:r>
                          </w:p>
                        </w:tc>
                      </w:tr>
                      <w:tr>
                        <w:trPr/>
                        <w:tc>
                          <w:tcPr>
                            <w:tcW w:w="154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Tax Considerations:</w:t>
                            </w:r>
                          </w:p>
                        </w:tc>
                        <w:tc>
                          <w:tcPr>
                            <w:tcW w:w="86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See the preliminary pricing supplement.</w:t>
                            </w:r>
                          </w:p>
                        </w:tc>
                      </w:tr>
                    </w:tbl>
                    <w:tbl>
                      <w:tblPr>
                        <w:tblW w:w="2150" w:type="dxa"/>
                        <w:jc w:val="left"/>
                        <w:tblInd w:w="-10" w:type="dxa"/>
                        <w:tblLayout w:type="fixed"/>
                        <w:tblCellMar>
                          <w:top w:w="0" w:type="dxa"/>
                          <w:left w:w="108" w:type="dxa"/>
                          <w:bottom w:w="28" w:type="dxa"/>
                          <w:right w:w="108" w:type="dxa"/>
                        </w:tblCellMar>
                      </w:tblPr>
                      <w:tblGrid>
                        <w:gridCol w:w="2150"/>
                      </w:tblGrid>
                      <w:tr>
                        <w:trPr/>
                        <w:tc>
                          <w:tcPr>
                            <w:tcW w:w="2150" w:type="dxa"/>
                            <w:tcBorders>
                              <w:left w:val="single" w:sz="8" w:space="0" w:color="000000"/>
                              <w:bottom w:val="single" w:sz="8" w:space="0" w:color="000000"/>
                              <w:right w:val="single" w:sz="8" w:space="0" w:color="000000"/>
                            </w:tcBorders>
                            <w:vAlign w:val="center"/>
                          </w:tcPr>
                          <w:p>
                            <w:pPr>
                              <w:pStyle w:val="TableContents"/>
                              <w:bidi w:val="0"/>
                              <w:spacing w:before="0" w:after="2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position w:val="6"/>
                                <w:sz w:val="14"/>
                                <w:sz w:val="18"/>
                              </w:rPr>
                              <w:t xml:space="preserve">1 </w:t>
                            </w:r>
                            <w:r>
                              <w:rPr>
                                <w:rFonts w:ascii="Georgia;Times;Serif" w:hAnsi="Georgia;Times;Serif"/>
                                <w:b w:val="false"/>
                                <w:i w:val="false"/>
                                <w:caps w:val="false"/>
                                <w:smallCaps w:val="false"/>
                                <w:sz w:val="18"/>
                              </w:rPr>
                              <w:t>Subject to change</w:t>
                            </w:r>
                          </w:p>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position w:val="6"/>
                                <w:sz w:val="14"/>
                                <w:sz w:val="18"/>
                              </w:rPr>
                              <w:t xml:space="preserve">2 </w:t>
                            </w:r>
                            <w:r>
                              <w:rPr>
                                <w:rFonts w:ascii="Georgia;Times;Serif" w:hAnsi="Georgia;Times;Serif"/>
                                <w:b w:val="false"/>
                                <w:i w:val="false"/>
                                <w:caps w:val="false"/>
                                <w:smallCaps w:val="false"/>
                                <w:sz w:val="18"/>
                              </w:rPr>
                              <w:t>Subject to postponement</w:t>
                            </w:r>
                          </w:p>
                        </w:tc>
                      </w:tr>
                    </w:tbl>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8"/>
                        </w:rPr>
                      </w:pPr>
                      <w:r>
                        <w:rPr>
                          <w:rFonts w:ascii="Georgia;Times;Serif" w:hAnsi="Georgia;Times;Serif"/>
                          <w:b/>
                          <w:i w:val="false"/>
                          <w:caps w:val="false"/>
                          <w:smallCaps w:val="false"/>
                          <w:sz w:val="18"/>
                        </w:rPr>
                        <w:t>If the ending level of the basket is less than or equal to the starting level, you will not receive any positive return on the notes.</w:t>
                      </w:r>
                    </w:p>
                    <w:p>
                      <w:pPr>
                        <w:pStyle w:val="TextBody"/>
                        <w:bidi w:val="0"/>
                        <w:spacing w:before="0" w:after="6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 xml:space="preserve">The notes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8"/>
                        </w:rPr>
                        <w:t>Any payment on the notes is subject to the credit risk of JPMorgan Financial, as issuer of the notes, and the credit risk of JPMorgan Chase &amp; Co., as guarantor of the notes.</w:t>
                      </w:r>
                    </w:p>
                    <w:p>
                      <w:pPr>
                        <w:pStyle w:val="TextBody"/>
                        <w:bidi w:val="0"/>
                        <w:spacing w:before="0" w:after="6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If the notes priced on the date of the accompanying preliminary pricing supplement, the estimated value of the notes would be approximately $942.40 per note. The estimated value of the notes, when the terms of the notes are set, will be provided in the pricing supplement and will not be less than $910.00 per note. See “The Estimated Value of the Notes” in the preliminary pricing supplement for additional information.</w:t>
                      </w:r>
                    </w:p>
                    <w:p>
                      <w:pPr>
                        <w:pStyle w:val="TextBody"/>
                        <w:bidi w:val="0"/>
                        <w:spacing w:before="0" w:after="60"/>
                        <w:jc w:val="left"/>
                        <w:rPr/>
                      </w:pPr>
                      <w:r>
                        <w:rPr>
                          <w:rFonts w:ascii="Georgia;Times;Serif" w:hAnsi="Georgia;Times;Serif"/>
                          <w:b w:val="false"/>
                          <w:i w:val="false"/>
                          <w:caps w:val="false"/>
                          <w:smallCaps w:val="false"/>
                          <w:sz w:val="18"/>
                        </w:rPr>
                        <w:t xml:space="preserve">Preliminary Pricing Supplement: </w:t>
                      </w:r>
                      <w:hyperlink r:id="rId4">
                        <w:r>
                          <w:rPr>
                            <w:rStyle w:val="InternetLink"/>
                            <w:rFonts w:ascii="Georgia;Times;Serif" w:hAnsi="Georgia;Times;Serif"/>
                            <w:b w:val="false"/>
                            <w:i w:val="false"/>
                            <w:caps w:val="false"/>
                            <w:smallCaps w:val="false"/>
                            <w:sz w:val="18"/>
                          </w:rPr>
                          <w:t>http://www.sec.gov/Archives/edgar/data/19617/000121390026096360/</w:t>
                          <w:br/>
                          <w:t>ea0304324-01_424b2.htm</w:t>
                        </w:r>
                      </w:hyperlink>
                    </w:p>
                    <w:p>
                      <w:pPr>
                        <w:pStyle w:val="TextBody"/>
                        <w:bidi w:val="0"/>
                        <w:spacing w:before="60" w:after="40"/>
                        <w:ind w:left="180" w:right="60" w:hanging="0"/>
                        <w:jc w:val="left"/>
                        <w:rPr>
                          <w:caps w:val="false"/>
                          <w:smallCaps w:val="false"/>
                        </w:rPr>
                      </w:pPr>
                      <w:r>
                        <w:rPr>
                          <w:caps w:val="false"/>
                          <w:smallCaps w:val="false"/>
                        </w:rPr>
                        <w:t> </w:t>
                      </w:r>
                    </w:p>
                  </w:txbxContent>
                </v:textbox>
                <w10:wrap type="square" side="left"/>
              </v:rect>
            </w:pict>
          </mc:Fallback>
        </mc:AlternateContent>
      </w:r>
    </w:p>
    <w:p>
      <w:pPr>
        <w:pStyle w:val="TextBody"/>
        <w:bidi w:val="0"/>
        <w:spacing w:before="60" w:after="60"/>
        <w:ind w:left="60" w:right="60" w:hanging="0"/>
        <w:jc w:val="left"/>
        <w:rPr>
          <w:rFonts w:ascii="Georgia;Times;Serif" w:hAnsi="Georgia;Times;Serif"/>
          <w:b w:val="false"/>
          <w:i/>
          <w:caps w:val="false"/>
          <w:smallCaps w:val="false"/>
          <w:sz w:val="18"/>
        </w:rPr>
      </w:pPr>
      <w:r>
        <w:rPr>
          <w:rFonts w:ascii="Georgia;Times;Serif" w:hAnsi="Georgia;Times;Serif"/>
          <w:b w:val="false"/>
          <w:i/>
          <w:caps w:val="false"/>
          <w:smallCaps w:val="false"/>
          <w:sz w:val="18"/>
        </w:rPr>
        <w:t>The notes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8"/>
        </w:rPr>
      </w:pPr>
      <w:r>
        <w:rPr>
          <w:rFonts w:ascii="Georgia;Times;Serif" w:hAnsi="Georgia;Times;Serif"/>
          <w:b/>
          <w:i w:val="false"/>
          <w:caps w:val="false"/>
          <w:smallCaps w:val="false"/>
          <w:color w:val="C00000"/>
          <w:sz w:val="18"/>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8"/>
        </w:rPr>
        <w:t>This fact sheet should be read in conjunction with the accompanying preliminary pricing supplement, prospectus, prospectus supplement, product supplement and underlying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 xml:space="preserve">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 </w:t>
      </w:r>
    </w:p>
    <w:tbl>
      <w:tblPr>
        <w:tblW w:w="10205" w:type="dxa"/>
        <w:jc w:val="left"/>
        <w:tblInd w:w="0" w:type="dxa"/>
        <w:tblLayout w:type="fixed"/>
        <w:tblCellMar>
          <w:top w:w="0" w:type="dxa"/>
          <w:left w:w="0" w:type="dxa"/>
          <w:bottom w:w="0" w:type="dxa"/>
          <w:right w:w="0" w:type="dxa"/>
        </w:tblCellMar>
      </w:tblPr>
      <w:tblGrid>
        <w:gridCol w:w="3327"/>
        <w:gridCol w:w="6878"/>
      </w:tblGrid>
      <w:tr>
        <w:trPr/>
        <w:tc>
          <w:tcPr>
            <w:tcW w:w="3327" w:type="dxa"/>
            <w:tcBorders/>
            <w:vAlign w:val="center"/>
          </w:tcPr>
          <w:p>
            <w:pPr>
              <w:pStyle w:val="TableContents"/>
              <w:bidi w:val="0"/>
              <w:spacing w:before="0" w:after="40"/>
              <w:ind w:left="317" w:right="0" w:hanging="317"/>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May Not Receive Any Positive Return on the Notes.</w:t>
            </w:r>
          </w:p>
          <w:p>
            <w:pPr>
              <w:pStyle w:val="TableContents"/>
              <w:bidi w:val="0"/>
              <w:spacing w:before="0" w:after="40"/>
              <w:ind w:left="317" w:right="0" w:hanging="317"/>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Notes Are Subject to the Credit Risks of JPMorgan Financial and JPMorgan Chase &amp; Co.</w:t>
            </w:r>
          </w:p>
          <w:p>
            <w:pPr>
              <w:pStyle w:val="TableContents"/>
              <w:bidi w:val="0"/>
              <w:spacing w:before="0" w:after="40"/>
              <w:ind w:left="317" w:right="0" w:hanging="317"/>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17" w:right="0" w:hanging="317"/>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Changes in the Levels of the Basket Components May Offset Each Other.</w:t>
            </w:r>
          </w:p>
          <w:p>
            <w:pPr>
              <w:pStyle w:val="TableContents"/>
              <w:bidi w:val="0"/>
              <w:spacing w:before="0" w:after="40"/>
              <w:ind w:left="317" w:right="0" w:hanging="317"/>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Correlation of Performances Among the Basket Components May Reduce the Performance of the Securities.</w:t>
            </w:r>
          </w:p>
          <w:p>
            <w:pPr>
              <w:pStyle w:val="TableContents"/>
              <w:bidi w:val="0"/>
              <w:spacing w:before="0" w:after="40"/>
              <w:ind w:left="317" w:right="0" w:hanging="317"/>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17" w:right="0" w:hanging="317"/>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17" w:right="0" w:hanging="317"/>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Notes Will Be Provided in the Pricing Supplement.</w:t>
            </w:r>
          </w:p>
          <w:p>
            <w:pPr>
              <w:pStyle w:val="TableContents"/>
              <w:bidi w:val="0"/>
              <w:spacing w:before="0" w:after="40"/>
              <w:ind w:left="317" w:right="0" w:hanging="317"/>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Required to Recognize Taxable Income on the Notes Prior to Maturity.</w:t>
            </w:r>
          </w:p>
          <w:p>
            <w:pPr>
              <w:pStyle w:val="TableContents"/>
              <w:bidi w:val="0"/>
              <w:spacing w:before="0" w:after="40"/>
              <w:ind w:left="317" w:right="0" w:hanging="317"/>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17" w:right="0" w:hanging="317"/>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Notes Will Be Lower Than the Original Issue Price (Price to Public) of the Notes.</w:t>
            </w:r>
          </w:p>
          <w:p>
            <w:pPr>
              <w:pStyle w:val="TableContents"/>
              <w:bidi w:val="0"/>
              <w:spacing w:before="0" w:after="40"/>
              <w:ind w:left="360" w:right="0" w:hanging="0"/>
              <w:jc w:val="left"/>
              <w:rPr>
                <w:caps w:val="false"/>
                <w:smallCaps w:val="false"/>
              </w:rPr>
            </w:pPr>
            <w:r>
              <w:rPr>
                <w:caps w:val="false"/>
                <w:smallCaps w:val="false"/>
              </w:rPr>
              <w:t> </w:t>
            </w:r>
          </w:p>
        </w:tc>
        <w:tc>
          <w:tcPr>
            <w:tcW w:w="6878" w:type="dxa"/>
            <w:tcBorders/>
            <w:vAlign w:val="center"/>
          </w:tcPr>
          <w:p>
            <w:pPr>
              <w:pStyle w:val="TableContents"/>
              <w:bidi w:val="0"/>
              <w:spacing w:before="0" w:after="40"/>
              <w:ind w:left="317" w:right="0" w:hanging="317"/>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Notes Does Not Represent Future Values of the Notes and May Differ from Others’ Estimates.</w:t>
            </w:r>
          </w:p>
          <w:p>
            <w:pPr>
              <w:pStyle w:val="TableContents"/>
              <w:bidi w:val="0"/>
              <w:spacing w:before="0" w:after="40"/>
              <w:ind w:left="317" w:right="0" w:hanging="317"/>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Notes Is Derived by Reference to an Internal Funding Rate.</w:t>
            </w:r>
          </w:p>
          <w:p>
            <w:pPr>
              <w:pStyle w:val="TableContents"/>
              <w:bidi w:val="0"/>
              <w:spacing w:before="0" w:after="40"/>
              <w:ind w:left="317" w:right="0" w:hanging="317"/>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Notes as Published by JPMS (and Which May Be Reflected on Customer Account Statements) May Be Higher Than the Then-Current Estimated Value of the Notes for a Limited Time Period.</w:t>
            </w:r>
          </w:p>
          <w:p>
            <w:pPr>
              <w:pStyle w:val="TableContents"/>
              <w:bidi w:val="0"/>
              <w:spacing w:before="0" w:after="40"/>
              <w:ind w:left="317" w:right="0" w:hanging="317"/>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Notes Will Likely Be Lower Than the Original Issue Price of the Notes.</w:t>
            </w:r>
          </w:p>
          <w:p>
            <w:pPr>
              <w:pStyle w:val="TableContents"/>
              <w:bidi w:val="0"/>
              <w:spacing w:before="0" w:after="40"/>
              <w:ind w:left="317" w:right="0" w:hanging="317"/>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Notes.</w:t>
            </w:r>
          </w:p>
          <w:p>
            <w:pPr>
              <w:pStyle w:val="TableContents"/>
              <w:bidi w:val="0"/>
              <w:spacing w:before="0" w:after="40"/>
              <w:ind w:left="317" w:right="0" w:hanging="317"/>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 xml:space="preserve">The Notes Are Subject to Non-U.S. Securities Risk. </w:t>
            </w:r>
          </w:p>
          <w:p>
            <w:pPr>
              <w:pStyle w:val="TableContents"/>
              <w:bidi w:val="0"/>
              <w:spacing w:before="0" w:after="40"/>
              <w:ind w:left="317" w:right="0" w:hanging="317"/>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No Direct Exposure to Fluctuations in Foreign Exchange Rates.</w:t>
            </w:r>
          </w:p>
          <w:p>
            <w:pPr>
              <w:pStyle w:val="TableContents"/>
              <w:bidi w:val="0"/>
              <w:spacing w:before="0" w:after="40"/>
              <w:ind w:left="317" w:right="0" w:hanging="317"/>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Maturity Payment Amount Will Depend upon the Performance of the Basket and Therefore the Notes Are Subject to the Risks Associated with Each Basket Component, Each as Discussed in the Accompanying Preliminary Pricing Supplement and Product Supplement.</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60"/>
        <w:jc w:val="left"/>
        <w:rPr>
          <w:caps w:val="false"/>
          <w:smallCaps w:val="false"/>
          <w:color w:val="8F8F8F"/>
        </w:rPr>
      </w:pPr>
      <w:r>
        <w:rPr>
          <w:caps w:val="false"/>
          <w:smallCaps w:val="false"/>
          <w:color w:val="8F8F8F"/>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9617/000121390026096360/ea0304324-01_424b2.htm" TargetMode="External"/><Relationship Id="rId4" Type="http://schemas.openxmlformats.org/officeDocument/2006/relationships/hyperlink" Target="http://www.sec.gov/Archives/edgar/data/19617/000121390026096360/ea0304324-01_424b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1279</Words>
  <Characters>6849</Characters>
  <CharactersWithSpaces>8145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