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171-01_fwp.htm"/>
      <w:bookmarkStart w:id="1" w:name="ksea030817101_fwp"/>
      <w:bookmarkStart w:id="2" w:name="ea0308171-01_fwp.htm"/>
      <w:bookmarkStart w:id="3" w:name="ksea0308171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left"/>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Notes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0"/>
              <w:ind w:left="160" w:right="0" w:hanging="0"/>
              <w:jc w:val="lef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Notes — Upside Participation to a Cap and Principal Return at Maturity</w:t>
            </w:r>
          </w:p>
          <w:p>
            <w:pPr>
              <w:pStyle w:val="TableContents"/>
              <w:bidi w:val="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Notes Linked to the Lowest Performing of the Common Stock of Micron Technology, Inc. and the Class A Common Stock of Meta Platforms, Inc. due November 1, 2028</w:t>
            </w:r>
          </w:p>
          <w:p>
            <w:pPr>
              <w:pStyle w:val="TableContents"/>
              <w:bidi w:val="0"/>
              <w:spacing w:before="0" w:after="283"/>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8, 2026 to Preliminary Pricing Supplement dated October 8, 2026</w:t>
            </w:r>
          </w:p>
        </w:tc>
      </w:tr>
    </w:tbl>
    <w:p>
      <w:pPr>
        <w:pStyle w:val="TextBody"/>
        <w:bidi w:val="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The notes have complex features and investing in the notes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42"/>
                              <w:gridCol w:w="8663"/>
                            </w:tblGrid>
                            <w:tr>
                              <w:trPr/>
                              <w:tc>
                                <w:tcPr>
                                  <w:tcW w:w="15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Micron Technology, Inc. (Bloomberg ticker: MU) and the Class A common stock of Meta Platforms, Inc. (Bloomberg ticker: META)</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2026</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2028</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 2028</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note (100% of par)</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Note):</w:t>
                                  </w:r>
                                </w:p>
                              </w:tc>
                              <w:tc>
                                <w:tcPr>
                                  <w:tcW w:w="8663"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of the lowest performing Underlying Stock is greater than its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$1,000 × stock return of the lowest performing Underlying Stock × upside participation rate; and</w:t>
                                  </w:r>
                                </w:p>
                                <w:p>
                                  <w:pPr>
                                    <w:pStyle w:val="TableContents"/>
                                    <w:bidi w:val="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the maximum return; or</w:t>
                                  </w:r>
                                </w:p>
                                <w:p>
                                  <w:pPr>
                                    <w:pStyle w:val="TableContents"/>
                                    <w:bidi w:val="0"/>
                                    <w:spacing w:before="0" w:after="283"/>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If the ending price of the lowest performing Underlying Stock is less than or equal to its starting price: $1,000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37.50% of the principal amount (at least $375.00 per note) (to be provided in the pricing supplement)</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46661PLL9</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notes sold in this offering, JPMS may pay a fee of up to 0.20% to selected dealers in consideration for marketing and other services in connection with the distribution of the notes to other dealers.</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6"/>
                                    </w:rPr>
                                    <w:t>Subject to change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6"/>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42"/>
                        <w:gridCol w:w="8663"/>
                      </w:tblGrid>
                      <w:tr>
                        <w:trPr/>
                        <w:tc>
                          <w:tcPr>
                            <w:tcW w:w="15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Micron Technology, Inc. (Bloomberg ticker: MU) and the Class A common stock of Meta Platforms, Inc. (Bloomberg ticker: META)</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2026</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2028</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1, 2028</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note (100% of par)</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Note):</w:t>
                            </w:r>
                          </w:p>
                        </w:tc>
                        <w:tc>
                          <w:tcPr>
                            <w:tcW w:w="8663"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of the lowest performing Underlying Stock is greater than its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$1,000 × stock return of the lowest performing Underlying Stock × upside participation rate; and</w:t>
                            </w:r>
                          </w:p>
                          <w:p>
                            <w:pPr>
                              <w:pStyle w:val="TableContents"/>
                              <w:bidi w:val="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the maximum return; or</w:t>
                            </w:r>
                          </w:p>
                          <w:p>
                            <w:pPr>
                              <w:pStyle w:val="TableContents"/>
                              <w:bidi w:val="0"/>
                              <w:spacing w:before="0" w:after="283"/>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If the ending price of the lowest performing Underlying Stock is less than or equal to its starting price: $1,000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37.50% of the principal amount (at least $375.00 per note) (to be provided in the pricing supplement)</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46661PLL9</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3.075%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notes sold in this offering, JPMS may pay a fee of up to 0.20% to selected dealers in consideration for marketing and other services in connection with the distribution of the notes to other dealers.</w:t>
                            </w:r>
                          </w:p>
                        </w:tc>
                      </w:tr>
                      <w:tr>
                        <w:trPr/>
                        <w:tc>
                          <w:tcPr>
                            <w:tcW w:w="15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6"/>
                              </w:rPr>
                              <w:t>Subject to change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6"/>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123180"/>
                <wp:effectExtent l="0" t="0" r="0" b="0"/>
                <wp:wrapSquare wrapText="left"/>
                <wp:docPr id="3" name="Frame2"/>
                <a:graphic xmlns:a="http://schemas.openxmlformats.org/drawingml/2006/main">
                  <a:graphicData uri="http://schemas.microsoft.com/office/word/2010/wordprocessingShape">
                    <wps:wsp>
                      <wps:cNvSpPr txBox="1"/>
                      <wps:spPr>
                        <a:xfrm>
                          <a:off x="0" y="0"/>
                          <a:ext cx="3175000" cy="51231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ableContents"/>
                                    <w:bidi w:val="0"/>
                                    <w:spacing w:before="60" w:after="40"/>
                                    <w:jc w:val="center"/>
                                    <w:rPr>
                                      <w:caps w:val="false"/>
                                      <w:smallCaps w:val="false"/>
                                    </w:rPr>
                                  </w:pPr>
                                  <w:r>
                                    <w:rPr>
                                      <w:caps w:val="false"/>
                                      <w:smallCaps w:val="false"/>
                                    </w:rPr>
                                    <w:drawing>
                                      <wp:inline distT="0" distB="0" distL="0" distR="0">
                                        <wp:extent cx="3228975" cy="1981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28975" cy="1981200"/>
                                                </a:xfrm>
                                                <a:prstGeom prst="rect">
                                                  <a:avLst/>
                                                </a:prstGeom>
                                              </pic:spPr>
                                            </pic:pic>
                                          </a:graphicData>
                                        </a:graphic>
                                      </wp:inline>
                                    </w:drawing>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*Assumes a maximum return equal to the lowest maximum return</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If the ending price of the lowest performing Underlying Stock is less than or equal to its starting price, you will not receive any positive return on the notes.</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The notes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8"/>
                                    </w:rPr>
                                    <w:t>Any payment on the notes is subject to the credit risk of JPMorgan Financial, as issuer of the notes, and the credit risk of JPMorgan Chase &amp; Co., as guarantor of the notes.</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If the notes priced on the date of the accompanying preliminary pricing supplement, the estimated value of the notes would be approximately $957.10 per note. The estimated value of the notes, when the terms of the notes are set, will be provided in the pricing supplement and will not be less than $920.00 per note. See “The Estimated Value of the Notes” in the preliminary pricing supplement for additional information.</w:t>
                                  </w:r>
                                </w:p>
                                <w:p>
                                  <w:pPr>
                                    <w:pStyle w:val="TableContents"/>
                                    <w:bidi w:val="0"/>
                                    <w:spacing w:before="0" w:after="60"/>
                                    <w:jc w:val="left"/>
                                    <w:rPr/>
                                  </w:pPr>
                                  <w:r>
                                    <w:rPr>
                                      <w:rFonts w:ascii="Georgia;Times;Serif" w:hAnsi="Georgia;Times;Serif"/>
                                      <w:b w:val="false"/>
                                      <w:i w:val="false"/>
                                      <w:caps w:val="false"/>
                                      <w:smallCaps w:val="false"/>
                                      <w:sz w:val="18"/>
                                    </w:rPr>
                                    <w:t xml:space="preserve">Preliminary Pricing Supplement: </w:t>
                                  </w:r>
                                  <w:hyperlink r:id="rId4">
                                    <w:r>
                                      <w:rPr>
                                        <w:rStyle w:val="InternetLink"/>
                                        <w:rFonts w:ascii="Georgia;Times;Serif" w:hAnsi="Georgia;Times;Serif"/>
                                        <w:b w:val="false"/>
                                        <w:i w:val="false"/>
                                        <w:caps w:val="false"/>
                                        <w:smallCaps w:val="false"/>
                                        <w:sz w:val="18"/>
                                      </w:rPr>
                                      <w:t>http://www.sec.gov/Archives/edgar/data/19617/</w:t>
                                      <w:br/>
                                      <w:t>000121390026107935/ea0308138-01_424b2.htm</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03.4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ableContents"/>
                              <w:bidi w:val="0"/>
                              <w:spacing w:before="60" w:after="40"/>
                              <w:jc w:val="center"/>
                              <w:rPr>
                                <w:caps w:val="false"/>
                                <w:smallCaps w:val="false"/>
                              </w:rPr>
                            </w:pPr>
                            <w:r>
                              <w:rPr>
                                <w:caps w:val="false"/>
                                <w:smallCaps w:val="false"/>
                              </w:rPr>
                              <w:drawing>
                                <wp:inline distT="0" distB="0" distL="0" distR="0">
                                  <wp:extent cx="3228975" cy="1981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28975" cy="1981200"/>
                                          </a:xfrm>
                                          <a:prstGeom prst="rect">
                                            <a:avLst/>
                                          </a:prstGeom>
                                        </pic:spPr>
                                      </pic:pic>
                                    </a:graphicData>
                                  </a:graphic>
                                </wp:inline>
                              </w:drawing>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*Assumes a maximum return equal to the lowest maximum return</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If the ending price of the lowest performing Underlying Stock is less than or equal to its starting price, you will not receive any positive return on the notes.</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The notes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8"/>
                              </w:rPr>
                              <w:t>Any payment on the notes is subject to the credit risk of JPMorgan Financial, as issuer of the notes, and the credit risk of JPMorgan Chase &amp; Co., as guarantor of the notes.</w:t>
                            </w:r>
                          </w:p>
                          <w:p>
                            <w:pPr>
                              <w:pStyle w:val="TableContents"/>
                              <w:bidi w:val="0"/>
                              <w:spacing w:before="0" w:after="60"/>
                              <w:jc w:val="left"/>
                              <w:rPr>
                                <w:caps w:val="false"/>
                                <w:smallCaps w:val="false"/>
                              </w:rPr>
                            </w:pPr>
                            <w:r>
                              <w:rPr>
                                <w:caps w:val="false"/>
                                <w:smallCaps w:val="false"/>
                              </w:rPr>
                              <w:t> </w:t>
                            </w:r>
                          </w:p>
                          <w:p>
                            <w:pPr>
                              <w:pStyle w:val="TableContents"/>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If the notes priced on the date of the accompanying preliminary pricing supplement, the estimated value of the notes would be approximately $957.10 per note. The estimated value of the notes, when the terms of the notes are set, will be provided in the pricing supplement and will not be less than $920.00 per note. See “The Estimated Value of the Notes” in the preliminary pricing supplement for additional information.</w:t>
                            </w:r>
                          </w:p>
                          <w:p>
                            <w:pPr>
                              <w:pStyle w:val="TableContents"/>
                              <w:bidi w:val="0"/>
                              <w:spacing w:before="0" w:after="60"/>
                              <w:jc w:val="left"/>
                              <w:rPr/>
                            </w:pPr>
                            <w:r>
                              <w:rPr>
                                <w:rFonts w:ascii="Georgia;Times;Serif" w:hAnsi="Georgia;Times;Serif"/>
                                <w:b w:val="false"/>
                                <w:i w:val="false"/>
                                <w:caps w:val="false"/>
                                <w:smallCaps w:val="false"/>
                                <w:sz w:val="18"/>
                              </w:rPr>
                              <w:t xml:space="preserve">Preliminary Pricing Supplement: </w:t>
                            </w:r>
                            <w:hyperlink r:id="rId6">
                              <w:r>
                                <w:rPr>
                                  <w:rStyle w:val="InternetLink"/>
                                  <w:rFonts w:ascii="Georgia;Times;Serif" w:hAnsi="Georgia;Times;Serif"/>
                                  <w:b w:val="false"/>
                                  <w:i w:val="false"/>
                                  <w:caps w:val="false"/>
                                  <w:smallCaps w:val="false"/>
                                  <w:sz w:val="18"/>
                                </w:rPr>
                                <w:t>http://www.sec.gov/Archives/edgar/data/19617/</w:t>
                                <w:br/>
                                <w:t>000121390026107935/ea0308138-01_424b2.htm</w:t>
                              </w:r>
                            </w:hyperlink>
                          </w:p>
                        </w:tc>
                      </w:tr>
                    </w:tbl>
                    <w:p>
                      <w:pPr>
                        <w:pStyle w:val="TextBody"/>
                        <w:bidi w:val="0"/>
                        <w:spacing w:before="0" w:after="283"/>
                        <w:jc w:val="left"/>
                        <w:rPr/>
                      </w:pPr>
                      <w:r>
                        <w:rPr/>
                      </w:r>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8"/>
        </w:rPr>
      </w:pPr>
      <w:r>
        <w:rPr>
          <w:rFonts w:ascii="Georgia;Times;Serif" w:hAnsi="Georgia;Times;Serif"/>
          <w:b w:val="false"/>
          <w:i/>
          <w:caps w:val="false"/>
          <w:smallCaps w:val="false"/>
          <w:sz w:val="18"/>
        </w:rPr>
        <w:t>The notes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8"/>
        </w:rPr>
      </w:pPr>
      <w:r>
        <w:rPr>
          <w:rFonts w:ascii="Georgia;Times;Serif" w:hAnsi="Georgia;Times;Serif"/>
          <w:b/>
          <w:i w:val="false"/>
          <w:caps w:val="false"/>
          <w:smallCaps w:val="false"/>
          <w:color w:val="C00000"/>
          <w:sz w:val="18"/>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8"/>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614"/>
        <w:gridCol w:w="6591"/>
      </w:tblGrid>
      <w:tr>
        <w:trPr/>
        <w:tc>
          <w:tcPr>
            <w:tcW w:w="361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May Not Receive Any Positive Return on the Notes.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Return Will Be Limited to the Maximum Return and May Be Lower Than the Return on a Direct Investment in either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Notes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shd w:fill="FFFFFF" w:val="clear"/>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You Will Be Subject to Risks Resulting from the Relationship Between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Notes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Required to Recognize Taxable Income on the Notes Prior to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Notes Will Be Lower Than the Original Issue Price (Price to Public) of the Notes.</w:t>
            </w:r>
          </w:p>
          <w:p>
            <w:pPr>
              <w:pStyle w:val="TableContents"/>
              <w:bidi w:val="0"/>
              <w:spacing w:before="0" w:after="40"/>
              <w:ind w:left="360" w:right="0" w:hanging="0"/>
              <w:jc w:val="left"/>
              <w:rPr>
                <w:caps w:val="false"/>
                <w:smallCaps w:val="false"/>
              </w:rPr>
            </w:pPr>
            <w:r>
              <w:rPr>
                <w:caps w:val="false"/>
                <w:smallCaps w:val="false"/>
              </w:rPr>
              <w:t> </w:t>
            </w:r>
          </w:p>
        </w:tc>
        <w:tc>
          <w:tcPr>
            <w:tcW w:w="659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Notes Does Not Represent Future Values of the Notes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Notes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Notes as Published by JPMS (and Which May Be Reflected on Customer Account Statements) May Be Higher Than the Then-Current Estimated Value of the Notes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Notes Will Likely Be Lower Than the Original Issue Price of the Notes.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Notes.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Either Underlying Stock Issuer</w:t>
            </w:r>
          </w:p>
          <w:p>
            <w:pPr>
              <w:pStyle w:val="TableContents"/>
              <w:bidi w:val="0"/>
              <w:spacing w:before="0" w:after="4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rPr>
              <w:t xml:space="preserve">The Anti-Dilution Protection Is Limited and May Be Discretionary.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Maturity Payment Amount Will Depend upon the Performance of Each Underlying Stock and Therefore the Notes Are Subject to the Risks Associated with Each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7935/ea0308138-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7935/ea0308138-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1286</Words>
  <Characters>6827</Characters>
  <CharactersWithSpaces>8192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