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147320</wp:posOffset>
            </wp:positionV>
            <wp:extent cx="27889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5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155575</wp:posOffset>
            </wp:positionV>
            <wp:extent cx="27889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CURRENT REPORT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183515</wp:posOffset>
            </wp:positionV>
            <wp:extent cx="27889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24"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JPMorgan Chase &amp; Co.</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2192655</wp:posOffset>
            </wp:positionH>
            <wp:positionV relativeFrom="paragraph">
              <wp:posOffset>145415</wp:posOffset>
            </wp:positionV>
            <wp:extent cx="27889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8920" cy="6985"/>
                    </a:xfrm>
                    <a:prstGeom prst="rect">
                      <a:avLst/>
                    </a:prstGeom>
                    <a:noFill/>
                  </pic:spPr>
                </pic:pic>
              </a:graphicData>
            </a:graphic>
          </wp:anchor>
        </w:drawing>
      </w:r>
    </w:p>
    <w:p>
      <w:pPr>
        <w:spacing w:after="0" w:line="375" w:lineRule="exact"/>
        <w:rPr>
          <w:sz w:val="24"/>
          <w:szCs w:val="24"/>
          <w:color w:val="auto"/>
        </w:rPr>
      </w:pPr>
    </w:p>
    <w:tbl>
      <w:tblPr>
        <w:tblLayout w:type="fixed"/>
        <w:tblInd w:w="3160" w:type="dxa"/>
        <w:tblCellMar>
          <w:top w:w="0" w:type="dxa"/>
          <w:left w:w="0" w:type="dxa"/>
          <w:bottom w:w="0" w:type="dxa"/>
          <w:right w:w="0" w:type="dxa"/>
        </w:tblCellMar>
      </w:tblPr>
      <w:tr>
        <w:trPr>
          <w:trHeight w:val="136"/>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rPr>
              <w:t>Delaware</w:t>
            </w:r>
          </w:p>
        </w:tc>
        <w:tc>
          <w:tcPr>
            <w:tcW w:w="1580" w:type="dxa"/>
            <w:vAlign w:val="bottom"/>
          </w:tcPr>
          <w:p>
            <w:pPr>
              <w:jc w:val="right"/>
              <w:ind w:right="691"/>
              <w:spacing w:after="0"/>
              <w:rPr>
                <w:sz w:val="20"/>
                <w:szCs w:val="20"/>
                <w:color w:val="auto"/>
              </w:rPr>
            </w:pPr>
            <w:r>
              <w:rPr>
                <w:rFonts w:ascii="Arial" w:cs="Arial" w:eastAsia="Arial" w:hAnsi="Arial"/>
                <w:sz w:val="10"/>
                <w:szCs w:val="10"/>
                <w:b w:val="1"/>
                <w:bCs w:val="1"/>
                <w:color w:val="auto"/>
              </w:rPr>
              <w:t>1-5805</w:t>
            </w:r>
          </w:p>
        </w:tc>
        <w:tc>
          <w:tcPr>
            <w:tcW w:w="1080" w:type="dxa"/>
            <w:vAlign w:val="bottom"/>
          </w:tcPr>
          <w:p>
            <w:pPr>
              <w:jc w:val="right"/>
              <w:ind w:right="111"/>
              <w:spacing w:after="0"/>
              <w:rPr>
                <w:sz w:val="20"/>
                <w:szCs w:val="20"/>
                <w:color w:val="auto"/>
              </w:rPr>
            </w:pPr>
            <w:r>
              <w:rPr>
                <w:rFonts w:ascii="Arial" w:cs="Arial" w:eastAsia="Arial" w:hAnsi="Arial"/>
                <w:sz w:val="10"/>
                <w:szCs w:val="10"/>
                <w:b w:val="1"/>
                <w:bCs w:val="1"/>
                <w:color w:val="auto"/>
              </w:rPr>
              <w:t>13-2624428</w:t>
            </w:r>
          </w:p>
        </w:tc>
      </w:tr>
      <w:tr>
        <w:trPr>
          <w:trHeight w:val="102"/>
        </w:trPr>
        <w:tc>
          <w:tcPr>
            <w:tcW w:w="1920" w:type="dxa"/>
            <w:vAlign w:val="bottom"/>
          </w:tcPr>
          <w:p>
            <w:pPr>
              <w:jc w:val="center"/>
              <w:ind w:right="31"/>
              <w:spacing w:after="0" w:line="102" w:lineRule="exact"/>
              <w:rPr>
                <w:sz w:val="20"/>
                <w:szCs w:val="20"/>
                <w:color w:val="auto"/>
              </w:rPr>
            </w:pPr>
            <w:r>
              <w:rPr>
                <w:rFonts w:ascii="Arial" w:cs="Arial" w:eastAsia="Arial" w:hAnsi="Arial"/>
                <w:sz w:val="10"/>
                <w:szCs w:val="10"/>
                <w:b w:val="1"/>
                <w:bCs w:val="1"/>
                <w:color w:val="auto"/>
                <w:w w:val="99"/>
              </w:rPr>
              <w:t>(State or other jurisdiction of</w:t>
            </w:r>
          </w:p>
        </w:tc>
        <w:tc>
          <w:tcPr>
            <w:tcW w:w="1580" w:type="dxa"/>
            <w:vAlign w:val="bottom"/>
          </w:tcPr>
          <w:p>
            <w:pPr>
              <w:jc w:val="center"/>
              <w:ind w:right="151"/>
              <w:spacing w:after="0" w:line="102" w:lineRule="exact"/>
              <w:rPr>
                <w:sz w:val="20"/>
                <w:szCs w:val="20"/>
                <w:color w:val="auto"/>
              </w:rPr>
            </w:pPr>
            <w:r>
              <w:rPr>
                <w:rFonts w:ascii="Arial" w:cs="Arial" w:eastAsia="Arial" w:hAnsi="Arial"/>
                <w:sz w:val="10"/>
                <w:szCs w:val="10"/>
                <w:b w:val="1"/>
                <w:bCs w:val="1"/>
                <w:color w:val="auto"/>
                <w:w w:val="98"/>
              </w:rPr>
              <w:t>(Commission File Number)</w:t>
            </w:r>
          </w:p>
        </w:tc>
        <w:tc>
          <w:tcPr>
            <w:tcW w:w="1080" w:type="dxa"/>
            <w:vAlign w:val="bottom"/>
          </w:tcPr>
          <w:p>
            <w:pPr>
              <w:jc w:val="center"/>
              <w:ind w:left="211"/>
              <w:spacing w:after="0" w:line="102" w:lineRule="exact"/>
              <w:rPr>
                <w:sz w:val="20"/>
                <w:szCs w:val="20"/>
                <w:color w:val="auto"/>
              </w:rPr>
            </w:pPr>
            <w:r>
              <w:rPr>
                <w:rFonts w:ascii="Arial" w:cs="Arial" w:eastAsia="Arial" w:hAnsi="Arial"/>
                <w:sz w:val="10"/>
                <w:szCs w:val="10"/>
                <w:b w:val="1"/>
                <w:bCs w:val="1"/>
                <w:color w:val="auto"/>
                <w:w w:val="97"/>
              </w:rPr>
              <w:t>(I.R.S. employer</w:t>
            </w:r>
          </w:p>
        </w:tc>
      </w:tr>
      <w:tr>
        <w:trPr>
          <w:trHeight w:val="136"/>
        </w:trPr>
        <w:tc>
          <w:tcPr>
            <w:tcW w:w="1920" w:type="dxa"/>
            <w:vAlign w:val="bottom"/>
          </w:tcPr>
          <w:p>
            <w:pPr>
              <w:jc w:val="center"/>
              <w:ind w:right="11"/>
              <w:spacing w:after="0"/>
              <w:rPr>
                <w:sz w:val="20"/>
                <w:szCs w:val="20"/>
                <w:color w:val="auto"/>
              </w:rPr>
            </w:pPr>
            <w:r>
              <w:rPr>
                <w:rFonts w:ascii="Arial" w:cs="Arial" w:eastAsia="Arial" w:hAnsi="Arial"/>
                <w:sz w:val="10"/>
                <w:szCs w:val="10"/>
                <w:b w:val="1"/>
                <w:bCs w:val="1"/>
                <w:color w:val="auto"/>
                <w:w w:val="99"/>
              </w:rPr>
              <w:t>incorporation or organization)</w:t>
            </w:r>
          </w:p>
        </w:tc>
        <w:tc>
          <w:tcPr>
            <w:tcW w:w="1580" w:type="dxa"/>
            <w:vAlign w:val="bottom"/>
          </w:tcPr>
          <w:p>
            <w:pPr>
              <w:spacing w:after="0"/>
              <w:rPr>
                <w:sz w:val="11"/>
                <w:szCs w:val="11"/>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w w:val="98"/>
              </w:rPr>
              <w:t>identification no.)</w:t>
            </w:r>
          </w:p>
        </w:tc>
      </w:tr>
      <w:tr>
        <w:trPr>
          <w:trHeight w:val="261"/>
        </w:trPr>
        <w:tc>
          <w:tcPr>
            <w:tcW w:w="1920" w:type="dxa"/>
            <w:vAlign w:val="bottom"/>
          </w:tcPr>
          <w:p>
            <w:pPr>
              <w:jc w:val="center"/>
              <w:ind w:right="11"/>
              <w:spacing w:after="0"/>
              <w:rPr>
                <w:sz w:val="20"/>
                <w:szCs w:val="20"/>
                <w:color w:val="auto"/>
              </w:rPr>
            </w:pPr>
            <w:r>
              <w:rPr>
                <w:rFonts w:ascii="Arial" w:cs="Arial" w:eastAsia="Arial" w:hAnsi="Arial"/>
                <w:sz w:val="10"/>
                <w:szCs w:val="10"/>
                <w:b w:val="1"/>
                <w:bCs w:val="1"/>
                <w:color w:val="auto"/>
                <w:w w:val="98"/>
              </w:rPr>
              <w:t>270 Park Avenue,</w:t>
            </w: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38"/>
        </w:trPr>
        <w:tc>
          <w:tcPr>
            <w:tcW w:w="1920" w:type="dxa"/>
            <w:vAlign w:val="bottom"/>
          </w:tcPr>
          <w:p>
            <w:pPr>
              <w:ind w:left="440"/>
              <w:spacing w:after="0"/>
              <w:rPr>
                <w:sz w:val="20"/>
                <w:szCs w:val="20"/>
                <w:color w:val="auto"/>
              </w:rPr>
            </w:pPr>
            <w:r>
              <w:rPr>
                <w:rFonts w:ascii="Arial" w:cs="Arial" w:eastAsia="Arial" w:hAnsi="Arial"/>
                <w:sz w:val="10"/>
                <w:szCs w:val="10"/>
                <w:b w:val="1"/>
                <w:bCs w:val="1"/>
                <w:color w:val="auto"/>
              </w:rPr>
              <w:t>New York, New York</w:t>
            </w:r>
          </w:p>
        </w:tc>
        <w:tc>
          <w:tcPr>
            <w:tcW w:w="1580" w:type="dxa"/>
            <w:vAlign w:val="bottom"/>
          </w:tcPr>
          <w:p>
            <w:pPr>
              <w:spacing w:after="0"/>
              <w:rPr>
                <w:sz w:val="11"/>
                <w:szCs w:val="11"/>
                <w:color w:val="auto"/>
              </w:rPr>
            </w:pPr>
          </w:p>
        </w:tc>
        <w:tc>
          <w:tcPr>
            <w:tcW w:w="1080" w:type="dxa"/>
            <w:vAlign w:val="bottom"/>
          </w:tcPr>
          <w:p>
            <w:pPr>
              <w:jc w:val="right"/>
              <w:ind w:right="231"/>
              <w:spacing w:after="0"/>
              <w:rPr>
                <w:sz w:val="20"/>
                <w:szCs w:val="20"/>
                <w:color w:val="auto"/>
              </w:rPr>
            </w:pPr>
            <w:r>
              <w:rPr>
                <w:rFonts w:ascii="Arial" w:cs="Arial" w:eastAsia="Arial" w:hAnsi="Arial"/>
                <w:sz w:val="10"/>
                <w:szCs w:val="10"/>
                <w:b w:val="1"/>
                <w:bCs w:val="1"/>
                <w:color w:val="auto"/>
              </w:rPr>
              <w:t>10017</w:t>
            </w:r>
          </w:p>
        </w:tc>
      </w:tr>
      <w:tr>
        <w:trPr>
          <w:trHeight w:val="170"/>
        </w:trPr>
        <w:tc>
          <w:tcPr>
            <w:tcW w:w="1920" w:type="dxa"/>
            <w:vAlign w:val="bottom"/>
          </w:tcPr>
          <w:p>
            <w:pPr>
              <w:jc w:val="center"/>
              <w:ind w:right="31"/>
              <w:spacing w:after="0"/>
              <w:rPr>
                <w:sz w:val="20"/>
                <w:szCs w:val="20"/>
                <w:color w:val="auto"/>
              </w:rPr>
            </w:pPr>
            <w:r>
              <w:rPr>
                <w:rFonts w:ascii="Arial" w:cs="Arial" w:eastAsia="Arial" w:hAnsi="Arial"/>
                <w:sz w:val="10"/>
                <w:szCs w:val="10"/>
                <w:b w:val="1"/>
                <w:bCs w:val="1"/>
                <w:color w:val="auto"/>
                <w:w w:val="98"/>
              </w:rPr>
              <w:t>(Address of principal executive offices)</w:t>
            </w:r>
          </w:p>
        </w:tc>
        <w:tc>
          <w:tcPr>
            <w:tcW w:w="1580" w:type="dxa"/>
            <w:vAlign w:val="bottom"/>
          </w:tcPr>
          <w:p>
            <w:pPr>
              <w:spacing w:after="0"/>
              <w:rPr>
                <w:sz w:val="14"/>
                <w:szCs w:val="14"/>
                <w:color w:val="auto"/>
              </w:rPr>
            </w:pPr>
          </w:p>
        </w:tc>
        <w:tc>
          <w:tcPr>
            <w:tcW w:w="1080" w:type="dxa"/>
            <w:vAlign w:val="bottom"/>
          </w:tcPr>
          <w:p>
            <w:pPr>
              <w:jc w:val="center"/>
              <w:ind w:left="211"/>
              <w:spacing w:after="0"/>
              <w:rPr>
                <w:sz w:val="20"/>
                <w:szCs w:val="20"/>
                <w:color w:val="auto"/>
              </w:rPr>
            </w:pPr>
            <w:r>
              <w:rPr>
                <w:rFonts w:ascii="Arial" w:cs="Arial" w:eastAsia="Arial" w:hAnsi="Arial"/>
                <w:sz w:val="10"/>
                <w:szCs w:val="10"/>
                <w:b w:val="1"/>
                <w:bCs w:val="1"/>
                <w:color w:val="auto"/>
              </w:rPr>
              <w:t>(Zip Code)</w:t>
            </w:r>
          </w:p>
        </w:tc>
      </w:tr>
    </w:tbl>
    <w:p>
      <w:pPr>
        <w:spacing w:after="0" w:line="64"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Registrant’s telephone number, including area code: (212) 270-6000</w:t>
      </w:r>
    </w:p>
    <w:p>
      <w:pPr>
        <w:spacing w:after="0" w:line="8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Written communications pursuant to Rule 425 under the Securities Act (17 CFR 230.425)</w:t>
      </w:r>
    </w:p>
    <w:p>
      <w:pPr>
        <w:spacing w:after="0" w:line="118"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Soliciting material pursuant to Rule 14a-12 under the Exchange Act (17 CFR 240.14a-12)</w:t>
      </w:r>
    </w:p>
    <w:p>
      <w:pPr>
        <w:spacing w:after="0" w:line="107"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14d-2(b) under the Exchange Act (17 CFR 240.14d-2(b))</w:t>
      </w:r>
    </w:p>
    <w:p>
      <w:pPr>
        <w:spacing w:after="0" w:line="118" w:lineRule="exact"/>
        <w:rPr>
          <w:rFonts w:ascii="MS PGothic" w:cs="MS PGothic" w:eastAsia="MS PGothic" w:hAnsi="MS PGothic"/>
          <w:sz w:val="10"/>
          <w:szCs w:val="10"/>
          <w:color w:val="auto"/>
        </w:rPr>
      </w:pPr>
    </w:p>
    <w:p>
      <w:pPr>
        <w:ind w:left="400" w:hanging="381"/>
        <w:spacing w:after="0"/>
        <w:tabs>
          <w:tab w:leader="none" w:pos="40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Pre-commencement communications pursuant to Rule 13e-4(c) under the Exchange Act (17 CFR 240.13e-4(c))</w:t>
      </w:r>
    </w:p>
    <w:p>
      <w:pPr>
        <w:spacing w:after="0" w:line="95" w:lineRule="exact"/>
        <w:rPr>
          <w:sz w:val="24"/>
          <w:szCs w:val="24"/>
          <w:color w:val="auto"/>
        </w:rPr>
      </w:pPr>
    </w:p>
    <w:p>
      <w:pPr>
        <w:jc w:val="center"/>
        <w:ind w:right="-9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94" w:lineRule="exact"/>
        <w:rPr>
          <w:sz w:val="24"/>
          <w:szCs w:val="24"/>
          <w:color w:val="auto"/>
        </w:rPr>
      </w:pPr>
    </w:p>
    <w:tbl>
      <w:tblPr>
        <w:tblLayout w:type="fixed"/>
        <w:tblInd w:w="80" w:type="dxa"/>
        <w:tblCellMar>
          <w:top w:w="0" w:type="dxa"/>
          <w:left w:w="0" w:type="dxa"/>
          <w:bottom w:w="0" w:type="dxa"/>
          <w:right w:w="0" w:type="dxa"/>
        </w:tblCellMar>
      </w:tblPr>
      <w:tr>
        <w:trPr>
          <w:trHeight w:val="115"/>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Title of each class</w:t>
            </w:r>
          </w:p>
        </w:tc>
        <w:tc>
          <w:tcPr>
            <w:tcW w:w="1500" w:type="dxa"/>
            <w:vAlign w:val="bottom"/>
            <w:gridSpan w:val="3"/>
          </w:tcPr>
          <w:p>
            <w:pPr>
              <w:ind w:left="120"/>
              <w:spacing w:after="0"/>
              <w:rPr>
                <w:sz w:val="20"/>
                <w:szCs w:val="20"/>
                <w:color w:val="auto"/>
              </w:rPr>
            </w:pPr>
            <w:r>
              <w:rPr>
                <w:rFonts w:ascii="Arial" w:cs="Arial" w:eastAsia="Arial" w:hAnsi="Arial"/>
                <w:sz w:val="10"/>
                <w:szCs w:val="10"/>
                <w:b w:val="1"/>
                <w:bCs w:val="1"/>
                <w:color w:val="auto"/>
              </w:rPr>
              <w:t>Trading Symbol(s)</w:t>
            </w:r>
          </w:p>
        </w:tc>
        <w:tc>
          <w:tcPr>
            <w:tcW w:w="2620" w:type="dxa"/>
            <w:vAlign w:val="bottom"/>
            <w:gridSpan w:val="2"/>
          </w:tcPr>
          <w:p>
            <w:pPr>
              <w:ind w:left="540"/>
              <w:spacing w:after="0"/>
              <w:rPr>
                <w:sz w:val="20"/>
                <w:szCs w:val="20"/>
                <w:color w:val="auto"/>
              </w:rPr>
            </w:pPr>
            <w:r>
              <w:rPr>
                <w:rFonts w:ascii="Arial" w:cs="Arial" w:eastAsia="Arial" w:hAnsi="Arial"/>
                <w:sz w:val="10"/>
                <w:szCs w:val="10"/>
                <w:b w:val="1"/>
                <w:bCs w:val="1"/>
                <w:color w:val="auto"/>
                <w:w w:val="97"/>
              </w:rPr>
              <w:t>Name of each exchange on which registered</w:t>
            </w:r>
          </w:p>
        </w:tc>
      </w:tr>
      <w:tr>
        <w:trPr>
          <w:trHeight w:val="20"/>
        </w:trPr>
        <w:tc>
          <w:tcPr>
            <w:tcW w:w="8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r>
      <w:tr>
        <w:trPr>
          <w:trHeight w:val="143"/>
        </w:trPr>
        <w:tc>
          <w:tcPr>
            <w:tcW w:w="840" w:type="dxa"/>
            <w:vAlign w:val="bottom"/>
          </w:tcPr>
          <w:p>
            <w:pPr>
              <w:spacing w:after="0"/>
              <w:rPr>
                <w:sz w:val="20"/>
                <w:szCs w:val="20"/>
                <w:color w:val="auto"/>
              </w:rPr>
            </w:pPr>
            <w:r>
              <w:rPr>
                <w:rFonts w:ascii="Arial" w:cs="Arial" w:eastAsia="Arial" w:hAnsi="Arial"/>
                <w:sz w:val="10"/>
                <w:szCs w:val="10"/>
                <w:b w:val="1"/>
                <w:bCs w:val="1"/>
                <w:color w:val="auto"/>
              </w:rPr>
              <w:t>Common stock</w:t>
            </w: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20"/>
                <w:szCs w:val="20"/>
                <w:color w:val="auto"/>
              </w:rPr>
            </w:pPr>
            <w:r>
              <w:rPr>
                <w:rFonts w:ascii="Arial" w:cs="Arial" w:eastAsia="Arial" w:hAnsi="Arial"/>
                <w:sz w:val="10"/>
                <w:szCs w:val="10"/>
                <w:b w:val="1"/>
                <w:bCs w:val="1"/>
                <w:color w:val="auto"/>
              </w:rPr>
              <w:t>JPM</w:t>
            </w:r>
          </w:p>
        </w:tc>
        <w:tc>
          <w:tcPr>
            <w:tcW w:w="520" w:type="dxa"/>
            <w:vAlign w:val="bottom"/>
          </w:tcPr>
          <w:p>
            <w:pPr>
              <w:spacing w:after="0"/>
              <w:rPr>
                <w:sz w:val="12"/>
                <w:szCs w:val="12"/>
                <w:color w:val="auto"/>
              </w:rPr>
            </w:pPr>
          </w:p>
        </w:tc>
        <w:tc>
          <w:tcPr>
            <w:tcW w:w="2620" w:type="dxa"/>
            <w:vAlign w:val="bottom"/>
            <w:gridSpan w:val="2"/>
          </w:tcPr>
          <w:p>
            <w:pPr>
              <w:ind w:left="540"/>
              <w:spacing w:after="0"/>
              <w:rPr>
                <w:sz w:val="20"/>
                <w:szCs w:val="20"/>
                <w:color w:val="auto"/>
              </w:rPr>
            </w:pPr>
            <w:r>
              <w:rPr>
                <w:rFonts w:ascii="Arial" w:cs="Arial" w:eastAsia="Arial" w:hAnsi="Arial"/>
                <w:sz w:val="10"/>
                <w:szCs w:val="10"/>
                <w:b w:val="1"/>
                <w:bCs w:val="1"/>
                <w:color w:val="auto"/>
              </w:rPr>
              <w:t>The New York Stock Exchange</w:t>
            </w: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5.75% Non-Cumulative Preferred Stock,</w:t>
            </w:r>
          </w:p>
        </w:tc>
        <w:tc>
          <w:tcPr>
            <w:tcW w:w="150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D</w:t>
            </w:r>
          </w:p>
        </w:tc>
        <w:tc>
          <w:tcPr>
            <w:tcW w:w="2620" w:type="dxa"/>
            <w:vAlign w:val="bottom"/>
            <w:gridSpan w:val="2"/>
          </w:tcPr>
          <w:p>
            <w:pPr>
              <w:ind w:left="540"/>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60"/>
              <w:spacing w:after="0"/>
              <w:rPr>
                <w:sz w:val="20"/>
                <w:szCs w:val="20"/>
                <w:color w:val="auto"/>
              </w:rPr>
            </w:pPr>
            <w:r>
              <w:rPr>
                <w:rFonts w:ascii="Arial" w:cs="Arial" w:eastAsia="Arial" w:hAnsi="Arial"/>
                <w:sz w:val="10"/>
                <w:szCs w:val="10"/>
                <w:b w:val="1"/>
                <w:bCs w:val="1"/>
                <w:color w:val="auto"/>
              </w:rPr>
              <w:t>Series DD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6.00% Non-Cumulative Preferred Stock,</w:t>
            </w:r>
          </w:p>
        </w:tc>
        <w:tc>
          <w:tcPr>
            <w:tcW w:w="150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C</w:t>
            </w:r>
          </w:p>
        </w:tc>
        <w:tc>
          <w:tcPr>
            <w:tcW w:w="2620" w:type="dxa"/>
            <w:vAlign w:val="bottom"/>
            <w:gridSpan w:val="2"/>
          </w:tcPr>
          <w:p>
            <w:pPr>
              <w:ind w:left="540"/>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60"/>
              <w:spacing w:after="0"/>
              <w:rPr>
                <w:sz w:val="20"/>
                <w:szCs w:val="20"/>
                <w:color w:val="auto"/>
              </w:rPr>
            </w:pPr>
            <w:r>
              <w:rPr>
                <w:rFonts w:ascii="Arial" w:cs="Arial" w:eastAsia="Arial" w:hAnsi="Arial"/>
                <w:sz w:val="10"/>
                <w:szCs w:val="10"/>
                <w:b w:val="1"/>
                <w:bCs w:val="1"/>
                <w:color w:val="auto"/>
              </w:rPr>
              <w:t>Series EE</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4.75% Non-Cumulative Preferred Stock,</w:t>
            </w:r>
          </w:p>
        </w:tc>
        <w:tc>
          <w:tcPr>
            <w:tcW w:w="150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J</w:t>
            </w:r>
          </w:p>
        </w:tc>
        <w:tc>
          <w:tcPr>
            <w:tcW w:w="2620" w:type="dxa"/>
            <w:vAlign w:val="bottom"/>
            <w:gridSpan w:val="2"/>
          </w:tcPr>
          <w:p>
            <w:pPr>
              <w:ind w:left="540"/>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60"/>
              <w:spacing w:after="0"/>
              <w:rPr>
                <w:sz w:val="20"/>
                <w:szCs w:val="20"/>
                <w:color w:val="auto"/>
              </w:rPr>
            </w:pPr>
            <w:r>
              <w:rPr>
                <w:rFonts w:ascii="Arial" w:cs="Arial" w:eastAsia="Arial" w:hAnsi="Arial"/>
                <w:sz w:val="10"/>
                <w:szCs w:val="10"/>
                <w:b w:val="1"/>
                <w:bCs w:val="1"/>
                <w:color w:val="auto"/>
              </w:rPr>
              <w:t>Series GG</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4.55% Non-Cumulative Preferred Stock,</w:t>
            </w:r>
          </w:p>
        </w:tc>
        <w:tc>
          <w:tcPr>
            <w:tcW w:w="150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K</w:t>
            </w:r>
          </w:p>
        </w:tc>
        <w:tc>
          <w:tcPr>
            <w:tcW w:w="2620" w:type="dxa"/>
            <w:vAlign w:val="bottom"/>
            <w:gridSpan w:val="2"/>
          </w:tcPr>
          <w:p>
            <w:pPr>
              <w:ind w:left="540"/>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60"/>
              <w:spacing w:after="0"/>
              <w:rPr>
                <w:sz w:val="20"/>
                <w:szCs w:val="20"/>
                <w:color w:val="auto"/>
              </w:rPr>
            </w:pPr>
            <w:r>
              <w:rPr>
                <w:rFonts w:ascii="Arial" w:cs="Arial" w:eastAsia="Arial" w:hAnsi="Arial"/>
                <w:sz w:val="10"/>
                <w:szCs w:val="10"/>
                <w:b w:val="1"/>
                <w:bCs w:val="1"/>
                <w:color w:val="auto"/>
              </w:rPr>
              <w:t>Series JJ</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4.625% Non-Cumulative Preferred Stock,</w:t>
            </w:r>
          </w:p>
        </w:tc>
        <w:tc>
          <w:tcPr>
            <w:tcW w:w="150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L</w:t>
            </w:r>
          </w:p>
        </w:tc>
        <w:tc>
          <w:tcPr>
            <w:tcW w:w="2620" w:type="dxa"/>
            <w:vAlign w:val="bottom"/>
            <w:gridSpan w:val="2"/>
          </w:tcPr>
          <w:p>
            <w:pPr>
              <w:ind w:left="540"/>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60"/>
              <w:spacing w:after="0"/>
              <w:rPr>
                <w:sz w:val="20"/>
                <w:szCs w:val="20"/>
                <w:color w:val="auto"/>
              </w:rPr>
            </w:pPr>
            <w:r>
              <w:rPr>
                <w:rFonts w:ascii="Arial" w:cs="Arial" w:eastAsia="Arial" w:hAnsi="Arial"/>
                <w:sz w:val="10"/>
                <w:szCs w:val="10"/>
                <w:b w:val="1"/>
                <w:bCs w:val="1"/>
                <w:color w:val="auto"/>
              </w:rPr>
              <w:t>Series LL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08"/>
        </w:trPr>
        <w:tc>
          <w:tcPr>
            <w:tcW w:w="5880" w:type="dxa"/>
            <w:vAlign w:val="bottom"/>
            <w:gridSpan w:val="2"/>
          </w:tcPr>
          <w:p>
            <w:pPr>
              <w:spacing w:after="0" w:line="109" w:lineRule="exact"/>
              <w:rPr>
                <w:sz w:val="20"/>
                <w:szCs w:val="20"/>
                <w:color w:val="auto"/>
              </w:rPr>
            </w:pPr>
            <w:r>
              <w:rPr>
                <w:rFonts w:ascii="Arial" w:cs="Arial" w:eastAsia="Arial" w:hAnsi="Arial"/>
                <w:sz w:val="10"/>
                <w:szCs w:val="10"/>
                <w:b w:val="1"/>
                <w:bCs w:val="1"/>
                <w:color w:val="auto"/>
              </w:rPr>
              <w:t>Depositary Shares, each representing a one-four hundredth interest in a share of 4.20% Non-Cumulative Preferred Stock,</w:t>
            </w:r>
          </w:p>
        </w:tc>
        <w:tc>
          <w:tcPr>
            <w:tcW w:w="1500" w:type="dxa"/>
            <w:vAlign w:val="bottom"/>
            <w:gridSpan w:val="3"/>
          </w:tcPr>
          <w:p>
            <w:pPr>
              <w:ind w:left="120"/>
              <w:spacing w:after="0" w:line="109" w:lineRule="exact"/>
              <w:rPr>
                <w:sz w:val="20"/>
                <w:szCs w:val="20"/>
                <w:color w:val="auto"/>
              </w:rPr>
            </w:pPr>
            <w:r>
              <w:rPr>
                <w:rFonts w:ascii="Arial" w:cs="Arial" w:eastAsia="Arial" w:hAnsi="Arial"/>
                <w:sz w:val="10"/>
                <w:szCs w:val="10"/>
                <w:b w:val="1"/>
                <w:bCs w:val="1"/>
                <w:color w:val="auto"/>
              </w:rPr>
              <w:t>JPM PR M</w:t>
            </w:r>
          </w:p>
        </w:tc>
        <w:tc>
          <w:tcPr>
            <w:tcW w:w="2620" w:type="dxa"/>
            <w:vAlign w:val="bottom"/>
            <w:gridSpan w:val="2"/>
          </w:tcPr>
          <w:p>
            <w:pPr>
              <w:ind w:left="540"/>
              <w:spacing w:after="0" w:line="109" w:lineRule="exact"/>
              <w:rPr>
                <w:sz w:val="20"/>
                <w:szCs w:val="20"/>
                <w:color w:val="auto"/>
              </w:rPr>
            </w:pPr>
            <w:r>
              <w:rPr>
                <w:rFonts w:ascii="Arial" w:cs="Arial" w:eastAsia="Arial" w:hAnsi="Arial"/>
                <w:sz w:val="10"/>
                <w:szCs w:val="10"/>
                <w:b w:val="1"/>
                <w:bCs w:val="1"/>
                <w:color w:val="auto"/>
              </w:rPr>
              <w:t>The New York Stock Exchange</w:t>
            </w:r>
          </w:p>
        </w:tc>
      </w:tr>
      <w:tr>
        <w:trPr>
          <w:trHeight w:val="136"/>
        </w:trPr>
        <w:tc>
          <w:tcPr>
            <w:tcW w:w="5880" w:type="dxa"/>
            <w:vAlign w:val="bottom"/>
            <w:gridSpan w:val="2"/>
          </w:tcPr>
          <w:p>
            <w:pPr>
              <w:ind w:left="60"/>
              <w:spacing w:after="0"/>
              <w:rPr>
                <w:sz w:val="20"/>
                <w:szCs w:val="20"/>
                <w:color w:val="auto"/>
              </w:rPr>
            </w:pPr>
            <w:r>
              <w:rPr>
                <w:rFonts w:ascii="Arial" w:cs="Arial" w:eastAsia="Arial" w:hAnsi="Arial"/>
                <w:sz w:val="10"/>
                <w:szCs w:val="10"/>
                <w:b w:val="1"/>
                <w:bCs w:val="1"/>
                <w:color w:val="auto"/>
              </w:rPr>
              <w:t>Series MM</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80" w:type="dxa"/>
            <w:vAlign w:val="bottom"/>
          </w:tcPr>
          <w:p>
            <w:pPr>
              <w:spacing w:after="0"/>
              <w:rPr>
                <w:sz w:val="11"/>
                <w:szCs w:val="11"/>
                <w:color w:val="auto"/>
              </w:rPr>
            </w:pPr>
          </w:p>
        </w:tc>
      </w:tr>
      <w:tr>
        <w:trPr>
          <w:trHeight w:val="138"/>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Callable Fixed Rate Notes due June 10, 2032 of JPMorgan Chase Financial Company LLC</w:t>
            </w:r>
          </w:p>
        </w:tc>
        <w:tc>
          <w:tcPr>
            <w:tcW w:w="1500" w:type="dxa"/>
            <w:vAlign w:val="bottom"/>
            <w:gridSpan w:val="3"/>
          </w:tcPr>
          <w:p>
            <w:pPr>
              <w:ind w:left="120"/>
              <w:spacing w:after="0"/>
              <w:rPr>
                <w:sz w:val="20"/>
                <w:szCs w:val="20"/>
                <w:color w:val="auto"/>
              </w:rPr>
            </w:pPr>
            <w:r>
              <w:rPr>
                <w:rFonts w:ascii="Arial" w:cs="Arial" w:eastAsia="Arial" w:hAnsi="Arial"/>
                <w:sz w:val="10"/>
                <w:szCs w:val="10"/>
                <w:b w:val="1"/>
                <w:bCs w:val="1"/>
                <w:color w:val="auto"/>
              </w:rPr>
              <w:t>JPM/32</w:t>
            </w:r>
          </w:p>
        </w:tc>
        <w:tc>
          <w:tcPr>
            <w:tcW w:w="2620" w:type="dxa"/>
            <w:vAlign w:val="bottom"/>
            <w:gridSpan w:val="2"/>
          </w:tcPr>
          <w:p>
            <w:pPr>
              <w:ind w:left="540"/>
              <w:spacing w:after="0"/>
              <w:rPr>
                <w:sz w:val="20"/>
                <w:szCs w:val="20"/>
                <w:color w:val="auto"/>
              </w:rPr>
            </w:pPr>
            <w:r>
              <w:rPr>
                <w:rFonts w:ascii="Arial" w:cs="Arial" w:eastAsia="Arial" w:hAnsi="Arial"/>
                <w:sz w:val="10"/>
                <w:szCs w:val="10"/>
                <w:b w:val="1"/>
                <w:bCs w:val="1"/>
                <w:color w:val="auto"/>
              </w:rPr>
              <w:t>The New York Stock Exchange</w:t>
            </w:r>
          </w:p>
        </w:tc>
      </w:tr>
      <w:tr>
        <w:trPr>
          <w:trHeight w:val="138"/>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Alerian MLP Index ETNs due January 28, 2044 of JPMorgan Chase Financial Company LLC</w:t>
            </w:r>
          </w:p>
        </w:tc>
        <w:tc>
          <w:tcPr>
            <w:tcW w:w="1500" w:type="dxa"/>
            <w:vAlign w:val="bottom"/>
            <w:gridSpan w:val="3"/>
          </w:tcPr>
          <w:p>
            <w:pPr>
              <w:ind w:left="120"/>
              <w:spacing w:after="0"/>
              <w:rPr>
                <w:sz w:val="20"/>
                <w:szCs w:val="20"/>
                <w:color w:val="auto"/>
              </w:rPr>
            </w:pPr>
            <w:r>
              <w:rPr>
                <w:rFonts w:ascii="Arial" w:cs="Arial" w:eastAsia="Arial" w:hAnsi="Arial"/>
                <w:sz w:val="10"/>
                <w:szCs w:val="10"/>
                <w:b w:val="1"/>
                <w:bCs w:val="1"/>
                <w:color w:val="auto"/>
              </w:rPr>
              <w:t>AMJB</w:t>
            </w:r>
          </w:p>
        </w:tc>
        <w:tc>
          <w:tcPr>
            <w:tcW w:w="2620" w:type="dxa"/>
            <w:vAlign w:val="bottom"/>
            <w:gridSpan w:val="2"/>
          </w:tcPr>
          <w:p>
            <w:pPr>
              <w:ind w:left="540"/>
              <w:spacing w:after="0"/>
              <w:rPr>
                <w:sz w:val="20"/>
                <w:szCs w:val="20"/>
                <w:color w:val="auto"/>
              </w:rPr>
            </w:pPr>
            <w:r>
              <w:rPr>
                <w:rFonts w:ascii="Arial" w:cs="Arial" w:eastAsia="Arial" w:hAnsi="Arial"/>
                <w:sz w:val="10"/>
                <w:szCs w:val="10"/>
                <w:b w:val="1"/>
                <w:bCs w:val="1"/>
                <w:color w:val="auto"/>
              </w:rPr>
              <w:t>NYSE Arca, Inc.</w:t>
            </w:r>
          </w:p>
        </w:tc>
      </w:tr>
      <w:tr>
        <w:trPr>
          <w:trHeight w:val="138"/>
        </w:trPr>
        <w:tc>
          <w:tcPr>
            <w:tcW w:w="5880" w:type="dxa"/>
            <w:vAlign w:val="bottom"/>
            <w:gridSpan w:val="2"/>
          </w:tcPr>
          <w:p>
            <w:pPr>
              <w:spacing w:after="0"/>
              <w:rPr>
                <w:sz w:val="20"/>
                <w:szCs w:val="20"/>
                <w:color w:val="auto"/>
              </w:rPr>
            </w:pPr>
            <w:r>
              <w:rPr>
                <w:rFonts w:ascii="Arial" w:cs="Arial" w:eastAsia="Arial" w:hAnsi="Arial"/>
                <w:sz w:val="10"/>
                <w:szCs w:val="10"/>
                <w:b w:val="1"/>
                <w:bCs w:val="1"/>
                <w:color w:val="auto"/>
              </w:rPr>
              <w:t>Guarantee of Inverse VIX Short-Term Futures ETNs due March 22, 2045 of JPMorgan Chase Financial Company LLC</w:t>
            </w:r>
          </w:p>
        </w:tc>
        <w:tc>
          <w:tcPr>
            <w:tcW w:w="1500" w:type="dxa"/>
            <w:vAlign w:val="bottom"/>
            <w:gridSpan w:val="3"/>
          </w:tcPr>
          <w:p>
            <w:pPr>
              <w:ind w:left="120"/>
              <w:spacing w:after="0"/>
              <w:rPr>
                <w:sz w:val="20"/>
                <w:szCs w:val="20"/>
                <w:color w:val="auto"/>
              </w:rPr>
            </w:pPr>
            <w:r>
              <w:rPr>
                <w:rFonts w:ascii="Arial" w:cs="Arial" w:eastAsia="Arial" w:hAnsi="Arial"/>
                <w:sz w:val="10"/>
                <w:szCs w:val="10"/>
                <w:b w:val="1"/>
                <w:bCs w:val="1"/>
                <w:color w:val="auto"/>
              </w:rPr>
              <w:t>VYLD</w:t>
            </w:r>
          </w:p>
        </w:tc>
        <w:tc>
          <w:tcPr>
            <w:tcW w:w="2620" w:type="dxa"/>
            <w:vAlign w:val="bottom"/>
            <w:gridSpan w:val="2"/>
          </w:tcPr>
          <w:p>
            <w:pPr>
              <w:ind w:left="540"/>
              <w:spacing w:after="0"/>
              <w:rPr>
                <w:sz w:val="20"/>
                <w:szCs w:val="20"/>
                <w:color w:val="auto"/>
              </w:rPr>
            </w:pPr>
            <w:r>
              <w:rPr>
                <w:rFonts w:ascii="Arial" w:cs="Arial" w:eastAsia="Arial" w:hAnsi="Arial"/>
                <w:sz w:val="10"/>
                <w:szCs w:val="10"/>
                <w:b w:val="1"/>
                <w:bCs w:val="1"/>
                <w:color w:val="auto"/>
              </w:rPr>
              <w:t>NYSE Arca, Inc.</w:t>
            </w:r>
          </w:p>
        </w:tc>
      </w:tr>
    </w:tbl>
    <w:p>
      <w:pPr>
        <w:spacing w:after="0" w:line="117" w:lineRule="exact"/>
        <w:rPr>
          <w:sz w:val="24"/>
          <w:szCs w:val="24"/>
          <w:color w:val="auto"/>
        </w:rPr>
      </w:pPr>
    </w:p>
    <w:p>
      <w:pPr>
        <w:spacing w:after="0" w:line="271"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75" w:lineRule="exact"/>
        <w:rPr>
          <w:sz w:val="24"/>
          <w:szCs w:val="24"/>
          <w:color w:val="auto"/>
        </w:rPr>
      </w:pPr>
    </w:p>
    <w:p>
      <w:pPr>
        <w:spacing w:after="0" w:line="15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412750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14" w:right="419" w:bottom="144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274"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On June 25, 2026, JPMorgan Chase &amp; Co. ("JPMorganChase" or the “Firm”) announced that Doug Petno, 61, and Troy Rohrbaugh, 56, Co-CEOs of the Commercial &amp; Investment Bank ("CIB"), have been elected Co-Presidents of the Firm, effective immediately.</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 addition to their new roles, Mr. Petno will become sole CEO of the CIB, and Mr. Rohrbaugh will become CEO of Consumer &amp; Community Banking ("CCB").</w:t>
      </w:r>
    </w:p>
    <w:p>
      <w:pPr>
        <w:spacing w:after="0" w:line="165" w:lineRule="exact"/>
        <w:rPr>
          <w:sz w:val="20"/>
          <w:szCs w:val="20"/>
          <w:color w:val="auto"/>
        </w:rPr>
      </w:pPr>
    </w:p>
    <w:p>
      <w:pPr>
        <w:ind w:right="520"/>
        <w:spacing w:after="0" w:line="290" w:lineRule="auto"/>
        <w:rPr>
          <w:sz w:val="20"/>
          <w:szCs w:val="20"/>
          <w:color w:val="auto"/>
        </w:rPr>
      </w:pPr>
      <w:r>
        <w:rPr>
          <w:rFonts w:ascii="Arial" w:cs="Arial" w:eastAsia="Arial" w:hAnsi="Arial"/>
          <w:sz w:val="14"/>
          <w:szCs w:val="14"/>
          <w:color w:val="auto"/>
        </w:rPr>
        <w:t>The promotions of Messrs. Petno and Rohrbaugh to Co-Presidents and sole CEOs of the Firm’s two largest businesses are part of the Board’s ongoing succession planning designed to ensure continued exceptional leadership at the highest levels of the company.</w:t>
      </w:r>
    </w:p>
    <w:p>
      <w:pPr>
        <w:spacing w:after="0" w:line="131"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Marianne Lake, current CEO of CCB, has decided to retire from the Firm after more than 25 years of outstanding leadership and service. Ms. Lake will work with Mr. Rohrbaugh and other senior executives over the coming weeks to help guide a smooth transition.</w:t>
      </w:r>
    </w:p>
    <w:p>
      <w:pPr>
        <w:spacing w:after="0" w:line="152"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addition, the independent members of the Compensation &amp; Management Development Committee (“CMDC”) approved one-time Retention and Continuity equity based awards (the “Awards”) on June 24, 2026 to the following Operating Committee members: Doug Petno, Co-President and CEO of the Commercial &amp; Investment Bank, and Troy Rohrbaugh, Co-President and CEO of Consumer &amp; Community Banking, in the amount of $30 million each; Mary Erdoes, CEO of Asset &amp; Wealth Management, and Jennifer Piepszak, Chief Operating Officer, in the amount of $20 million each.</w:t>
      </w:r>
      <w:r>
        <w:rPr>
          <w:rFonts w:ascii="Arial" w:cs="Arial" w:eastAsia="Arial" w:hAnsi="Arial"/>
          <w:sz w:val="18"/>
          <w:szCs w:val="18"/>
          <w:color w:val="auto"/>
          <w:vertAlign w:val="superscript"/>
        </w:rPr>
        <w:t>2</w:t>
      </w:r>
    </w:p>
    <w:p>
      <w:pPr>
        <w:spacing w:after="0" w:line="96" w:lineRule="exact"/>
        <w:rPr>
          <w:sz w:val="20"/>
          <w:szCs w:val="20"/>
          <w:color w:val="auto"/>
        </w:rPr>
      </w:pPr>
    </w:p>
    <w:p>
      <w:pPr>
        <w:ind w:right="20"/>
        <w:spacing w:after="0" w:line="274" w:lineRule="auto"/>
        <w:rPr>
          <w:sz w:val="20"/>
          <w:szCs w:val="20"/>
          <w:color w:val="auto"/>
        </w:rPr>
      </w:pPr>
      <w:r>
        <w:rPr>
          <w:rFonts w:ascii="Arial" w:cs="Arial" w:eastAsia="Arial" w:hAnsi="Arial"/>
          <w:sz w:val="14"/>
          <w:szCs w:val="14"/>
          <w:color w:val="auto"/>
        </w:rPr>
        <w:t>The CMDC determined that the targeted Retention and Continuity Awards are designed to preserve top qualified internal succession candidates, maintain key Operating Committee continuity through any leadership transition, and are in the long-term interests of shareholders.</w:t>
      </w:r>
    </w:p>
    <w:p>
      <w:pPr>
        <w:spacing w:after="0" w:line="152"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The Awards are equity-based in the form of Restricted Stock Units (“RSUs”) that are designed to incentivize leadership continuity. The terms of the Awards are distinct from, and are generally more restrictive than, the terms of annual equity grants regularly awarded by the Firm to Operating Committee members. The Awards 100% cliff-vest after three years and are subject to an additional Vesting Performance Condition that requires the Firm to achieve a three-year average return on tangible common equity</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(“ROTCE”) of 12% for calendar years 2026, 2027 and 2028. Net shares are subject to a two-year hold and are also subject to the Firm’s stock ownership guideline and retention requirements applicable to the Firm’s Operating Committee members. Vesting is subject to continuous employment with the Firm, with certain limited exceptions, but does not allow for vesting for retirement, job elimination or government service.</w:t>
      </w:r>
    </w:p>
    <w:p>
      <w:pPr>
        <w:spacing w:after="0" w:line="166" w:lineRule="exact"/>
        <w:rPr>
          <w:sz w:val="20"/>
          <w:szCs w:val="20"/>
          <w:color w:val="auto"/>
        </w:rPr>
      </w:pPr>
    </w:p>
    <w:p>
      <w:pPr>
        <w:ind w:right="220"/>
        <w:spacing w:after="0" w:line="239" w:lineRule="auto"/>
        <w:rPr>
          <w:sz w:val="20"/>
          <w:szCs w:val="20"/>
          <w:color w:val="auto"/>
        </w:rPr>
      </w:pPr>
      <w:r>
        <w:rPr>
          <w:rFonts w:ascii="Arial" w:cs="Arial" w:eastAsia="Arial" w:hAnsi="Arial"/>
          <w:sz w:val="14"/>
          <w:szCs w:val="14"/>
          <w:color w:val="auto"/>
        </w:rPr>
        <w:t>Equity incentives are subject to the JPMorgan Chase Bonus Recoupment Policy which applies in the event of a material restatement of the Firm's financial results. In addition, all equity awards granted contain recapture provisions that enable the Firm to cancel outstanding awards and/or recover the value of certain stock distributed under the award in</w:t>
      </w:r>
    </w:p>
    <w:p>
      <w:pPr>
        <w:spacing w:after="0" w:line="1" w:lineRule="exact"/>
        <w:rPr>
          <w:sz w:val="20"/>
          <w:szCs w:val="20"/>
          <w:color w:val="auto"/>
        </w:rPr>
      </w:pPr>
    </w:p>
    <w:p>
      <w:pPr>
        <w:ind w:right="420"/>
        <w:spacing w:after="0" w:line="253" w:lineRule="auto"/>
        <w:rPr>
          <w:sz w:val="20"/>
          <w:szCs w:val="20"/>
          <w:color w:val="auto"/>
        </w:rPr>
      </w:pPr>
      <w:r>
        <w:rPr>
          <w:rFonts w:ascii="Arial" w:cs="Arial" w:eastAsia="Arial" w:hAnsi="Arial"/>
          <w:sz w:val="14"/>
          <w:szCs w:val="14"/>
          <w:color w:val="auto"/>
        </w:rPr>
        <w:t>specified circumstances. In addition to recapture provisions, portions of equity awards awarded are also subject to additional Protection-based Vesting provisions under which awards may be cancelled as determined by the CMDC.</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A copy of the press release related to this announcement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230505</wp:posOffset>
            </wp:positionV>
            <wp:extent cx="13474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79" w:lineRule="exact"/>
        <w:rPr>
          <w:sz w:val="20"/>
          <w:szCs w:val="20"/>
          <w:color w:val="auto"/>
        </w:rPr>
      </w:pPr>
    </w:p>
    <w:p>
      <w:pPr>
        <w:ind w:left="60" w:hanging="55"/>
        <w:spacing w:after="0"/>
        <w:tabs>
          <w:tab w:leader="none" w:pos="60" w:val="left"/>
        </w:tabs>
        <w:numPr>
          <w:ilvl w:val="0"/>
          <w:numId w:val="2"/>
        </w:numPr>
        <w:rPr>
          <w:rFonts w:ascii="Arial" w:cs="Arial" w:eastAsia="Arial" w:hAnsi="Arial"/>
          <w:sz w:val="13"/>
          <w:szCs w:val="13"/>
          <w:color w:val="auto"/>
          <w:vertAlign w:val="superscript"/>
        </w:rPr>
      </w:pPr>
      <w:r>
        <w:rPr>
          <w:rFonts w:ascii="Arial" w:cs="Arial" w:eastAsia="Arial" w:hAnsi="Arial"/>
          <w:sz w:val="10"/>
          <w:szCs w:val="10"/>
          <w:color w:val="auto"/>
        </w:rPr>
        <w:t>For biographical information, refer to Item 10 of the Form 10-K for the fiscal year ended December 31, 2025.</w:t>
      </w:r>
    </w:p>
    <w:p>
      <w:pPr>
        <w:ind w:right="660" w:firstLine="5"/>
        <w:spacing w:after="0" w:line="212" w:lineRule="auto"/>
        <w:tabs>
          <w:tab w:leader="none" w:pos="63" w:val="left"/>
        </w:tabs>
        <w:numPr>
          <w:ilvl w:val="0"/>
          <w:numId w:val="3"/>
        </w:numPr>
        <w:rPr>
          <w:rFonts w:ascii="Arial" w:cs="Arial" w:eastAsia="Arial" w:hAnsi="Arial"/>
          <w:sz w:val="13"/>
          <w:szCs w:val="13"/>
          <w:color w:val="auto"/>
          <w:vertAlign w:val="superscript"/>
        </w:rPr>
      </w:pPr>
      <w:r>
        <w:rPr>
          <w:rFonts w:ascii="Arial" w:cs="Arial" w:eastAsia="Arial" w:hAnsi="Arial"/>
          <w:sz w:val="10"/>
          <w:szCs w:val="10"/>
          <w:color w:val="auto"/>
        </w:rPr>
        <w:t>The amount of the Awards reflects the grant date fair market value. The aggregate number of RSUs granted to each executive was determined by dividing the Award grant date fair market value by the average of the high and the low prices of JPMorganChase common stock on the grant date.</w:t>
      </w:r>
    </w:p>
    <w:p>
      <w:pPr>
        <w:spacing w:after="0"/>
        <w:rPr>
          <w:rFonts w:ascii="Arial" w:cs="Arial" w:eastAsia="Arial" w:hAnsi="Arial"/>
          <w:sz w:val="13"/>
          <w:szCs w:val="13"/>
          <w:color w:val="auto"/>
          <w:vertAlign w:val="superscript"/>
        </w:rPr>
      </w:pPr>
      <w:r>
        <w:rPr>
          <w:rFonts w:ascii="Arial" w:cs="Arial" w:eastAsia="Arial" w:hAnsi="Arial"/>
          <w:sz w:val="12"/>
          <w:szCs w:val="12"/>
          <w:color w:val="auto"/>
          <w:vertAlign w:val="superscript"/>
        </w:rPr>
        <w:t>3</w:t>
      </w:r>
      <w:r>
        <w:rPr>
          <w:rFonts w:ascii="Arial" w:cs="Arial" w:eastAsia="Arial" w:hAnsi="Arial"/>
          <w:sz w:val="10"/>
          <w:szCs w:val="10"/>
          <w:color w:val="auto"/>
        </w:rPr>
        <w:t xml:space="preserve"> ROTCE is a non-GAAP financial measure. Refer to pages 15-16 of the Form 10-Q for the first quarter of 2026 for additional information on this measure.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gridSpan w:val="3"/>
          </w:tcPr>
          <w:p>
            <w:pPr>
              <w:spacing w:after="0"/>
              <w:rPr>
                <w:sz w:val="20"/>
                <w:szCs w:val="20"/>
                <w:color w:val="auto"/>
              </w:rPr>
            </w:pPr>
            <w:r>
              <w:rPr>
                <w:rFonts w:ascii="Arial" w:cs="Arial" w:eastAsia="Arial" w:hAnsi="Arial"/>
                <w:sz w:val="14"/>
                <w:szCs w:val="14"/>
                <w:color w:val="auto"/>
              </w:rPr>
              <w:t>(d)  Exhibit</w:t>
            </w:r>
          </w:p>
        </w:tc>
        <w:tc>
          <w:tcPr>
            <w:tcW w:w="378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486"/>
        </w:trPr>
        <w:tc>
          <w:tcPr>
            <w:tcW w:w="580" w:type="dxa"/>
            <w:vAlign w:val="bottom"/>
          </w:tcPr>
          <w:p>
            <w:pPr>
              <w:spacing w:after="0"/>
              <w:rPr>
                <w:sz w:val="24"/>
                <w:szCs w:val="24"/>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8500" w:type="dxa"/>
            <w:vAlign w:val="bottom"/>
            <w:tcBorders>
              <w:bottom w:val="single" w:sz="8" w:color="auto"/>
            </w:tcBorders>
            <w:gridSpan w:val="2"/>
          </w:tcPr>
          <w:p>
            <w:pPr>
              <w:ind w:left="3520"/>
              <w:spacing w:after="0"/>
              <w:rPr>
                <w:sz w:val="20"/>
                <w:szCs w:val="20"/>
                <w:color w:val="auto"/>
              </w:rPr>
            </w:pPr>
            <w:r>
              <w:rPr>
                <w:rFonts w:ascii="Arial" w:cs="Arial" w:eastAsia="Arial" w:hAnsi="Arial"/>
                <w:sz w:val="14"/>
                <w:szCs w:val="14"/>
                <w:b w:val="1"/>
                <w:bCs w:val="1"/>
                <w:color w:val="auto"/>
              </w:rPr>
              <w:t>Description of Exhibit</w:t>
            </w:r>
          </w:p>
        </w:tc>
      </w:tr>
      <w:tr>
        <w:trPr>
          <w:trHeight w:val="256"/>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99.1</w:t>
            </w:r>
          </w:p>
        </w:tc>
        <w:tc>
          <w:tcPr>
            <w:tcW w:w="160" w:type="dxa"/>
            <w:vAlign w:val="bottom"/>
          </w:tcPr>
          <w:p>
            <w:pPr>
              <w:spacing w:after="0"/>
              <w:rPr>
                <w:sz w:val="22"/>
                <w:szCs w:val="22"/>
                <w:color w:val="auto"/>
              </w:rPr>
            </w:pPr>
          </w:p>
        </w:tc>
        <w:tc>
          <w:tcPr>
            <w:tcW w:w="378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JPMorgan Chase &amp; Co. Press Release dated June 25, 2026</w:t>
            </w:r>
          </w:p>
        </w:tc>
        <w:tc>
          <w:tcPr>
            <w:tcW w:w="4720" w:type="dxa"/>
            <w:vAlign w:val="bottom"/>
          </w:tcPr>
          <w:p>
            <w:pPr>
              <w:spacing w:after="0"/>
              <w:rPr>
                <w:sz w:val="22"/>
                <w:szCs w:val="22"/>
                <w:color w:val="auto"/>
              </w:rPr>
            </w:pPr>
          </w:p>
        </w:tc>
      </w:tr>
      <w:tr>
        <w:trPr>
          <w:trHeight w:val="188"/>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4"/>
                <w:szCs w:val="14"/>
                <w:color w:val="auto"/>
              </w:rPr>
              <w:t>Pursuant to Rule 406 of Regulation S-T, the cover page is formatted in Inline XBRL (Inline eXtensible Business Reporting Language).</w:t>
            </w:r>
          </w:p>
        </w:tc>
      </w:tr>
      <w:tr>
        <w:trPr>
          <w:trHeight w:val="186"/>
        </w:trPr>
        <w:tc>
          <w:tcPr>
            <w:tcW w:w="2060" w:type="dxa"/>
            <w:vAlign w:val="bottom"/>
            <w:gridSpan w:val="2"/>
          </w:tcPr>
          <w:p>
            <w:pPr>
              <w:ind w:left="60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6"/>
                <w:szCs w:val="16"/>
                <w:color w:val="auto"/>
              </w:rPr>
            </w:pPr>
          </w:p>
        </w:tc>
        <w:tc>
          <w:tcPr>
            <w:tcW w:w="8500" w:type="dxa"/>
            <w:vAlign w:val="bottom"/>
            <w:gridSpan w:val="2"/>
          </w:tcPr>
          <w:p>
            <w:pPr>
              <w:spacing w:after="0"/>
              <w:rPr>
                <w:sz w:val="20"/>
                <w:szCs w:val="20"/>
                <w:color w:val="auto"/>
              </w:rPr>
            </w:pPr>
            <w:r>
              <w:rPr>
                <w:rFonts w:ascii="Arial" w:cs="Arial" w:eastAsia="Arial" w:hAnsi="Arial"/>
                <w:sz w:val="14"/>
                <w:szCs w:val="14"/>
                <w:color w:val="auto"/>
              </w:rPr>
              <w:t>Cover Page Interactive Data File (embedded within the Inline XBRL document and included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SIGNATURE</w:t>
      </w:r>
    </w:p>
    <w:p>
      <w:pPr>
        <w:spacing w:after="0" w:line="200" w:lineRule="exact"/>
        <w:rPr>
          <w:sz w:val="20"/>
          <w:szCs w:val="20"/>
          <w:color w:val="auto"/>
        </w:rPr>
      </w:pPr>
    </w:p>
    <w:p>
      <w:pPr>
        <w:spacing w:after="0" w:line="244"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57" w:lineRule="exact"/>
        <w:rPr>
          <w:sz w:val="20"/>
          <w:szCs w:val="20"/>
          <w:color w:val="auto"/>
        </w:rPr>
      </w:pPr>
    </w:p>
    <w:tbl>
      <w:tblPr>
        <w:tblLayout w:type="fixed"/>
        <w:tblInd w:w="582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JPMorgan Chase &amp; Co.</w:t>
            </w:r>
          </w:p>
        </w:tc>
      </w:tr>
      <w:tr>
        <w:trPr>
          <w:trHeight w:val="177"/>
        </w:trPr>
        <w:tc>
          <w:tcPr>
            <w:tcW w:w="500" w:type="dxa"/>
            <w:vAlign w:val="bottom"/>
          </w:tcPr>
          <w:p>
            <w:pPr>
              <w:spacing w:after="0"/>
              <w:rPr>
                <w:sz w:val="15"/>
                <w:szCs w:val="15"/>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(Registrant)</w:t>
            </w:r>
          </w:p>
        </w:tc>
      </w:tr>
      <w:tr>
        <w:trPr>
          <w:trHeight w:val="716"/>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Reid R. Broda</w:t>
            </w:r>
          </w:p>
        </w:tc>
      </w:tr>
      <w:tr>
        <w:trPr>
          <w:trHeight w:val="167"/>
        </w:trPr>
        <w:tc>
          <w:tcPr>
            <w:tcW w:w="500" w:type="dxa"/>
            <w:vAlign w:val="bottom"/>
          </w:tcPr>
          <w:p>
            <w:pPr>
              <w:spacing w:after="0"/>
              <w:rPr>
                <w:sz w:val="14"/>
                <w:szCs w:val="14"/>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Reid R. Broda</w:t>
            </w:r>
          </w:p>
        </w:tc>
      </w:tr>
      <w:tr>
        <w:trPr>
          <w:trHeight w:val="186"/>
        </w:trPr>
        <w:tc>
          <w:tcPr>
            <w:tcW w:w="500" w:type="dxa"/>
            <w:vAlign w:val="bottom"/>
          </w:tcPr>
          <w:p>
            <w:pPr>
              <w:spacing w:after="0"/>
              <w:rPr>
                <w:sz w:val="16"/>
                <w:szCs w:val="16"/>
                <w:color w:val="auto"/>
              </w:rPr>
            </w:pPr>
          </w:p>
        </w:tc>
        <w:tc>
          <w:tcPr>
            <w:tcW w:w="4960" w:type="dxa"/>
            <w:vAlign w:val="bottom"/>
          </w:tcPr>
          <w:p>
            <w:pPr>
              <w:jc w:val="center"/>
              <w:spacing w:after="0"/>
              <w:rPr>
                <w:sz w:val="20"/>
                <w:szCs w:val="20"/>
                <w:color w:val="auto"/>
              </w:rPr>
            </w:pPr>
            <w:r>
              <w:rPr>
                <w:rFonts w:ascii="Arial" w:cs="Arial" w:eastAsia="Arial" w:hAnsi="Arial"/>
                <w:sz w:val="14"/>
                <w:szCs w:val="14"/>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4"/>
          <w:szCs w:val="14"/>
          <w:color w:val="auto"/>
        </w:rPr>
        <w:t>Dated:</w:t>
        <w:tab/>
        <w:t>June 25, 2026</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730" w:right="3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2026-06-25T07:01:22Z</dcterms:created>
  <dcterms:modified xsi:type="dcterms:W3CDTF">2026-06-25T07:01:22Z</dcterms:modified>
</cp:coreProperties>
</file>