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4439-01_fwp.htm"/>
      <w:bookmarkStart w:id="1" w:name="ksea0304439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2,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MU Auto-Callable Dual Directional Trigger PLUS</w:t>
      </w:r>
    </w:p>
    <w:p>
      <w:pPr>
        <w:pStyle w:val="TextBody"/>
        <w:bidi w:val="0"/>
        <w:spacing w:before="40" w:after="40"/>
        <w:ind w:left="86" w:right="4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Auto-Callable Dual Directional Trigger PLUS, which we refer to as the Trigger PLUS. Investors must carefully review the accompanying preliminary pricing supplement referenced below, product supplement, prospectus supplement and prospectus and the “Risk Considerations” on the following page, prior to making an investment decision.</w: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36"/>
                              <w:gridCol w:w="896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69"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69" w:type="dxa"/>
                                  <w:tcBorders/>
                                  <w:vAlign w:val="center"/>
                                </w:tcPr>
                                <w:p>
                                  <w:pPr>
                                    <w:pStyle w:val="TableContents"/>
                                    <w:bidi w:val="0"/>
                                    <w:spacing w:before="0" w:after="283"/>
                                    <w:jc w:val="left"/>
                                    <w:rPr>
                                      <w:sz w:val="16"/>
                                    </w:rPr>
                                  </w:pPr>
                                  <w:r>
                                    <w:rPr>
                                      <w:sz w:val="16"/>
                                    </w:rPr>
                                    <w:t>JPMorgan Chase &amp; Co.</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Underlying stock:</w:t>
                                  </w:r>
                                </w:p>
                              </w:tc>
                              <w:tc>
                                <w:tcPr>
                                  <w:tcW w:w="8969" w:type="dxa"/>
                                  <w:tcBorders/>
                                  <w:shd w:fill="DCEBF4" w:val="clear"/>
                                  <w:vAlign w:val="center"/>
                                </w:tcPr>
                                <w:p>
                                  <w:pPr>
                                    <w:pStyle w:val="TableContents"/>
                                    <w:bidi w:val="0"/>
                                    <w:spacing w:before="0" w:after="283"/>
                                    <w:jc w:val="left"/>
                                    <w:rPr>
                                      <w:sz w:val="16"/>
                                    </w:rPr>
                                  </w:pPr>
                                  <w:r>
                                    <w:rPr>
                                      <w:sz w:val="16"/>
                                    </w:rPr>
                                    <w:t>Common stock of Micron Technology, Inc. (Bloomberg ticker: MU UW Equity)</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w:t>
                                  </w:r>
                                </w:p>
                              </w:tc>
                              <w:tc>
                                <w:tcPr>
                                  <w:tcW w:w="8969" w:type="dxa"/>
                                  <w:tcBorders/>
                                  <w:vAlign w:val="center"/>
                                </w:tcPr>
                                <w:p>
                                  <w:pPr>
                                    <w:pStyle w:val="TableContents"/>
                                    <w:bidi w:val="0"/>
                                    <w:spacing w:before="0" w:after="283"/>
                                    <w:jc w:val="left"/>
                                    <w:rPr>
                                      <w:sz w:val="16"/>
                                    </w:rPr>
                                  </w:pPr>
                                  <w:r>
                                    <w:rPr>
                                      <w:sz w:val="16"/>
                                    </w:rPr>
                                    <w:t xml:space="preserve">If, on the redemption observation date, the closing price of one share of the underlying stock is </w:t>
                                  </w:r>
                                  <w:r>
                                    <w:rPr>
                                      <w:b/>
                                      <w:sz w:val="16"/>
                                    </w:rPr>
                                    <w:t>greater than or equal to</w:t>
                                  </w:r>
                                  <w:r>
                                    <w:rPr>
                                      <w:sz w:val="16"/>
                                    </w:rPr>
                                    <w:t xml:space="preserve"> the initial stock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stock price is greater than the initial stock price or the absolute return feature that applies to the payment at maturity if the final stock price is less than or equal to the initial stock price but is greater than or equal to the trigger level.  Moreover, if the Trigger PLUS are automatically redeemed, your investment may underperform the underlying stock, and the early redemption payment may be significantly less than the payment at maturity you would receive for the same level of appreciation of the underlying stock had the Trigger PLUS not been automatically redeemed and instead remained outstanding until maturity.</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969" w:type="dxa"/>
                                  <w:tcBorders/>
                                  <w:shd w:fill="DCEBF4" w:val="clear"/>
                                  <w:vAlign w:val="center"/>
                                </w:tcPr>
                                <w:p>
                                  <w:pPr>
                                    <w:pStyle w:val="TableContents"/>
                                    <w:bidi w:val="0"/>
                                    <w:spacing w:before="0" w:after="283"/>
                                    <w:jc w:val="left"/>
                                    <w:rPr>
                                      <w:sz w:val="15"/>
                                    </w:rPr>
                                  </w:pPr>
                                  <w:r>
                                    <w:rPr>
                                      <w:sz w:val="15"/>
                                    </w:rPr>
                                    <w:t>At least $1,386.50 per Trigger PLUS. The actual early redemption payment will be provided in the pricing supplement and will not be less than $1,386.50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69" w:type="dxa"/>
                                  <w:tcBorders/>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stock price, for each $1,000 stated principal amount Trigger PLUS: $1,000 + leveraged upside payment</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stock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 + ($1,000 × absolute stock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underlying stock. In no event will this amount exceed the stated principal amount plus $400.00. Accordingly, the maximum downside payment at maturity is $1,400.00 per Trigger PLUS.</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stock performance factor</w:t>
                                  </w:r>
                                </w:p>
                                <w:p>
                                  <w:pPr>
                                    <w:pStyle w:val="TableContents"/>
                                    <w:bidi w:val="0"/>
                                    <w:spacing w:before="20" w:after="20"/>
                                    <w:ind w:left="20" w:right="2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40%, and possibly all, of your investment.</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69" w:type="dxa"/>
                                  <w:tcBorders/>
                                  <w:shd w:fill="DCEBF4" w:val="clear"/>
                                  <w:vAlign w:val="center"/>
                                </w:tcPr>
                                <w:p>
                                  <w:pPr>
                                    <w:pStyle w:val="TableContents"/>
                                    <w:bidi w:val="0"/>
                                    <w:spacing w:before="0" w:after="283"/>
                                    <w:jc w:val="left"/>
                                    <w:rPr>
                                      <w:sz w:val="16"/>
                                    </w:rPr>
                                  </w:pPr>
                                  <w:r>
                                    <w:rPr>
                                      <w:sz w:val="16"/>
                                    </w:rPr>
                                    <w:t>$1,000 × leverage factor × stock percent change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percent change:</w:t>
                                  </w:r>
                                </w:p>
                              </w:tc>
                              <w:tc>
                                <w:tcPr>
                                  <w:tcW w:w="8969" w:type="dxa"/>
                                  <w:tcBorders/>
                                  <w:vAlign w:val="center"/>
                                </w:tcPr>
                                <w:p>
                                  <w:pPr>
                                    <w:pStyle w:val="TableContents"/>
                                    <w:bidi w:val="0"/>
                                    <w:spacing w:before="0" w:after="283"/>
                                    <w:jc w:val="left"/>
                                    <w:rPr>
                                      <w:sz w:val="16"/>
                                    </w:rPr>
                                  </w:pPr>
                                  <w:r>
                                    <w:rPr>
                                      <w:sz w:val="16"/>
                                    </w:rPr>
                                    <w:t>(final stock price – initial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stock return:</w:t>
                                  </w:r>
                                </w:p>
                              </w:tc>
                              <w:tc>
                                <w:tcPr>
                                  <w:tcW w:w="8969" w:type="dxa"/>
                                  <w:tcBorders/>
                                  <w:shd w:fill="DCEBF4" w:val="clear"/>
                                  <w:vAlign w:val="center"/>
                                </w:tcPr>
                                <w:p>
                                  <w:pPr>
                                    <w:pStyle w:val="TableContents"/>
                                    <w:bidi w:val="0"/>
                                    <w:spacing w:before="0" w:after="283"/>
                                    <w:jc w:val="left"/>
                                    <w:rPr>
                                      <w:sz w:val="16"/>
                                    </w:rPr>
                                  </w:pPr>
                                  <w:r>
                                    <w:rPr>
                                      <w:sz w:val="16"/>
                                    </w:rPr>
                                    <w:t>The absolute value of the stock percent change.  For example, a -5% stock percent change will result in a +5% absolute stock return.  </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stock price: </w:t>
                                  </w:r>
                                </w:p>
                              </w:tc>
                              <w:tc>
                                <w:tcPr>
                                  <w:tcW w:w="8969" w:type="dxa"/>
                                  <w:tcBorders/>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969" w:type="dxa"/>
                                  <w:tcBorders/>
                                  <w:shd w:fill="DCEBF4" w:val="clear"/>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69" w:type="dxa"/>
                                  <w:tcBorders/>
                                  <w:vAlign w:val="center"/>
                                </w:tcPr>
                                <w:p>
                                  <w:pPr>
                                    <w:pStyle w:val="TableContents"/>
                                    <w:bidi w:val="0"/>
                                    <w:spacing w:before="0" w:after="283"/>
                                    <w:jc w:val="left"/>
                                    <w:rPr>
                                      <w:sz w:val="16"/>
                                    </w:rPr>
                                  </w:pPr>
                                  <w:r>
                                    <w:rPr>
                                      <w:sz w:val="16"/>
                                    </w:rPr>
                                    <w:t>60% of the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69" w:type="dxa"/>
                                  <w:tcBorders/>
                                  <w:shd w:fill="DCEBF4" w:val="clear"/>
                                  <w:vAlign w:val="center"/>
                                </w:tcPr>
                                <w:p>
                                  <w:pPr>
                                    <w:pStyle w:val="TableContents"/>
                                    <w:bidi w:val="0"/>
                                    <w:spacing w:before="0" w:after="283"/>
                                    <w:jc w:val="left"/>
                                    <w:rPr>
                                      <w:sz w:val="16"/>
                                    </w:rPr>
                                  </w:pPr>
                                  <w:r>
                                    <w:rPr>
                                      <w:sz w:val="16"/>
                                    </w:rPr>
                                    <w:t>150%</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969" w:type="dxa"/>
                                  <w:tcBorders/>
                                  <w:vAlign w:val="center"/>
                                </w:tcPr>
                                <w:p>
                                  <w:pPr>
                                    <w:pStyle w:val="TableContents"/>
                                    <w:bidi w:val="0"/>
                                    <w:spacing w:before="0" w:after="283"/>
                                    <w:jc w:val="left"/>
                                    <w:rPr>
                                      <w:sz w:val="16"/>
                                    </w:rPr>
                                  </w:pPr>
                                  <w:r>
                                    <w:rPr>
                                      <w:sz w:val="16"/>
                                    </w:rPr>
                                    <w:t>final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969"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69" w:type="dxa"/>
                                  <w:tcBorders/>
                                  <w:vAlign w:val="center"/>
                                </w:tcPr>
                                <w:p>
                                  <w:pPr>
                                    <w:pStyle w:val="TableContents"/>
                                    <w:bidi w:val="0"/>
                                    <w:spacing w:before="0" w:after="283"/>
                                    <w:jc w:val="left"/>
                                    <w:rPr>
                                      <w:sz w:val="16"/>
                                    </w:rPr>
                                  </w:pPr>
                                  <w:r>
                                    <w:rPr>
                                      <w:sz w:val="16"/>
                                    </w:rPr>
                                    <w:t>$1,000 per Trigger PLUS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69" w:type="dxa"/>
                                  <w:tcBorders/>
                                  <w:shd w:fill="DCEBF4" w:val="clear"/>
                                  <w:vAlign w:val="center"/>
                                </w:tcPr>
                                <w:p>
                                  <w:pPr>
                                    <w:pStyle w:val="TableContents"/>
                                    <w:bidi w:val="0"/>
                                    <w:spacing w:before="0" w:after="283"/>
                                    <w:jc w:val="left"/>
                                    <w:rPr>
                                      <w:sz w:val="16"/>
                                    </w:rPr>
                                  </w:pPr>
                                  <w:r>
                                    <w:rPr>
                                      <w:sz w:val="16"/>
                                    </w:rPr>
                                    <w:t>$1,000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69" w:type="dxa"/>
                                  <w:tcBorders/>
                                  <w:vAlign w:val="center"/>
                                </w:tcPr>
                                <w:p>
                                  <w:pPr>
                                    <w:pStyle w:val="TableContents"/>
                                    <w:bidi w:val="0"/>
                                    <w:spacing w:before="0" w:after="283"/>
                                    <w:jc w:val="left"/>
                                    <w:rPr>
                                      <w:sz w:val="16"/>
                                    </w:rPr>
                                  </w:pPr>
                                  <w:r>
                                    <w:rPr>
                                      <w:sz w:val="16"/>
                                    </w:rPr>
                                    <w:t>Expected to be September 16, 2026</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69"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observation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September 23, 2027</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Septmeber 28, 2027</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September 29, 2028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36"/>
                        <w:gridCol w:w="896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69"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69" w:type="dxa"/>
                            <w:tcBorders/>
                            <w:vAlign w:val="center"/>
                          </w:tcPr>
                          <w:p>
                            <w:pPr>
                              <w:pStyle w:val="TableContents"/>
                              <w:bidi w:val="0"/>
                              <w:spacing w:before="0" w:after="283"/>
                              <w:jc w:val="left"/>
                              <w:rPr>
                                <w:sz w:val="16"/>
                              </w:rPr>
                            </w:pPr>
                            <w:r>
                              <w:rPr>
                                <w:sz w:val="16"/>
                              </w:rPr>
                              <w:t>JPMorgan Chase &amp; Co.</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Underlying stock:</w:t>
                            </w:r>
                          </w:p>
                        </w:tc>
                        <w:tc>
                          <w:tcPr>
                            <w:tcW w:w="8969" w:type="dxa"/>
                            <w:tcBorders/>
                            <w:shd w:fill="DCEBF4" w:val="clear"/>
                            <w:vAlign w:val="center"/>
                          </w:tcPr>
                          <w:p>
                            <w:pPr>
                              <w:pStyle w:val="TableContents"/>
                              <w:bidi w:val="0"/>
                              <w:spacing w:before="0" w:after="283"/>
                              <w:jc w:val="left"/>
                              <w:rPr>
                                <w:sz w:val="16"/>
                              </w:rPr>
                            </w:pPr>
                            <w:r>
                              <w:rPr>
                                <w:sz w:val="16"/>
                              </w:rPr>
                              <w:t>Common stock of Micron Technology, Inc. (Bloomberg ticker: MU UW Equity)</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w:t>
                            </w:r>
                          </w:p>
                        </w:tc>
                        <w:tc>
                          <w:tcPr>
                            <w:tcW w:w="8969" w:type="dxa"/>
                            <w:tcBorders/>
                            <w:vAlign w:val="center"/>
                          </w:tcPr>
                          <w:p>
                            <w:pPr>
                              <w:pStyle w:val="TableContents"/>
                              <w:bidi w:val="0"/>
                              <w:spacing w:before="0" w:after="283"/>
                              <w:jc w:val="left"/>
                              <w:rPr>
                                <w:sz w:val="16"/>
                              </w:rPr>
                            </w:pPr>
                            <w:r>
                              <w:rPr>
                                <w:sz w:val="16"/>
                              </w:rPr>
                              <w:t xml:space="preserve">If, on the redemption observation date, the closing price of one share of the underlying stock is </w:t>
                            </w:r>
                            <w:r>
                              <w:rPr>
                                <w:b/>
                                <w:sz w:val="16"/>
                              </w:rPr>
                              <w:t>greater than or equal to</w:t>
                            </w:r>
                            <w:r>
                              <w:rPr>
                                <w:sz w:val="16"/>
                              </w:rPr>
                              <w:t xml:space="preserve"> the initial stock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stock price is greater than the initial stock price or the absolute return feature that applies to the payment at maturity if the final stock price is less than or equal to the initial stock price but is greater than or equal to the trigger level.  Moreover, if the Trigger PLUS are automatically redeemed, your investment may underperform the underlying stock, and the early redemption payment may be significantly less than the payment at maturity you would receive for the same level of appreciation of the underlying stock had the Trigger PLUS not been automatically redeemed and instead remained outstanding until maturity.</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969" w:type="dxa"/>
                            <w:tcBorders/>
                            <w:shd w:fill="DCEBF4" w:val="clear"/>
                            <w:vAlign w:val="center"/>
                          </w:tcPr>
                          <w:p>
                            <w:pPr>
                              <w:pStyle w:val="TableContents"/>
                              <w:bidi w:val="0"/>
                              <w:spacing w:before="0" w:after="283"/>
                              <w:jc w:val="left"/>
                              <w:rPr>
                                <w:sz w:val="15"/>
                              </w:rPr>
                            </w:pPr>
                            <w:r>
                              <w:rPr>
                                <w:sz w:val="15"/>
                              </w:rPr>
                              <w:t>At least $1,386.50 per Trigger PLUS. The actual early redemption payment will be provided in the pricing supplement and will not be less than $1,386.50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69" w:type="dxa"/>
                            <w:tcBorders/>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stock price, for each $1,000 stated principal amount Trigger PLUS: $1,000 + leveraged upside payment</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stock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 + ($1,000 × absolute stock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underlying stock. In no event will this amount exceed the stated principal amount plus $400.00. Accordingly, the maximum downside payment at maturity is $1,400.00 per Trigger PLUS.</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stock performance factor</w:t>
                            </w:r>
                          </w:p>
                          <w:p>
                            <w:pPr>
                              <w:pStyle w:val="TableContents"/>
                              <w:bidi w:val="0"/>
                              <w:spacing w:before="20" w:after="20"/>
                              <w:ind w:left="20" w:right="2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40%, and possibly all, of your investment.</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69" w:type="dxa"/>
                            <w:tcBorders/>
                            <w:shd w:fill="DCEBF4" w:val="clear"/>
                            <w:vAlign w:val="center"/>
                          </w:tcPr>
                          <w:p>
                            <w:pPr>
                              <w:pStyle w:val="TableContents"/>
                              <w:bidi w:val="0"/>
                              <w:spacing w:before="0" w:after="283"/>
                              <w:jc w:val="left"/>
                              <w:rPr>
                                <w:sz w:val="16"/>
                              </w:rPr>
                            </w:pPr>
                            <w:r>
                              <w:rPr>
                                <w:sz w:val="16"/>
                              </w:rPr>
                              <w:t>$1,000 × leverage factor × stock percent change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percent change:</w:t>
                            </w:r>
                          </w:p>
                        </w:tc>
                        <w:tc>
                          <w:tcPr>
                            <w:tcW w:w="8969" w:type="dxa"/>
                            <w:tcBorders/>
                            <w:vAlign w:val="center"/>
                          </w:tcPr>
                          <w:p>
                            <w:pPr>
                              <w:pStyle w:val="TableContents"/>
                              <w:bidi w:val="0"/>
                              <w:spacing w:before="0" w:after="283"/>
                              <w:jc w:val="left"/>
                              <w:rPr>
                                <w:sz w:val="16"/>
                              </w:rPr>
                            </w:pPr>
                            <w:r>
                              <w:rPr>
                                <w:sz w:val="16"/>
                              </w:rPr>
                              <w:t>(final stock price – initial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stock return:</w:t>
                            </w:r>
                          </w:p>
                        </w:tc>
                        <w:tc>
                          <w:tcPr>
                            <w:tcW w:w="8969" w:type="dxa"/>
                            <w:tcBorders/>
                            <w:shd w:fill="DCEBF4" w:val="clear"/>
                            <w:vAlign w:val="center"/>
                          </w:tcPr>
                          <w:p>
                            <w:pPr>
                              <w:pStyle w:val="TableContents"/>
                              <w:bidi w:val="0"/>
                              <w:spacing w:before="0" w:after="283"/>
                              <w:jc w:val="left"/>
                              <w:rPr>
                                <w:sz w:val="16"/>
                              </w:rPr>
                            </w:pPr>
                            <w:r>
                              <w:rPr>
                                <w:sz w:val="16"/>
                              </w:rPr>
                              <w:t>The absolute value of the stock percent change.  For example, a -5% stock percent change will result in a +5% absolute stock return.  </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stock price: </w:t>
                            </w:r>
                          </w:p>
                        </w:tc>
                        <w:tc>
                          <w:tcPr>
                            <w:tcW w:w="8969" w:type="dxa"/>
                            <w:tcBorders/>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969" w:type="dxa"/>
                            <w:tcBorders/>
                            <w:shd w:fill="DCEBF4" w:val="clear"/>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69" w:type="dxa"/>
                            <w:tcBorders/>
                            <w:vAlign w:val="center"/>
                          </w:tcPr>
                          <w:p>
                            <w:pPr>
                              <w:pStyle w:val="TableContents"/>
                              <w:bidi w:val="0"/>
                              <w:spacing w:before="0" w:after="283"/>
                              <w:jc w:val="left"/>
                              <w:rPr>
                                <w:sz w:val="16"/>
                              </w:rPr>
                            </w:pPr>
                            <w:r>
                              <w:rPr>
                                <w:sz w:val="16"/>
                              </w:rPr>
                              <w:t>60% of the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69" w:type="dxa"/>
                            <w:tcBorders/>
                            <w:shd w:fill="DCEBF4" w:val="clear"/>
                            <w:vAlign w:val="center"/>
                          </w:tcPr>
                          <w:p>
                            <w:pPr>
                              <w:pStyle w:val="TableContents"/>
                              <w:bidi w:val="0"/>
                              <w:spacing w:before="0" w:after="283"/>
                              <w:jc w:val="left"/>
                              <w:rPr>
                                <w:sz w:val="16"/>
                              </w:rPr>
                            </w:pPr>
                            <w:r>
                              <w:rPr>
                                <w:sz w:val="16"/>
                              </w:rPr>
                              <w:t>150%</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969" w:type="dxa"/>
                            <w:tcBorders/>
                            <w:vAlign w:val="center"/>
                          </w:tcPr>
                          <w:p>
                            <w:pPr>
                              <w:pStyle w:val="TableContents"/>
                              <w:bidi w:val="0"/>
                              <w:spacing w:before="0" w:after="283"/>
                              <w:jc w:val="left"/>
                              <w:rPr>
                                <w:sz w:val="16"/>
                              </w:rPr>
                            </w:pPr>
                            <w:r>
                              <w:rPr>
                                <w:sz w:val="16"/>
                              </w:rPr>
                              <w:t>final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969"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69" w:type="dxa"/>
                            <w:tcBorders/>
                            <w:vAlign w:val="center"/>
                          </w:tcPr>
                          <w:p>
                            <w:pPr>
                              <w:pStyle w:val="TableContents"/>
                              <w:bidi w:val="0"/>
                              <w:spacing w:before="0" w:after="283"/>
                              <w:jc w:val="left"/>
                              <w:rPr>
                                <w:sz w:val="16"/>
                              </w:rPr>
                            </w:pPr>
                            <w:r>
                              <w:rPr>
                                <w:sz w:val="16"/>
                              </w:rPr>
                              <w:t>$1,000 per Trigger PLUS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69" w:type="dxa"/>
                            <w:tcBorders/>
                            <w:shd w:fill="DCEBF4" w:val="clear"/>
                            <w:vAlign w:val="center"/>
                          </w:tcPr>
                          <w:p>
                            <w:pPr>
                              <w:pStyle w:val="TableContents"/>
                              <w:bidi w:val="0"/>
                              <w:spacing w:before="0" w:after="283"/>
                              <w:jc w:val="left"/>
                              <w:rPr>
                                <w:sz w:val="16"/>
                              </w:rPr>
                            </w:pPr>
                            <w:r>
                              <w:rPr>
                                <w:sz w:val="16"/>
                              </w:rPr>
                              <w:t>$1,000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69" w:type="dxa"/>
                            <w:tcBorders/>
                            <w:vAlign w:val="center"/>
                          </w:tcPr>
                          <w:p>
                            <w:pPr>
                              <w:pStyle w:val="TableContents"/>
                              <w:bidi w:val="0"/>
                              <w:spacing w:before="0" w:after="283"/>
                              <w:jc w:val="left"/>
                              <w:rPr>
                                <w:sz w:val="16"/>
                              </w:rPr>
                            </w:pPr>
                            <w:r>
                              <w:rPr>
                                <w:sz w:val="16"/>
                              </w:rPr>
                              <w:t>Expected to be September 16, 2026</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69"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observation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September 23, 2027</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Septmeber 28, 2027</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September 29, 2028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6685" w:type="dxa"/>
                              <w:jc w:val="left"/>
                              <w:tblInd w:w="0" w:type="dxa"/>
                              <w:tblLayout w:type="fixed"/>
                              <w:tblCellMar>
                                <w:top w:w="0" w:type="dxa"/>
                                <w:left w:w="0" w:type="dxa"/>
                                <w:bottom w:w="0" w:type="dxa"/>
                                <w:right w:w="0" w:type="dxa"/>
                              </w:tblCellMar>
                            </w:tblPr>
                            <w:tblGrid>
                              <w:gridCol w:w="2615"/>
                              <w:gridCol w:w="4070"/>
                            </w:tblGrid>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4070" w:type="dxa"/>
                                  <w:tcBorders/>
                                  <w:shd w:fill="DCEBF4" w:val="clear"/>
                                  <w:vAlign w:val="center"/>
                                </w:tcPr>
                                <w:p>
                                  <w:pPr>
                                    <w:pStyle w:val="TableContents"/>
                                    <w:bidi w:val="0"/>
                                    <w:spacing w:before="0" w:after="283"/>
                                    <w:jc w:val="left"/>
                                    <w:rPr>
                                      <w:sz w:val="16"/>
                                    </w:rPr>
                                  </w:pPr>
                                  <w:r>
                                    <w:rPr>
                                      <w:sz w:val="16"/>
                                    </w:rPr>
                                    <w:t>October 4, 2028</w:t>
                                  </w:r>
                                </w:p>
                              </w:tc>
                            </w:tr>
                            <w:tr>
                              <w:trPr/>
                              <w:tc>
                                <w:tcPr>
                                  <w:tcW w:w="261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4070" w:type="dxa"/>
                                  <w:tcBorders/>
                                  <w:vAlign w:val="center"/>
                                </w:tcPr>
                                <w:p>
                                  <w:pPr>
                                    <w:pStyle w:val="TableContents"/>
                                    <w:bidi w:val="0"/>
                                    <w:spacing w:before="0" w:after="283"/>
                                    <w:jc w:val="left"/>
                                    <w:rPr>
                                      <w:sz w:val="16"/>
                                    </w:rPr>
                                  </w:pPr>
                                  <w:r>
                                    <w:rPr>
                                      <w:sz w:val="16"/>
                                    </w:rPr>
                                    <w:t>46661ML77 / US46661ML775</w:t>
                                  </w:r>
                                </w:p>
                              </w:tc>
                            </w:tr>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4070" w:type="dxa"/>
                                  <w:tcBorders/>
                                  <w:shd w:fill="DCEBF4" w:val="clear"/>
                                  <w:vAlign w:val="center"/>
                                </w:tcPr>
                                <w:p>
                                  <w:pPr>
                                    <w:pStyle w:val="TableContents"/>
                                    <w:bidi w:val="0"/>
                                    <w:spacing w:before="0" w:after="283"/>
                                    <w:jc w:val="left"/>
                                    <w:rPr/>
                                  </w:pPr>
                                  <w:hyperlink r:id="rId2">
                                    <w:r>
                                      <w:rPr>
                                        <w:rStyle w:val="InternetLink"/>
                                        <w:sz w:val="16"/>
                                      </w:rPr>
                                      <w:t>http://www.sec.gov/Archives/edgar/data/</w:t>
                                      <w:br/>
                                      <w:t>19617/000121390026095410/ea0303946-01_424b2.htm</w:t>
                                    </w:r>
                                  </w:hyperlink>
                                </w:p>
                              </w:tc>
                            </w:tr>
                          </w:tbl>
                          <w:p>
                            <w:pPr>
                              <w:pStyle w:val="TextBody"/>
                              <w:bidi w:val="0"/>
                              <w:spacing w:before="20" w:after="0"/>
                              <w:ind w:left="216"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20" w:after="0"/>
                              <w:ind w:left="216"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20" w:after="0"/>
                              <w:ind w:left="216"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Trigger PLUS is subject to the credit risk of JPMorgan Financial, as issuer of the Trigger PLUS, and the credit risk of JPMorgan Chase &amp; Co., as guarantor of the Trigger PLUS.</w:t>
                            </w:r>
                          </w:p>
                          <w:tbl>
                            <w:tblPr>
                              <w:tblW w:w="6480" w:type="dxa"/>
                              <w:jc w:val="center"/>
                              <w:tblInd w:w="0" w:type="dxa"/>
                              <w:tblLayout w:type="fixed"/>
                              <w:tblCellMar>
                                <w:top w:w="0" w:type="dxa"/>
                                <w:left w:w="0" w:type="dxa"/>
                                <w:bottom w:w="0" w:type="dxa"/>
                                <w:right w:w="0" w:type="dxa"/>
                              </w:tblCellMar>
                            </w:tblPr>
                            <w:tblGrid>
                              <w:gridCol w:w="6480"/>
                            </w:tblGrid>
                            <w:tr>
                              <w:trPr/>
                              <w:tc>
                                <w:tcPr>
                                  <w:tcW w:w="6480" w:type="dxa"/>
                                  <w:tcBorders/>
                                  <w:shd w:fill="DCEBF4" w:val="clear"/>
                                  <w:vAlign w:val="center"/>
                                </w:tcPr>
                                <w:p>
                                  <w:pPr>
                                    <w:pStyle w:val="TableContents"/>
                                    <w:bidi w:val="0"/>
                                    <w:spacing w:before="0" w:after="283"/>
                                    <w:jc w:val="center"/>
                                    <w:rPr>
                                      <w:rFonts w:ascii="Arial;Helvetica;Sans-Serif" w:hAnsi="Arial;Helvetica;Sans-Serif"/>
                                      <w:b/>
                                      <w:color w:val="296DC1"/>
                                      <w:sz w:val="16"/>
                                    </w:rPr>
                                  </w:pPr>
                                  <w:r>
                                    <w:rPr>
                                      <w:rFonts w:ascii="Arial;Helvetica;Sans-Serif" w:hAnsi="Arial;Helvetica;Sans-Serif"/>
                                      <w:b/>
                                      <w:color w:val="296DC1"/>
                                      <w:sz w:val="16"/>
                                    </w:rPr>
                                    <w:t>Auto-Callable Dual Directional Trigger PLUS Payoff Diagram</w:t>
                                  </w:r>
                                </w:p>
                              </w:tc>
                            </w:tr>
                            <w:tr>
                              <w:trPr/>
                              <w:tc>
                                <w:tcPr>
                                  <w:tcW w:w="6480" w:type="dxa"/>
                                  <w:tcBorders/>
                                  <w:vAlign w:val="center"/>
                                </w:tcPr>
                                <w:p>
                                  <w:pPr>
                                    <w:pStyle w:val="TableContents"/>
                                    <w:bidi w:val="0"/>
                                    <w:spacing w:before="0" w:after="283"/>
                                    <w:jc w:val="center"/>
                                    <w:rPr/>
                                  </w:pPr>
                                  <w:r>
                                    <w:rPr/>
                                    <w:drawing>
                                      <wp:inline distT="0" distB="0" distL="0" distR="0">
                                        <wp:extent cx="4095750" cy="26384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4095750" cy="26384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120" w:type="dxa"/>
                              <w:jc w:val="center"/>
                              <w:tblInd w:w="0" w:type="dxa"/>
                              <w:tblLayout w:type="fixed"/>
                              <w:tblCellMar>
                                <w:top w:w="0" w:type="dxa"/>
                                <w:left w:w="0" w:type="dxa"/>
                                <w:bottom w:w="0" w:type="dxa"/>
                                <w:right w:w="0" w:type="dxa"/>
                              </w:tblCellMar>
                            </w:tblPr>
                            <w:tblGrid>
                              <w:gridCol w:w="2060"/>
                              <w:gridCol w:w="2060"/>
                            </w:tblGrid>
                            <w:tr>
                              <w:trPr/>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Change in Underlying Stock</w:t>
                                  </w:r>
                                </w:p>
                              </w:tc>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Return on the Trigger PLUS</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r>
                          </w:tbl>
                          <w:p>
                            <w:pPr>
                              <w:pStyle w:val="TextBody"/>
                              <w:bidi w:val="0"/>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6685" w:type="dxa"/>
                        <w:jc w:val="left"/>
                        <w:tblInd w:w="0" w:type="dxa"/>
                        <w:tblLayout w:type="fixed"/>
                        <w:tblCellMar>
                          <w:top w:w="0" w:type="dxa"/>
                          <w:left w:w="0" w:type="dxa"/>
                          <w:bottom w:w="0" w:type="dxa"/>
                          <w:right w:w="0" w:type="dxa"/>
                        </w:tblCellMar>
                      </w:tblPr>
                      <w:tblGrid>
                        <w:gridCol w:w="2615"/>
                        <w:gridCol w:w="4070"/>
                      </w:tblGrid>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4070" w:type="dxa"/>
                            <w:tcBorders/>
                            <w:shd w:fill="DCEBF4" w:val="clear"/>
                            <w:vAlign w:val="center"/>
                          </w:tcPr>
                          <w:p>
                            <w:pPr>
                              <w:pStyle w:val="TableContents"/>
                              <w:bidi w:val="0"/>
                              <w:spacing w:before="0" w:after="283"/>
                              <w:jc w:val="left"/>
                              <w:rPr>
                                <w:sz w:val="16"/>
                              </w:rPr>
                            </w:pPr>
                            <w:r>
                              <w:rPr>
                                <w:sz w:val="16"/>
                              </w:rPr>
                              <w:t>October 4, 2028</w:t>
                            </w:r>
                          </w:p>
                        </w:tc>
                      </w:tr>
                      <w:tr>
                        <w:trPr/>
                        <w:tc>
                          <w:tcPr>
                            <w:tcW w:w="261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4070" w:type="dxa"/>
                            <w:tcBorders/>
                            <w:vAlign w:val="center"/>
                          </w:tcPr>
                          <w:p>
                            <w:pPr>
                              <w:pStyle w:val="TableContents"/>
                              <w:bidi w:val="0"/>
                              <w:spacing w:before="0" w:after="283"/>
                              <w:jc w:val="left"/>
                              <w:rPr>
                                <w:sz w:val="16"/>
                              </w:rPr>
                            </w:pPr>
                            <w:r>
                              <w:rPr>
                                <w:sz w:val="16"/>
                              </w:rPr>
                              <w:t>46661ML77 / US46661ML775</w:t>
                            </w:r>
                          </w:p>
                        </w:tc>
                      </w:tr>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4070" w:type="dxa"/>
                            <w:tcBorders/>
                            <w:shd w:fill="DCEBF4" w:val="clear"/>
                            <w:vAlign w:val="center"/>
                          </w:tcPr>
                          <w:p>
                            <w:pPr>
                              <w:pStyle w:val="TableContents"/>
                              <w:bidi w:val="0"/>
                              <w:spacing w:before="0" w:after="283"/>
                              <w:jc w:val="left"/>
                              <w:rPr/>
                            </w:pPr>
                            <w:hyperlink r:id="rId4">
                              <w:r>
                                <w:rPr>
                                  <w:rStyle w:val="InternetLink"/>
                                  <w:sz w:val="16"/>
                                </w:rPr>
                                <w:t>http://www.sec.gov/Archives/edgar/data/</w:t>
                                <w:br/>
                                <w:t>19617/000121390026095410/ea0303946-01_424b2.htm</w:t>
                              </w:r>
                            </w:hyperlink>
                          </w:p>
                        </w:tc>
                      </w:tr>
                    </w:tbl>
                    <w:p>
                      <w:pPr>
                        <w:pStyle w:val="TextBody"/>
                        <w:bidi w:val="0"/>
                        <w:spacing w:before="20" w:after="0"/>
                        <w:ind w:left="216"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20" w:after="0"/>
                        <w:ind w:left="216"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20" w:after="0"/>
                        <w:ind w:left="216"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Trigger PLUS is subject to the credit risk of JPMorgan Financial, as issuer of the Trigger PLUS, and the credit risk of JPMorgan Chase &amp; Co., as guarantor of the Trigger PLUS.</w:t>
                      </w:r>
                    </w:p>
                    <w:tbl>
                      <w:tblPr>
                        <w:tblW w:w="6480" w:type="dxa"/>
                        <w:jc w:val="center"/>
                        <w:tblInd w:w="0" w:type="dxa"/>
                        <w:tblLayout w:type="fixed"/>
                        <w:tblCellMar>
                          <w:top w:w="0" w:type="dxa"/>
                          <w:left w:w="0" w:type="dxa"/>
                          <w:bottom w:w="0" w:type="dxa"/>
                          <w:right w:w="0" w:type="dxa"/>
                        </w:tblCellMar>
                      </w:tblPr>
                      <w:tblGrid>
                        <w:gridCol w:w="6480"/>
                      </w:tblGrid>
                      <w:tr>
                        <w:trPr/>
                        <w:tc>
                          <w:tcPr>
                            <w:tcW w:w="6480" w:type="dxa"/>
                            <w:tcBorders/>
                            <w:shd w:fill="DCEBF4" w:val="clear"/>
                            <w:vAlign w:val="center"/>
                          </w:tcPr>
                          <w:p>
                            <w:pPr>
                              <w:pStyle w:val="TableContents"/>
                              <w:bidi w:val="0"/>
                              <w:spacing w:before="0" w:after="283"/>
                              <w:jc w:val="center"/>
                              <w:rPr>
                                <w:rFonts w:ascii="Arial;Helvetica;Sans-Serif" w:hAnsi="Arial;Helvetica;Sans-Serif"/>
                                <w:b/>
                                <w:color w:val="296DC1"/>
                                <w:sz w:val="16"/>
                              </w:rPr>
                            </w:pPr>
                            <w:r>
                              <w:rPr>
                                <w:rFonts w:ascii="Arial;Helvetica;Sans-Serif" w:hAnsi="Arial;Helvetica;Sans-Serif"/>
                                <w:b/>
                                <w:color w:val="296DC1"/>
                                <w:sz w:val="16"/>
                              </w:rPr>
                              <w:t>Auto-Callable Dual Directional Trigger PLUS Payoff Diagram</w:t>
                            </w:r>
                          </w:p>
                        </w:tc>
                      </w:tr>
                      <w:tr>
                        <w:trPr/>
                        <w:tc>
                          <w:tcPr>
                            <w:tcW w:w="6480" w:type="dxa"/>
                            <w:tcBorders/>
                            <w:vAlign w:val="center"/>
                          </w:tcPr>
                          <w:p>
                            <w:pPr>
                              <w:pStyle w:val="TableContents"/>
                              <w:bidi w:val="0"/>
                              <w:spacing w:before="0" w:after="283"/>
                              <w:jc w:val="center"/>
                              <w:rPr/>
                            </w:pPr>
                            <w:r>
                              <w:rPr/>
                              <w:drawing>
                                <wp:inline distT="0" distB="0" distL="0" distR="0">
                                  <wp:extent cx="4095750" cy="2638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095750" cy="26384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120" w:type="dxa"/>
                        <w:jc w:val="center"/>
                        <w:tblInd w:w="0" w:type="dxa"/>
                        <w:tblLayout w:type="fixed"/>
                        <w:tblCellMar>
                          <w:top w:w="0" w:type="dxa"/>
                          <w:left w:w="0" w:type="dxa"/>
                          <w:bottom w:w="0" w:type="dxa"/>
                          <w:right w:w="0" w:type="dxa"/>
                        </w:tblCellMar>
                      </w:tblPr>
                      <w:tblGrid>
                        <w:gridCol w:w="2060"/>
                        <w:gridCol w:w="2060"/>
                      </w:tblGrid>
                      <w:tr>
                        <w:trPr/>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Change in Underlying Stock</w:t>
                            </w:r>
                          </w:p>
                        </w:tc>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Return on the Trigger PLUS</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-40.01%</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0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06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r>
                    </w:tbl>
                    <w:p>
                      <w:pPr>
                        <w:pStyle w:val="TextBody"/>
                        <w:bidi w:val="0"/>
                        <w:spacing w:before="0" w:after="283"/>
                        <w:jc w:val="left"/>
                        <w:rPr/>
                      </w:pPr>
                      <w:r>
                        <w:rPr/>
                        <w:t> </w:t>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MU Auto-Callable Dual Directional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do not pay interest or, if the Trigger PLUS have not been automatically redeemed prior to maturity, guarantee the return of any principal and your investment in the Trigger PLUS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If the Trigger PLUS have not been automatically redeemed prior to maturity, your maximum downside gain on the Trigger PLUS is limited by the trigger level.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are subject to the credit risks of JPMorgan Financial and JPMorgan Chase &amp; Co., and any actual or anticipated changes to our or JPMorgan Chase &amp; Co.’s credit ratings or credit spreads may adversely affect the market value of the Trigger PLUS.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2" w:type="dxa"/>
            <w:tcBorders/>
            <w:vAlign w:val="center"/>
          </w:tcPr>
          <w:p>
            <w:pPr>
              <w:pStyle w:val="TableContents"/>
              <w:bidi w:val="0"/>
              <w:spacing w:before="0" w:after="283"/>
              <w:jc w:val="left"/>
              <w:rPr>
                <w:sz w:val="18"/>
              </w:rPr>
            </w:pPr>
            <w:r>
              <w:rPr>
                <w:sz w:val="18"/>
              </w:rPr>
              <w:t xml:space="preserve">As a finance subsidiary, JPMorgan Financial has no independent activities and has limited assets. </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5"/>
        <w:gridCol w:w="480"/>
        <w:gridCol w:w="9580"/>
      </w:tblGrid>
      <w:tr>
        <w:trPr/>
        <w:tc>
          <w:tcPr>
            <w:tcW w:w="1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80" w:type="dxa"/>
            <w:tcBorders/>
            <w:vAlign w:val="center"/>
          </w:tcPr>
          <w:p>
            <w:pPr>
              <w:pStyle w:val="TableContents"/>
              <w:bidi w:val="0"/>
              <w:spacing w:before="0" w:after="283"/>
              <w:jc w:val="left"/>
              <w:rPr>
                <w:sz w:val="18"/>
              </w:rPr>
            </w:pPr>
            <w:r>
              <w:rPr>
                <w:sz w:val="18"/>
              </w:rPr>
              <w:t xml:space="preserve">Secondary trading may be limited. </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0" w:type="dxa"/>
            <w:tcBorders/>
            <w:vAlign w:val="center"/>
          </w:tcPr>
          <w:p>
            <w:pPr>
              <w:pStyle w:val="TableContents"/>
              <w:bidi w:val="0"/>
              <w:spacing w:before="0" w:after="283"/>
              <w:jc w:val="left"/>
              <w:rPr>
                <w:sz w:val="18"/>
              </w:rPr>
            </w:pPr>
            <w:r>
              <w:rPr>
                <w:sz w:val="18"/>
              </w:rPr>
              <w:t xml:space="preserve">The final terms and </w:t>
            </w:r>
            <w:r>
              <w:rPr>
                <w:rFonts w:ascii="Arial;Helvetica;Sans-Serif" w:hAnsi="Arial;Helvetica;Sans-Serif"/>
                <w:b w:val="false"/>
                <w:sz w:val="18"/>
              </w:rPr>
              <w:t xml:space="preserve">estimated </w:t>
            </w:r>
            <w:r>
              <w:rPr>
                <w:sz w:val="18"/>
              </w:rPr>
              <w:t xml:space="preserve">valuation of the Trigger PLUS will be provided in the pricing supplement. </w:t>
            </w:r>
          </w:p>
        </w:tc>
      </w:tr>
    </w:tbl>
    <w:tbl>
      <w:tblPr>
        <w:tblW w:w="5000" w:type="pct"/>
        <w:jc w:val="left"/>
        <w:tblInd w:w="0" w:type="dxa"/>
        <w:tblLayout w:type="fixed"/>
        <w:tblCellMar>
          <w:top w:w="0" w:type="dxa"/>
          <w:left w:w="0" w:type="dxa"/>
          <w:bottom w:w="0" w:type="dxa"/>
          <w:right w:w="0" w:type="dxa"/>
        </w:tblCellMar>
      </w:tblPr>
      <w:tblGrid>
        <w:gridCol w:w="70"/>
        <w:gridCol w:w="232"/>
        <w:gridCol w:w="9903"/>
      </w:tblGrid>
      <w:tr>
        <w:trPr/>
        <w:tc>
          <w:tcPr>
            <w:tcW w:w="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3" w:type="dxa"/>
            <w:tcBorders/>
            <w:vAlign w:val="center"/>
          </w:tcPr>
          <w:p>
            <w:pPr>
              <w:pStyle w:val="TableContents"/>
              <w:bidi w:val="0"/>
              <w:spacing w:before="0" w:after="283"/>
              <w:jc w:val="left"/>
              <w:rPr>
                <w:sz w:val="18"/>
              </w:rPr>
            </w:pPr>
            <w:r>
              <w:rPr>
                <w:sz w:val="18"/>
              </w:rPr>
              <w:t xml:space="preserve">The tax consequences of an investment in the Trigger PLUS are uncertain. </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3"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PLUS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PLUS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Trigger PLUS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PLUS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63"/>
        <w:gridCol w:w="207"/>
        <w:gridCol w:w="9935"/>
      </w:tblGrid>
      <w:tr>
        <w:trPr/>
        <w:tc>
          <w:tcPr>
            <w:tcW w:w="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5" w:type="dxa"/>
            <w:tcBorders/>
            <w:vAlign w:val="center"/>
          </w:tcPr>
          <w:p>
            <w:pPr>
              <w:pStyle w:val="TableContents"/>
              <w:bidi w:val="0"/>
              <w:spacing w:before="0" w:after="283"/>
              <w:jc w:val="left"/>
              <w:rPr>
                <w:sz w:val="18"/>
              </w:rPr>
            </w:pPr>
            <w:r>
              <w:rPr>
                <w:sz w:val="18"/>
              </w:rPr>
              <w:t>Investing in the Trigger PLUS is not equivalent to investing in the underlying stock.</w:t>
            </w:r>
          </w:p>
        </w:tc>
      </w:tr>
    </w:tbl>
    <w:tbl>
      <w:tblPr>
        <w:tblW w:w="5000" w:type="pct"/>
        <w:jc w:val="left"/>
        <w:tblInd w:w="0" w:type="dxa"/>
        <w:tblLayout w:type="fixed"/>
        <w:tblCellMar>
          <w:top w:w="0" w:type="dxa"/>
          <w:left w:w="0" w:type="dxa"/>
          <w:bottom w:w="0" w:type="dxa"/>
          <w:right w:w="0" w:type="dxa"/>
        </w:tblCellMar>
      </w:tblPr>
      <w:tblGrid>
        <w:gridCol w:w="116"/>
        <w:gridCol w:w="385"/>
        <w:gridCol w:w="9704"/>
      </w:tblGrid>
      <w:tr>
        <w:trPr/>
        <w:tc>
          <w:tcPr>
            <w:tcW w:w="11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704" w:type="dxa"/>
            <w:tcBorders/>
            <w:vAlign w:val="center"/>
          </w:tcPr>
          <w:p>
            <w:pPr>
              <w:pStyle w:val="TableContents"/>
              <w:bidi w:val="0"/>
              <w:spacing w:before="0" w:after="283"/>
              <w:jc w:val="left"/>
              <w:rPr>
                <w:sz w:val="18"/>
              </w:rPr>
            </w:pPr>
            <w:r>
              <w:rPr>
                <w:sz w:val="18"/>
              </w:rPr>
              <w:t>No affiliation with Micron Technology, Inc.</w:t>
            </w:r>
          </w:p>
        </w:tc>
      </w:tr>
    </w:tbl>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6" w:type="dxa"/>
            <w:tcBorders/>
            <w:vAlign w:val="center"/>
          </w:tcPr>
          <w:p>
            <w:pPr>
              <w:pStyle w:val="TableContents"/>
              <w:bidi w:val="0"/>
              <w:spacing w:before="0" w:after="283"/>
              <w:jc w:val="left"/>
              <w:rPr>
                <w:sz w:val="18"/>
              </w:rPr>
            </w:pPr>
            <w:r>
              <w:rPr>
                <w:sz w:val="18"/>
              </w:rPr>
              <w:t>We may engage in business with or involving Micron Technology, Inc. without regard to your interests.</w:t>
            </w:r>
          </w:p>
        </w:tc>
      </w:tr>
    </w:tbl>
    <w:tbl>
      <w:tblPr>
        <w:tblW w:w="6408" w:type="dxa"/>
        <w:jc w:val="left"/>
        <w:tblInd w:w="0" w:type="dxa"/>
        <w:tblLayout w:type="fixed"/>
        <w:tblCellMar>
          <w:top w:w="0" w:type="dxa"/>
          <w:left w:w="0" w:type="dxa"/>
          <w:bottom w:w="0" w:type="dxa"/>
          <w:right w:w="0" w:type="dxa"/>
        </w:tblCellMar>
      </w:tblPr>
      <w:tblGrid>
        <w:gridCol w:w="38"/>
        <w:gridCol w:w="125"/>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6245" w:type="dxa"/>
            <w:tcBorders/>
            <w:vAlign w:val="center"/>
          </w:tcPr>
          <w:p>
            <w:pPr>
              <w:pStyle w:val="TableContents"/>
              <w:bidi w:val="0"/>
              <w:spacing w:before="0" w:after="283"/>
              <w:jc w:val="both"/>
              <w:rPr>
                <w:sz w:val="18"/>
              </w:rPr>
            </w:pPr>
            <w:r>
              <w:rPr>
                <w:sz w:val="18"/>
              </w:rPr>
              <w:t>The anti-dilution protection for the underlying stock is limited and may be discretionary.</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5410/ea0303946-01_424b2.htm" TargetMode="External"/><Relationship Id="rId3" Type="http://schemas.openxmlformats.org/officeDocument/2006/relationships/image" Target="media/image1.jpeg"/><Relationship Id="rId4" Type="http://schemas.openxmlformats.org/officeDocument/2006/relationships/hyperlink" Target="http://www.sec.gov/Archives/edgar/data/19617/000121390026095410/ea0303946-01_424b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1663</Words>
  <Characters>8862</Characters>
  <CharactersWithSpaces>10418</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