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666-01_fwp.htm"/>
      <w:bookmarkStart w:id="1" w:name="ksea030466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EFA Capped Buffered Return Enhanced Notes The following is a summary of the terms of the notes offered by the preliminary pricing supplement highlighted below. Summary of Terms JPMorgan Chase Financial Company LLC JPMorgan Chase &amp; Co. $1,000 iShares ® MSCI EAFE ETF 2.00 [21.50% - 25.50%]* 10.00% (Final Value – Initial Value) / Initial Value The closing price of the Underlying on the Pricing Date The closing price of the Underlying on the Observation Date September 30, 2026 October 2, 2028 October 5, 2028 46661MLP7 Issuer: Guarantor: Minimum Denomination: Underlying: Upside Leverage Factor: Maximum Return: Buffer Amount: Underlying Return: Initial Value: Final Value: Pricing Date: Observation Date: Maturity Date: CUSIP: Preliminary Pricing Supplement: http://sp.jpmorgan.com/document/cusip/46661MLP7/doctype/Product_Termsheet/document.pdf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21.50% or greater than 25.50%. ** Reflects a Maximum Return of 21.50%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$1,215.00 21.50% 100.00% $1,215.00 21.50% 80.00% $1,215.00 21.50% 60.00% $1,215.00 21.50% 40.00% $1,215.00 21.50% 30.00% $1,215.00 21.50% 20.00% $1,215.00 21.50% 10.75% $1,200.00 20.00% 10.00% $1,100.00 10.00% 5.00% $1,000.00 0.00% 0.00% $1,000.00 0.00% - 5.00% $1,000.00 0.00% - 10.00% $950.00 - 5.00% - 15.00% $800.00 - 20.00% - 30.00% $500.00 - 50.00% - 60.00% $100.00 - 90.00% - 100.00%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EFA Capped Buffered Return Enhanced Notes Ɣ Ɣ Ɣ Ɣ Your investment in the notes may result in a loss. Your maximum gain on the notes is limited by the Maximum Return. Your payment at maturity will be determined by the Underlying. If the Underlying declines from its initial price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The notes are subject to currency exchange risk. The Fund is subject to management risk with respect to the iShares ® MSCI EAFE ETF. The anti - dilution protection for the Fund is limited. The performance and market value of the Fund, particularly during periods of market volatility, may not correlate with the performance of the Fund's underlying index as well as the net asset value per share. As a finance subsidiary, JPMorgan Chase Financial Company LLC has no independent activities and has limited assets. Selected Risks Selected Risks (continued) Ɣ Ɣ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1398</Words>
  <Characters>7215</Characters>
  <CharactersWithSpaces>8615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