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186055</wp:posOffset>
            </wp:positionV>
            <wp:extent cx="27774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205740</wp:posOffset>
            </wp:positionV>
            <wp:extent cx="27774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9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Date of Report (date of earliest event reported): May 18,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226060</wp:posOffset>
            </wp:positionV>
            <wp:extent cx="2777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JPMorgan Chase &amp; Co.</w:t>
      </w:r>
    </w:p>
    <w:p>
      <w:pPr>
        <w:spacing w:after="0" w:line="46" w:lineRule="exact"/>
        <w:rPr>
          <w:sz w:val="24"/>
          <w:szCs w:val="24"/>
          <w:color w:val="auto"/>
        </w:rPr>
      </w:pPr>
    </w:p>
    <w:p>
      <w:pPr>
        <w:jc w:val="center"/>
        <w:ind w:right="-19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182880</wp:posOffset>
            </wp:positionV>
            <wp:extent cx="2777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tbl>
      <w:tblPr>
        <w:tblLayout w:type="fixed"/>
        <w:tblInd w:w="2460" w:type="dxa"/>
        <w:tblCellMar>
          <w:top w:w="0" w:type="dxa"/>
          <w:left w:w="0" w:type="dxa"/>
          <w:bottom w:w="0" w:type="dxa"/>
          <w:right w:w="0" w:type="dxa"/>
        </w:tblCellMar>
      </w:tblPr>
      <w:tr>
        <w:trPr>
          <w:trHeight w:val="168"/>
        </w:trPr>
        <w:tc>
          <w:tcPr>
            <w:tcW w:w="2440" w:type="dxa"/>
            <w:vAlign w:val="bottom"/>
          </w:tcPr>
          <w:p>
            <w:pPr>
              <w:jc w:val="center"/>
              <w:ind w:right="17"/>
              <w:spacing w:after="0"/>
              <w:rPr>
                <w:sz w:val="20"/>
                <w:szCs w:val="20"/>
                <w:color w:val="auto"/>
              </w:rPr>
            </w:pPr>
            <w:r>
              <w:rPr>
                <w:rFonts w:ascii="Arial" w:cs="Arial" w:eastAsia="Arial" w:hAnsi="Arial"/>
                <w:sz w:val="13"/>
                <w:szCs w:val="13"/>
                <w:b w:val="1"/>
                <w:bCs w:val="1"/>
                <w:color w:val="auto"/>
                <w:w w:val="98"/>
              </w:rPr>
              <w:t>Delaware</w:t>
            </w:r>
          </w:p>
        </w:tc>
        <w:tc>
          <w:tcPr>
            <w:tcW w:w="2000" w:type="dxa"/>
            <w:vAlign w:val="bottom"/>
          </w:tcPr>
          <w:p>
            <w:pPr>
              <w:jc w:val="right"/>
              <w:ind w:right="857"/>
              <w:spacing w:after="0"/>
              <w:rPr>
                <w:sz w:val="20"/>
                <w:szCs w:val="20"/>
                <w:color w:val="auto"/>
              </w:rPr>
            </w:pPr>
            <w:r>
              <w:rPr>
                <w:rFonts w:ascii="Arial" w:cs="Arial" w:eastAsia="Arial" w:hAnsi="Arial"/>
                <w:sz w:val="13"/>
                <w:szCs w:val="13"/>
                <w:b w:val="1"/>
                <w:bCs w:val="1"/>
                <w:color w:val="auto"/>
              </w:rPr>
              <w:t>1-5805</w:t>
            </w:r>
          </w:p>
        </w:tc>
        <w:tc>
          <w:tcPr>
            <w:tcW w:w="1380" w:type="dxa"/>
            <w:vAlign w:val="bottom"/>
          </w:tcPr>
          <w:p>
            <w:pPr>
              <w:jc w:val="right"/>
              <w:ind w:right="117"/>
              <w:spacing w:after="0"/>
              <w:rPr>
                <w:sz w:val="20"/>
                <w:szCs w:val="20"/>
                <w:color w:val="auto"/>
              </w:rPr>
            </w:pPr>
            <w:r>
              <w:rPr>
                <w:rFonts w:ascii="Arial" w:cs="Arial" w:eastAsia="Arial" w:hAnsi="Arial"/>
                <w:sz w:val="13"/>
                <w:szCs w:val="13"/>
                <w:b w:val="1"/>
                <w:bCs w:val="1"/>
                <w:color w:val="auto"/>
              </w:rPr>
              <w:t>13-2624428</w:t>
            </w:r>
          </w:p>
        </w:tc>
      </w:tr>
      <w:tr>
        <w:trPr>
          <w:trHeight w:val="137"/>
        </w:trPr>
        <w:tc>
          <w:tcPr>
            <w:tcW w:w="2440" w:type="dxa"/>
            <w:vAlign w:val="bottom"/>
          </w:tcPr>
          <w:p>
            <w:pPr>
              <w:jc w:val="center"/>
              <w:ind w:right="17"/>
              <w:spacing w:after="0" w:line="138" w:lineRule="exact"/>
              <w:rPr>
                <w:sz w:val="20"/>
                <w:szCs w:val="20"/>
                <w:color w:val="auto"/>
              </w:rPr>
            </w:pPr>
            <w:r>
              <w:rPr>
                <w:rFonts w:ascii="Arial" w:cs="Arial" w:eastAsia="Arial" w:hAnsi="Arial"/>
                <w:sz w:val="13"/>
                <w:szCs w:val="13"/>
                <w:b w:val="1"/>
                <w:bCs w:val="1"/>
                <w:color w:val="auto"/>
                <w:w w:val="96"/>
              </w:rPr>
              <w:t>(State or other jurisdiction of</w:t>
            </w:r>
          </w:p>
        </w:tc>
        <w:tc>
          <w:tcPr>
            <w:tcW w:w="2000" w:type="dxa"/>
            <w:vAlign w:val="bottom"/>
          </w:tcPr>
          <w:p>
            <w:pPr>
              <w:jc w:val="center"/>
              <w:ind w:right="177"/>
              <w:spacing w:after="0" w:line="138" w:lineRule="exact"/>
              <w:rPr>
                <w:sz w:val="20"/>
                <w:szCs w:val="20"/>
                <w:color w:val="auto"/>
              </w:rPr>
            </w:pPr>
            <w:r>
              <w:rPr>
                <w:rFonts w:ascii="Arial" w:cs="Arial" w:eastAsia="Arial" w:hAnsi="Arial"/>
                <w:sz w:val="13"/>
                <w:szCs w:val="13"/>
                <w:b w:val="1"/>
                <w:bCs w:val="1"/>
                <w:color w:val="auto"/>
                <w:w w:val="96"/>
              </w:rPr>
              <w:t>(Commission File Number)</w:t>
            </w:r>
          </w:p>
        </w:tc>
        <w:tc>
          <w:tcPr>
            <w:tcW w:w="1380" w:type="dxa"/>
            <w:vAlign w:val="bottom"/>
          </w:tcPr>
          <w:p>
            <w:pPr>
              <w:jc w:val="center"/>
              <w:ind w:left="277"/>
              <w:spacing w:after="0" w:line="138" w:lineRule="exact"/>
              <w:rPr>
                <w:sz w:val="20"/>
                <w:szCs w:val="20"/>
                <w:color w:val="auto"/>
              </w:rPr>
            </w:pPr>
            <w:r>
              <w:rPr>
                <w:rFonts w:ascii="Arial" w:cs="Arial" w:eastAsia="Arial" w:hAnsi="Arial"/>
                <w:sz w:val="13"/>
                <w:szCs w:val="13"/>
                <w:b w:val="1"/>
                <w:bCs w:val="1"/>
                <w:color w:val="auto"/>
                <w:w w:val="97"/>
              </w:rPr>
              <w:t>(I.R.S. employer</w:t>
            </w:r>
          </w:p>
        </w:tc>
      </w:tr>
      <w:tr>
        <w:trPr>
          <w:trHeight w:val="168"/>
        </w:trPr>
        <w:tc>
          <w:tcPr>
            <w:tcW w:w="2440" w:type="dxa"/>
            <w:vAlign w:val="bottom"/>
          </w:tcPr>
          <w:p>
            <w:pPr>
              <w:jc w:val="center"/>
              <w:ind w:right="17"/>
              <w:spacing w:after="0"/>
              <w:rPr>
                <w:sz w:val="20"/>
                <w:szCs w:val="20"/>
                <w:color w:val="auto"/>
              </w:rPr>
            </w:pPr>
            <w:r>
              <w:rPr>
                <w:rFonts w:ascii="Arial" w:cs="Arial" w:eastAsia="Arial" w:hAnsi="Arial"/>
                <w:sz w:val="13"/>
                <w:szCs w:val="13"/>
                <w:b w:val="1"/>
                <w:bCs w:val="1"/>
                <w:color w:val="auto"/>
                <w:w w:val="96"/>
              </w:rPr>
              <w:t>incorporation or organization)</w:t>
            </w:r>
          </w:p>
        </w:tc>
        <w:tc>
          <w:tcPr>
            <w:tcW w:w="2000" w:type="dxa"/>
            <w:vAlign w:val="bottom"/>
          </w:tcPr>
          <w:p>
            <w:pPr>
              <w:spacing w:after="0"/>
              <w:rPr>
                <w:sz w:val="14"/>
                <w:szCs w:val="14"/>
                <w:color w:val="auto"/>
              </w:rPr>
            </w:pPr>
          </w:p>
        </w:tc>
        <w:tc>
          <w:tcPr>
            <w:tcW w:w="1380" w:type="dxa"/>
            <w:vAlign w:val="bottom"/>
          </w:tcPr>
          <w:p>
            <w:pPr>
              <w:jc w:val="center"/>
              <w:ind w:left="277"/>
              <w:spacing w:after="0"/>
              <w:rPr>
                <w:sz w:val="20"/>
                <w:szCs w:val="20"/>
                <w:color w:val="auto"/>
              </w:rPr>
            </w:pPr>
            <w:r>
              <w:rPr>
                <w:rFonts w:ascii="Arial" w:cs="Arial" w:eastAsia="Arial" w:hAnsi="Arial"/>
                <w:sz w:val="13"/>
                <w:szCs w:val="13"/>
                <w:b w:val="1"/>
                <w:bCs w:val="1"/>
                <w:color w:val="auto"/>
                <w:w w:val="95"/>
              </w:rPr>
              <w:t>identification no.)</w:t>
            </w:r>
          </w:p>
        </w:tc>
      </w:tr>
      <w:tr>
        <w:trPr>
          <w:trHeight w:val="329"/>
        </w:trPr>
        <w:tc>
          <w:tcPr>
            <w:tcW w:w="2440" w:type="dxa"/>
            <w:vAlign w:val="bottom"/>
          </w:tcPr>
          <w:p>
            <w:pPr>
              <w:jc w:val="center"/>
              <w:ind w:right="17"/>
              <w:spacing w:after="0"/>
              <w:rPr>
                <w:sz w:val="20"/>
                <w:szCs w:val="20"/>
                <w:color w:val="auto"/>
              </w:rPr>
            </w:pPr>
            <w:r>
              <w:rPr>
                <w:rFonts w:ascii="Arial" w:cs="Arial" w:eastAsia="Arial" w:hAnsi="Arial"/>
                <w:sz w:val="13"/>
                <w:szCs w:val="13"/>
                <w:b w:val="1"/>
                <w:bCs w:val="1"/>
                <w:color w:val="auto"/>
                <w:w w:val="96"/>
              </w:rPr>
              <w:t>383 Madison Avenue,</w:t>
            </w:r>
          </w:p>
        </w:tc>
        <w:tc>
          <w:tcPr>
            <w:tcW w:w="20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5"/>
        </w:trPr>
        <w:tc>
          <w:tcPr>
            <w:tcW w:w="2440" w:type="dxa"/>
            <w:vAlign w:val="bottom"/>
          </w:tcPr>
          <w:p>
            <w:pPr>
              <w:ind w:left="560"/>
              <w:spacing w:after="0"/>
              <w:rPr>
                <w:sz w:val="20"/>
                <w:szCs w:val="20"/>
                <w:color w:val="auto"/>
              </w:rPr>
            </w:pPr>
            <w:r>
              <w:rPr>
                <w:rFonts w:ascii="Arial" w:cs="Arial" w:eastAsia="Arial" w:hAnsi="Arial"/>
                <w:sz w:val="13"/>
                <w:szCs w:val="13"/>
                <w:b w:val="1"/>
                <w:bCs w:val="1"/>
                <w:color w:val="auto"/>
              </w:rPr>
              <w:t>New York, New York</w:t>
            </w:r>
          </w:p>
        </w:tc>
        <w:tc>
          <w:tcPr>
            <w:tcW w:w="2000" w:type="dxa"/>
            <w:vAlign w:val="bottom"/>
          </w:tcPr>
          <w:p>
            <w:pPr>
              <w:spacing w:after="0"/>
              <w:rPr>
                <w:sz w:val="15"/>
                <w:szCs w:val="15"/>
                <w:color w:val="auto"/>
              </w:rPr>
            </w:pPr>
          </w:p>
        </w:tc>
        <w:tc>
          <w:tcPr>
            <w:tcW w:w="1380" w:type="dxa"/>
            <w:vAlign w:val="bottom"/>
          </w:tcPr>
          <w:p>
            <w:pPr>
              <w:jc w:val="right"/>
              <w:ind w:right="277"/>
              <w:spacing w:after="0"/>
              <w:rPr>
                <w:sz w:val="20"/>
                <w:szCs w:val="20"/>
                <w:color w:val="auto"/>
              </w:rPr>
            </w:pPr>
            <w:r>
              <w:rPr>
                <w:rFonts w:ascii="Arial" w:cs="Arial" w:eastAsia="Arial" w:hAnsi="Arial"/>
                <w:sz w:val="13"/>
                <w:szCs w:val="13"/>
                <w:b w:val="1"/>
                <w:bCs w:val="1"/>
                <w:color w:val="auto"/>
              </w:rPr>
              <w:t>10179</w:t>
            </w:r>
          </w:p>
        </w:tc>
      </w:tr>
      <w:tr>
        <w:trPr>
          <w:trHeight w:val="216"/>
        </w:trPr>
        <w:tc>
          <w:tcPr>
            <w:tcW w:w="2440" w:type="dxa"/>
            <w:vAlign w:val="bottom"/>
          </w:tcPr>
          <w:p>
            <w:pPr>
              <w:jc w:val="center"/>
              <w:ind w:right="17"/>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2000" w:type="dxa"/>
            <w:vAlign w:val="bottom"/>
          </w:tcPr>
          <w:p>
            <w:pPr>
              <w:spacing w:after="0"/>
              <w:rPr>
                <w:sz w:val="18"/>
                <w:szCs w:val="18"/>
                <w:color w:val="auto"/>
              </w:rPr>
            </w:pPr>
          </w:p>
        </w:tc>
        <w:tc>
          <w:tcPr>
            <w:tcW w:w="1380" w:type="dxa"/>
            <w:vAlign w:val="bottom"/>
          </w:tcPr>
          <w:p>
            <w:pPr>
              <w:jc w:val="center"/>
              <w:ind w:left="297"/>
              <w:spacing w:after="0"/>
              <w:rPr>
                <w:sz w:val="20"/>
                <w:szCs w:val="20"/>
                <w:color w:val="auto"/>
              </w:rPr>
            </w:pPr>
            <w:r>
              <w:rPr>
                <w:rFonts w:ascii="Arial" w:cs="Arial" w:eastAsia="Arial" w:hAnsi="Arial"/>
                <w:sz w:val="13"/>
                <w:szCs w:val="13"/>
                <w:b w:val="1"/>
                <w:bCs w:val="1"/>
                <w:color w:val="auto"/>
                <w:w w:val="96"/>
              </w:rPr>
              <w:t>(Zip Code)</w:t>
            </w:r>
          </w:p>
        </w:tc>
      </w:tr>
    </w:tbl>
    <w:p>
      <w:pPr>
        <w:spacing w:after="0" w:line="15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Registrant’s telephone number, including area code: (212) 270-6000</w:t>
      </w:r>
    </w:p>
    <w:p>
      <w:pPr>
        <w:spacing w:after="0" w:line="10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Check the appropriate box below if the Form 8-K filing is intended to simultaneously satisfy the filing obligation of the registrant under any of the following provisions:</w:t>
      </w:r>
    </w:p>
    <w:p>
      <w:pPr>
        <w:spacing w:after="0" w:line="134"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Written communications pursuant to Rule 425 under the Securities Act (17 CFR 230.425)</w:t>
      </w:r>
    </w:p>
    <w:p>
      <w:pPr>
        <w:spacing w:after="0" w:line="134" w:lineRule="exact"/>
        <w:rPr>
          <w:rFonts w:ascii="MS PGothic" w:cs="MS PGothic" w:eastAsia="MS PGothic" w:hAnsi="MS PGothic"/>
          <w:sz w:val="13"/>
          <w:szCs w:val="13"/>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Soliciting material pursuant to Rule 14a-12 under the Exchange Act (17 CFR 240.14a-12)</w:t>
      </w:r>
    </w:p>
    <w:p>
      <w:pPr>
        <w:spacing w:after="0" w:line="242" w:lineRule="exact"/>
        <w:rPr>
          <w:rFonts w:ascii="MS PGothic" w:cs="MS PGothic" w:eastAsia="MS PGothic" w:hAnsi="MS PGothic"/>
          <w:sz w:val="13"/>
          <w:szCs w:val="13"/>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Pre-commencement communications pursuant to Rule 14d-2(b) under the Exchange Act (17 CFR 240.14d-2(b))</w:t>
      </w:r>
    </w:p>
    <w:p>
      <w:pPr>
        <w:spacing w:after="0" w:line="134" w:lineRule="exact"/>
        <w:rPr>
          <w:rFonts w:ascii="MS PGothic" w:cs="MS PGothic" w:eastAsia="MS PGothic" w:hAnsi="MS PGothic"/>
          <w:sz w:val="13"/>
          <w:szCs w:val="13"/>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Pre-commencement communications pursuant to Rule 13e-4(c) under the Exchange Act (17 CFR 240.13e-4(c))</w:t>
      </w:r>
    </w:p>
    <w:p>
      <w:pPr>
        <w:spacing w:after="0" w:line="170"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21" w:lineRule="exact"/>
        <w:rPr>
          <w:sz w:val="24"/>
          <w:szCs w:val="24"/>
          <w:color w:val="auto"/>
        </w:rPr>
      </w:pPr>
    </w:p>
    <w:tbl>
      <w:tblPr>
        <w:tblLayout w:type="fixed"/>
        <w:tblInd w:w="100" w:type="dxa"/>
        <w:tblCellMar>
          <w:top w:w="0" w:type="dxa"/>
          <w:left w:w="0" w:type="dxa"/>
          <w:bottom w:w="0" w:type="dxa"/>
          <w:right w:w="0" w:type="dxa"/>
        </w:tblCellMar>
      </w:tblPr>
      <w:tr>
        <w:trPr>
          <w:trHeight w:val="149"/>
        </w:trPr>
        <w:tc>
          <w:tcPr>
            <w:tcW w:w="10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Title of each class</w:t>
            </w:r>
          </w:p>
        </w:tc>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Trading Symbol(s)</w:t>
            </w: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6"/>
              </w:rPr>
              <w:t>Name of each exchange on which registered</w:t>
            </w:r>
          </w:p>
        </w:tc>
      </w:tr>
      <w:tr>
        <w:trPr>
          <w:trHeight w:val="180"/>
        </w:trPr>
        <w:tc>
          <w:tcPr>
            <w:tcW w:w="5860" w:type="dxa"/>
            <w:vAlign w:val="bottom"/>
            <w:gridSpan w:val="2"/>
          </w:tcPr>
          <w:p>
            <w:pPr>
              <w:spacing w:after="0"/>
              <w:rPr>
                <w:sz w:val="20"/>
                <w:szCs w:val="20"/>
                <w:color w:val="auto"/>
              </w:rPr>
            </w:pPr>
            <w:r>
              <w:rPr>
                <w:rFonts w:ascii="Arial" w:cs="Arial" w:eastAsia="Arial" w:hAnsi="Arial"/>
                <w:sz w:val="13"/>
                <w:szCs w:val="13"/>
                <w:b w:val="1"/>
                <w:bCs w:val="1"/>
                <w:color w:val="auto"/>
              </w:rPr>
              <w:t>Common stock</w:t>
            </w:r>
          </w:p>
        </w:tc>
        <w:tc>
          <w:tcPr>
            <w:tcW w:w="1740" w:type="dxa"/>
            <w:vAlign w:val="bottom"/>
            <w:gridSpan w:val="3"/>
          </w:tcPr>
          <w:p>
            <w:pPr>
              <w:ind w:left="100"/>
              <w:spacing w:after="0"/>
              <w:rPr>
                <w:sz w:val="20"/>
                <w:szCs w:val="20"/>
                <w:color w:val="auto"/>
              </w:rPr>
            </w:pPr>
            <w:r>
              <w:rPr>
                <w:rFonts w:ascii="Arial" w:cs="Arial" w:eastAsia="Arial" w:hAnsi="Arial"/>
                <w:sz w:val="13"/>
                <w:szCs w:val="13"/>
                <w:b w:val="1"/>
                <w:bCs w:val="1"/>
                <w:color w:val="auto"/>
              </w:rPr>
              <w:t>JPM</w:t>
            </w:r>
          </w:p>
        </w:tc>
        <w:tc>
          <w:tcPr>
            <w:tcW w:w="3200" w:type="dxa"/>
            <w:vAlign w:val="bottom"/>
            <w:gridSpan w:val="2"/>
          </w:tcPr>
          <w:p>
            <w:pPr>
              <w:ind w:left="540"/>
              <w:spacing w:after="0"/>
              <w:rPr>
                <w:sz w:val="20"/>
                <w:szCs w:val="20"/>
                <w:color w:val="auto"/>
              </w:rPr>
            </w:pPr>
            <w:r>
              <w:rPr>
                <w:rFonts w:ascii="Arial" w:cs="Arial" w:eastAsia="Arial" w:hAnsi="Arial"/>
                <w:sz w:val="13"/>
                <w:szCs w:val="13"/>
                <w:b w:val="1"/>
                <w:bCs w:val="1"/>
                <w:color w:val="auto"/>
              </w:rPr>
              <w:t>The New York Stock Exchange</w:t>
            </w:r>
          </w:p>
        </w:tc>
      </w:tr>
      <w:tr>
        <w:trPr>
          <w:trHeight w:val="138"/>
        </w:trPr>
        <w:tc>
          <w:tcPr>
            <w:tcW w:w="586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6.10% Non-</w:t>
            </w:r>
          </w:p>
        </w:tc>
        <w:tc>
          <w:tcPr>
            <w:tcW w:w="1740" w:type="dxa"/>
            <w:vAlign w:val="bottom"/>
            <w:gridSpan w:val="3"/>
          </w:tcPr>
          <w:p>
            <w:pPr>
              <w:ind w:left="100"/>
              <w:spacing w:after="0" w:line="138" w:lineRule="exact"/>
              <w:rPr>
                <w:sz w:val="20"/>
                <w:szCs w:val="20"/>
                <w:color w:val="auto"/>
              </w:rPr>
            </w:pPr>
            <w:r>
              <w:rPr>
                <w:rFonts w:ascii="Arial" w:cs="Arial" w:eastAsia="Arial" w:hAnsi="Arial"/>
                <w:sz w:val="13"/>
                <w:szCs w:val="13"/>
                <w:b w:val="1"/>
                <w:bCs w:val="1"/>
                <w:color w:val="auto"/>
              </w:rPr>
              <w:t>JPM PR G</w:t>
            </w:r>
          </w:p>
        </w:tc>
        <w:tc>
          <w:tcPr>
            <w:tcW w:w="3200" w:type="dxa"/>
            <w:vAlign w:val="bottom"/>
            <w:gridSpan w:val="2"/>
          </w:tcPr>
          <w:p>
            <w:pPr>
              <w:ind w:left="540"/>
              <w:spacing w:after="0" w:line="138" w:lineRule="exact"/>
              <w:rPr>
                <w:sz w:val="20"/>
                <w:szCs w:val="20"/>
                <w:color w:val="auto"/>
              </w:rPr>
            </w:pPr>
            <w:r>
              <w:rPr>
                <w:rFonts w:ascii="Arial" w:cs="Arial" w:eastAsia="Arial" w:hAnsi="Arial"/>
                <w:sz w:val="13"/>
                <w:szCs w:val="13"/>
                <w:b w:val="1"/>
                <w:bCs w:val="1"/>
                <w:color w:val="auto"/>
              </w:rPr>
              <w:t>The New York Stock Exchange</w:t>
            </w:r>
          </w:p>
        </w:tc>
      </w:tr>
      <w:tr>
        <w:trPr>
          <w:trHeight w:val="167"/>
        </w:trPr>
        <w:tc>
          <w:tcPr>
            <w:tcW w:w="586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AA</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0"/>
        </w:trPr>
        <w:tc>
          <w:tcPr>
            <w:tcW w:w="5860" w:type="dxa"/>
            <w:vAlign w:val="bottom"/>
            <w:gridSpan w:val="2"/>
          </w:tcPr>
          <w:p>
            <w:pPr>
              <w:spacing w:after="0" w:line="130"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6.15% Non-</w:t>
            </w:r>
          </w:p>
        </w:tc>
        <w:tc>
          <w:tcPr>
            <w:tcW w:w="1740" w:type="dxa"/>
            <w:vAlign w:val="bottom"/>
            <w:gridSpan w:val="3"/>
          </w:tcPr>
          <w:p>
            <w:pPr>
              <w:ind w:left="100"/>
              <w:spacing w:after="0" w:line="130" w:lineRule="exact"/>
              <w:rPr>
                <w:sz w:val="20"/>
                <w:szCs w:val="20"/>
                <w:color w:val="auto"/>
              </w:rPr>
            </w:pPr>
            <w:r>
              <w:rPr>
                <w:rFonts w:ascii="Arial" w:cs="Arial" w:eastAsia="Arial" w:hAnsi="Arial"/>
                <w:sz w:val="13"/>
                <w:szCs w:val="13"/>
                <w:b w:val="1"/>
                <w:bCs w:val="1"/>
                <w:color w:val="auto"/>
              </w:rPr>
              <w:t>JPM PR H</w:t>
            </w:r>
          </w:p>
        </w:tc>
        <w:tc>
          <w:tcPr>
            <w:tcW w:w="3200" w:type="dxa"/>
            <w:vAlign w:val="bottom"/>
            <w:gridSpan w:val="2"/>
          </w:tcPr>
          <w:p>
            <w:pPr>
              <w:ind w:left="540"/>
              <w:spacing w:after="0" w:line="130" w:lineRule="exact"/>
              <w:rPr>
                <w:sz w:val="20"/>
                <w:szCs w:val="20"/>
                <w:color w:val="auto"/>
              </w:rPr>
            </w:pPr>
            <w:r>
              <w:rPr>
                <w:rFonts w:ascii="Arial" w:cs="Arial" w:eastAsia="Arial" w:hAnsi="Arial"/>
                <w:sz w:val="13"/>
                <w:szCs w:val="13"/>
                <w:b w:val="1"/>
                <w:bCs w:val="1"/>
                <w:color w:val="auto"/>
              </w:rPr>
              <w:t>The New York Stock Exchange</w:t>
            </w:r>
          </w:p>
        </w:tc>
      </w:tr>
      <w:tr>
        <w:trPr>
          <w:trHeight w:val="167"/>
        </w:trPr>
        <w:tc>
          <w:tcPr>
            <w:tcW w:w="586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BB</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0"/>
        </w:trPr>
        <w:tc>
          <w:tcPr>
            <w:tcW w:w="5860" w:type="dxa"/>
            <w:vAlign w:val="bottom"/>
            <w:gridSpan w:val="2"/>
          </w:tcPr>
          <w:p>
            <w:pPr>
              <w:spacing w:after="0" w:line="130"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5.75% Non-</w:t>
            </w:r>
          </w:p>
        </w:tc>
        <w:tc>
          <w:tcPr>
            <w:tcW w:w="1740" w:type="dxa"/>
            <w:vAlign w:val="bottom"/>
            <w:gridSpan w:val="3"/>
          </w:tcPr>
          <w:p>
            <w:pPr>
              <w:ind w:left="100"/>
              <w:spacing w:after="0" w:line="130" w:lineRule="exact"/>
              <w:rPr>
                <w:sz w:val="20"/>
                <w:szCs w:val="20"/>
                <w:color w:val="auto"/>
              </w:rPr>
            </w:pPr>
            <w:r>
              <w:rPr>
                <w:rFonts w:ascii="Arial" w:cs="Arial" w:eastAsia="Arial" w:hAnsi="Arial"/>
                <w:sz w:val="13"/>
                <w:szCs w:val="13"/>
                <w:b w:val="1"/>
                <w:bCs w:val="1"/>
                <w:color w:val="auto"/>
              </w:rPr>
              <w:t>JPM PR D</w:t>
            </w:r>
          </w:p>
        </w:tc>
        <w:tc>
          <w:tcPr>
            <w:tcW w:w="3200" w:type="dxa"/>
            <w:vAlign w:val="bottom"/>
            <w:gridSpan w:val="2"/>
          </w:tcPr>
          <w:p>
            <w:pPr>
              <w:ind w:left="540"/>
              <w:spacing w:after="0" w:line="130" w:lineRule="exact"/>
              <w:rPr>
                <w:sz w:val="20"/>
                <w:szCs w:val="20"/>
                <w:color w:val="auto"/>
              </w:rPr>
            </w:pPr>
            <w:r>
              <w:rPr>
                <w:rFonts w:ascii="Arial" w:cs="Arial" w:eastAsia="Arial" w:hAnsi="Arial"/>
                <w:sz w:val="13"/>
                <w:szCs w:val="13"/>
                <w:b w:val="1"/>
                <w:bCs w:val="1"/>
                <w:color w:val="auto"/>
              </w:rPr>
              <w:t>The New York Stock Exchange</w:t>
            </w:r>
          </w:p>
        </w:tc>
      </w:tr>
      <w:tr>
        <w:trPr>
          <w:trHeight w:val="167"/>
        </w:trPr>
        <w:tc>
          <w:tcPr>
            <w:tcW w:w="586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DD</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0"/>
        </w:trPr>
        <w:tc>
          <w:tcPr>
            <w:tcW w:w="5860" w:type="dxa"/>
            <w:vAlign w:val="bottom"/>
            <w:gridSpan w:val="2"/>
          </w:tcPr>
          <w:p>
            <w:pPr>
              <w:spacing w:after="0" w:line="130"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6.00% Non-</w:t>
            </w:r>
          </w:p>
        </w:tc>
        <w:tc>
          <w:tcPr>
            <w:tcW w:w="1740" w:type="dxa"/>
            <w:vAlign w:val="bottom"/>
            <w:gridSpan w:val="3"/>
          </w:tcPr>
          <w:p>
            <w:pPr>
              <w:ind w:left="100"/>
              <w:spacing w:after="0" w:line="130" w:lineRule="exact"/>
              <w:rPr>
                <w:sz w:val="20"/>
                <w:szCs w:val="20"/>
                <w:color w:val="auto"/>
              </w:rPr>
            </w:pPr>
            <w:r>
              <w:rPr>
                <w:rFonts w:ascii="Arial" w:cs="Arial" w:eastAsia="Arial" w:hAnsi="Arial"/>
                <w:sz w:val="13"/>
                <w:szCs w:val="13"/>
                <w:b w:val="1"/>
                <w:bCs w:val="1"/>
                <w:color w:val="auto"/>
              </w:rPr>
              <w:t>JPM PR C</w:t>
            </w:r>
          </w:p>
        </w:tc>
        <w:tc>
          <w:tcPr>
            <w:tcW w:w="3200" w:type="dxa"/>
            <w:vAlign w:val="bottom"/>
            <w:gridSpan w:val="2"/>
          </w:tcPr>
          <w:p>
            <w:pPr>
              <w:ind w:left="540"/>
              <w:spacing w:after="0" w:line="130" w:lineRule="exact"/>
              <w:rPr>
                <w:sz w:val="20"/>
                <w:szCs w:val="20"/>
                <w:color w:val="auto"/>
              </w:rPr>
            </w:pPr>
            <w:r>
              <w:rPr>
                <w:rFonts w:ascii="Arial" w:cs="Arial" w:eastAsia="Arial" w:hAnsi="Arial"/>
                <w:sz w:val="13"/>
                <w:szCs w:val="13"/>
                <w:b w:val="1"/>
                <w:bCs w:val="1"/>
                <w:color w:val="auto"/>
              </w:rPr>
              <w:t>The New York Stock Exchange</w:t>
            </w:r>
          </w:p>
        </w:tc>
      </w:tr>
      <w:tr>
        <w:trPr>
          <w:trHeight w:val="167"/>
        </w:trPr>
        <w:tc>
          <w:tcPr>
            <w:tcW w:w="586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EE</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0"/>
        </w:trPr>
        <w:tc>
          <w:tcPr>
            <w:tcW w:w="5860" w:type="dxa"/>
            <w:vAlign w:val="bottom"/>
            <w:gridSpan w:val="2"/>
          </w:tcPr>
          <w:p>
            <w:pPr>
              <w:spacing w:after="0" w:line="130"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4.75% Non-</w:t>
            </w:r>
          </w:p>
        </w:tc>
        <w:tc>
          <w:tcPr>
            <w:tcW w:w="1740" w:type="dxa"/>
            <w:vAlign w:val="bottom"/>
            <w:gridSpan w:val="3"/>
          </w:tcPr>
          <w:p>
            <w:pPr>
              <w:ind w:left="100"/>
              <w:spacing w:after="0" w:line="130" w:lineRule="exact"/>
              <w:rPr>
                <w:sz w:val="20"/>
                <w:szCs w:val="20"/>
                <w:color w:val="auto"/>
              </w:rPr>
            </w:pPr>
            <w:r>
              <w:rPr>
                <w:rFonts w:ascii="Arial" w:cs="Arial" w:eastAsia="Arial" w:hAnsi="Arial"/>
                <w:sz w:val="13"/>
                <w:szCs w:val="13"/>
                <w:b w:val="1"/>
                <w:bCs w:val="1"/>
                <w:color w:val="auto"/>
              </w:rPr>
              <w:t>JPM PR J</w:t>
            </w:r>
          </w:p>
        </w:tc>
        <w:tc>
          <w:tcPr>
            <w:tcW w:w="3200" w:type="dxa"/>
            <w:vAlign w:val="bottom"/>
            <w:gridSpan w:val="2"/>
          </w:tcPr>
          <w:p>
            <w:pPr>
              <w:ind w:left="540"/>
              <w:spacing w:after="0" w:line="130" w:lineRule="exact"/>
              <w:rPr>
                <w:sz w:val="20"/>
                <w:szCs w:val="20"/>
                <w:color w:val="auto"/>
              </w:rPr>
            </w:pPr>
            <w:r>
              <w:rPr>
                <w:rFonts w:ascii="Arial" w:cs="Arial" w:eastAsia="Arial" w:hAnsi="Arial"/>
                <w:sz w:val="13"/>
                <w:szCs w:val="13"/>
                <w:b w:val="1"/>
                <w:bCs w:val="1"/>
                <w:color w:val="auto"/>
              </w:rPr>
              <w:t>The New York Stock Exchange</w:t>
            </w:r>
          </w:p>
        </w:tc>
      </w:tr>
      <w:tr>
        <w:trPr>
          <w:trHeight w:val="167"/>
        </w:trPr>
        <w:tc>
          <w:tcPr>
            <w:tcW w:w="586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GG</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0"/>
        </w:trPr>
        <w:tc>
          <w:tcPr>
            <w:tcW w:w="5860" w:type="dxa"/>
            <w:vAlign w:val="bottom"/>
            <w:gridSpan w:val="2"/>
          </w:tcPr>
          <w:p>
            <w:pPr>
              <w:spacing w:after="0" w:line="130"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4.55% Non-</w:t>
            </w:r>
          </w:p>
        </w:tc>
        <w:tc>
          <w:tcPr>
            <w:tcW w:w="1740" w:type="dxa"/>
            <w:vAlign w:val="bottom"/>
            <w:gridSpan w:val="3"/>
          </w:tcPr>
          <w:p>
            <w:pPr>
              <w:ind w:left="100"/>
              <w:spacing w:after="0" w:line="130" w:lineRule="exact"/>
              <w:rPr>
                <w:sz w:val="20"/>
                <w:szCs w:val="20"/>
                <w:color w:val="auto"/>
              </w:rPr>
            </w:pPr>
            <w:r>
              <w:rPr>
                <w:rFonts w:ascii="Arial" w:cs="Arial" w:eastAsia="Arial" w:hAnsi="Arial"/>
                <w:sz w:val="13"/>
                <w:szCs w:val="13"/>
                <w:b w:val="1"/>
                <w:bCs w:val="1"/>
                <w:color w:val="auto"/>
              </w:rPr>
              <w:t>JPM PR K</w:t>
            </w:r>
          </w:p>
        </w:tc>
        <w:tc>
          <w:tcPr>
            <w:tcW w:w="3200" w:type="dxa"/>
            <w:vAlign w:val="bottom"/>
            <w:gridSpan w:val="2"/>
          </w:tcPr>
          <w:p>
            <w:pPr>
              <w:ind w:left="540"/>
              <w:spacing w:after="0" w:line="130" w:lineRule="exact"/>
              <w:rPr>
                <w:sz w:val="20"/>
                <w:szCs w:val="20"/>
                <w:color w:val="auto"/>
              </w:rPr>
            </w:pPr>
            <w:r>
              <w:rPr>
                <w:rFonts w:ascii="Arial" w:cs="Arial" w:eastAsia="Arial" w:hAnsi="Arial"/>
                <w:sz w:val="13"/>
                <w:szCs w:val="13"/>
                <w:b w:val="1"/>
                <w:bCs w:val="1"/>
                <w:color w:val="auto"/>
              </w:rPr>
              <w:t>The New York Stock Exchange</w:t>
            </w:r>
          </w:p>
        </w:tc>
      </w:tr>
      <w:tr>
        <w:trPr>
          <w:trHeight w:val="167"/>
        </w:trPr>
        <w:tc>
          <w:tcPr>
            <w:tcW w:w="5860" w:type="dxa"/>
            <w:vAlign w:val="bottom"/>
            <w:gridSpan w:val="2"/>
          </w:tcPr>
          <w:p>
            <w:pPr>
              <w:spacing w:after="0"/>
              <w:rPr>
                <w:sz w:val="20"/>
                <w:szCs w:val="20"/>
                <w:color w:val="auto"/>
              </w:rPr>
            </w:pPr>
            <w:r>
              <w:rPr>
                <w:rFonts w:ascii="Arial" w:cs="Arial" w:eastAsia="Arial" w:hAnsi="Arial"/>
                <w:sz w:val="13"/>
                <w:szCs w:val="13"/>
                <w:b w:val="1"/>
                <w:bCs w:val="1"/>
                <w:color w:val="auto"/>
              </w:rPr>
              <w:t>Cumulative Preferred Stock, Series JJ</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68"/>
        </w:trPr>
        <w:tc>
          <w:tcPr>
            <w:tcW w:w="5860" w:type="dxa"/>
            <w:vAlign w:val="bottom"/>
            <w:gridSpan w:val="2"/>
          </w:tcPr>
          <w:p>
            <w:pPr>
              <w:spacing w:after="0"/>
              <w:rPr>
                <w:sz w:val="20"/>
                <w:szCs w:val="20"/>
                <w:color w:val="auto"/>
              </w:rPr>
            </w:pPr>
            <w:r>
              <w:rPr>
                <w:rFonts w:ascii="Arial" w:cs="Arial" w:eastAsia="Arial" w:hAnsi="Arial"/>
                <w:sz w:val="13"/>
                <w:szCs w:val="13"/>
                <w:b w:val="1"/>
                <w:bCs w:val="1"/>
                <w:color w:val="auto"/>
              </w:rPr>
              <w:t>Alerian MLP Index ETNs due May 24, 2024</w:t>
            </w:r>
          </w:p>
        </w:tc>
        <w:tc>
          <w:tcPr>
            <w:tcW w:w="1740" w:type="dxa"/>
            <w:vAlign w:val="bottom"/>
            <w:gridSpan w:val="3"/>
          </w:tcPr>
          <w:p>
            <w:pPr>
              <w:ind w:left="100"/>
              <w:spacing w:after="0"/>
              <w:rPr>
                <w:sz w:val="20"/>
                <w:szCs w:val="20"/>
                <w:color w:val="auto"/>
              </w:rPr>
            </w:pPr>
            <w:r>
              <w:rPr>
                <w:rFonts w:ascii="Arial" w:cs="Arial" w:eastAsia="Arial" w:hAnsi="Arial"/>
                <w:sz w:val="13"/>
                <w:szCs w:val="13"/>
                <w:b w:val="1"/>
                <w:bCs w:val="1"/>
                <w:color w:val="auto"/>
              </w:rPr>
              <w:t>AMJ</w:t>
            </w:r>
          </w:p>
        </w:tc>
        <w:tc>
          <w:tcPr>
            <w:tcW w:w="3200" w:type="dxa"/>
            <w:vAlign w:val="bottom"/>
            <w:gridSpan w:val="2"/>
          </w:tcPr>
          <w:p>
            <w:pPr>
              <w:ind w:left="540"/>
              <w:spacing w:after="0"/>
              <w:rPr>
                <w:sz w:val="20"/>
                <w:szCs w:val="20"/>
                <w:color w:val="auto"/>
              </w:rPr>
            </w:pPr>
            <w:r>
              <w:rPr>
                <w:rFonts w:ascii="Arial" w:cs="Arial" w:eastAsia="Arial" w:hAnsi="Arial"/>
                <w:sz w:val="13"/>
                <w:szCs w:val="13"/>
                <w:b w:val="1"/>
                <w:bCs w:val="1"/>
                <w:color w:val="auto"/>
              </w:rPr>
              <w:t>NYSE Arca, Inc.</w:t>
            </w:r>
          </w:p>
        </w:tc>
      </w:tr>
      <w:tr>
        <w:trPr>
          <w:trHeight w:val="138"/>
        </w:trPr>
        <w:tc>
          <w:tcPr>
            <w:tcW w:w="586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w w:val="98"/>
              </w:rPr>
              <w:t>Guarantee of Callable Step-Up Fixed Rate Notes due April 26, 2028 of JPMorgan Chase Financial</w:t>
            </w:r>
          </w:p>
        </w:tc>
        <w:tc>
          <w:tcPr>
            <w:tcW w:w="1740" w:type="dxa"/>
            <w:vAlign w:val="bottom"/>
            <w:gridSpan w:val="3"/>
          </w:tcPr>
          <w:p>
            <w:pPr>
              <w:ind w:left="100"/>
              <w:spacing w:after="0" w:line="138" w:lineRule="exact"/>
              <w:rPr>
                <w:sz w:val="20"/>
                <w:szCs w:val="20"/>
                <w:color w:val="auto"/>
              </w:rPr>
            </w:pPr>
            <w:r>
              <w:rPr>
                <w:rFonts w:ascii="Arial" w:cs="Arial" w:eastAsia="Arial" w:hAnsi="Arial"/>
                <w:sz w:val="13"/>
                <w:szCs w:val="13"/>
                <w:b w:val="1"/>
                <w:bCs w:val="1"/>
                <w:color w:val="auto"/>
              </w:rPr>
              <w:t>JPM/28</w:t>
            </w:r>
          </w:p>
        </w:tc>
        <w:tc>
          <w:tcPr>
            <w:tcW w:w="3200" w:type="dxa"/>
            <w:vAlign w:val="bottom"/>
            <w:gridSpan w:val="2"/>
          </w:tcPr>
          <w:p>
            <w:pPr>
              <w:ind w:left="540"/>
              <w:spacing w:after="0" w:line="138" w:lineRule="exact"/>
              <w:rPr>
                <w:sz w:val="20"/>
                <w:szCs w:val="20"/>
                <w:color w:val="auto"/>
              </w:rPr>
            </w:pPr>
            <w:r>
              <w:rPr>
                <w:rFonts w:ascii="Arial" w:cs="Arial" w:eastAsia="Arial" w:hAnsi="Arial"/>
                <w:sz w:val="13"/>
                <w:szCs w:val="13"/>
                <w:b w:val="1"/>
                <w:bCs w:val="1"/>
                <w:color w:val="auto"/>
              </w:rPr>
              <w:t>The New York Stock Exchange</w:t>
            </w:r>
          </w:p>
        </w:tc>
      </w:tr>
      <w:tr>
        <w:trPr>
          <w:trHeight w:val="168"/>
        </w:trPr>
        <w:tc>
          <w:tcPr>
            <w:tcW w:w="5860" w:type="dxa"/>
            <w:vAlign w:val="bottom"/>
            <w:gridSpan w:val="2"/>
          </w:tcPr>
          <w:p>
            <w:pPr>
              <w:ind w:left="80"/>
              <w:spacing w:after="0"/>
              <w:rPr>
                <w:sz w:val="20"/>
                <w:szCs w:val="20"/>
                <w:color w:val="auto"/>
              </w:rPr>
            </w:pPr>
            <w:r>
              <w:rPr>
                <w:rFonts w:ascii="Arial" w:cs="Arial" w:eastAsia="Arial" w:hAnsi="Arial"/>
                <w:sz w:val="13"/>
                <w:szCs w:val="13"/>
                <w:b w:val="1"/>
                <w:bCs w:val="1"/>
                <w:color w:val="auto"/>
              </w:rPr>
              <w:t>Company LLC</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bl>
    <w:p>
      <w:pPr>
        <w:spacing w:after="0" w:line="147" w:lineRule="exact"/>
        <w:rPr>
          <w:sz w:val="24"/>
          <w:szCs w:val="24"/>
          <w:color w:val="auto"/>
        </w:rPr>
      </w:pPr>
    </w:p>
    <w:p>
      <w:pPr>
        <w:spacing w:after="0" w:line="253"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92" w:lineRule="exact"/>
        <w:rPr>
          <w:sz w:val="24"/>
          <w:szCs w:val="24"/>
          <w:color w:val="auto"/>
        </w:rPr>
      </w:pPr>
    </w:p>
    <w:p>
      <w:pPr>
        <w:ind w:right="12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525145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94" w:right="5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139" w:lineRule="exact"/>
        <w:rPr>
          <w:sz w:val="20"/>
          <w:szCs w:val="20"/>
          <w:color w:val="auto"/>
        </w:rPr>
      </w:pPr>
    </w:p>
    <w:p>
      <w:pPr>
        <w:ind w:left="660" w:right="20" w:hanging="4"/>
        <w:spacing w:after="0" w:line="261" w:lineRule="auto"/>
        <w:tabs>
          <w:tab w:leader="none" w:pos="93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Registrant held its Annual Meeting of Shareholders on Tuesday, May 18, 2021; 2,592,392,087 shares were represented in person or by proxy, or 85.49% of the total shares outstanding.</w:t>
      </w:r>
    </w:p>
    <w:p>
      <w:pPr>
        <w:spacing w:after="0" w:line="89" w:lineRule="exact"/>
        <w:rPr>
          <w:rFonts w:ascii="Arial" w:cs="Arial" w:eastAsia="Arial" w:hAnsi="Arial"/>
          <w:sz w:val="18"/>
          <w:szCs w:val="18"/>
          <w:color w:val="auto"/>
        </w:rPr>
      </w:pPr>
    </w:p>
    <w:p>
      <w:pPr>
        <w:ind w:left="920" w:hanging="264"/>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results of the shareholder voting on the proposals presented were as follows: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PROPOSALS</w:t>
      </w:r>
    </w:p>
    <w:p>
      <w:pPr>
        <w:spacing w:after="0" w:line="13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Proposal 1 - Shareholders elected the 10 director nominees named in the Proxy Statement. All director nominees received at least 91.60% of the votes cast.</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Name</w:t>
            </w:r>
          </w:p>
        </w:tc>
        <w:tc>
          <w:tcPr>
            <w:tcW w:w="19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For</w:t>
            </w: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Against</w:t>
            </w: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Abstain</w:t>
            </w:r>
          </w:p>
        </w:tc>
        <w:tc>
          <w:tcPr>
            <w:tcW w:w="720" w:type="dxa"/>
            <w:vAlign w:val="bottom"/>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Broker Non-Votes</w:t>
            </w:r>
          </w:p>
        </w:tc>
      </w:tr>
      <w:tr>
        <w:trPr>
          <w:trHeight w:val="250"/>
        </w:trPr>
        <w:tc>
          <w:tcPr>
            <w:tcW w:w="2420" w:type="dxa"/>
            <w:vAlign w:val="bottom"/>
            <w:gridSpan w:val="2"/>
          </w:tcPr>
          <w:p>
            <w:pPr>
              <w:spacing w:after="0"/>
              <w:rPr>
                <w:sz w:val="20"/>
                <w:szCs w:val="20"/>
                <w:color w:val="auto"/>
              </w:rPr>
            </w:pPr>
            <w:r>
              <w:rPr>
                <w:rFonts w:ascii="Arial" w:cs="Arial" w:eastAsia="Arial" w:hAnsi="Arial"/>
                <w:sz w:val="18"/>
                <w:szCs w:val="18"/>
                <w:color w:val="auto"/>
              </w:rPr>
              <w:t>Linda B. Bammann</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2,182,032,775</w:t>
            </w:r>
          </w:p>
        </w:tc>
        <w:tc>
          <w:tcPr>
            <w:tcW w:w="580" w:type="dxa"/>
            <w:vAlign w:val="bottom"/>
          </w:tcPr>
          <w:p>
            <w:pPr>
              <w:spacing w:after="0"/>
              <w:rPr>
                <w:sz w:val="21"/>
                <w:szCs w:val="21"/>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50,152,726</w:t>
            </w:r>
          </w:p>
        </w:tc>
        <w:tc>
          <w:tcPr>
            <w:tcW w:w="640" w:type="dxa"/>
            <w:vAlign w:val="bottom"/>
          </w:tcPr>
          <w:p>
            <w:pPr>
              <w:spacing w:after="0"/>
              <w:rPr>
                <w:sz w:val="21"/>
                <w:szCs w:val="21"/>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3,783,698</w:t>
            </w:r>
          </w:p>
        </w:tc>
        <w:tc>
          <w:tcPr>
            <w:tcW w:w="7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356,422,888</w:t>
            </w:r>
          </w:p>
        </w:tc>
      </w:tr>
      <w:tr>
        <w:trPr>
          <w:trHeight w:val="230"/>
        </w:trPr>
        <w:tc>
          <w:tcPr>
            <w:tcW w:w="2420" w:type="dxa"/>
            <w:vAlign w:val="bottom"/>
            <w:gridSpan w:val="2"/>
          </w:tcPr>
          <w:p>
            <w:pPr>
              <w:spacing w:after="0"/>
              <w:rPr>
                <w:sz w:val="20"/>
                <w:szCs w:val="20"/>
                <w:color w:val="auto"/>
              </w:rPr>
            </w:pPr>
            <w:r>
              <w:rPr>
                <w:rFonts w:ascii="Arial" w:cs="Arial" w:eastAsia="Arial" w:hAnsi="Arial"/>
                <w:sz w:val="18"/>
                <w:szCs w:val="18"/>
                <w:color w:val="auto"/>
              </w:rPr>
              <w:t>Stephen B. Burke</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2,044,324,200</w:t>
            </w:r>
          </w:p>
        </w:tc>
        <w:tc>
          <w:tcPr>
            <w:tcW w:w="58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187,277,831</w:t>
            </w:r>
          </w:p>
        </w:tc>
        <w:tc>
          <w:tcPr>
            <w:tcW w:w="64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4,367,168</w:t>
            </w:r>
          </w:p>
        </w:tc>
        <w:tc>
          <w:tcPr>
            <w:tcW w:w="7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356,422,888</w:t>
            </w:r>
          </w:p>
        </w:tc>
      </w:tr>
      <w:tr>
        <w:trPr>
          <w:trHeight w:val="229"/>
        </w:trPr>
        <w:tc>
          <w:tcPr>
            <w:tcW w:w="2420" w:type="dxa"/>
            <w:vAlign w:val="bottom"/>
            <w:gridSpan w:val="2"/>
          </w:tcPr>
          <w:p>
            <w:pPr>
              <w:spacing w:after="0"/>
              <w:rPr>
                <w:sz w:val="20"/>
                <w:szCs w:val="20"/>
                <w:color w:val="auto"/>
              </w:rPr>
            </w:pPr>
            <w:r>
              <w:rPr>
                <w:rFonts w:ascii="Arial" w:cs="Arial" w:eastAsia="Arial" w:hAnsi="Arial"/>
                <w:sz w:val="18"/>
                <w:szCs w:val="18"/>
                <w:color w:val="auto"/>
              </w:rPr>
              <w:t>Todd A. Combs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2,126,399,264</w:t>
            </w:r>
          </w:p>
        </w:tc>
        <w:tc>
          <w:tcPr>
            <w:tcW w:w="58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87,124,483</w:t>
            </w:r>
          </w:p>
        </w:tc>
        <w:tc>
          <w:tcPr>
            <w:tcW w:w="64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22,445,452</w:t>
            </w:r>
          </w:p>
        </w:tc>
        <w:tc>
          <w:tcPr>
            <w:tcW w:w="7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356,422,888</w:t>
            </w:r>
          </w:p>
        </w:tc>
      </w:tr>
      <w:tr>
        <w:trPr>
          <w:trHeight w:val="230"/>
        </w:trPr>
        <w:tc>
          <w:tcPr>
            <w:tcW w:w="2420" w:type="dxa"/>
            <w:vAlign w:val="bottom"/>
            <w:gridSpan w:val="2"/>
          </w:tcPr>
          <w:p>
            <w:pPr>
              <w:spacing w:after="0"/>
              <w:rPr>
                <w:sz w:val="20"/>
                <w:szCs w:val="20"/>
                <w:color w:val="auto"/>
              </w:rPr>
            </w:pPr>
            <w:r>
              <w:rPr>
                <w:rFonts w:ascii="Arial" w:cs="Arial" w:eastAsia="Arial" w:hAnsi="Arial"/>
                <w:sz w:val="18"/>
                <w:szCs w:val="18"/>
                <w:color w:val="auto"/>
              </w:rPr>
              <w:t>James S. Crown</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2,199,113,152</w:t>
            </w:r>
          </w:p>
        </w:tc>
        <w:tc>
          <w:tcPr>
            <w:tcW w:w="58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32,436,748</w:t>
            </w:r>
          </w:p>
        </w:tc>
        <w:tc>
          <w:tcPr>
            <w:tcW w:w="64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4,419,299</w:t>
            </w:r>
          </w:p>
        </w:tc>
        <w:tc>
          <w:tcPr>
            <w:tcW w:w="7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356,422,888</w:t>
            </w:r>
          </w:p>
        </w:tc>
      </w:tr>
      <w:tr>
        <w:trPr>
          <w:trHeight w:val="229"/>
        </w:trPr>
        <w:tc>
          <w:tcPr>
            <w:tcW w:w="2420" w:type="dxa"/>
            <w:vAlign w:val="bottom"/>
            <w:gridSpan w:val="2"/>
          </w:tcPr>
          <w:p>
            <w:pPr>
              <w:spacing w:after="0"/>
              <w:rPr>
                <w:sz w:val="20"/>
                <w:szCs w:val="20"/>
                <w:color w:val="auto"/>
              </w:rPr>
            </w:pPr>
            <w:r>
              <w:rPr>
                <w:rFonts w:ascii="Arial" w:cs="Arial" w:eastAsia="Arial" w:hAnsi="Arial"/>
                <w:sz w:val="18"/>
                <w:szCs w:val="18"/>
                <w:color w:val="auto"/>
              </w:rPr>
              <w:t>James Dimon</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2,039,584,725</w:t>
            </w:r>
          </w:p>
        </w:tc>
        <w:tc>
          <w:tcPr>
            <w:tcW w:w="58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184,498,467</w:t>
            </w:r>
          </w:p>
        </w:tc>
        <w:tc>
          <w:tcPr>
            <w:tcW w:w="64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11,886,007</w:t>
            </w:r>
          </w:p>
        </w:tc>
        <w:tc>
          <w:tcPr>
            <w:tcW w:w="7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356,422,888</w:t>
            </w:r>
          </w:p>
        </w:tc>
      </w:tr>
      <w:tr>
        <w:trPr>
          <w:trHeight w:val="229"/>
        </w:trPr>
        <w:tc>
          <w:tcPr>
            <w:tcW w:w="2420" w:type="dxa"/>
            <w:vAlign w:val="bottom"/>
            <w:gridSpan w:val="2"/>
          </w:tcPr>
          <w:p>
            <w:pPr>
              <w:spacing w:after="0"/>
              <w:rPr>
                <w:sz w:val="20"/>
                <w:szCs w:val="20"/>
                <w:color w:val="auto"/>
              </w:rPr>
            </w:pPr>
            <w:r>
              <w:rPr>
                <w:rFonts w:ascii="Arial" w:cs="Arial" w:eastAsia="Arial" w:hAnsi="Arial"/>
                <w:sz w:val="18"/>
                <w:szCs w:val="18"/>
                <w:color w:val="auto"/>
              </w:rPr>
              <w:t>Timothy P. Flynn</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2,192,947,472</w:t>
            </w:r>
          </w:p>
        </w:tc>
        <w:tc>
          <w:tcPr>
            <w:tcW w:w="58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38,182,268</w:t>
            </w:r>
          </w:p>
        </w:tc>
        <w:tc>
          <w:tcPr>
            <w:tcW w:w="64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4,839,459</w:t>
            </w:r>
          </w:p>
        </w:tc>
        <w:tc>
          <w:tcPr>
            <w:tcW w:w="7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356,422,888</w:t>
            </w:r>
          </w:p>
        </w:tc>
      </w:tr>
      <w:tr>
        <w:trPr>
          <w:trHeight w:val="230"/>
        </w:trPr>
        <w:tc>
          <w:tcPr>
            <w:tcW w:w="2420" w:type="dxa"/>
            <w:vAlign w:val="bottom"/>
            <w:gridSpan w:val="2"/>
          </w:tcPr>
          <w:p>
            <w:pPr>
              <w:spacing w:after="0"/>
              <w:rPr>
                <w:sz w:val="20"/>
                <w:szCs w:val="20"/>
                <w:color w:val="auto"/>
              </w:rPr>
            </w:pPr>
            <w:r>
              <w:rPr>
                <w:rFonts w:ascii="Arial" w:cs="Arial" w:eastAsia="Arial" w:hAnsi="Arial"/>
                <w:sz w:val="18"/>
                <w:szCs w:val="18"/>
                <w:color w:val="auto"/>
              </w:rPr>
              <w:t>Mellody Hobson</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2,064,031,395</w:t>
            </w:r>
          </w:p>
        </w:tc>
        <w:tc>
          <w:tcPr>
            <w:tcW w:w="58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167,973,145</w:t>
            </w:r>
          </w:p>
        </w:tc>
        <w:tc>
          <w:tcPr>
            <w:tcW w:w="64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3,964,659</w:t>
            </w:r>
          </w:p>
        </w:tc>
        <w:tc>
          <w:tcPr>
            <w:tcW w:w="7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356,422,888</w:t>
            </w:r>
          </w:p>
        </w:tc>
      </w:tr>
      <w:tr>
        <w:trPr>
          <w:trHeight w:val="229"/>
        </w:trPr>
        <w:tc>
          <w:tcPr>
            <w:tcW w:w="2420" w:type="dxa"/>
            <w:vAlign w:val="bottom"/>
            <w:gridSpan w:val="2"/>
          </w:tcPr>
          <w:p>
            <w:pPr>
              <w:spacing w:after="0"/>
              <w:rPr>
                <w:sz w:val="20"/>
                <w:szCs w:val="20"/>
                <w:color w:val="auto"/>
              </w:rPr>
            </w:pPr>
            <w:r>
              <w:rPr>
                <w:rFonts w:ascii="Arial" w:cs="Arial" w:eastAsia="Arial" w:hAnsi="Arial"/>
                <w:sz w:val="18"/>
                <w:szCs w:val="18"/>
                <w:color w:val="auto"/>
              </w:rPr>
              <w:t>Michael A. Neal</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2,164,936,647</w:t>
            </w:r>
          </w:p>
        </w:tc>
        <w:tc>
          <w:tcPr>
            <w:tcW w:w="58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66,486,124</w:t>
            </w:r>
          </w:p>
        </w:tc>
        <w:tc>
          <w:tcPr>
            <w:tcW w:w="64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4,546,428</w:t>
            </w:r>
          </w:p>
        </w:tc>
        <w:tc>
          <w:tcPr>
            <w:tcW w:w="7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356,422,888</w:t>
            </w:r>
          </w:p>
        </w:tc>
      </w:tr>
      <w:tr>
        <w:trPr>
          <w:trHeight w:val="229"/>
        </w:trPr>
        <w:tc>
          <w:tcPr>
            <w:tcW w:w="2420" w:type="dxa"/>
            <w:vAlign w:val="bottom"/>
            <w:gridSpan w:val="2"/>
          </w:tcPr>
          <w:p>
            <w:pPr>
              <w:spacing w:after="0"/>
              <w:rPr>
                <w:sz w:val="20"/>
                <w:szCs w:val="20"/>
                <w:color w:val="auto"/>
              </w:rPr>
            </w:pPr>
            <w:r>
              <w:rPr>
                <w:rFonts w:ascii="Arial" w:cs="Arial" w:eastAsia="Arial" w:hAnsi="Arial"/>
                <w:sz w:val="18"/>
                <w:szCs w:val="18"/>
                <w:color w:val="auto"/>
              </w:rPr>
              <w:t>Phebe N. Novakovic</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2,208,361,738</w:t>
            </w:r>
          </w:p>
        </w:tc>
        <w:tc>
          <w:tcPr>
            <w:tcW w:w="58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23,394,791</w:t>
            </w:r>
          </w:p>
        </w:tc>
        <w:tc>
          <w:tcPr>
            <w:tcW w:w="64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4,212,670</w:t>
            </w:r>
          </w:p>
        </w:tc>
        <w:tc>
          <w:tcPr>
            <w:tcW w:w="7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356,422,888</w:t>
            </w:r>
          </w:p>
        </w:tc>
      </w:tr>
      <w:tr>
        <w:trPr>
          <w:trHeight w:val="230"/>
        </w:trPr>
        <w:tc>
          <w:tcPr>
            <w:tcW w:w="2420" w:type="dxa"/>
            <w:vAlign w:val="bottom"/>
            <w:gridSpan w:val="2"/>
          </w:tcPr>
          <w:p>
            <w:pPr>
              <w:spacing w:after="0"/>
              <w:rPr>
                <w:sz w:val="20"/>
                <w:szCs w:val="20"/>
                <w:color w:val="auto"/>
              </w:rPr>
            </w:pPr>
            <w:r>
              <w:rPr>
                <w:rFonts w:ascii="Arial" w:cs="Arial" w:eastAsia="Arial" w:hAnsi="Arial"/>
                <w:sz w:val="18"/>
                <w:szCs w:val="18"/>
                <w:color w:val="auto"/>
              </w:rPr>
              <w:t>Virginia M. Rometty</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2,144,194,807</w:t>
            </w:r>
          </w:p>
        </w:tc>
        <w:tc>
          <w:tcPr>
            <w:tcW w:w="58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87,612,355</w:t>
            </w:r>
          </w:p>
        </w:tc>
        <w:tc>
          <w:tcPr>
            <w:tcW w:w="64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4,162,037</w:t>
            </w:r>
          </w:p>
        </w:tc>
        <w:tc>
          <w:tcPr>
            <w:tcW w:w="7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356,422,888</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00" w:type="dxa"/>
            <w:vAlign w:val="bottom"/>
          </w:tcPr>
          <w:p>
            <w:pPr>
              <w:spacing w:after="0"/>
              <w:rPr>
                <w:sz w:val="20"/>
                <w:szCs w:val="20"/>
                <w:color w:val="auto"/>
              </w:rPr>
            </w:pPr>
            <w:r>
              <w:rPr>
                <w:rFonts w:ascii="Arial" w:cs="Arial" w:eastAsia="Arial" w:hAnsi="Arial"/>
                <w:sz w:val="18"/>
                <w:szCs w:val="18"/>
                <w:color w:val="auto"/>
              </w:rPr>
              <w:t>Proposal 2</w:t>
            </w:r>
          </w:p>
        </w:tc>
        <w:tc>
          <w:tcPr>
            <w:tcW w:w="8020" w:type="dxa"/>
            <w:vAlign w:val="bottom"/>
            <w:gridSpan w:val="10"/>
          </w:tcPr>
          <w:p>
            <w:pPr>
              <w:ind w:left="20"/>
              <w:spacing w:after="0"/>
              <w:rPr>
                <w:sz w:val="20"/>
                <w:szCs w:val="20"/>
                <w:color w:val="auto"/>
              </w:rPr>
            </w:pPr>
            <w:r>
              <w:rPr>
                <w:rFonts w:ascii="Arial" w:cs="Arial" w:eastAsia="Arial" w:hAnsi="Arial"/>
                <w:sz w:val="18"/>
                <w:szCs w:val="18"/>
                <w:color w:val="auto"/>
              </w:rPr>
              <w:t>- Shareholders approved the advisory resolution to approve executive compensation</w:t>
            </w:r>
          </w:p>
        </w:tc>
      </w:tr>
      <w:tr>
        <w:trPr>
          <w:trHeight w:val="324"/>
        </w:trPr>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w w:val="96"/>
              </w:rPr>
              <w:t>For</w:t>
            </w: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w w:val="96"/>
              </w:rPr>
              <w:t>Against</w:t>
            </w:r>
          </w:p>
        </w:tc>
        <w:tc>
          <w:tcPr>
            <w:tcW w:w="2200" w:type="dxa"/>
            <w:vAlign w:val="bottom"/>
            <w:gridSpan w:val="3"/>
          </w:tcPr>
          <w:p>
            <w:pPr>
              <w:ind w:left="940"/>
              <w:spacing w:after="0"/>
              <w:rPr>
                <w:sz w:val="20"/>
                <w:szCs w:val="20"/>
                <w:color w:val="auto"/>
              </w:rPr>
            </w:pPr>
            <w:r>
              <w:rPr>
                <w:rFonts w:ascii="Arial" w:cs="Arial" w:eastAsia="Arial" w:hAnsi="Arial"/>
                <w:sz w:val="18"/>
                <w:szCs w:val="18"/>
                <w:b w:val="1"/>
                <w:bCs w:val="1"/>
                <w:color w:val="auto"/>
              </w:rPr>
              <w:t>Abstain</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w w:val="97"/>
              </w:rPr>
              <w:t>Broker Non-Votes</w:t>
            </w:r>
          </w:p>
        </w:tc>
      </w:tr>
      <w:tr>
        <w:trPr>
          <w:trHeight w:val="20"/>
        </w:trPr>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r>
        <w:trPr>
          <w:trHeight w:val="250"/>
        </w:trPr>
        <w:tc>
          <w:tcPr>
            <w:tcW w:w="900" w:type="dxa"/>
            <w:vAlign w:val="bottom"/>
          </w:tcPr>
          <w:p>
            <w:pPr>
              <w:spacing w:after="0"/>
              <w:rPr>
                <w:sz w:val="21"/>
                <w:szCs w:val="21"/>
                <w:color w:val="auto"/>
              </w:rPr>
            </w:pPr>
          </w:p>
        </w:tc>
        <w:tc>
          <w:tcPr>
            <w:tcW w:w="2000" w:type="dxa"/>
            <w:vAlign w:val="bottom"/>
            <w:gridSpan w:val="3"/>
          </w:tcPr>
          <w:p>
            <w:pPr>
              <w:jc w:val="right"/>
              <w:ind w:right="640"/>
              <w:spacing w:after="0"/>
              <w:rPr>
                <w:sz w:val="20"/>
                <w:szCs w:val="20"/>
                <w:color w:val="auto"/>
              </w:rPr>
            </w:pPr>
            <w:r>
              <w:rPr>
                <w:rFonts w:ascii="Arial" w:cs="Arial" w:eastAsia="Arial" w:hAnsi="Arial"/>
                <w:sz w:val="18"/>
                <w:szCs w:val="18"/>
                <w:color w:val="auto"/>
              </w:rPr>
              <w:t>2,015,111,054</w:t>
            </w:r>
          </w:p>
        </w:tc>
        <w:tc>
          <w:tcPr>
            <w:tcW w:w="2300" w:type="dxa"/>
            <w:vAlign w:val="bottom"/>
            <w:gridSpan w:val="3"/>
          </w:tcPr>
          <w:p>
            <w:pPr>
              <w:jc w:val="right"/>
              <w:ind w:right="680"/>
              <w:spacing w:after="0"/>
              <w:rPr>
                <w:sz w:val="20"/>
                <w:szCs w:val="20"/>
                <w:color w:val="auto"/>
              </w:rPr>
            </w:pPr>
            <w:r>
              <w:rPr>
                <w:rFonts w:ascii="Arial" w:cs="Arial" w:eastAsia="Arial" w:hAnsi="Arial"/>
                <w:sz w:val="18"/>
                <w:szCs w:val="18"/>
                <w:color w:val="auto"/>
              </w:rPr>
              <w:t>207,212,021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13,646,124</w:t>
            </w:r>
          </w:p>
        </w:tc>
        <w:tc>
          <w:tcPr>
            <w:tcW w:w="6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356,422,888</w:t>
            </w:r>
          </w:p>
        </w:tc>
      </w:tr>
      <w:tr>
        <w:trPr>
          <w:trHeight w:val="229"/>
        </w:trPr>
        <w:tc>
          <w:tcPr>
            <w:tcW w:w="900" w:type="dxa"/>
            <w:vAlign w:val="bottom"/>
          </w:tcPr>
          <w:p>
            <w:pPr>
              <w:spacing w:after="0"/>
              <w:rPr>
                <w:sz w:val="19"/>
                <w:szCs w:val="19"/>
                <w:color w:val="auto"/>
              </w:rPr>
            </w:pPr>
          </w:p>
        </w:tc>
        <w:tc>
          <w:tcPr>
            <w:tcW w:w="2000" w:type="dxa"/>
            <w:vAlign w:val="bottom"/>
            <w:gridSpan w:val="3"/>
          </w:tcPr>
          <w:p>
            <w:pPr>
              <w:jc w:val="right"/>
              <w:ind w:right="640"/>
              <w:spacing w:after="0"/>
              <w:rPr>
                <w:sz w:val="20"/>
                <w:szCs w:val="20"/>
                <w:color w:val="auto"/>
              </w:rPr>
            </w:pPr>
            <w:r>
              <w:rPr>
                <w:rFonts w:ascii="Arial" w:cs="Arial" w:eastAsia="Arial" w:hAnsi="Arial"/>
                <w:sz w:val="18"/>
                <w:szCs w:val="18"/>
                <w:color w:val="auto"/>
              </w:rPr>
              <w:t>90.12 %</w:t>
            </w:r>
          </w:p>
        </w:tc>
        <w:tc>
          <w:tcPr>
            <w:tcW w:w="2300" w:type="dxa"/>
            <w:vAlign w:val="bottom"/>
            <w:gridSpan w:val="3"/>
          </w:tcPr>
          <w:p>
            <w:pPr>
              <w:jc w:val="right"/>
              <w:ind w:right="680"/>
              <w:spacing w:after="0"/>
              <w:rPr>
                <w:sz w:val="20"/>
                <w:szCs w:val="20"/>
                <w:color w:val="auto"/>
              </w:rPr>
            </w:pPr>
            <w:r>
              <w:rPr>
                <w:rFonts w:ascii="Arial" w:cs="Arial" w:eastAsia="Arial" w:hAnsi="Arial"/>
                <w:sz w:val="18"/>
                <w:szCs w:val="18"/>
                <w:color w:val="auto"/>
              </w:rPr>
              <w:t>9.26 %</w:t>
            </w:r>
          </w:p>
        </w:tc>
        <w:tc>
          <w:tcPr>
            <w:tcW w:w="2200" w:type="dxa"/>
            <w:vAlign w:val="bottom"/>
            <w:gridSpan w:val="3"/>
          </w:tcPr>
          <w:p>
            <w:pPr>
              <w:jc w:val="right"/>
              <w:ind w:right="600"/>
              <w:spacing w:after="0"/>
              <w:rPr>
                <w:sz w:val="20"/>
                <w:szCs w:val="20"/>
                <w:color w:val="auto"/>
              </w:rPr>
            </w:pPr>
            <w:r>
              <w:rPr>
                <w:rFonts w:ascii="Arial" w:cs="Arial" w:eastAsia="Arial" w:hAnsi="Arial"/>
                <w:sz w:val="18"/>
                <w:szCs w:val="18"/>
                <w:color w:val="auto"/>
              </w:rPr>
              <w:t>0.61 %</w:t>
            </w:r>
          </w:p>
        </w:tc>
        <w:tc>
          <w:tcPr>
            <w:tcW w:w="1520" w:type="dxa"/>
            <w:vAlign w:val="bottom"/>
          </w:tcPr>
          <w:p>
            <w:pPr>
              <w:spacing w:after="0"/>
              <w:rPr>
                <w:sz w:val="19"/>
                <w:szCs w:val="19"/>
                <w:color w:val="auto"/>
              </w:rPr>
            </w:pPr>
          </w:p>
        </w:tc>
      </w:tr>
      <w:tr>
        <w:trPr>
          <w:trHeight w:val="513"/>
        </w:trPr>
        <w:tc>
          <w:tcPr>
            <w:tcW w:w="900" w:type="dxa"/>
            <w:vAlign w:val="bottom"/>
          </w:tcPr>
          <w:p>
            <w:pPr>
              <w:spacing w:after="0"/>
              <w:rPr>
                <w:sz w:val="20"/>
                <w:szCs w:val="20"/>
                <w:color w:val="auto"/>
              </w:rPr>
            </w:pPr>
            <w:r>
              <w:rPr>
                <w:rFonts w:ascii="Arial" w:cs="Arial" w:eastAsia="Arial" w:hAnsi="Arial"/>
                <w:sz w:val="18"/>
                <w:szCs w:val="18"/>
                <w:color w:val="auto"/>
              </w:rPr>
              <w:t>Proposal 3</w:t>
            </w:r>
          </w:p>
        </w:tc>
        <w:tc>
          <w:tcPr>
            <w:tcW w:w="6500" w:type="dxa"/>
            <w:vAlign w:val="bottom"/>
            <w:gridSpan w:val="9"/>
          </w:tcPr>
          <w:p>
            <w:pPr>
              <w:ind w:left="20"/>
              <w:spacing w:after="0"/>
              <w:rPr>
                <w:sz w:val="20"/>
                <w:szCs w:val="20"/>
                <w:color w:val="auto"/>
              </w:rPr>
            </w:pPr>
            <w:r>
              <w:rPr>
                <w:rFonts w:ascii="Arial" w:cs="Arial" w:eastAsia="Arial" w:hAnsi="Arial"/>
                <w:sz w:val="18"/>
                <w:szCs w:val="18"/>
                <w:color w:val="auto"/>
              </w:rPr>
              <w:t>- Shareholders approved the amended and restated long-term incentive plan</w:t>
            </w:r>
          </w:p>
        </w:tc>
        <w:tc>
          <w:tcPr>
            <w:tcW w:w="1520" w:type="dxa"/>
            <w:vAlign w:val="bottom"/>
          </w:tcPr>
          <w:p>
            <w:pPr>
              <w:spacing w:after="0"/>
              <w:rPr>
                <w:sz w:val="24"/>
                <w:szCs w:val="24"/>
                <w:color w:val="auto"/>
              </w:rPr>
            </w:pPr>
          </w:p>
        </w:tc>
      </w:tr>
      <w:tr>
        <w:trPr>
          <w:trHeight w:val="432"/>
        </w:trPr>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w w:val="96"/>
              </w:rPr>
              <w:t>For</w:t>
            </w: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w w:val="96"/>
              </w:rPr>
              <w:t>Against</w:t>
            </w:r>
          </w:p>
        </w:tc>
        <w:tc>
          <w:tcPr>
            <w:tcW w:w="2200" w:type="dxa"/>
            <w:vAlign w:val="bottom"/>
            <w:gridSpan w:val="3"/>
          </w:tcPr>
          <w:p>
            <w:pPr>
              <w:ind w:left="940"/>
              <w:spacing w:after="0"/>
              <w:rPr>
                <w:sz w:val="20"/>
                <w:szCs w:val="20"/>
                <w:color w:val="auto"/>
              </w:rPr>
            </w:pPr>
            <w:r>
              <w:rPr>
                <w:rFonts w:ascii="Arial" w:cs="Arial" w:eastAsia="Arial" w:hAnsi="Arial"/>
                <w:sz w:val="18"/>
                <w:szCs w:val="18"/>
                <w:b w:val="1"/>
                <w:bCs w:val="1"/>
                <w:color w:val="auto"/>
              </w:rPr>
              <w:t>Abstain</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w w:val="97"/>
              </w:rPr>
              <w:t>Broker Non-Votes</w:t>
            </w:r>
          </w:p>
        </w:tc>
      </w:tr>
      <w:tr>
        <w:trPr>
          <w:trHeight w:val="20"/>
        </w:trPr>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r>
        <w:trPr>
          <w:trHeight w:val="250"/>
        </w:trPr>
        <w:tc>
          <w:tcPr>
            <w:tcW w:w="900" w:type="dxa"/>
            <w:vAlign w:val="bottom"/>
          </w:tcPr>
          <w:p>
            <w:pPr>
              <w:spacing w:after="0"/>
              <w:rPr>
                <w:sz w:val="21"/>
                <w:szCs w:val="21"/>
                <w:color w:val="auto"/>
              </w:rPr>
            </w:pPr>
          </w:p>
        </w:tc>
        <w:tc>
          <w:tcPr>
            <w:tcW w:w="2000" w:type="dxa"/>
            <w:vAlign w:val="bottom"/>
            <w:gridSpan w:val="3"/>
          </w:tcPr>
          <w:p>
            <w:pPr>
              <w:jc w:val="right"/>
              <w:ind w:right="640"/>
              <w:spacing w:after="0"/>
              <w:rPr>
                <w:sz w:val="20"/>
                <w:szCs w:val="20"/>
                <w:color w:val="auto"/>
              </w:rPr>
            </w:pPr>
            <w:r>
              <w:rPr>
                <w:rFonts w:ascii="Arial" w:cs="Arial" w:eastAsia="Arial" w:hAnsi="Arial"/>
                <w:sz w:val="18"/>
                <w:szCs w:val="18"/>
                <w:color w:val="auto"/>
              </w:rPr>
              <w:t>2,153,796,667</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73,345,015</w:t>
            </w:r>
          </w:p>
        </w:tc>
        <w:tc>
          <w:tcPr>
            <w:tcW w:w="680" w:type="dxa"/>
            <w:vAlign w:val="bottom"/>
          </w:tcPr>
          <w:p>
            <w:pPr>
              <w:spacing w:after="0"/>
              <w:rPr>
                <w:sz w:val="21"/>
                <w:szCs w:val="21"/>
                <w:color w:val="auto"/>
              </w:rPr>
            </w:pPr>
          </w:p>
        </w:tc>
        <w:tc>
          <w:tcPr>
            <w:tcW w:w="2200" w:type="dxa"/>
            <w:vAlign w:val="bottom"/>
            <w:gridSpan w:val="3"/>
          </w:tcPr>
          <w:p>
            <w:pPr>
              <w:jc w:val="right"/>
              <w:ind w:right="600"/>
              <w:spacing w:after="0"/>
              <w:rPr>
                <w:sz w:val="20"/>
                <w:szCs w:val="20"/>
                <w:color w:val="auto"/>
              </w:rPr>
            </w:pPr>
            <w:r>
              <w:rPr>
                <w:rFonts w:ascii="Arial" w:cs="Arial" w:eastAsia="Arial" w:hAnsi="Arial"/>
                <w:sz w:val="18"/>
                <w:szCs w:val="18"/>
                <w:color w:val="auto"/>
              </w:rPr>
              <w:t>8,827,517</w:t>
            </w:r>
          </w:p>
        </w:tc>
        <w:tc>
          <w:tcPr>
            <w:tcW w:w="1520" w:type="dxa"/>
            <w:vAlign w:val="bottom"/>
          </w:tcPr>
          <w:p>
            <w:pPr>
              <w:jc w:val="right"/>
              <w:spacing w:after="0"/>
              <w:rPr>
                <w:sz w:val="20"/>
                <w:szCs w:val="20"/>
                <w:color w:val="auto"/>
              </w:rPr>
            </w:pPr>
            <w:r>
              <w:rPr>
                <w:rFonts w:ascii="Arial" w:cs="Arial" w:eastAsia="Arial" w:hAnsi="Arial"/>
                <w:sz w:val="18"/>
                <w:szCs w:val="18"/>
                <w:color w:val="auto"/>
              </w:rPr>
              <w:t>356,422,888</w:t>
            </w:r>
          </w:p>
        </w:tc>
      </w:tr>
      <w:tr>
        <w:trPr>
          <w:trHeight w:val="230"/>
        </w:trPr>
        <w:tc>
          <w:tcPr>
            <w:tcW w:w="900" w:type="dxa"/>
            <w:vAlign w:val="bottom"/>
          </w:tcPr>
          <w:p>
            <w:pPr>
              <w:spacing w:after="0"/>
              <w:rPr>
                <w:sz w:val="19"/>
                <w:szCs w:val="19"/>
                <w:color w:val="auto"/>
              </w:rPr>
            </w:pPr>
          </w:p>
        </w:tc>
        <w:tc>
          <w:tcPr>
            <w:tcW w:w="2000" w:type="dxa"/>
            <w:vAlign w:val="bottom"/>
            <w:gridSpan w:val="3"/>
          </w:tcPr>
          <w:p>
            <w:pPr>
              <w:jc w:val="right"/>
              <w:ind w:right="640"/>
              <w:spacing w:after="0"/>
              <w:rPr>
                <w:sz w:val="20"/>
                <w:szCs w:val="20"/>
                <w:color w:val="auto"/>
              </w:rPr>
            </w:pPr>
            <w:r>
              <w:rPr>
                <w:rFonts w:ascii="Arial" w:cs="Arial" w:eastAsia="Arial" w:hAnsi="Arial"/>
                <w:sz w:val="18"/>
                <w:szCs w:val="18"/>
                <w:color w:val="auto"/>
              </w:rPr>
              <w:t>96.32 %</w:t>
            </w:r>
          </w:p>
        </w:tc>
        <w:tc>
          <w:tcPr>
            <w:tcW w:w="2300" w:type="dxa"/>
            <w:vAlign w:val="bottom"/>
            <w:gridSpan w:val="3"/>
          </w:tcPr>
          <w:p>
            <w:pPr>
              <w:jc w:val="right"/>
              <w:ind w:right="680"/>
              <w:spacing w:after="0"/>
              <w:rPr>
                <w:sz w:val="20"/>
                <w:szCs w:val="20"/>
                <w:color w:val="auto"/>
              </w:rPr>
            </w:pPr>
            <w:r>
              <w:rPr>
                <w:rFonts w:ascii="Arial" w:cs="Arial" w:eastAsia="Arial" w:hAnsi="Arial"/>
                <w:sz w:val="18"/>
                <w:szCs w:val="18"/>
                <w:color w:val="auto"/>
              </w:rPr>
              <w:t>3.28 %</w:t>
            </w:r>
          </w:p>
        </w:tc>
        <w:tc>
          <w:tcPr>
            <w:tcW w:w="2200" w:type="dxa"/>
            <w:vAlign w:val="bottom"/>
            <w:gridSpan w:val="3"/>
          </w:tcPr>
          <w:p>
            <w:pPr>
              <w:jc w:val="right"/>
              <w:ind w:right="600"/>
              <w:spacing w:after="0"/>
              <w:rPr>
                <w:sz w:val="20"/>
                <w:szCs w:val="20"/>
                <w:color w:val="auto"/>
              </w:rPr>
            </w:pPr>
            <w:r>
              <w:rPr>
                <w:rFonts w:ascii="Arial" w:cs="Arial" w:eastAsia="Arial" w:hAnsi="Arial"/>
                <w:sz w:val="18"/>
                <w:szCs w:val="18"/>
                <w:color w:val="auto"/>
              </w:rPr>
              <w:t>0.39 %</w:t>
            </w:r>
          </w:p>
        </w:tc>
        <w:tc>
          <w:tcPr>
            <w:tcW w:w="1520" w:type="dxa"/>
            <w:vAlign w:val="bottom"/>
          </w:tcPr>
          <w:p>
            <w:pPr>
              <w:spacing w:after="0"/>
              <w:rPr>
                <w:sz w:val="19"/>
                <w:szCs w:val="19"/>
                <w:color w:val="auto"/>
              </w:rPr>
            </w:pPr>
          </w:p>
        </w:tc>
      </w:tr>
    </w:tbl>
    <w:p>
      <w:pPr>
        <w:spacing w:after="0" w:line="31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Proposal 4 - Shareholders ratified the appointment of PricewaterhouseCoopers LLP as Registrant's independent registered public accounting firm for 2021</w:t>
      </w:r>
    </w:p>
    <w:p>
      <w:pPr>
        <w:spacing w:after="0" w:line="208"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8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w w:val="96"/>
              </w:rPr>
              <w:t>For</w:t>
            </w:r>
          </w:p>
        </w:tc>
        <w:tc>
          <w:tcPr>
            <w:tcW w:w="640" w:type="dxa"/>
            <w:vAlign w:val="bottom"/>
          </w:tcPr>
          <w:p>
            <w:pPr>
              <w:spacing w:after="0"/>
              <w:rPr>
                <w:sz w:val="18"/>
                <w:szCs w:val="18"/>
                <w:color w:val="auto"/>
              </w:rPr>
            </w:pPr>
          </w:p>
        </w:tc>
        <w:tc>
          <w:tcPr>
            <w:tcW w:w="2360" w:type="dxa"/>
            <w:vAlign w:val="bottom"/>
            <w:gridSpan w:val="3"/>
          </w:tcPr>
          <w:p>
            <w:pPr>
              <w:ind w:left="980"/>
              <w:spacing w:after="0"/>
              <w:rPr>
                <w:sz w:val="20"/>
                <w:szCs w:val="20"/>
                <w:color w:val="auto"/>
              </w:rPr>
            </w:pPr>
            <w:r>
              <w:rPr>
                <w:rFonts w:ascii="Arial" w:cs="Arial" w:eastAsia="Arial" w:hAnsi="Arial"/>
                <w:sz w:val="18"/>
                <w:szCs w:val="18"/>
                <w:b w:val="1"/>
                <w:bCs w:val="1"/>
                <w:color w:val="auto"/>
              </w:rPr>
              <w:t>Against</w:t>
            </w:r>
          </w:p>
        </w:tc>
        <w:tc>
          <w:tcPr>
            <w:tcW w:w="212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Abstain</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w w:val="97"/>
              </w:rPr>
              <w:t>Broker Non-Votes</w:t>
            </w:r>
          </w:p>
        </w:tc>
      </w:tr>
      <w:tr>
        <w:trPr>
          <w:trHeight w:val="20"/>
        </w:trPr>
        <w:tc>
          <w:tcPr>
            <w:tcW w:w="8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r>
        <w:trPr>
          <w:trHeight w:val="250"/>
        </w:trPr>
        <w:tc>
          <w:tcPr>
            <w:tcW w:w="1800" w:type="dxa"/>
            <w:vAlign w:val="bottom"/>
            <w:gridSpan w:val="3"/>
          </w:tcPr>
          <w:p>
            <w:pPr>
              <w:jc w:val="right"/>
              <w:ind w:right="640"/>
              <w:spacing w:after="0"/>
              <w:rPr>
                <w:sz w:val="20"/>
                <w:szCs w:val="20"/>
                <w:color w:val="auto"/>
              </w:rPr>
            </w:pPr>
            <w:r>
              <w:rPr>
                <w:rFonts w:ascii="Arial" w:cs="Arial" w:eastAsia="Arial" w:hAnsi="Arial"/>
                <w:sz w:val="18"/>
                <w:szCs w:val="18"/>
                <w:color w:val="auto"/>
                <w:w w:val="99"/>
              </w:rPr>
              <w:t>2,465,952,687</w:t>
            </w:r>
          </w:p>
        </w:tc>
        <w:tc>
          <w:tcPr>
            <w:tcW w:w="2360" w:type="dxa"/>
            <w:vAlign w:val="bottom"/>
            <w:gridSpan w:val="3"/>
          </w:tcPr>
          <w:p>
            <w:pPr>
              <w:jc w:val="right"/>
              <w:ind w:right="720"/>
              <w:spacing w:after="0"/>
              <w:rPr>
                <w:sz w:val="20"/>
                <w:szCs w:val="20"/>
                <w:color w:val="auto"/>
              </w:rPr>
            </w:pPr>
            <w:r>
              <w:rPr>
                <w:rFonts w:ascii="Arial" w:cs="Arial" w:eastAsia="Arial" w:hAnsi="Arial"/>
                <w:sz w:val="18"/>
                <w:szCs w:val="18"/>
                <w:color w:val="auto"/>
              </w:rPr>
              <w:t>121,379,615</w:t>
            </w:r>
          </w:p>
        </w:tc>
        <w:tc>
          <w:tcPr>
            <w:tcW w:w="2120" w:type="dxa"/>
            <w:vAlign w:val="bottom"/>
            <w:gridSpan w:val="3"/>
          </w:tcPr>
          <w:p>
            <w:pPr>
              <w:jc w:val="right"/>
              <w:ind w:right="580"/>
              <w:spacing w:after="0"/>
              <w:rPr>
                <w:sz w:val="20"/>
                <w:szCs w:val="20"/>
                <w:color w:val="auto"/>
              </w:rPr>
            </w:pPr>
            <w:r>
              <w:rPr>
                <w:rFonts w:ascii="Arial" w:cs="Arial" w:eastAsia="Arial" w:hAnsi="Arial"/>
                <w:sz w:val="18"/>
                <w:szCs w:val="18"/>
                <w:color w:val="auto"/>
              </w:rPr>
              <w:t>5,059,785</w:t>
            </w:r>
          </w:p>
        </w:tc>
        <w:tc>
          <w:tcPr>
            <w:tcW w:w="15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1160" w:type="dxa"/>
            <w:vAlign w:val="bottom"/>
            <w:gridSpan w:val="2"/>
          </w:tcPr>
          <w:p>
            <w:pPr>
              <w:jc w:val="right"/>
              <w:spacing w:after="0"/>
              <w:rPr>
                <w:sz w:val="20"/>
                <w:szCs w:val="20"/>
                <w:color w:val="auto"/>
              </w:rPr>
            </w:pPr>
            <w:r>
              <w:rPr>
                <w:rFonts w:ascii="Arial" w:cs="Arial" w:eastAsia="Arial" w:hAnsi="Arial"/>
                <w:sz w:val="18"/>
                <w:szCs w:val="18"/>
                <w:color w:val="auto"/>
              </w:rPr>
              <w:t>95.12 %</w:t>
            </w:r>
          </w:p>
        </w:tc>
        <w:tc>
          <w:tcPr>
            <w:tcW w:w="640" w:type="dxa"/>
            <w:vAlign w:val="bottom"/>
          </w:tcPr>
          <w:p>
            <w:pPr>
              <w:spacing w:after="0"/>
              <w:rPr>
                <w:sz w:val="19"/>
                <w:szCs w:val="19"/>
                <w:color w:val="auto"/>
              </w:rPr>
            </w:pPr>
          </w:p>
        </w:tc>
        <w:tc>
          <w:tcPr>
            <w:tcW w:w="2360" w:type="dxa"/>
            <w:vAlign w:val="bottom"/>
            <w:gridSpan w:val="3"/>
          </w:tcPr>
          <w:p>
            <w:pPr>
              <w:jc w:val="right"/>
              <w:ind w:right="720"/>
              <w:spacing w:after="0"/>
              <w:rPr>
                <w:sz w:val="20"/>
                <w:szCs w:val="20"/>
                <w:color w:val="auto"/>
              </w:rPr>
            </w:pPr>
            <w:r>
              <w:rPr>
                <w:rFonts w:ascii="Arial" w:cs="Arial" w:eastAsia="Arial" w:hAnsi="Arial"/>
                <w:sz w:val="18"/>
                <w:szCs w:val="18"/>
                <w:color w:val="auto"/>
              </w:rPr>
              <w:t>4.68 %</w:t>
            </w:r>
          </w:p>
        </w:tc>
        <w:tc>
          <w:tcPr>
            <w:tcW w:w="2120" w:type="dxa"/>
            <w:vAlign w:val="bottom"/>
            <w:gridSpan w:val="3"/>
          </w:tcPr>
          <w:p>
            <w:pPr>
              <w:jc w:val="right"/>
              <w:ind w:right="580"/>
              <w:spacing w:after="0"/>
              <w:rPr>
                <w:sz w:val="20"/>
                <w:szCs w:val="20"/>
                <w:color w:val="auto"/>
              </w:rPr>
            </w:pPr>
            <w:r>
              <w:rPr>
                <w:rFonts w:ascii="Arial" w:cs="Arial" w:eastAsia="Arial" w:hAnsi="Arial"/>
                <w:sz w:val="18"/>
                <w:szCs w:val="18"/>
                <w:color w:val="auto"/>
              </w:rPr>
              <w:t>0.19 %</w:t>
            </w:r>
          </w:p>
        </w:tc>
        <w:tc>
          <w:tcPr>
            <w:tcW w:w="1520" w:type="dxa"/>
            <w:vAlign w:val="bottom"/>
          </w:tcPr>
          <w:p>
            <w:pPr>
              <w:spacing w:after="0"/>
              <w:rPr>
                <w:sz w:val="19"/>
                <w:szCs w:val="19"/>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Proposal 5 - Shareholders did not approve the proposal to improve shareholder written consent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tcPr>
          <w:p>
            <w:pPr>
              <w:spacing w:after="0"/>
              <w:rPr>
                <w:sz w:val="18"/>
                <w:szCs w:val="18"/>
                <w:color w:val="auto"/>
              </w:rPr>
            </w:pPr>
          </w:p>
        </w:tc>
        <w:tc>
          <w:tcPr>
            <w:tcW w:w="8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89"/>
              </w:rPr>
              <w:t>For</w:t>
            </w:r>
          </w:p>
        </w:tc>
        <w:tc>
          <w:tcPr>
            <w:tcW w:w="22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Against</w:t>
            </w:r>
          </w:p>
        </w:tc>
        <w:tc>
          <w:tcPr>
            <w:tcW w:w="2340" w:type="dxa"/>
            <w:vAlign w:val="bottom"/>
            <w:gridSpan w:val="3"/>
          </w:tcPr>
          <w:p>
            <w:pPr>
              <w:ind w:left="1080"/>
              <w:spacing w:after="0"/>
              <w:rPr>
                <w:sz w:val="20"/>
                <w:szCs w:val="20"/>
                <w:color w:val="auto"/>
              </w:rPr>
            </w:pPr>
            <w:r>
              <w:rPr>
                <w:rFonts w:ascii="Arial" w:cs="Arial" w:eastAsia="Arial" w:hAnsi="Arial"/>
                <w:sz w:val="18"/>
                <w:szCs w:val="18"/>
                <w:b w:val="1"/>
                <w:bCs w:val="1"/>
                <w:color w:val="auto"/>
              </w:rPr>
              <w:t>Abstain</w:t>
            </w:r>
          </w:p>
        </w:tc>
        <w:tc>
          <w:tcPr>
            <w:tcW w:w="3840" w:type="dxa"/>
            <w:vAlign w:val="bottom"/>
            <w:gridSpan w:val="2"/>
          </w:tcPr>
          <w:p>
            <w:pPr>
              <w:jc w:val="right"/>
              <w:ind w:right="2320"/>
              <w:spacing w:after="0"/>
              <w:rPr>
                <w:sz w:val="20"/>
                <w:szCs w:val="20"/>
                <w:color w:val="auto"/>
              </w:rPr>
            </w:pPr>
            <w:r>
              <w:rPr>
                <w:rFonts w:ascii="Arial" w:cs="Arial" w:eastAsia="Arial" w:hAnsi="Arial"/>
                <w:sz w:val="18"/>
                <w:szCs w:val="18"/>
                <w:b w:val="1"/>
                <w:bCs w:val="1"/>
                <w:color w:val="auto"/>
                <w:w w:val="97"/>
              </w:rPr>
              <w:t>Broker Non-Votes</w:t>
            </w:r>
          </w:p>
        </w:tc>
      </w:tr>
      <w:tr>
        <w:trPr>
          <w:trHeight w:val="20"/>
        </w:trPr>
        <w:tc>
          <w:tcPr>
            <w:tcW w:w="19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50"/>
        </w:trPr>
        <w:tc>
          <w:tcPr>
            <w:tcW w:w="2820" w:type="dxa"/>
            <w:vAlign w:val="bottom"/>
            <w:gridSpan w:val="3"/>
          </w:tcPr>
          <w:p>
            <w:pPr>
              <w:jc w:val="right"/>
              <w:ind w:right="580"/>
              <w:spacing w:after="0"/>
              <w:rPr>
                <w:sz w:val="20"/>
                <w:szCs w:val="20"/>
                <w:color w:val="auto"/>
              </w:rPr>
            </w:pPr>
            <w:r>
              <w:rPr>
                <w:rFonts w:ascii="Arial" w:cs="Arial" w:eastAsia="Arial" w:hAnsi="Arial"/>
                <w:sz w:val="18"/>
                <w:szCs w:val="18"/>
                <w:color w:val="auto"/>
              </w:rPr>
              <w:t>1,046,106,545</w:t>
            </w:r>
          </w:p>
        </w:tc>
        <w:tc>
          <w:tcPr>
            <w:tcW w:w="2240" w:type="dxa"/>
            <w:vAlign w:val="bottom"/>
            <w:gridSpan w:val="3"/>
          </w:tcPr>
          <w:p>
            <w:pPr>
              <w:jc w:val="right"/>
              <w:ind w:right="540"/>
              <w:spacing w:after="0"/>
              <w:rPr>
                <w:sz w:val="20"/>
                <w:szCs w:val="20"/>
                <w:color w:val="auto"/>
              </w:rPr>
            </w:pPr>
            <w:r>
              <w:rPr>
                <w:rFonts w:ascii="Arial" w:cs="Arial" w:eastAsia="Arial" w:hAnsi="Arial"/>
                <w:sz w:val="18"/>
                <w:szCs w:val="18"/>
                <w:color w:val="auto"/>
              </w:rPr>
              <w:t>1,164,665,182</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25,197,472</w:t>
            </w:r>
          </w:p>
        </w:tc>
        <w:tc>
          <w:tcPr>
            <w:tcW w:w="600" w:type="dxa"/>
            <w:vAlign w:val="bottom"/>
          </w:tcPr>
          <w:p>
            <w:pPr>
              <w:spacing w:after="0"/>
              <w:rPr>
                <w:sz w:val="21"/>
                <w:szCs w:val="21"/>
                <w:color w:val="auto"/>
              </w:rPr>
            </w:pPr>
          </w:p>
        </w:tc>
        <w:tc>
          <w:tcPr>
            <w:tcW w:w="3840" w:type="dxa"/>
            <w:vAlign w:val="bottom"/>
            <w:gridSpan w:val="2"/>
          </w:tcPr>
          <w:p>
            <w:pPr>
              <w:jc w:val="right"/>
              <w:ind w:right="2320"/>
              <w:spacing w:after="0"/>
              <w:rPr>
                <w:sz w:val="20"/>
                <w:szCs w:val="20"/>
                <w:color w:val="auto"/>
              </w:rPr>
            </w:pPr>
            <w:r>
              <w:rPr>
                <w:rFonts w:ascii="Arial" w:cs="Arial" w:eastAsia="Arial" w:hAnsi="Arial"/>
                <w:sz w:val="18"/>
                <w:szCs w:val="18"/>
                <w:color w:val="auto"/>
              </w:rPr>
              <w:t>356,422,888</w:t>
            </w:r>
          </w:p>
        </w:tc>
      </w:tr>
      <w:tr>
        <w:trPr>
          <w:trHeight w:val="230"/>
        </w:trPr>
        <w:tc>
          <w:tcPr>
            <w:tcW w:w="2240" w:type="dxa"/>
            <w:vAlign w:val="bottom"/>
            <w:gridSpan w:val="2"/>
          </w:tcPr>
          <w:p>
            <w:pPr>
              <w:jc w:val="right"/>
              <w:spacing w:after="0"/>
              <w:rPr>
                <w:sz w:val="20"/>
                <w:szCs w:val="20"/>
                <w:color w:val="auto"/>
              </w:rPr>
            </w:pPr>
            <w:r>
              <w:rPr>
                <w:rFonts w:ascii="Arial" w:cs="Arial" w:eastAsia="Arial" w:hAnsi="Arial"/>
                <w:sz w:val="18"/>
                <w:szCs w:val="18"/>
                <w:color w:val="auto"/>
              </w:rPr>
              <w:t>46.78 %</w:t>
            </w:r>
          </w:p>
        </w:tc>
        <w:tc>
          <w:tcPr>
            <w:tcW w:w="580" w:type="dxa"/>
            <w:vAlign w:val="bottom"/>
          </w:tcPr>
          <w:p>
            <w:pPr>
              <w:spacing w:after="0"/>
              <w:rPr>
                <w:sz w:val="19"/>
                <w:szCs w:val="19"/>
                <w:color w:val="auto"/>
              </w:rPr>
            </w:pPr>
          </w:p>
        </w:tc>
        <w:tc>
          <w:tcPr>
            <w:tcW w:w="2240" w:type="dxa"/>
            <w:vAlign w:val="bottom"/>
            <w:gridSpan w:val="3"/>
          </w:tcPr>
          <w:p>
            <w:pPr>
              <w:jc w:val="right"/>
              <w:ind w:right="540"/>
              <w:spacing w:after="0"/>
              <w:rPr>
                <w:sz w:val="20"/>
                <w:szCs w:val="20"/>
                <w:color w:val="auto"/>
              </w:rPr>
            </w:pPr>
            <w:r>
              <w:rPr>
                <w:rFonts w:ascii="Arial" w:cs="Arial" w:eastAsia="Arial" w:hAnsi="Arial"/>
                <w:sz w:val="18"/>
                <w:szCs w:val="18"/>
                <w:color w:val="auto"/>
              </w:rPr>
              <w:t>52.08 %</w:t>
            </w:r>
          </w:p>
        </w:tc>
        <w:tc>
          <w:tcPr>
            <w:tcW w:w="2340" w:type="dxa"/>
            <w:vAlign w:val="bottom"/>
            <w:gridSpan w:val="3"/>
          </w:tcPr>
          <w:p>
            <w:pPr>
              <w:jc w:val="right"/>
              <w:ind w:right="600"/>
              <w:spacing w:after="0"/>
              <w:rPr>
                <w:sz w:val="20"/>
                <w:szCs w:val="20"/>
                <w:color w:val="auto"/>
              </w:rPr>
            </w:pPr>
            <w:r>
              <w:rPr>
                <w:rFonts w:ascii="Arial" w:cs="Arial" w:eastAsia="Arial" w:hAnsi="Arial"/>
                <w:sz w:val="18"/>
                <w:szCs w:val="18"/>
                <w:color w:val="auto"/>
              </w:rPr>
              <w:t>1.12 %</w:t>
            </w:r>
          </w:p>
        </w:tc>
        <w:tc>
          <w:tcPr>
            <w:tcW w:w="152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904"/>
        </w:trPr>
        <w:tc>
          <w:tcPr>
            <w:tcW w:w="1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115"/>
        </w:trPr>
        <w:tc>
          <w:tcPr>
            <w:tcW w:w="19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Proposal 6 - Shareholders did not approve the proposal on racial equity audit and report</w:t>
      </w:r>
    </w:p>
    <w:p>
      <w:pPr>
        <w:spacing w:after="0" w:line="235" w:lineRule="exact"/>
        <w:rPr>
          <w:sz w:val="20"/>
          <w:szCs w:val="20"/>
          <w:color w:val="auto"/>
        </w:rPr>
      </w:pPr>
    </w:p>
    <w:tbl>
      <w:tblPr>
        <w:tblLayout w:type="fixed"/>
        <w:tblInd w:w="124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89"/>
              </w:rPr>
              <w:t>For</w:t>
            </w:r>
          </w:p>
        </w:tc>
        <w:tc>
          <w:tcPr>
            <w:tcW w:w="1620" w:type="dxa"/>
            <w:vAlign w:val="bottom"/>
          </w:tcPr>
          <w:p>
            <w:pPr>
              <w:spacing w:after="0"/>
              <w:rPr>
                <w:sz w:val="17"/>
                <w:szCs w:val="17"/>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w w:val="96"/>
              </w:rPr>
              <w:t>Against</w:t>
            </w:r>
          </w:p>
        </w:tc>
        <w:tc>
          <w:tcPr>
            <w:tcW w:w="2200" w:type="dxa"/>
            <w:vAlign w:val="bottom"/>
            <w:gridSpan w:val="3"/>
          </w:tcPr>
          <w:p>
            <w:pPr>
              <w:ind w:left="940"/>
              <w:spacing w:after="0"/>
              <w:rPr>
                <w:sz w:val="20"/>
                <w:szCs w:val="20"/>
                <w:color w:val="auto"/>
              </w:rPr>
            </w:pPr>
            <w:r>
              <w:rPr>
                <w:rFonts w:ascii="Arial" w:cs="Arial" w:eastAsia="Arial" w:hAnsi="Arial"/>
                <w:sz w:val="18"/>
                <w:szCs w:val="18"/>
                <w:b w:val="1"/>
                <w:bCs w:val="1"/>
                <w:color w:val="auto"/>
              </w:rPr>
              <w:t>Abstain</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w w:val="97"/>
              </w:rPr>
              <w:t>Broker Non-Votes</w:t>
            </w:r>
          </w:p>
        </w:tc>
      </w:tr>
      <w:tr>
        <w:trPr>
          <w:trHeight w:val="20"/>
        </w:trPr>
        <w:tc>
          <w:tcPr>
            <w:tcW w:w="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r>
        <w:trPr>
          <w:trHeight w:val="250"/>
        </w:trPr>
        <w:tc>
          <w:tcPr>
            <w:tcW w:w="1000" w:type="dxa"/>
            <w:vAlign w:val="bottom"/>
            <w:gridSpan w:val="2"/>
          </w:tcPr>
          <w:p>
            <w:pPr>
              <w:jc w:val="right"/>
              <w:spacing w:after="0"/>
              <w:rPr>
                <w:sz w:val="20"/>
                <w:szCs w:val="20"/>
                <w:color w:val="auto"/>
              </w:rPr>
            </w:pPr>
            <w:r>
              <w:rPr>
                <w:rFonts w:ascii="Arial" w:cs="Arial" w:eastAsia="Arial" w:hAnsi="Arial"/>
                <w:sz w:val="18"/>
                <w:szCs w:val="18"/>
                <w:color w:val="auto"/>
                <w:w w:val="97"/>
              </w:rPr>
              <w:t>889,953,702</w:t>
            </w:r>
          </w:p>
        </w:tc>
        <w:tc>
          <w:tcPr>
            <w:tcW w:w="2960" w:type="dxa"/>
            <w:vAlign w:val="bottom"/>
            <w:gridSpan w:val="3"/>
          </w:tcPr>
          <w:p>
            <w:pPr>
              <w:jc w:val="right"/>
              <w:ind w:right="680"/>
              <w:spacing w:after="0"/>
              <w:rPr>
                <w:sz w:val="20"/>
                <w:szCs w:val="20"/>
                <w:color w:val="auto"/>
              </w:rPr>
            </w:pPr>
            <w:r>
              <w:rPr>
                <w:rFonts w:ascii="Arial" w:cs="Arial" w:eastAsia="Arial" w:hAnsi="Arial"/>
                <w:sz w:val="18"/>
                <w:szCs w:val="18"/>
                <w:color w:val="auto"/>
              </w:rPr>
              <w:t>1,306,263,446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39,752,051</w:t>
            </w:r>
          </w:p>
        </w:tc>
        <w:tc>
          <w:tcPr>
            <w:tcW w:w="6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356,422,888</w:t>
            </w:r>
          </w:p>
        </w:tc>
      </w:tr>
      <w:tr>
        <w:trPr>
          <w:trHeight w:val="229"/>
        </w:trPr>
        <w:tc>
          <w:tcPr>
            <w:tcW w:w="1000" w:type="dxa"/>
            <w:vAlign w:val="bottom"/>
            <w:gridSpan w:val="2"/>
          </w:tcPr>
          <w:p>
            <w:pPr>
              <w:jc w:val="right"/>
              <w:spacing w:after="0"/>
              <w:rPr>
                <w:sz w:val="20"/>
                <w:szCs w:val="20"/>
                <w:color w:val="auto"/>
              </w:rPr>
            </w:pPr>
            <w:r>
              <w:rPr>
                <w:rFonts w:ascii="Arial" w:cs="Arial" w:eastAsia="Arial" w:hAnsi="Arial"/>
                <w:sz w:val="18"/>
                <w:szCs w:val="18"/>
                <w:color w:val="auto"/>
              </w:rPr>
              <w:t>39.80 %</w:t>
            </w:r>
          </w:p>
        </w:tc>
        <w:tc>
          <w:tcPr>
            <w:tcW w:w="2960" w:type="dxa"/>
            <w:vAlign w:val="bottom"/>
            <w:gridSpan w:val="3"/>
          </w:tcPr>
          <w:p>
            <w:pPr>
              <w:jc w:val="right"/>
              <w:ind w:right="680"/>
              <w:spacing w:after="0"/>
              <w:rPr>
                <w:sz w:val="20"/>
                <w:szCs w:val="20"/>
                <w:color w:val="auto"/>
              </w:rPr>
            </w:pPr>
            <w:r>
              <w:rPr>
                <w:rFonts w:ascii="Arial" w:cs="Arial" w:eastAsia="Arial" w:hAnsi="Arial"/>
                <w:sz w:val="18"/>
                <w:szCs w:val="18"/>
                <w:color w:val="auto"/>
              </w:rPr>
              <w:t>58.42 %</w:t>
            </w:r>
          </w:p>
        </w:tc>
        <w:tc>
          <w:tcPr>
            <w:tcW w:w="2200" w:type="dxa"/>
            <w:vAlign w:val="bottom"/>
            <w:gridSpan w:val="3"/>
          </w:tcPr>
          <w:p>
            <w:pPr>
              <w:jc w:val="right"/>
              <w:ind w:right="600"/>
              <w:spacing w:after="0"/>
              <w:rPr>
                <w:sz w:val="20"/>
                <w:szCs w:val="20"/>
                <w:color w:val="auto"/>
              </w:rPr>
            </w:pPr>
            <w:r>
              <w:rPr>
                <w:rFonts w:ascii="Arial" w:cs="Arial" w:eastAsia="Arial" w:hAnsi="Arial"/>
                <w:sz w:val="18"/>
                <w:szCs w:val="18"/>
                <w:color w:val="auto"/>
              </w:rPr>
              <w:t>1.77 %</w:t>
            </w:r>
          </w:p>
        </w:tc>
        <w:tc>
          <w:tcPr>
            <w:tcW w:w="1520" w:type="dxa"/>
            <w:vAlign w:val="bottom"/>
          </w:tcPr>
          <w:p>
            <w:pPr>
              <w:spacing w:after="0"/>
              <w:rPr>
                <w:sz w:val="19"/>
                <w:szCs w:val="19"/>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Proposal 7 - Shareholders did not approve the proposal on independent board chairman</w:t>
      </w:r>
    </w:p>
    <w:p>
      <w:pPr>
        <w:spacing w:after="0" w:line="235"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w w:val="96"/>
              </w:rPr>
              <w:t>For</w:t>
            </w: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6"/>
              </w:rPr>
              <w:t>Against</w:t>
            </w:r>
          </w:p>
        </w:tc>
        <w:tc>
          <w:tcPr>
            <w:tcW w:w="720" w:type="dxa"/>
            <w:vAlign w:val="bottom"/>
          </w:tcPr>
          <w:p>
            <w:pPr>
              <w:spacing w:after="0"/>
              <w:rPr>
                <w:sz w:val="17"/>
                <w:szCs w:val="17"/>
                <w:color w:val="auto"/>
              </w:rPr>
            </w:pPr>
          </w:p>
        </w:tc>
        <w:tc>
          <w:tcPr>
            <w:tcW w:w="2140" w:type="dxa"/>
            <w:vAlign w:val="bottom"/>
            <w:gridSpan w:val="3"/>
          </w:tcPr>
          <w:p>
            <w:pPr>
              <w:ind w:left="880"/>
              <w:spacing w:after="0"/>
              <w:rPr>
                <w:sz w:val="20"/>
                <w:szCs w:val="20"/>
                <w:color w:val="auto"/>
              </w:rPr>
            </w:pPr>
            <w:r>
              <w:rPr>
                <w:rFonts w:ascii="Arial" w:cs="Arial" w:eastAsia="Arial" w:hAnsi="Arial"/>
                <w:sz w:val="18"/>
                <w:szCs w:val="18"/>
                <w:b w:val="1"/>
                <w:bCs w:val="1"/>
                <w:color w:val="auto"/>
              </w:rPr>
              <w:t>Abstain</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w w:val="97"/>
              </w:rPr>
              <w:t>Broker Non-Votes</w:t>
            </w:r>
          </w:p>
        </w:tc>
      </w:tr>
      <w:tr>
        <w:trPr>
          <w:trHeight w:val="20"/>
        </w:trPr>
        <w:tc>
          <w:tcPr>
            <w:tcW w:w="8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r>
        <w:trPr>
          <w:trHeight w:val="250"/>
        </w:trPr>
        <w:tc>
          <w:tcPr>
            <w:tcW w:w="1720" w:type="dxa"/>
            <w:vAlign w:val="bottom"/>
            <w:gridSpan w:val="3"/>
          </w:tcPr>
          <w:p>
            <w:pPr>
              <w:jc w:val="right"/>
              <w:ind w:right="560"/>
              <w:spacing w:after="0"/>
              <w:rPr>
                <w:sz w:val="20"/>
                <w:szCs w:val="20"/>
                <w:color w:val="auto"/>
              </w:rPr>
            </w:pPr>
            <w:r>
              <w:rPr>
                <w:rFonts w:ascii="Arial" w:cs="Arial" w:eastAsia="Arial" w:hAnsi="Arial"/>
                <w:sz w:val="18"/>
                <w:szCs w:val="18"/>
                <w:color w:val="auto"/>
                <w:w w:val="99"/>
              </w:rPr>
              <w:t>1,063,138,397</w:t>
            </w:r>
          </w:p>
        </w:tc>
        <w:tc>
          <w:tcPr>
            <w:tcW w:w="2440" w:type="dxa"/>
            <w:vAlign w:val="bottom"/>
            <w:gridSpan w:val="3"/>
          </w:tcPr>
          <w:p>
            <w:pPr>
              <w:jc w:val="right"/>
              <w:ind w:right="720"/>
              <w:spacing w:after="0"/>
              <w:rPr>
                <w:sz w:val="20"/>
                <w:szCs w:val="20"/>
                <w:color w:val="auto"/>
              </w:rPr>
            </w:pPr>
            <w:r>
              <w:rPr>
                <w:rFonts w:ascii="Arial" w:cs="Arial" w:eastAsia="Arial" w:hAnsi="Arial"/>
                <w:sz w:val="18"/>
                <w:szCs w:val="18"/>
                <w:color w:val="auto"/>
              </w:rPr>
              <w:t>1,163,649,134</w:t>
            </w:r>
          </w:p>
        </w:tc>
        <w:tc>
          <w:tcPr>
            <w:tcW w:w="2140" w:type="dxa"/>
            <w:vAlign w:val="bottom"/>
            <w:gridSpan w:val="3"/>
          </w:tcPr>
          <w:p>
            <w:pPr>
              <w:jc w:val="right"/>
              <w:ind w:right="600"/>
              <w:spacing w:after="0"/>
              <w:rPr>
                <w:sz w:val="20"/>
                <w:szCs w:val="20"/>
                <w:color w:val="auto"/>
              </w:rPr>
            </w:pPr>
            <w:r>
              <w:rPr>
                <w:rFonts w:ascii="Arial" w:cs="Arial" w:eastAsia="Arial" w:hAnsi="Arial"/>
                <w:sz w:val="18"/>
                <w:szCs w:val="18"/>
                <w:color w:val="auto"/>
              </w:rPr>
              <w:t>9,181,668</w:t>
            </w:r>
          </w:p>
        </w:tc>
        <w:tc>
          <w:tcPr>
            <w:tcW w:w="1520" w:type="dxa"/>
            <w:vAlign w:val="bottom"/>
          </w:tcPr>
          <w:p>
            <w:pPr>
              <w:jc w:val="right"/>
              <w:spacing w:after="0"/>
              <w:rPr>
                <w:sz w:val="20"/>
                <w:szCs w:val="20"/>
                <w:color w:val="auto"/>
              </w:rPr>
            </w:pPr>
            <w:r>
              <w:rPr>
                <w:rFonts w:ascii="Arial" w:cs="Arial" w:eastAsia="Arial" w:hAnsi="Arial"/>
                <w:sz w:val="18"/>
                <w:szCs w:val="18"/>
                <w:color w:val="auto"/>
              </w:rPr>
              <w:t>356,422,888</w:t>
            </w:r>
          </w:p>
        </w:tc>
      </w:tr>
      <w:tr>
        <w:trPr>
          <w:trHeight w:val="229"/>
        </w:trPr>
        <w:tc>
          <w:tcPr>
            <w:tcW w:w="1720" w:type="dxa"/>
            <w:vAlign w:val="bottom"/>
            <w:gridSpan w:val="3"/>
          </w:tcPr>
          <w:p>
            <w:pPr>
              <w:jc w:val="right"/>
              <w:ind w:right="560"/>
              <w:spacing w:after="0"/>
              <w:rPr>
                <w:sz w:val="20"/>
                <w:szCs w:val="20"/>
                <w:color w:val="auto"/>
              </w:rPr>
            </w:pPr>
            <w:r>
              <w:rPr>
                <w:rFonts w:ascii="Arial" w:cs="Arial" w:eastAsia="Arial" w:hAnsi="Arial"/>
                <w:sz w:val="18"/>
                <w:szCs w:val="18"/>
                <w:color w:val="auto"/>
              </w:rPr>
              <w:t>47.54 %</w:t>
            </w:r>
          </w:p>
        </w:tc>
        <w:tc>
          <w:tcPr>
            <w:tcW w:w="2440" w:type="dxa"/>
            <w:vAlign w:val="bottom"/>
            <w:gridSpan w:val="3"/>
          </w:tcPr>
          <w:p>
            <w:pPr>
              <w:jc w:val="right"/>
              <w:ind w:right="720"/>
              <w:spacing w:after="0"/>
              <w:rPr>
                <w:sz w:val="20"/>
                <w:szCs w:val="20"/>
                <w:color w:val="auto"/>
              </w:rPr>
            </w:pPr>
            <w:r>
              <w:rPr>
                <w:rFonts w:ascii="Arial" w:cs="Arial" w:eastAsia="Arial" w:hAnsi="Arial"/>
                <w:sz w:val="18"/>
                <w:szCs w:val="18"/>
                <w:color w:val="auto"/>
              </w:rPr>
              <w:t>52.04 %</w:t>
            </w:r>
          </w:p>
        </w:tc>
        <w:tc>
          <w:tcPr>
            <w:tcW w:w="2140" w:type="dxa"/>
            <w:vAlign w:val="bottom"/>
            <w:gridSpan w:val="3"/>
          </w:tcPr>
          <w:p>
            <w:pPr>
              <w:jc w:val="right"/>
              <w:ind w:right="600"/>
              <w:spacing w:after="0"/>
              <w:rPr>
                <w:sz w:val="20"/>
                <w:szCs w:val="20"/>
                <w:color w:val="auto"/>
              </w:rPr>
            </w:pPr>
            <w:r>
              <w:rPr>
                <w:rFonts w:ascii="Arial" w:cs="Arial" w:eastAsia="Arial" w:hAnsi="Arial"/>
                <w:sz w:val="18"/>
                <w:szCs w:val="18"/>
                <w:color w:val="auto"/>
              </w:rPr>
              <w:t>0.41 %</w:t>
            </w:r>
          </w:p>
        </w:tc>
        <w:tc>
          <w:tcPr>
            <w:tcW w:w="1520" w:type="dxa"/>
            <w:vAlign w:val="bottom"/>
          </w:tcPr>
          <w:p>
            <w:pPr>
              <w:spacing w:after="0"/>
              <w:rPr>
                <w:sz w:val="19"/>
                <w:szCs w:val="19"/>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Proposal 8 - Shareholders did not approve the proposal on political and electioneering expenditure and congruency report</w:t>
      </w:r>
    </w:p>
    <w:p>
      <w:pPr>
        <w:spacing w:after="0" w:line="235" w:lineRule="exact"/>
        <w:rPr>
          <w:sz w:val="20"/>
          <w:szCs w:val="20"/>
          <w:color w:val="auto"/>
        </w:rPr>
      </w:pPr>
    </w:p>
    <w:tbl>
      <w:tblPr>
        <w:tblLayout w:type="fixed"/>
        <w:tblInd w:w="124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89"/>
              </w:rPr>
              <w:t>For</w:t>
            </w:r>
          </w:p>
        </w:tc>
        <w:tc>
          <w:tcPr>
            <w:tcW w:w="1620" w:type="dxa"/>
            <w:vAlign w:val="bottom"/>
          </w:tcPr>
          <w:p>
            <w:pPr>
              <w:spacing w:after="0"/>
              <w:rPr>
                <w:sz w:val="17"/>
                <w:szCs w:val="17"/>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w w:val="96"/>
              </w:rPr>
              <w:t>Against</w:t>
            </w:r>
          </w:p>
        </w:tc>
        <w:tc>
          <w:tcPr>
            <w:tcW w:w="2200" w:type="dxa"/>
            <w:vAlign w:val="bottom"/>
            <w:gridSpan w:val="3"/>
          </w:tcPr>
          <w:p>
            <w:pPr>
              <w:ind w:left="940"/>
              <w:spacing w:after="0"/>
              <w:rPr>
                <w:sz w:val="20"/>
                <w:szCs w:val="20"/>
                <w:color w:val="auto"/>
              </w:rPr>
            </w:pPr>
            <w:r>
              <w:rPr>
                <w:rFonts w:ascii="Arial" w:cs="Arial" w:eastAsia="Arial" w:hAnsi="Arial"/>
                <w:sz w:val="18"/>
                <w:szCs w:val="18"/>
                <w:b w:val="1"/>
                <w:bCs w:val="1"/>
                <w:color w:val="auto"/>
              </w:rPr>
              <w:t>Abstain</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w w:val="97"/>
              </w:rPr>
              <w:t>Broker Non-Votes</w:t>
            </w:r>
          </w:p>
        </w:tc>
      </w:tr>
      <w:tr>
        <w:trPr>
          <w:trHeight w:val="20"/>
        </w:trPr>
        <w:tc>
          <w:tcPr>
            <w:tcW w:w="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r>
        <w:trPr>
          <w:trHeight w:val="250"/>
        </w:trPr>
        <w:tc>
          <w:tcPr>
            <w:tcW w:w="1000" w:type="dxa"/>
            <w:vAlign w:val="bottom"/>
            <w:gridSpan w:val="2"/>
          </w:tcPr>
          <w:p>
            <w:pPr>
              <w:jc w:val="right"/>
              <w:spacing w:after="0"/>
              <w:rPr>
                <w:sz w:val="20"/>
                <w:szCs w:val="20"/>
                <w:color w:val="auto"/>
              </w:rPr>
            </w:pPr>
            <w:r>
              <w:rPr>
                <w:rFonts w:ascii="Arial" w:cs="Arial" w:eastAsia="Arial" w:hAnsi="Arial"/>
                <w:sz w:val="18"/>
                <w:szCs w:val="18"/>
                <w:color w:val="auto"/>
                <w:w w:val="97"/>
              </w:rPr>
              <w:t>660,183,317</w:t>
            </w:r>
          </w:p>
        </w:tc>
        <w:tc>
          <w:tcPr>
            <w:tcW w:w="2960" w:type="dxa"/>
            <w:vAlign w:val="bottom"/>
            <w:gridSpan w:val="3"/>
          </w:tcPr>
          <w:p>
            <w:pPr>
              <w:jc w:val="right"/>
              <w:ind w:right="680"/>
              <w:spacing w:after="0"/>
              <w:rPr>
                <w:sz w:val="20"/>
                <w:szCs w:val="20"/>
                <w:color w:val="auto"/>
              </w:rPr>
            </w:pPr>
            <w:r>
              <w:rPr>
                <w:rFonts w:ascii="Arial" w:cs="Arial" w:eastAsia="Arial" w:hAnsi="Arial"/>
                <w:sz w:val="18"/>
                <w:szCs w:val="18"/>
                <w:color w:val="auto"/>
              </w:rPr>
              <w:t>1,543,390,892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32,394,990</w:t>
            </w:r>
          </w:p>
        </w:tc>
        <w:tc>
          <w:tcPr>
            <w:tcW w:w="6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356,422,888</w:t>
            </w:r>
          </w:p>
        </w:tc>
      </w:tr>
      <w:tr>
        <w:trPr>
          <w:trHeight w:val="230"/>
        </w:trPr>
        <w:tc>
          <w:tcPr>
            <w:tcW w:w="1000" w:type="dxa"/>
            <w:vAlign w:val="bottom"/>
            <w:gridSpan w:val="2"/>
          </w:tcPr>
          <w:p>
            <w:pPr>
              <w:jc w:val="right"/>
              <w:spacing w:after="0"/>
              <w:rPr>
                <w:sz w:val="20"/>
                <w:szCs w:val="20"/>
                <w:color w:val="auto"/>
              </w:rPr>
            </w:pPr>
            <w:r>
              <w:rPr>
                <w:rFonts w:ascii="Arial" w:cs="Arial" w:eastAsia="Arial" w:hAnsi="Arial"/>
                <w:sz w:val="18"/>
                <w:szCs w:val="18"/>
                <w:color w:val="auto"/>
              </w:rPr>
              <w:t>29.52 %</w:t>
            </w:r>
          </w:p>
        </w:tc>
        <w:tc>
          <w:tcPr>
            <w:tcW w:w="2960" w:type="dxa"/>
            <w:vAlign w:val="bottom"/>
            <w:gridSpan w:val="3"/>
          </w:tcPr>
          <w:p>
            <w:pPr>
              <w:jc w:val="right"/>
              <w:ind w:right="680"/>
              <w:spacing w:after="0"/>
              <w:rPr>
                <w:sz w:val="20"/>
                <w:szCs w:val="20"/>
                <w:color w:val="auto"/>
              </w:rPr>
            </w:pPr>
            <w:r>
              <w:rPr>
                <w:rFonts w:ascii="Arial" w:cs="Arial" w:eastAsia="Arial" w:hAnsi="Arial"/>
                <w:sz w:val="18"/>
                <w:szCs w:val="18"/>
                <w:color w:val="auto"/>
              </w:rPr>
              <w:t>69.02 %</w:t>
            </w:r>
          </w:p>
        </w:tc>
        <w:tc>
          <w:tcPr>
            <w:tcW w:w="2200" w:type="dxa"/>
            <w:vAlign w:val="bottom"/>
            <w:gridSpan w:val="3"/>
          </w:tcPr>
          <w:p>
            <w:pPr>
              <w:jc w:val="right"/>
              <w:ind w:right="600"/>
              <w:spacing w:after="0"/>
              <w:rPr>
                <w:sz w:val="20"/>
                <w:szCs w:val="20"/>
                <w:color w:val="auto"/>
              </w:rPr>
            </w:pPr>
            <w:r>
              <w:rPr>
                <w:rFonts w:ascii="Arial" w:cs="Arial" w:eastAsia="Arial" w:hAnsi="Arial"/>
                <w:sz w:val="18"/>
                <w:szCs w:val="18"/>
                <w:color w:val="auto"/>
              </w:rPr>
              <w:t>1.44 %</w:t>
            </w:r>
          </w:p>
        </w:tc>
        <w:tc>
          <w:tcPr>
            <w:tcW w:w="1520" w:type="dxa"/>
            <w:vAlign w:val="bottom"/>
          </w:tcPr>
          <w:p>
            <w:pPr>
              <w:spacing w:after="0"/>
              <w:rPr>
                <w:sz w:val="19"/>
                <w:szCs w:val="19"/>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328" w:lineRule="exact"/>
        <w:rPr>
          <w:sz w:val="20"/>
          <w:szCs w:val="20"/>
          <w:color w:val="auto"/>
        </w:rPr>
      </w:pPr>
    </w:p>
    <w:p>
      <w:pPr>
        <w:ind w:left="420" w:hanging="412"/>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w:t>
      </w:r>
    </w:p>
    <w:p>
      <w:pPr>
        <w:sectPr>
          <w:pgSz w:w="11900" w:h="16838" w:orient="portrait"/>
          <w:cols w:equalWidth="0" w:num="1">
            <w:col w:w="10300"/>
          </w:cols>
          <w:pgMar w:left="320" w:top="1124" w:right="1279" w:bottom="1440" w:gutter="0" w:footer="0" w:header="0"/>
        </w:sectPr>
      </w:pPr>
    </w:p>
    <w:p>
      <w:pPr>
        <w:spacing w:after="0" w:line="392"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27305</wp:posOffset>
            </wp:positionV>
            <wp:extent cx="9429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101</w:t>
      </w:r>
    </w:p>
    <w:p>
      <w:pPr>
        <w:spacing w:after="0" w:line="19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20320</wp:posOffset>
            </wp:positionV>
            <wp:extent cx="53663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187"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Pursuant to Rule 406 of Regulation S-T, the cover page is formatted in Inline XBRL (Inline eXtensible Business Reporting Language).</w:t>
      </w:r>
    </w:p>
    <w:p>
      <w:pPr>
        <w:spacing w:after="0" w:line="13"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Cover Page Interactive Data File (embedded within the Inline XBRL document and included in Exhibit 101).</w:t>
      </w:r>
    </w:p>
    <w:p>
      <w:pPr>
        <w:spacing w:after="0" w:line="200" w:lineRule="exact"/>
        <w:rPr>
          <w:sz w:val="20"/>
          <w:szCs w:val="20"/>
          <w:color w:val="auto"/>
        </w:rPr>
      </w:pPr>
    </w:p>
    <w:p>
      <w:pPr>
        <w:sectPr>
          <w:pgSz w:w="11900" w:h="16838" w:orient="portrait"/>
          <w:cols w:equalWidth="0" w:num="2">
            <w:col w:w="1780" w:space="460"/>
            <w:col w:w="8060"/>
          </w:cols>
          <w:pgMar w:left="320" w:top="1124"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0"/>
          </w:cols>
          <w:pgMar w:left="320" w:top="1124" w:right="127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u w:val="single" w:color="auto"/>
          <w:color w:val="auto"/>
        </w:rPr>
        <w:t>SIGNATURE</w:t>
      </w:r>
    </w:p>
    <w:p>
      <w:pPr>
        <w:spacing w:after="0" w:line="200" w:lineRule="exact"/>
        <w:rPr>
          <w:sz w:val="20"/>
          <w:szCs w:val="20"/>
          <w:color w:val="auto"/>
        </w:rPr>
      </w:pPr>
    </w:p>
    <w:p>
      <w:pPr>
        <w:spacing w:after="0" w:line="36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5800" w:type="dxa"/>
        <w:tblCellMar>
          <w:top w:w="0" w:type="dxa"/>
          <w:left w:w="0" w:type="dxa"/>
          <w:bottom w:w="0" w:type="dxa"/>
          <w:right w:w="0" w:type="dxa"/>
        </w:tblCellMar>
      </w:tblPr>
      <w:tr>
        <w:trPr>
          <w:trHeight w:val="217"/>
        </w:trPr>
        <w:tc>
          <w:tcPr>
            <w:tcW w:w="500" w:type="dxa"/>
            <w:vAlign w:val="bottom"/>
          </w:tcPr>
          <w:p>
            <w:pPr>
              <w:spacing w:after="0"/>
              <w:rPr>
                <w:sz w:val="18"/>
                <w:szCs w:val="18"/>
                <w:color w:val="auto"/>
              </w:rPr>
            </w:pP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JPMorgan Chase &amp; Co.</w:t>
            </w:r>
          </w:p>
        </w:tc>
      </w:tr>
      <w:tr>
        <w:trPr>
          <w:trHeight w:val="223"/>
        </w:trPr>
        <w:tc>
          <w:tcPr>
            <w:tcW w:w="50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91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John H. Tribolati</w:t>
            </w:r>
          </w:p>
        </w:tc>
      </w:tr>
      <w:tr>
        <w:trPr>
          <w:trHeight w:val="223"/>
        </w:trPr>
        <w:tc>
          <w:tcPr>
            <w:tcW w:w="50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9"/>
              </w:rPr>
              <w:t>John H. Tribolati</w:t>
            </w:r>
          </w:p>
        </w:tc>
      </w:tr>
      <w:tr>
        <w:trPr>
          <w:trHeight w:val="230"/>
        </w:trPr>
        <w:tc>
          <w:tcPr>
            <w:tcW w:w="50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9"/>
              </w:rPr>
              <w:t>Corporate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8"/>
          <w:szCs w:val="18"/>
          <w:color w:val="auto"/>
        </w:rPr>
        <w:t>Dated:</w:t>
        <w:tab/>
        <w:t>May 21,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sectPr>
      <w:pgSz w:w="11900" w:h="16838" w:orient="portrait"/>
      <w:cols w:equalWidth="0" w:num="1">
        <w:col w:w="11240"/>
      </w:cols>
      <w:pgMar w:left="320" w:top="1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2021-05-21T15:54:17Z</dcterms:created>
  <dcterms:modified xsi:type="dcterms:W3CDTF">2021-05-21T15:54:17Z</dcterms:modified>
</cp:coreProperties>
</file>