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4308-01_fwp.htm"/>
      <w:bookmarkStart w:id="1" w:name="ksea0304308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September 1,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3-Year RTY/SPX/SX5E Contingent Income Auto-Callable Securities, with 6-Month Initial Non-Call Period</w:t>
      </w:r>
    </w:p>
    <w:p>
      <w:pPr>
        <w:pStyle w:val="TextBody"/>
        <w:bidi w:val="0"/>
        <w:spacing w:before="0" w:after="60"/>
        <w:ind w:left="86" w:right="0" w:hanging="0"/>
        <w:jc w:val="left"/>
        <w:rPr>
          <w:rFonts w:ascii="Arial;Helvetica;Sans-Serif" w:hAnsi="Arial;Helvetica;Sans-Serif"/>
          <w:b/>
          <w:i/>
          <w:caps w:val="false"/>
          <w:smallCaps w:val="false"/>
          <w:sz w:val="14"/>
        </w:rPr>
      </w:pPr>
      <w:r>
        <w:rPr>
          <w:rFonts w:ascii="Arial;Helvetica;Sans-Serif" w:hAnsi="Arial;Helvetica;Sans-Serif"/>
          <w:b/>
          <w:i/>
          <w:caps w:val="false"/>
          <w:smallCaps w:val="false"/>
          <w:sz w:val="14"/>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748284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74828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26"/>
                              <w:gridCol w:w="2726"/>
                              <w:gridCol w:w="6253"/>
                            </w:tblGrid>
                            <w:tr>
                              <w:trPr/>
                              <w:tc>
                                <w:tcPr>
                                  <w:tcW w:w="10205" w:type="dxa"/>
                                  <w:gridSpan w:val="3"/>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26"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Issuer: </w:t>
                                  </w:r>
                                </w:p>
                              </w:tc>
                              <w:tc>
                                <w:tcPr>
                                  <w:tcW w:w="8979" w:type="dxa"/>
                                  <w:gridSpan w:val="2"/>
                                  <w:tcBorders/>
                                  <w:shd w:fill="FFFFFF" w:val="clear"/>
                                  <w:vAlign w:val="center"/>
                                </w:tcPr>
                                <w:p>
                                  <w:pPr>
                                    <w:pStyle w:val="TableContents"/>
                                    <w:bidi w:val="0"/>
                                    <w:spacing w:before="0" w:after="283"/>
                                    <w:jc w:val="left"/>
                                    <w:rPr>
                                      <w:sz w:val="14"/>
                                    </w:rPr>
                                  </w:pPr>
                                  <w:r>
                                    <w:rPr>
                                      <w:sz w:val="14"/>
                                    </w:rPr>
                                    <w:t>JPMorgan Chase Financial Company LLC (“JPMorgan Financial”)</w:t>
                                  </w:r>
                                </w:p>
                              </w:tc>
                            </w:tr>
                            <w:tr>
                              <w:trPr/>
                              <w:tc>
                                <w:tcPr>
                                  <w:tcW w:w="122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Guarantor:</w:t>
                                  </w:r>
                                </w:p>
                              </w:tc>
                              <w:tc>
                                <w:tcPr>
                                  <w:tcW w:w="8979" w:type="dxa"/>
                                  <w:gridSpan w:val="2"/>
                                  <w:tcBorders/>
                                  <w:shd w:fill="DCEBF4" w:val="clear"/>
                                  <w:vAlign w:val="center"/>
                                </w:tcPr>
                                <w:p>
                                  <w:pPr>
                                    <w:pStyle w:val="TableContents"/>
                                    <w:bidi w:val="0"/>
                                    <w:spacing w:before="0" w:after="283"/>
                                    <w:jc w:val="left"/>
                                    <w:rPr>
                                      <w:sz w:val="14"/>
                                    </w:rPr>
                                  </w:pPr>
                                  <w:r>
                                    <w:rPr>
                                      <w:sz w:val="14"/>
                                    </w:rPr>
                                    <w:t>JPMorgan Chase &amp; Co.</w:t>
                                  </w:r>
                                </w:p>
                              </w:tc>
                            </w:tr>
                            <w:tr>
                              <w:trPr/>
                              <w:tc>
                                <w:tcPr>
                                  <w:tcW w:w="1226"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Underlying indices: </w:t>
                                  </w:r>
                                </w:p>
                              </w:tc>
                              <w:tc>
                                <w:tcPr>
                                  <w:tcW w:w="8979" w:type="dxa"/>
                                  <w:gridSpan w:val="2"/>
                                  <w:tcBorders/>
                                  <w:vAlign w:val="center"/>
                                </w:tcPr>
                                <w:p>
                                  <w:pPr>
                                    <w:pStyle w:val="TableContents"/>
                                    <w:bidi w:val="0"/>
                                    <w:spacing w:before="0" w:after="283"/>
                                    <w:jc w:val="left"/>
                                    <w:rPr>
                                      <w:sz w:val="14"/>
                                    </w:rPr>
                                  </w:pPr>
                                  <w:r>
                                    <w:rPr>
                                      <w:sz w:val="14"/>
                                    </w:rPr>
                                    <w:t>Russell 2000</w:t>
                                  </w:r>
                                  <w:r>
                                    <w:rPr>
                                      <w:position w:val="5"/>
                                      <w:sz w:val="11"/>
                                      <w:sz w:val="14"/>
                                    </w:rPr>
                                    <w:t>®</w:t>
                                  </w:r>
                                  <w:r>
                                    <w:rPr>
                                      <w:sz w:val="14"/>
                                    </w:rPr>
                                    <w:t xml:space="preserve"> Index (Bloomberg ticker: RTY Index) (the “RTY Index”), S&amp;P 500</w:t>
                                  </w:r>
                                  <w:r>
                                    <w:rPr>
                                      <w:position w:val="5"/>
                                      <w:sz w:val="11"/>
                                      <w:sz w:val="14"/>
                                    </w:rPr>
                                    <w:t>®</w:t>
                                  </w:r>
                                  <w:r>
                                    <w:rPr>
                                      <w:sz w:val="14"/>
                                    </w:rPr>
                                    <w:t xml:space="preserve"> Index (Bloomberg ticker: SPX Index) (the “SPX Index”) and EURO STOXX 50</w:t>
                                  </w:r>
                                  <w:r>
                                    <w:rPr>
                                      <w:position w:val="5"/>
                                      <w:sz w:val="11"/>
                                      <w:sz w:val="14"/>
                                    </w:rPr>
                                    <w:t>®</w:t>
                                  </w:r>
                                  <w:r>
                                    <w:rPr>
                                      <w:sz w:val="14"/>
                                    </w:rPr>
                                    <w:t xml:space="preserve"> Index (Bloomberg ticker: SX5E Index) (the “SX5E Index”) (each, an “underlying index”)</w:t>
                                  </w:r>
                                </w:p>
                              </w:tc>
                            </w:tr>
                            <w:tr>
                              <w:trPr/>
                              <w:tc>
                                <w:tcPr>
                                  <w:tcW w:w="122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Early redemption: </w:t>
                                  </w:r>
                                </w:p>
                              </w:tc>
                              <w:tc>
                                <w:tcPr>
                                  <w:tcW w:w="8979" w:type="dxa"/>
                                  <w:gridSpan w:val="2"/>
                                  <w:tcBorders/>
                                  <w:shd w:fill="DCEBF4" w:val="clear"/>
                                  <w:vAlign w:val="center"/>
                                </w:tcPr>
                                <w:p>
                                  <w:pPr>
                                    <w:pStyle w:val="TableContents"/>
                                    <w:bidi w:val="0"/>
                                    <w:spacing w:before="20" w:after="40"/>
                                    <w:ind w:left="20" w:right="2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If, on any of the determination dates (other than the first and final determination dates), the closing level of each underlying index is greater than or equal to its initial index value, the securities will be automatically redeemed for an early redemption payment on the first contingent payment date immediately following the related determination date. No further payments will be made on the securities once they have been redeemed.</w:t>
                                  </w:r>
                                </w:p>
                                <w:p>
                                  <w:pPr>
                                    <w:pStyle w:val="TableContents"/>
                                    <w:bidi w:val="0"/>
                                    <w:spacing w:before="20" w:after="40"/>
                                    <w:ind w:left="20" w:right="20" w:hanging="0"/>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The securities will not be redeemed early on any contingent payment date if the closing level of any underlying index is below its initial index value on the related determination date.</w:t>
                                  </w:r>
                                </w:p>
                              </w:tc>
                            </w:tr>
                            <w:tr>
                              <w:trPr/>
                              <w:tc>
                                <w:tcPr>
                                  <w:tcW w:w="1226"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Early redemption payment: </w:t>
                                  </w:r>
                                </w:p>
                              </w:tc>
                              <w:tc>
                                <w:tcPr>
                                  <w:tcW w:w="8979" w:type="dxa"/>
                                  <w:gridSpan w:val="2"/>
                                  <w:tcBorders/>
                                  <w:vAlign w:val="center"/>
                                </w:tcPr>
                                <w:p>
                                  <w:pPr>
                                    <w:pStyle w:val="TableContents"/>
                                    <w:bidi w:val="0"/>
                                    <w:spacing w:before="0" w:after="283"/>
                                    <w:jc w:val="left"/>
                                    <w:rPr>
                                      <w:sz w:val="14"/>
                                    </w:rPr>
                                  </w:pPr>
                                  <w:r>
                                    <w:rPr>
                                      <w:sz w:val="14"/>
                                    </w:rPr>
                                    <w:t xml:space="preserve">The early redemption payment will be an amount equal to (i) the stated principal amount </w:t>
                                  </w:r>
                                  <w:r>
                                    <w:rPr>
                                      <w:i/>
                                      <w:sz w:val="14"/>
                                    </w:rPr>
                                    <w:t>plus</w:t>
                                  </w:r>
                                  <w:r>
                                    <w:rPr>
                                      <w:sz w:val="14"/>
                                    </w:rPr>
                                    <w:t xml:space="preserve"> (ii) any contingent quarterly payment otherwise due with respect to the related quarterly monitoring period.</w:t>
                                  </w:r>
                                </w:p>
                              </w:tc>
                            </w:tr>
                            <w:tr>
                              <w:trPr/>
                              <w:tc>
                                <w:tcPr>
                                  <w:tcW w:w="122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Contingent quarterly payment:</w:t>
                                  </w:r>
                                </w:p>
                              </w:tc>
                              <w:tc>
                                <w:tcPr>
                                  <w:tcW w:w="8979" w:type="dxa"/>
                                  <w:gridSpan w:val="2"/>
                                  <w:tcBorders/>
                                  <w:shd w:fill="DCEBF4" w:val="clear"/>
                                  <w:vAlign w:val="center"/>
                                </w:tcPr>
                                <w:p>
                                  <w:pPr>
                                    <w:pStyle w:val="TableContents"/>
                                    <w:bidi w:val="0"/>
                                    <w:spacing w:before="20" w:after="40"/>
                                    <w:ind w:left="720" w:right="20" w:hanging="360"/>
                                    <w:jc w:val="left"/>
                                    <w:rPr>
                                      <w:rFonts w:ascii="Arial;Helvetica;Sans-Serif" w:hAnsi="Arial;Helvetica;Sans-Serif"/>
                                      <w:b w:val="false"/>
                                      <w:i w:val="false"/>
                                      <w:caps w:val="false"/>
                                      <w:smallCaps w:val="false"/>
                                      <w:sz w:val="14"/>
                                    </w:rPr>
                                  </w:pPr>
                                  <w:r>
                                    <w:rPr>
                                      <w:rFonts w:ascii="Symbol" w:hAnsi="Symbol"/>
                                      <w:b w:val="false"/>
                                      <w:i w:val="false"/>
                                      <w:caps w:val="false"/>
                                      <w:smallCaps w:val="false"/>
                                      <w:sz w:val="14"/>
                                    </w:rPr>
                                    <w:t>·</w:t>
                                  </w:r>
                                  <w:r>
                                    <w:rPr>
                                      <w:rFonts w:ascii="Arial;Helvetica;Sans-Serif" w:hAnsi="Arial;Helvetica;Sans-Serif"/>
                                      <w:b w:val="false"/>
                                      <w:i w:val="false"/>
                                      <w:caps w:val="false"/>
                                      <w:smallCaps w:val="false"/>
                                      <w:sz w:val="14"/>
                                    </w:rPr>
                                    <w:t>       If the closing level of each underlying index is greater than or equal to its coupon barrier level on each day during a quarterly monitoring period, we will pay a contingent quarterly payment of at least $24.375 (at least 2.4375% of the stated principal amount) per security on the related contingent payment date. The actual contingent quarterly payment will be provided in the pricing supplement.</w:t>
                                  </w:r>
                                </w:p>
                                <w:p>
                                  <w:pPr>
                                    <w:pStyle w:val="TableContents"/>
                                    <w:bidi w:val="0"/>
                                    <w:spacing w:before="20" w:after="40"/>
                                    <w:ind w:left="720" w:right="20" w:hanging="360"/>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4"/>
                                    </w:rPr>
                                    <w:t>If the closing level of any underlying index is less than its coupon barrier level on any day during a quarterly monitoring period, no contingent quarterly payment will be payable with respect to that quarterly monitoring period. It is possible that the closing level of one or more of the underlying indices will be below their respective coupon barrier levels on at least one day during most or all of the quarterly monitoring periods so that you will receive few or no contingent quarterly payments.</w:t>
                                  </w:r>
                                </w:p>
                              </w:tc>
                            </w:tr>
                            <w:tr>
                              <w:trPr/>
                              <w:tc>
                                <w:tcPr>
                                  <w:tcW w:w="1226" w:type="dxa"/>
                                  <w:tcBorders/>
                                  <w:vAlign w:val="center"/>
                                </w:tcPr>
                                <w:p>
                                  <w:pPr>
                                    <w:pStyle w:val="TableContents"/>
                                    <w:bidi w:val="0"/>
                                    <w:spacing w:before="0" w:after="283"/>
                                    <w:ind w:left="0" w:right="0" w:hanging="147"/>
                                    <w:jc w:val="left"/>
                                    <w:rPr>
                                      <w:rFonts w:ascii="Arial;Helvetica;Sans-Serif" w:hAnsi="Arial;Helvetica;Sans-Serif"/>
                                      <w:b/>
                                      <w:color w:val="296DC1"/>
                                      <w:sz w:val="14"/>
                                    </w:rPr>
                                  </w:pPr>
                                  <w:r>
                                    <w:rPr>
                                      <w:rFonts w:ascii="Arial;Helvetica;Sans-Serif" w:hAnsi="Arial;Helvetica;Sans-Serif"/>
                                      <w:b/>
                                      <w:color w:val="296DC1"/>
                                      <w:sz w:val="14"/>
                                    </w:rPr>
                                    <w:t>Payment at maturity:</w:t>
                                  </w:r>
                                </w:p>
                              </w:tc>
                              <w:tc>
                                <w:tcPr>
                                  <w:tcW w:w="2726" w:type="dxa"/>
                                  <w:tcBorders/>
                                  <w:vAlign w:val="center"/>
                                </w:tcPr>
                                <w:p>
                                  <w:pPr>
                                    <w:pStyle w:val="TableContents"/>
                                    <w:bidi w:val="0"/>
                                    <w:spacing w:before="0" w:after="283"/>
                                    <w:jc w:val="left"/>
                                    <w:rPr/>
                                  </w:pPr>
                                  <w:r>
                                    <w:rPr>
                                      <w:rFonts w:ascii="Symbol" w:hAnsi="Symbol"/>
                                      <w:sz w:val="14"/>
                                    </w:rPr>
                                    <w:t>·</w:t>
                                  </w:r>
                                  <w:r>
                                    <w:rPr/>
                                    <w:t>  </w:t>
                                  </w:r>
                                  <w:r>
                                    <w:rPr>
                                      <w:sz w:val="14"/>
                                    </w:rPr>
                                    <w:t xml:space="preserve">If the final index value of </w:t>
                                  </w:r>
                                  <w:r>
                                    <w:rPr>
                                      <w:b/>
                                      <w:sz w:val="14"/>
                                    </w:rPr>
                                    <w:t>each</w:t>
                                  </w:r>
                                  <w:r>
                                    <w:rPr>
                                      <w:sz w:val="14"/>
                                    </w:rPr>
                                    <w:t xml:space="preserve"> underlying index is </w:t>
                                  </w:r>
                                  <w:r>
                                    <w:rPr>
                                      <w:b/>
                                      <w:sz w:val="14"/>
                                    </w:rPr>
                                    <w:t>greater than or equal to</w:t>
                                  </w:r>
                                  <w:r>
                                    <w:rPr>
                                      <w:sz w:val="14"/>
                                    </w:rPr>
                                    <w:t xml:space="preserve"> its downside threshold level:</w:t>
                                  </w:r>
                                </w:p>
                              </w:tc>
                              <w:tc>
                                <w:tcPr>
                                  <w:tcW w:w="6253" w:type="dxa"/>
                                  <w:tcBorders/>
                                  <w:vAlign w:val="center"/>
                                </w:tcPr>
                                <w:p>
                                  <w:pPr>
                                    <w:pStyle w:val="TableContents"/>
                                    <w:bidi w:val="0"/>
                                    <w:spacing w:before="0" w:after="283"/>
                                    <w:jc w:val="left"/>
                                    <w:rPr>
                                      <w:sz w:val="14"/>
                                    </w:rPr>
                                  </w:pPr>
                                  <w:r>
                                    <w:rPr>
                                      <w:sz w:val="14"/>
                                    </w:rPr>
                                    <w:t xml:space="preserve">(i) the stated principal amount </w:t>
                                  </w:r>
                                  <w:r>
                                    <w:rPr>
                                      <w:i/>
                                      <w:sz w:val="14"/>
                                    </w:rPr>
                                    <w:t xml:space="preserve">plus, </w:t>
                                  </w:r>
                                  <w:r>
                                    <w:rPr>
                                      <w:sz w:val="14"/>
                                    </w:rPr>
                                    <w:t>(ii) if the closing level of each underlying index on each day during the final quarterly monitoring period is greater than or equal to its coupon barrier level, the contingent quarterly payment with respect to the final quarterly monitoring period</w:t>
                                  </w:r>
                                </w:p>
                              </w:tc>
                            </w:tr>
                            <w:tr>
                              <w:trPr/>
                              <w:tc>
                                <w:tcPr>
                                  <w:tcW w:w="1226" w:type="dxa"/>
                                  <w:tcBorders/>
                                  <w:vAlign w:val="center"/>
                                </w:tcPr>
                                <w:p>
                                  <w:pPr>
                                    <w:pStyle w:val="TableContents"/>
                                    <w:bidi w:val="0"/>
                                    <w:spacing w:before="0" w:after="283"/>
                                    <w:ind w:left="0" w:right="0" w:hanging="147"/>
                                    <w:jc w:val="left"/>
                                    <w:rPr>
                                      <w:color w:val="296DC1"/>
                                    </w:rPr>
                                  </w:pPr>
                                  <w:r>
                                    <w:rPr>
                                      <w:color w:val="296DC1"/>
                                    </w:rPr>
                                    <w:t> </w:t>
                                  </w:r>
                                </w:p>
                              </w:tc>
                              <w:tc>
                                <w:tcPr>
                                  <w:tcW w:w="2726" w:type="dxa"/>
                                  <w:tcBorders/>
                                  <w:vAlign w:val="center"/>
                                </w:tcPr>
                                <w:p>
                                  <w:pPr>
                                    <w:pStyle w:val="TableContents"/>
                                    <w:bidi w:val="0"/>
                                    <w:spacing w:before="0" w:after="283"/>
                                    <w:jc w:val="left"/>
                                    <w:rPr/>
                                  </w:pPr>
                                  <w:r>
                                    <w:rPr>
                                      <w:rFonts w:ascii="Symbol" w:hAnsi="Symbol"/>
                                      <w:sz w:val="14"/>
                                    </w:rPr>
                                    <w:t>·</w:t>
                                  </w:r>
                                  <w:r>
                                    <w:rPr/>
                                    <w:t>  </w:t>
                                  </w:r>
                                  <w:r>
                                    <w:rPr>
                                      <w:sz w:val="14"/>
                                    </w:rPr>
                                    <w:t xml:space="preserve">If the final index value of </w:t>
                                  </w:r>
                                  <w:r>
                                    <w:rPr>
                                      <w:b/>
                                      <w:sz w:val="14"/>
                                    </w:rPr>
                                    <w:t>any</w:t>
                                  </w:r>
                                  <w:r>
                                    <w:rPr>
                                      <w:sz w:val="14"/>
                                    </w:rPr>
                                    <w:t xml:space="preserve"> underlying index is </w:t>
                                  </w:r>
                                  <w:r>
                                    <w:rPr>
                                      <w:b/>
                                      <w:sz w:val="14"/>
                                    </w:rPr>
                                    <w:t>less than</w:t>
                                  </w:r>
                                  <w:r>
                                    <w:rPr>
                                      <w:sz w:val="14"/>
                                    </w:rPr>
                                    <w:t xml:space="preserve"> its downside threshold level:</w:t>
                                  </w:r>
                                </w:p>
                              </w:tc>
                              <w:tc>
                                <w:tcPr>
                                  <w:tcW w:w="6253" w:type="dxa"/>
                                  <w:tcBorders/>
                                  <w:vAlign w:val="center"/>
                                </w:tcPr>
                                <w:p>
                                  <w:pPr>
                                    <w:pStyle w:val="TableContents"/>
                                    <w:bidi w:val="0"/>
                                    <w:spacing w:before="0" w:after="283"/>
                                    <w:jc w:val="left"/>
                                    <w:rPr>
                                      <w:sz w:val="14"/>
                                    </w:rPr>
                                  </w:pPr>
                                  <w:r>
                                    <w:rPr>
                                      <w:sz w:val="14"/>
                                    </w:rPr>
                                    <w:t xml:space="preserve">(i) the stated principal amount </w:t>
                                  </w:r>
                                  <w:r>
                                    <w:rPr>
                                      <w:i/>
                                      <w:sz w:val="14"/>
                                    </w:rPr>
                                    <w:t>times</w:t>
                                  </w:r>
                                  <w:r>
                                    <w:rPr>
                                      <w:sz w:val="14"/>
                                    </w:rPr>
                                    <w:t xml:space="preserve"> (ii) the index performance factor of the worst performing underlying index.  This cash payment will be less than 65% of the stated principal amount of the securities and could be zero.</w:t>
                                  </w:r>
                                </w:p>
                              </w:tc>
                            </w:tr>
                            <w:tr>
                              <w:trPr/>
                              <w:tc>
                                <w:tcPr>
                                  <w:tcW w:w="122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Coupon barrier level:</w:t>
                                  </w:r>
                                </w:p>
                              </w:tc>
                              <w:tc>
                                <w:tcPr>
                                  <w:tcW w:w="8979" w:type="dxa"/>
                                  <w:gridSpan w:val="2"/>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rPr/>
                              <w:tc>
                                <w:tcPr>
                                  <w:tcW w:w="1226"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Downside threshold level:</w:t>
                                  </w:r>
                                </w:p>
                              </w:tc>
                              <w:tc>
                                <w:tcPr>
                                  <w:tcW w:w="8979" w:type="dxa"/>
                                  <w:gridSpan w:val="2"/>
                                  <w:tcBorders/>
                                  <w:vAlign w:val="center"/>
                                </w:tcPr>
                                <w:p>
                                  <w:pPr>
                                    <w:pStyle w:val="TableContents"/>
                                    <w:bidi w:val="0"/>
                                    <w:spacing w:before="0" w:after="283"/>
                                    <w:jc w:val="left"/>
                                    <w:rPr>
                                      <w:sz w:val="15"/>
                                    </w:rPr>
                                  </w:pPr>
                                  <w:r>
                                    <w:rPr>
                                      <w:sz w:val="15"/>
                                    </w:rPr>
                                    <w:t>With respect to each underlying index, 65% of its initial index value</w:t>
                                  </w:r>
                                </w:p>
                              </w:tc>
                            </w:tr>
                            <w:tr>
                              <w:trPr/>
                              <w:tc>
                                <w:tcPr>
                                  <w:tcW w:w="122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Quarterly monitoring period:</w:t>
                                  </w:r>
                                </w:p>
                              </w:tc>
                              <w:tc>
                                <w:tcPr>
                                  <w:tcW w:w="8979" w:type="dxa"/>
                                  <w:gridSpan w:val="2"/>
                                  <w:tcBorders/>
                                  <w:shd w:fill="DCEBF4" w:val="clear"/>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226"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Initial index value:</w:t>
                                  </w:r>
                                </w:p>
                              </w:tc>
                              <w:tc>
                                <w:tcPr>
                                  <w:tcW w:w="8979" w:type="dxa"/>
                                  <w:gridSpan w:val="2"/>
                                  <w:tcBorders/>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22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Final index value:</w:t>
                                  </w:r>
                                </w:p>
                              </w:tc>
                              <w:tc>
                                <w:tcPr>
                                  <w:tcW w:w="8979" w:type="dxa"/>
                                  <w:gridSpan w:val="2"/>
                                  <w:tcBorders/>
                                  <w:shd w:fill="DCEBF4" w:val="clear"/>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226"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Worst performing underlying index:</w:t>
                                  </w:r>
                                </w:p>
                              </w:tc>
                              <w:tc>
                                <w:tcPr>
                                  <w:tcW w:w="8979" w:type="dxa"/>
                                  <w:gridSpan w:val="2"/>
                                  <w:tcBorders/>
                                  <w:shd w:fill="FFFFFF" w:val="clear"/>
                                  <w:vAlign w:val="center"/>
                                </w:tcPr>
                                <w:p>
                                  <w:pPr>
                                    <w:pStyle w:val="TableContents"/>
                                    <w:bidi w:val="0"/>
                                    <w:spacing w:before="0" w:after="283"/>
                                    <w:jc w:val="left"/>
                                    <w:rPr>
                                      <w:sz w:val="15"/>
                                    </w:rPr>
                                  </w:pPr>
                                  <w:r>
                                    <w:rPr>
                                      <w:sz w:val="15"/>
                                    </w:rPr>
                                    <w:t>The underlying index with the worst index performance factor</w:t>
                                  </w:r>
                                </w:p>
                              </w:tc>
                            </w:tr>
                            <w:tr>
                              <w:trPr/>
                              <w:tc>
                                <w:tcPr>
                                  <w:tcW w:w="122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Index performance factor:</w:t>
                                  </w:r>
                                </w:p>
                              </w:tc>
                              <w:tc>
                                <w:tcPr>
                                  <w:tcW w:w="8979" w:type="dxa"/>
                                  <w:gridSpan w:val="2"/>
                                  <w:tcBorders/>
                                  <w:shd w:fill="DCEBF4" w:val="clear"/>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r>
                              <w:trPr/>
                              <w:tc>
                                <w:tcPr>
                                  <w:tcW w:w="1226"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Stated principal amount:</w:t>
                                  </w:r>
                                </w:p>
                              </w:tc>
                              <w:tc>
                                <w:tcPr>
                                  <w:tcW w:w="8979" w:type="dxa"/>
                                  <w:gridSpan w:val="2"/>
                                  <w:tcBorders/>
                                  <w:vAlign w:val="center"/>
                                </w:tcPr>
                                <w:p>
                                  <w:pPr>
                                    <w:pStyle w:val="TableContents"/>
                                    <w:bidi w:val="0"/>
                                    <w:spacing w:before="0" w:after="283"/>
                                    <w:jc w:val="left"/>
                                    <w:rPr>
                                      <w:sz w:val="15"/>
                                    </w:rPr>
                                  </w:pPr>
                                  <w:r>
                                    <w:rPr>
                                      <w:sz w:val="15"/>
                                    </w:rPr>
                                    <w:t>$1,000 per security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89.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26"/>
                        <w:gridCol w:w="2726"/>
                        <w:gridCol w:w="6253"/>
                      </w:tblGrid>
                      <w:tr>
                        <w:trPr/>
                        <w:tc>
                          <w:tcPr>
                            <w:tcW w:w="10205" w:type="dxa"/>
                            <w:gridSpan w:val="3"/>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26"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Issuer: </w:t>
                            </w:r>
                          </w:p>
                        </w:tc>
                        <w:tc>
                          <w:tcPr>
                            <w:tcW w:w="8979" w:type="dxa"/>
                            <w:gridSpan w:val="2"/>
                            <w:tcBorders/>
                            <w:shd w:fill="FFFFFF" w:val="clear"/>
                            <w:vAlign w:val="center"/>
                          </w:tcPr>
                          <w:p>
                            <w:pPr>
                              <w:pStyle w:val="TableContents"/>
                              <w:bidi w:val="0"/>
                              <w:spacing w:before="0" w:after="283"/>
                              <w:jc w:val="left"/>
                              <w:rPr>
                                <w:sz w:val="14"/>
                              </w:rPr>
                            </w:pPr>
                            <w:r>
                              <w:rPr>
                                <w:sz w:val="14"/>
                              </w:rPr>
                              <w:t>JPMorgan Chase Financial Company LLC (“JPMorgan Financial”)</w:t>
                            </w:r>
                          </w:p>
                        </w:tc>
                      </w:tr>
                      <w:tr>
                        <w:trPr/>
                        <w:tc>
                          <w:tcPr>
                            <w:tcW w:w="122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Guarantor:</w:t>
                            </w:r>
                          </w:p>
                        </w:tc>
                        <w:tc>
                          <w:tcPr>
                            <w:tcW w:w="8979" w:type="dxa"/>
                            <w:gridSpan w:val="2"/>
                            <w:tcBorders/>
                            <w:shd w:fill="DCEBF4" w:val="clear"/>
                            <w:vAlign w:val="center"/>
                          </w:tcPr>
                          <w:p>
                            <w:pPr>
                              <w:pStyle w:val="TableContents"/>
                              <w:bidi w:val="0"/>
                              <w:spacing w:before="0" w:after="283"/>
                              <w:jc w:val="left"/>
                              <w:rPr>
                                <w:sz w:val="14"/>
                              </w:rPr>
                            </w:pPr>
                            <w:r>
                              <w:rPr>
                                <w:sz w:val="14"/>
                              </w:rPr>
                              <w:t>JPMorgan Chase &amp; Co.</w:t>
                            </w:r>
                          </w:p>
                        </w:tc>
                      </w:tr>
                      <w:tr>
                        <w:trPr/>
                        <w:tc>
                          <w:tcPr>
                            <w:tcW w:w="1226"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Underlying indices: </w:t>
                            </w:r>
                          </w:p>
                        </w:tc>
                        <w:tc>
                          <w:tcPr>
                            <w:tcW w:w="8979" w:type="dxa"/>
                            <w:gridSpan w:val="2"/>
                            <w:tcBorders/>
                            <w:vAlign w:val="center"/>
                          </w:tcPr>
                          <w:p>
                            <w:pPr>
                              <w:pStyle w:val="TableContents"/>
                              <w:bidi w:val="0"/>
                              <w:spacing w:before="0" w:after="283"/>
                              <w:jc w:val="left"/>
                              <w:rPr>
                                <w:sz w:val="14"/>
                              </w:rPr>
                            </w:pPr>
                            <w:r>
                              <w:rPr>
                                <w:sz w:val="14"/>
                              </w:rPr>
                              <w:t>Russell 2000</w:t>
                            </w:r>
                            <w:r>
                              <w:rPr>
                                <w:position w:val="5"/>
                                <w:sz w:val="11"/>
                                <w:sz w:val="14"/>
                              </w:rPr>
                              <w:t>®</w:t>
                            </w:r>
                            <w:r>
                              <w:rPr>
                                <w:sz w:val="14"/>
                              </w:rPr>
                              <w:t xml:space="preserve"> Index (Bloomberg ticker: RTY Index) (the “RTY Index”), S&amp;P 500</w:t>
                            </w:r>
                            <w:r>
                              <w:rPr>
                                <w:position w:val="5"/>
                                <w:sz w:val="11"/>
                                <w:sz w:val="14"/>
                              </w:rPr>
                              <w:t>®</w:t>
                            </w:r>
                            <w:r>
                              <w:rPr>
                                <w:sz w:val="14"/>
                              </w:rPr>
                              <w:t xml:space="preserve"> Index (Bloomberg ticker: SPX Index) (the “SPX Index”) and EURO STOXX 50</w:t>
                            </w:r>
                            <w:r>
                              <w:rPr>
                                <w:position w:val="5"/>
                                <w:sz w:val="11"/>
                                <w:sz w:val="14"/>
                              </w:rPr>
                              <w:t>®</w:t>
                            </w:r>
                            <w:r>
                              <w:rPr>
                                <w:sz w:val="14"/>
                              </w:rPr>
                              <w:t xml:space="preserve"> Index (Bloomberg ticker: SX5E Index) (the “SX5E Index”) (each, an “underlying index”)</w:t>
                            </w:r>
                          </w:p>
                        </w:tc>
                      </w:tr>
                      <w:tr>
                        <w:trPr/>
                        <w:tc>
                          <w:tcPr>
                            <w:tcW w:w="122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Early redemption: </w:t>
                            </w:r>
                          </w:p>
                        </w:tc>
                        <w:tc>
                          <w:tcPr>
                            <w:tcW w:w="8979" w:type="dxa"/>
                            <w:gridSpan w:val="2"/>
                            <w:tcBorders/>
                            <w:shd w:fill="DCEBF4" w:val="clear"/>
                            <w:vAlign w:val="center"/>
                          </w:tcPr>
                          <w:p>
                            <w:pPr>
                              <w:pStyle w:val="TableContents"/>
                              <w:bidi w:val="0"/>
                              <w:spacing w:before="20" w:after="40"/>
                              <w:ind w:left="20" w:right="2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If, on any of the determination dates (other than the first and final determination dates), the closing level of each underlying index is greater than or equal to its initial index value, the securities will be automatically redeemed for an early redemption payment on the first contingent payment date immediately following the related determination date. No further payments will be made on the securities once they have been redeemed.</w:t>
                            </w:r>
                          </w:p>
                          <w:p>
                            <w:pPr>
                              <w:pStyle w:val="TableContents"/>
                              <w:bidi w:val="0"/>
                              <w:spacing w:before="20" w:after="40"/>
                              <w:ind w:left="20" w:right="20" w:hanging="0"/>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The securities will not be redeemed early on any contingent payment date if the closing level of any underlying index is below its initial index value on the related determination date.</w:t>
                            </w:r>
                          </w:p>
                        </w:tc>
                      </w:tr>
                      <w:tr>
                        <w:trPr/>
                        <w:tc>
                          <w:tcPr>
                            <w:tcW w:w="1226"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Early redemption payment: </w:t>
                            </w:r>
                          </w:p>
                        </w:tc>
                        <w:tc>
                          <w:tcPr>
                            <w:tcW w:w="8979" w:type="dxa"/>
                            <w:gridSpan w:val="2"/>
                            <w:tcBorders/>
                            <w:vAlign w:val="center"/>
                          </w:tcPr>
                          <w:p>
                            <w:pPr>
                              <w:pStyle w:val="TableContents"/>
                              <w:bidi w:val="0"/>
                              <w:spacing w:before="0" w:after="283"/>
                              <w:jc w:val="left"/>
                              <w:rPr>
                                <w:sz w:val="14"/>
                              </w:rPr>
                            </w:pPr>
                            <w:r>
                              <w:rPr>
                                <w:sz w:val="14"/>
                              </w:rPr>
                              <w:t xml:space="preserve">The early redemption payment will be an amount equal to (i) the stated principal amount </w:t>
                            </w:r>
                            <w:r>
                              <w:rPr>
                                <w:i/>
                                <w:sz w:val="14"/>
                              </w:rPr>
                              <w:t>plus</w:t>
                            </w:r>
                            <w:r>
                              <w:rPr>
                                <w:sz w:val="14"/>
                              </w:rPr>
                              <w:t xml:space="preserve"> (ii) any contingent quarterly payment otherwise due with respect to the related quarterly monitoring period.</w:t>
                            </w:r>
                          </w:p>
                        </w:tc>
                      </w:tr>
                      <w:tr>
                        <w:trPr/>
                        <w:tc>
                          <w:tcPr>
                            <w:tcW w:w="122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Contingent quarterly payment:</w:t>
                            </w:r>
                          </w:p>
                        </w:tc>
                        <w:tc>
                          <w:tcPr>
                            <w:tcW w:w="8979" w:type="dxa"/>
                            <w:gridSpan w:val="2"/>
                            <w:tcBorders/>
                            <w:shd w:fill="DCEBF4" w:val="clear"/>
                            <w:vAlign w:val="center"/>
                          </w:tcPr>
                          <w:p>
                            <w:pPr>
                              <w:pStyle w:val="TableContents"/>
                              <w:bidi w:val="0"/>
                              <w:spacing w:before="20" w:after="40"/>
                              <w:ind w:left="720" w:right="20" w:hanging="360"/>
                              <w:jc w:val="left"/>
                              <w:rPr>
                                <w:rFonts w:ascii="Arial;Helvetica;Sans-Serif" w:hAnsi="Arial;Helvetica;Sans-Serif"/>
                                <w:b w:val="false"/>
                                <w:i w:val="false"/>
                                <w:caps w:val="false"/>
                                <w:smallCaps w:val="false"/>
                                <w:sz w:val="14"/>
                              </w:rPr>
                            </w:pPr>
                            <w:r>
                              <w:rPr>
                                <w:rFonts w:ascii="Symbol" w:hAnsi="Symbol"/>
                                <w:b w:val="false"/>
                                <w:i w:val="false"/>
                                <w:caps w:val="false"/>
                                <w:smallCaps w:val="false"/>
                                <w:sz w:val="14"/>
                              </w:rPr>
                              <w:t>·</w:t>
                            </w:r>
                            <w:r>
                              <w:rPr>
                                <w:rFonts w:ascii="Arial;Helvetica;Sans-Serif" w:hAnsi="Arial;Helvetica;Sans-Serif"/>
                                <w:b w:val="false"/>
                                <w:i w:val="false"/>
                                <w:caps w:val="false"/>
                                <w:smallCaps w:val="false"/>
                                <w:sz w:val="14"/>
                              </w:rPr>
                              <w:t>       If the closing level of each underlying index is greater than or equal to its coupon barrier level on each day during a quarterly monitoring period, we will pay a contingent quarterly payment of at least $24.375 (at least 2.4375% of the stated principal amount) per security on the related contingent payment date. The actual contingent quarterly payment will be provided in the pricing supplement.</w:t>
                            </w:r>
                          </w:p>
                          <w:p>
                            <w:pPr>
                              <w:pStyle w:val="TableContents"/>
                              <w:bidi w:val="0"/>
                              <w:spacing w:before="20" w:after="40"/>
                              <w:ind w:left="720" w:right="20" w:hanging="360"/>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4"/>
                              </w:rPr>
                              <w:t>If the closing level of any underlying index is less than its coupon barrier level on any day during a quarterly monitoring period, no contingent quarterly payment will be payable with respect to that quarterly monitoring period. It is possible that the closing level of one or more of the underlying indices will be below their respective coupon barrier levels on at least one day during most or all of the quarterly monitoring periods so that you will receive few or no contingent quarterly payments.</w:t>
                            </w:r>
                          </w:p>
                        </w:tc>
                      </w:tr>
                      <w:tr>
                        <w:trPr/>
                        <w:tc>
                          <w:tcPr>
                            <w:tcW w:w="1226" w:type="dxa"/>
                            <w:tcBorders/>
                            <w:vAlign w:val="center"/>
                          </w:tcPr>
                          <w:p>
                            <w:pPr>
                              <w:pStyle w:val="TableContents"/>
                              <w:bidi w:val="0"/>
                              <w:spacing w:before="0" w:after="283"/>
                              <w:ind w:left="0" w:right="0" w:hanging="147"/>
                              <w:jc w:val="left"/>
                              <w:rPr>
                                <w:rFonts w:ascii="Arial;Helvetica;Sans-Serif" w:hAnsi="Arial;Helvetica;Sans-Serif"/>
                                <w:b/>
                                <w:color w:val="296DC1"/>
                                <w:sz w:val="14"/>
                              </w:rPr>
                            </w:pPr>
                            <w:r>
                              <w:rPr>
                                <w:rFonts w:ascii="Arial;Helvetica;Sans-Serif" w:hAnsi="Arial;Helvetica;Sans-Serif"/>
                                <w:b/>
                                <w:color w:val="296DC1"/>
                                <w:sz w:val="14"/>
                              </w:rPr>
                              <w:t>Payment at maturity:</w:t>
                            </w:r>
                          </w:p>
                        </w:tc>
                        <w:tc>
                          <w:tcPr>
                            <w:tcW w:w="2726" w:type="dxa"/>
                            <w:tcBorders/>
                            <w:vAlign w:val="center"/>
                          </w:tcPr>
                          <w:p>
                            <w:pPr>
                              <w:pStyle w:val="TableContents"/>
                              <w:bidi w:val="0"/>
                              <w:spacing w:before="0" w:after="283"/>
                              <w:jc w:val="left"/>
                              <w:rPr/>
                            </w:pPr>
                            <w:r>
                              <w:rPr>
                                <w:rFonts w:ascii="Symbol" w:hAnsi="Symbol"/>
                                <w:sz w:val="14"/>
                              </w:rPr>
                              <w:t>·</w:t>
                            </w:r>
                            <w:r>
                              <w:rPr/>
                              <w:t>  </w:t>
                            </w:r>
                            <w:r>
                              <w:rPr>
                                <w:sz w:val="14"/>
                              </w:rPr>
                              <w:t xml:space="preserve">If the final index value of </w:t>
                            </w:r>
                            <w:r>
                              <w:rPr>
                                <w:b/>
                                <w:sz w:val="14"/>
                              </w:rPr>
                              <w:t>each</w:t>
                            </w:r>
                            <w:r>
                              <w:rPr>
                                <w:sz w:val="14"/>
                              </w:rPr>
                              <w:t xml:space="preserve"> underlying index is </w:t>
                            </w:r>
                            <w:r>
                              <w:rPr>
                                <w:b/>
                                <w:sz w:val="14"/>
                              </w:rPr>
                              <w:t>greater than or equal to</w:t>
                            </w:r>
                            <w:r>
                              <w:rPr>
                                <w:sz w:val="14"/>
                              </w:rPr>
                              <w:t xml:space="preserve"> its downside threshold level:</w:t>
                            </w:r>
                          </w:p>
                        </w:tc>
                        <w:tc>
                          <w:tcPr>
                            <w:tcW w:w="6253" w:type="dxa"/>
                            <w:tcBorders/>
                            <w:vAlign w:val="center"/>
                          </w:tcPr>
                          <w:p>
                            <w:pPr>
                              <w:pStyle w:val="TableContents"/>
                              <w:bidi w:val="0"/>
                              <w:spacing w:before="0" w:after="283"/>
                              <w:jc w:val="left"/>
                              <w:rPr>
                                <w:sz w:val="14"/>
                              </w:rPr>
                            </w:pPr>
                            <w:r>
                              <w:rPr>
                                <w:sz w:val="14"/>
                              </w:rPr>
                              <w:t xml:space="preserve">(i) the stated principal amount </w:t>
                            </w:r>
                            <w:r>
                              <w:rPr>
                                <w:i/>
                                <w:sz w:val="14"/>
                              </w:rPr>
                              <w:t xml:space="preserve">plus, </w:t>
                            </w:r>
                            <w:r>
                              <w:rPr>
                                <w:sz w:val="14"/>
                              </w:rPr>
                              <w:t>(ii) if the closing level of each underlying index on each day during the final quarterly monitoring period is greater than or equal to its coupon barrier level, the contingent quarterly payment with respect to the final quarterly monitoring period</w:t>
                            </w:r>
                          </w:p>
                        </w:tc>
                      </w:tr>
                      <w:tr>
                        <w:trPr/>
                        <w:tc>
                          <w:tcPr>
                            <w:tcW w:w="1226" w:type="dxa"/>
                            <w:tcBorders/>
                            <w:vAlign w:val="center"/>
                          </w:tcPr>
                          <w:p>
                            <w:pPr>
                              <w:pStyle w:val="TableContents"/>
                              <w:bidi w:val="0"/>
                              <w:spacing w:before="0" w:after="283"/>
                              <w:ind w:left="0" w:right="0" w:hanging="147"/>
                              <w:jc w:val="left"/>
                              <w:rPr>
                                <w:color w:val="296DC1"/>
                              </w:rPr>
                            </w:pPr>
                            <w:r>
                              <w:rPr>
                                <w:color w:val="296DC1"/>
                              </w:rPr>
                              <w:t> </w:t>
                            </w:r>
                          </w:p>
                        </w:tc>
                        <w:tc>
                          <w:tcPr>
                            <w:tcW w:w="2726" w:type="dxa"/>
                            <w:tcBorders/>
                            <w:vAlign w:val="center"/>
                          </w:tcPr>
                          <w:p>
                            <w:pPr>
                              <w:pStyle w:val="TableContents"/>
                              <w:bidi w:val="0"/>
                              <w:spacing w:before="0" w:after="283"/>
                              <w:jc w:val="left"/>
                              <w:rPr/>
                            </w:pPr>
                            <w:r>
                              <w:rPr>
                                <w:rFonts w:ascii="Symbol" w:hAnsi="Symbol"/>
                                <w:sz w:val="14"/>
                              </w:rPr>
                              <w:t>·</w:t>
                            </w:r>
                            <w:r>
                              <w:rPr/>
                              <w:t>  </w:t>
                            </w:r>
                            <w:r>
                              <w:rPr>
                                <w:sz w:val="14"/>
                              </w:rPr>
                              <w:t xml:space="preserve">If the final index value of </w:t>
                            </w:r>
                            <w:r>
                              <w:rPr>
                                <w:b/>
                                <w:sz w:val="14"/>
                              </w:rPr>
                              <w:t>any</w:t>
                            </w:r>
                            <w:r>
                              <w:rPr>
                                <w:sz w:val="14"/>
                              </w:rPr>
                              <w:t xml:space="preserve"> underlying index is </w:t>
                            </w:r>
                            <w:r>
                              <w:rPr>
                                <w:b/>
                                <w:sz w:val="14"/>
                              </w:rPr>
                              <w:t>less than</w:t>
                            </w:r>
                            <w:r>
                              <w:rPr>
                                <w:sz w:val="14"/>
                              </w:rPr>
                              <w:t xml:space="preserve"> its downside threshold level:</w:t>
                            </w:r>
                          </w:p>
                        </w:tc>
                        <w:tc>
                          <w:tcPr>
                            <w:tcW w:w="6253" w:type="dxa"/>
                            <w:tcBorders/>
                            <w:vAlign w:val="center"/>
                          </w:tcPr>
                          <w:p>
                            <w:pPr>
                              <w:pStyle w:val="TableContents"/>
                              <w:bidi w:val="0"/>
                              <w:spacing w:before="0" w:after="283"/>
                              <w:jc w:val="left"/>
                              <w:rPr>
                                <w:sz w:val="14"/>
                              </w:rPr>
                            </w:pPr>
                            <w:r>
                              <w:rPr>
                                <w:sz w:val="14"/>
                              </w:rPr>
                              <w:t xml:space="preserve">(i) the stated principal amount </w:t>
                            </w:r>
                            <w:r>
                              <w:rPr>
                                <w:i/>
                                <w:sz w:val="14"/>
                              </w:rPr>
                              <w:t>times</w:t>
                            </w:r>
                            <w:r>
                              <w:rPr>
                                <w:sz w:val="14"/>
                              </w:rPr>
                              <w:t xml:space="preserve"> (ii) the index performance factor of the worst performing underlying index.  This cash payment will be less than 65% of the stated principal amount of the securities and could be zero.</w:t>
                            </w:r>
                          </w:p>
                        </w:tc>
                      </w:tr>
                      <w:tr>
                        <w:trPr/>
                        <w:tc>
                          <w:tcPr>
                            <w:tcW w:w="122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Coupon barrier level:</w:t>
                            </w:r>
                          </w:p>
                        </w:tc>
                        <w:tc>
                          <w:tcPr>
                            <w:tcW w:w="8979" w:type="dxa"/>
                            <w:gridSpan w:val="2"/>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rPr/>
                        <w:tc>
                          <w:tcPr>
                            <w:tcW w:w="1226"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Downside threshold level:</w:t>
                            </w:r>
                          </w:p>
                        </w:tc>
                        <w:tc>
                          <w:tcPr>
                            <w:tcW w:w="8979" w:type="dxa"/>
                            <w:gridSpan w:val="2"/>
                            <w:tcBorders/>
                            <w:vAlign w:val="center"/>
                          </w:tcPr>
                          <w:p>
                            <w:pPr>
                              <w:pStyle w:val="TableContents"/>
                              <w:bidi w:val="0"/>
                              <w:spacing w:before="0" w:after="283"/>
                              <w:jc w:val="left"/>
                              <w:rPr>
                                <w:sz w:val="15"/>
                              </w:rPr>
                            </w:pPr>
                            <w:r>
                              <w:rPr>
                                <w:sz w:val="15"/>
                              </w:rPr>
                              <w:t>With respect to each underlying index, 65% of its initial index value</w:t>
                            </w:r>
                          </w:p>
                        </w:tc>
                      </w:tr>
                      <w:tr>
                        <w:trPr/>
                        <w:tc>
                          <w:tcPr>
                            <w:tcW w:w="122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Quarterly monitoring period:</w:t>
                            </w:r>
                          </w:p>
                        </w:tc>
                        <w:tc>
                          <w:tcPr>
                            <w:tcW w:w="8979" w:type="dxa"/>
                            <w:gridSpan w:val="2"/>
                            <w:tcBorders/>
                            <w:shd w:fill="DCEBF4" w:val="clear"/>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226"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Initial index value:</w:t>
                            </w:r>
                          </w:p>
                        </w:tc>
                        <w:tc>
                          <w:tcPr>
                            <w:tcW w:w="8979" w:type="dxa"/>
                            <w:gridSpan w:val="2"/>
                            <w:tcBorders/>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22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Final index value:</w:t>
                            </w:r>
                          </w:p>
                        </w:tc>
                        <w:tc>
                          <w:tcPr>
                            <w:tcW w:w="8979" w:type="dxa"/>
                            <w:gridSpan w:val="2"/>
                            <w:tcBorders/>
                            <w:shd w:fill="DCEBF4" w:val="clear"/>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226"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Worst performing underlying index:</w:t>
                            </w:r>
                          </w:p>
                        </w:tc>
                        <w:tc>
                          <w:tcPr>
                            <w:tcW w:w="8979" w:type="dxa"/>
                            <w:gridSpan w:val="2"/>
                            <w:tcBorders/>
                            <w:shd w:fill="FFFFFF" w:val="clear"/>
                            <w:vAlign w:val="center"/>
                          </w:tcPr>
                          <w:p>
                            <w:pPr>
                              <w:pStyle w:val="TableContents"/>
                              <w:bidi w:val="0"/>
                              <w:spacing w:before="0" w:after="283"/>
                              <w:jc w:val="left"/>
                              <w:rPr>
                                <w:sz w:val="15"/>
                              </w:rPr>
                            </w:pPr>
                            <w:r>
                              <w:rPr>
                                <w:sz w:val="15"/>
                              </w:rPr>
                              <w:t>The underlying index with the worst index performance factor</w:t>
                            </w:r>
                          </w:p>
                        </w:tc>
                      </w:tr>
                      <w:tr>
                        <w:trPr/>
                        <w:tc>
                          <w:tcPr>
                            <w:tcW w:w="122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Index performance factor:</w:t>
                            </w:r>
                          </w:p>
                        </w:tc>
                        <w:tc>
                          <w:tcPr>
                            <w:tcW w:w="8979" w:type="dxa"/>
                            <w:gridSpan w:val="2"/>
                            <w:tcBorders/>
                            <w:shd w:fill="DCEBF4" w:val="clear"/>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r>
                        <w:trPr/>
                        <w:tc>
                          <w:tcPr>
                            <w:tcW w:w="1226"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Stated principal amount:</w:t>
                            </w:r>
                          </w:p>
                        </w:tc>
                        <w:tc>
                          <w:tcPr>
                            <w:tcW w:w="8979" w:type="dxa"/>
                            <w:gridSpan w:val="2"/>
                            <w:tcBorders/>
                            <w:vAlign w:val="center"/>
                          </w:tcPr>
                          <w:p>
                            <w:pPr>
                              <w:pStyle w:val="TableContents"/>
                              <w:bidi w:val="0"/>
                              <w:spacing w:before="0" w:after="283"/>
                              <w:jc w:val="left"/>
                              <w:rPr>
                                <w:sz w:val="15"/>
                              </w:rPr>
                            </w:pPr>
                            <w:r>
                              <w:rPr>
                                <w:sz w:val="15"/>
                              </w:rPr>
                              <w:t>$1,000 per security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632315"/>
                <wp:effectExtent l="0" t="0" r="0" b="0"/>
                <wp:wrapSquare wrapText="left"/>
                <wp:docPr id="2" name="Frame2"/>
                <a:graphic xmlns:a="http://schemas.openxmlformats.org/drawingml/2006/main">
                  <a:graphicData uri="http://schemas.microsoft.com/office/word/2010/wordprocessingShape">
                    <wps:wsp>
                      <wps:cNvSpPr txBox="1"/>
                      <wps:spPr>
                        <a:xfrm>
                          <a:off x="0" y="0"/>
                          <a:ext cx="3175000" cy="963231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63"/>
                              <w:gridCol w:w="8342"/>
                            </w:tblGrid>
                            <w:tr>
                              <w:trPr/>
                              <w:tc>
                                <w:tcPr>
                                  <w:tcW w:w="1863"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Issue price:</w:t>
                                  </w:r>
                                </w:p>
                              </w:tc>
                              <w:tc>
                                <w:tcPr>
                                  <w:tcW w:w="8342" w:type="dxa"/>
                                  <w:tcBorders/>
                                  <w:shd w:fill="DCEBF4" w:val="clear"/>
                                  <w:vAlign w:val="center"/>
                                </w:tcPr>
                                <w:p>
                                  <w:pPr>
                                    <w:pStyle w:val="TableContents"/>
                                    <w:bidi w:val="0"/>
                                    <w:spacing w:before="0" w:after="283"/>
                                    <w:jc w:val="left"/>
                                    <w:rPr>
                                      <w:sz w:val="15"/>
                                    </w:rPr>
                                  </w:pPr>
                                  <w:r>
                                    <w:rPr>
                                      <w:sz w:val="15"/>
                                    </w:rPr>
                                    <w:t>$1,000 per security</w:t>
                                  </w:r>
                                </w:p>
                              </w:tc>
                            </w:tr>
                            <w:tr>
                              <w:trPr/>
                              <w:tc>
                                <w:tcPr>
                                  <w:tcW w:w="1863"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Pricing date:</w:t>
                                  </w:r>
                                </w:p>
                              </w:tc>
                              <w:tc>
                                <w:tcPr>
                                  <w:tcW w:w="8342" w:type="dxa"/>
                                  <w:tcBorders/>
                                  <w:vAlign w:val="center"/>
                                </w:tcPr>
                                <w:p>
                                  <w:pPr>
                                    <w:pStyle w:val="TableContents"/>
                                    <w:bidi w:val="0"/>
                                    <w:spacing w:before="0" w:after="283"/>
                                    <w:jc w:val="left"/>
                                    <w:rPr>
                                      <w:sz w:val="15"/>
                                    </w:rPr>
                                  </w:pPr>
                                  <w:r>
                                    <w:rPr>
                                      <w:sz w:val="15"/>
                                    </w:rPr>
                                    <w:t>Expected to be September 4, 2026</w:t>
                                  </w:r>
                                </w:p>
                              </w:tc>
                            </w:tr>
                            <w:tr>
                              <w:trPr/>
                              <w:tc>
                                <w:tcPr>
                                  <w:tcW w:w="1863"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Original issue date (settlement date): </w:t>
                                  </w:r>
                                </w:p>
                              </w:tc>
                              <w:tc>
                                <w:tcPr>
                                  <w:tcW w:w="8342" w:type="dxa"/>
                                  <w:tcBorders/>
                                  <w:shd w:fill="DCEBF4" w:val="clear"/>
                                  <w:vAlign w:val="center"/>
                                </w:tcPr>
                                <w:p>
                                  <w:pPr>
                                    <w:pStyle w:val="TableContents"/>
                                    <w:bidi w:val="0"/>
                                    <w:spacing w:before="0" w:after="283"/>
                                    <w:jc w:val="left"/>
                                    <w:rPr>
                                      <w:sz w:val="15"/>
                                    </w:rPr>
                                  </w:pPr>
                                  <w:r>
                                    <w:rPr>
                                      <w:sz w:val="15"/>
                                    </w:rPr>
                                    <w:t>3 business days after the pricing date</w:t>
                                  </w:r>
                                </w:p>
                              </w:tc>
                            </w:tr>
                            <w:tr>
                              <w:trPr/>
                              <w:tc>
                                <w:tcPr>
                                  <w:tcW w:w="1863"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Determination dates</w:t>
                                  </w:r>
                                  <w:r>
                                    <w:rPr>
                                      <w:rFonts w:ascii="Arial;Helvetica;Sans-Serif" w:hAnsi="Arial;Helvetica;Sans-Serif"/>
                                      <w:b/>
                                      <w:color w:val="296DC1"/>
                                      <w:position w:val="5"/>
                                      <w:sz w:val="11"/>
                                      <w:sz w:val="14"/>
                                    </w:rPr>
                                    <w:t>†</w:t>
                                  </w:r>
                                  <w:r>
                                    <w:rPr>
                                      <w:rFonts w:ascii="Arial;Helvetica;Sans-Serif" w:hAnsi="Arial;Helvetica;Sans-Serif"/>
                                      <w:b/>
                                      <w:color w:val="296DC1"/>
                                      <w:sz w:val="14"/>
                                    </w:rPr>
                                    <w:t>:</w:t>
                                  </w:r>
                                </w:p>
                              </w:tc>
                              <w:tc>
                                <w:tcPr>
                                  <w:tcW w:w="8342" w:type="dxa"/>
                                  <w:tcBorders/>
                                  <w:shd w:fill="FFFFFF" w:val="clear"/>
                                  <w:vAlign w:val="center"/>
                                </w:tcPr>
                                <w:p>
                                  <w:pPr>
                                    <w:pStyle w:val="TableContents"/>
                                    <w:bidi w:val="0"/>
                                    <w:spacing w:before="0" w:after="283"/>
                                    <w:jc w:val="left"/>
                                    <w:rPr>
                                      <w:sz w:val="15"/>
                                    </w:rPr>
                                  </w:pPr>
                                  <w:r>
                                    <w:rPr>
                                      <w:sz w:val="15"/>
                                    </w:rPr>
                                    <w:t>December 4, 2026, March 4, 2027, June 4, 2027, September 7, 2027, December 6, 2027, March 6, 2028, June 5, 2028, September 5, 2028, December 4, 2028, March 5, 2029, June 4, 2029 and September 4, 2029</w:t>
                                  </w:r>
                                </w:p>
                              </w:tc>
                            </w:tr>
                            <w:tr>
                              <w:trPr/>
                              <w:tc>
                                <w:tcPr>
                                  <w:tcW w:w="1863"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Contingent payment dates</w:t>
                                  </w:r>
                                  <w:r>
                                    <w:rPr>
                                      <w:rFonts w:ascii="Arial;Helvetica;Sans-Serif" w:hAnsi="Arial;Helvetica;Sans-Serif"/>
                                      <w:b/>
                                      <w:color w:val="296DC1"/>
                                      <w:position w:val="5"/>
                                      <w:sz w:val="11"/>
                                      <w:sz w:val="14"/>
                                    </w:rPr>
                                    <w:t>†</w:t>
                                  </w:r>
                                  <w:r>
                                    <w:rPr>
                                      <w:rFonts w:ascii="Arial;Helvetica;Sans-Serif" w:hAnsi="Arial;Helvetica;Sans-Serif"/>
                                      <w:b/>
                                      <w:color w:val="296DC1"/>
                                      <w:sz w:val="14"/>
                                    </w:rPr>
                                    <w:t>:</w:t>
                                  </w:r>
                                </w:p>
                              </w:tc>
                              <w:tc>
                                <w:tcPr>
                                  <w:tcW w:w="8342" w:type="dxa"/>
                                  <w:tcBorders/>
                                  <w:shd w:fill="DCEBF4" w:val="clear"/>
                                  <w:vAlign w:val="center"/>
                                </w:tcPr>
                                <w:p>
                                  <w:pPr>
                                    <w:pStyle w:val="TableContents"/>
                                    <w:bidi w:val="0"/>
                                    <w:spacing w:before="0" w:after="283"/>
                                    <w:jc w:val="left"/>
                                    <w:rPr>
                                      <w:sz w:val="15"/>
                                    </w:rPr>
                                  </w:pPr>
                                  <w:r>
                                    <w:rPr>
                                      <w:sz w:val="15"/>
                                    </w:rPr>
                                    <w:t>December 9, 2026, March 9, 2027, June 9, 2027, September 10, 2027, December 9, 2027, March 9, 2028, June 8, 2028, September 8, 2028, December 7, 2028, March 8, 2029, June 7, 2029 and the maturity date</w:t>
                                  </w:r>
                                </w:p>
                              </w:tc>
                            </w:tr>
                            <w:tr>
                              <w:trPr/>
                              <w:tc>
                                <w:tcPr>
                                  <w:tcW w:w="1863"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Maturity date</w:t>
                                  </w:r>
                                  <w:r>
                                    <w:rPr>
                                      <w:rFonts w:ascii="Arial;Helvetica;Sans-Serif" w:hAnsi="Arial;Helvetica;Sans-Serif"/>
                                      <w:b/>
                                      <w:color w:val="296DC1"/>
                                      <w:position w:val="5"/>
                                      <w:sz w:val="11"/>
                                      <w:sz w:val="14"/>
                                    </w:rPr>
                                    <w:t>†</w:t>
                                  </w:r>
                                  <w:r>
                                    <w:rPr>
                                      <w:rFonts w:ascii="Arial;Helvetica;Sans-Serif" w:hAnsi="Arial;Helvetica;Sans-Serif"/>
                                      <w:b/>
                                      <w:color w:val="296DC1"/>
                                      <w:sz w:val="14"/>
                                    </w:rPr>
                                    <w:t xml:space="preserve">: </w:t>
                                  </w:r>
                                </w:p>
                              </w:tc>
                              <w:tc>
                                <w:tcPr>
                                  <w:tcW w:w="8342" w:type="dxa"/>
                                  <w:tcBorders/>
                                  <w:vAlign w:val="center"/>
                                </w:tcPr>
                                <w:p>
                                  <w:pPr>
                                    <w:pStyle w:val="TableContents"/>
                                    <w:bidi w:val="0"/>
                                    <w:spacing w:before="0" w:after="283"/>
                                    <w:jc w:val="left"/>
                                    <w:rPr>
                                      <w:sz w:val="15"/>
                                    </w:rPr>
                                  </w:pPr>
                                  <w:r>
                                    <w:rPr>
                                      <w:sz w:val="15"/>
                                    </w:rPr>
                                    <w:t>September 7, 2029</w:t>
                                  </w:r>
                                </w:p>
                              </w:tc>
                            </w:tr>
                            <w:tr>
                              <w:trPr/>
                              <w:tc>
                                <w:tcPr>
                                  <w:tcW w:w="1863" w:type="dxa"/>
                                  <w:tcBorders/>
                                  <w:shd w:fill="DCEBF4" w:val="clear"/>
                                  <w:vAlign w:val="center"/>
                                </w:tcPr>
                                <w:p>
                                  <w:pPr>
                                    <w:pStyle w:val="TableContents"/>
                                    <w:bidi w:val="0"/>
                                    <w:spacing w:before="0" w:after="283"/>
                                    <w:jc w:val="left"/>
                                    <w:rPr>
                                      <w:b/>
                                      <w:color w:val="296DC1"/>
                                      <w:sz w:val="14"/>
                                    </w:rPr>
                                  </w:pPr>
                                  <w:r>
                                    <w:rPr>
                                      <w:b/>
                                      <w:color w:val="296DC1"/>
                                      <w:sz w:val="14"/>
                                    </w:rPr>
                                    <w:t>CUSIP / ISIN:</w:t>
                                  </w:r>
                                </w:p>
                              </w:tc>
                              <w:tc>
                                <w:tcPr>
                                  <w:tcW w:w="8342" w:type="dxa"/>
                                  <w:tcBorders/>
                                  <w:shd w:fill="DCEBF4" w:val="clear"/>
                                  <w:vAlign w:val="center"/>
                                </w:tcPr>
                                <w:p>
                                  <w:pPr>
                                    <w:pStyle w:val="TableContents"/>
                                    <w:bidi w:val="0"/>
                                    <w:spacing w:before="0" w:after="283"/>
                                    <w:jc w:val="left"/>
                                    <w:rPr>
                                      <w:sz w:val="15"/>
                                    </w:rPr>
                                  </w:pPr>
                                  <w:r>
                                    <w:rPr>
                                      <w:sz w:val="15"/>
                                    </w:rPr>
                                    <w:t>46661MP99 / US46661MP990</w:t>
                                  </w:r>
                                </w:p>
                              </w:tc>
                            </w:tr>
                            <w:tr>
                              <w:trPr/>
                              <w:tc>
                                <w:tcPr>
                                  <w:tcW w:w="1863" w:type="dxa"/>
                                  <w:tcBorders/>
                                  <w:vAlign w:val="center"/>
                                </w:tcPr>
                                <w:p>
                                  <w:pPr>
                                    <w:pStyle w:val="TableContents"/>
                                    <w:bidi w:val="0"/>
                                    <w:spacing w:before="0" w:after="283"/>
                                    <w:jc w:val="left"/>
                                    <w:rPr>
                                      <w:b/>
                                      <w:color w:val="296DC1"/>
                                      <w:sz w:val="14"/>
                                    </w:rPr>
                                  </w:pPr>
                                  <w:r>
                                    <w:rPr>
                                      <w:b/>
                                      <w:color w:val="296DC1"/>
                                      <w:sz w:val="14"/>
                                    </w:rPr>
                                    <w:t xml:space="preserve">Preliminary pricing supplement: </w:t>
                                  </w:r>
                                </w:p>
                              </w:tc>
                              <w:tc>
                                <w:tcPr>
                                  <w:tcW w:w="8342" w:type="dxa"/>
                                  <w:tcBorders/>
                                  <w:vAlign w:val="center"/>
                                </w:tcPr>
                                <w:p>
                                  <w:pPr>
                                    <w:pStyle w:val="TableContents"/>
                                    <w:bidi w:val="0"/>
                                    <w:spacing w:before="0" w:after="283"/>
                                    <w:jc w:val="left"/>
                                    <w:rPr/>
                                  </w:pPr>
                                  <w:hyperlink r:id="rId2">
                                    <w:r>
                                      <w:rPr>
                                        <w:rStyle w:val="InternetLink"/>
                                        <w:sz w:val="15"/>
                                      </w:rPr>
                                      <w:t>http://www.sec.gov/Archives/edgar/data/19617/000121390026096169/</w:t>
                                      <w:br/>
                                      <w:t>ea0304226-01_424b2.htm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4"/>
                              </w:rPr>
                              <w:t>Subject to postponement or early acceleration</w:t>
                            </w:r>
                          </w:p>
                          <w:p>
                            <w:pPr>
                              <w:pStyle w:val="TextBody"/>
                              <w:bidi w:val="0"/>
                              <w:jc w:val="left"/>
                              <w:rPr>
                                <w:rFonts w:ascii="Arial;Helvetica;Sans-Serif" w:hAnsi="Arial;Helvetica;Sans-Serif"/>
                                <w:b w:val="false"/>
                                <w:i w:val="false"/>
                                <w:caps w:val="false"/>
                                <w:smallCaps w:val="false"/>
                                <w:sz w:val="13"/>
                              </w:rPr>
                            </w:pPr>
                            <w:r>
                              <w:rPr>
                                <w:rFonts w:ascii="Arial;Helvetica;Sans-Serif" w:hAnsi="Arial;Helvetica;Sans-Serif"/>
                                <w:b w:val="false"/>
                                <w:i w:val="false"/>
                                <w:caps w:val="false"/>
                                <w:smallCaps w:val="false"/>
                                <w:sz w:val="13"/>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jc w:val="left"/>
                              <w:rPr>
                                <w:rFonts w:ascii="Arial;Helvetica;Sans-Serif" w:hAnsi="Arial;Helvetica;Sans-Serif"/>
                                <w:b w:val="false"/>
                                <w:i w:val="false"/>
                                <w:caps w:val="false"/>
                                <w:smallCaps w:val="false"/>
                                <w:sz w:val="13"/>
                              </w:rPr>
                            </w:pPr>
                            <w:r>
                              <w:rPr>
                                <w:rFonts w:ascii="Arial;Helvetica;Sans-Serif" w:hAnsi="Arial;Helvetica;Sans-Serif"/>
                                <w:b w:val="false"/>
                                <w:i w:val="false"/>
                                <w:caps w:val="false"/>
                                <w:smallCaps w:val="false"/>
                                <w:sz w:val="13"/>
                              </w:rPr>
                              <w:t>Any payment on the securities is subject to the credit risk of JPMorgan Financial as issuer of the securities, and the credit risk of JPMorgan Chase &amp; Co., as guarantor of the securities.</w:t>
                            </w:r>
                          </w:p>
                          <w:tbl>
                            <w:tblPr>
                              <w:tblW w:w="8530" w:type="dxa"/>
                              <w:jc w:val="left"/>
                              <w:tblInd w:w="0" w:type="dxa"/>
                              <w:tblLayout w:type="fixed"/>
                              <w:tblCellMar>
                                <w:top w:w="0" w:type="dxa"/>
                                <w:left w:w="0" w:type="dxa"/>
                                <w:bottom w:w="0" w:type="dxa"/>
                                <w:right w:w="0" w:type="dxa"/>
                              </w:tblCellMar>
                            </w:tblPr>
                            <w:tblGrid>
                              <w:gridCol w:w="2975"/>
                              <w:gridCol w:w="5555"/>
                            </w:tblGrid>
                            <w:tr>
                              <w:trPr/>
                              <w:tc>
                                <w:tcPr>
                                  <w:tcW w:w="8530"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Hypothetical Payout at Maturity</w:t>
                                  </w:r>
                                </w:p>
                              </w:tc>
                            </w:tr>
                            <w:tr>
                              <w:trPr/>
                              <w:tc>
                                <w:tcPr>
                                  <w:tcW w:w="297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Change in Worst Performing Underlying Index</w:t>
                                  </w:r>
                                </w:p>
                              </w:tc>
                              <w:tc>
                                <w:tcPr>
                                  <w:tcW w:w="555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Payment at Maturity (excluding any contingent quarterly payment payable at maturity)</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40.00%</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20.00%</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-30.00%</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-35.00%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-35.01%</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$649.90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-50.00%</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-80.00%</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58.45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863"/>
                        <w:gridCol w:w="8342"/>
                      </w:tblGrid>
                      <w:tr>
                        <w:trPr/>
                        <w:tc>
                          <w:tcPr>
                            <w:tcW w:w="1863"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4"/>
                              </w:rPr>
                            </w:pPr>
                            <w:r>
                              <w:rPr>
                                <w:rFonts w:ascii="Arial;Helvetica;Sans-Serif" w:hAnsi="Arial;Helvetica;Sans-Serif"/>
                                <w:b/>
                                <w:i w:val="false"/>
                                <w:caps w:val="false"/>
                                <w:smallCaps w:val="false"/>
                                <w:color w:val="296DC1"/>
                                <w:sz w:val="14"/>
                              </w:rPr>
                              <w:t>Issue price:</w:t>
                            </w:r>
                          </w:p>
                        </w:tc>
                        <w:tc>
                          <w:tcPr>
                            <w:tcW w:w="8342" w:type="dxa"/>
                            <w:tcBorders/>
                            <w:shd w:fill="DCEBF4" w:val="clear"/>
                            <w:vAlign w:val="center"/>
                          </w:tcPr>
                          <w:p>
                            <w:pPr>
                              <w:pStyle w:val="TableContents"/>
                              <w:bidi w:val="0"/>
                              <w:spacing w:before="0" w:after="283"/>
                              <w:jc w:val="left"/>
                              <w:rPr>
                                <w:sz w:val="15"/>
                              </w:rPr>
                            </w:pPr>
                            <w:r>
                              <w:rPr>
                                <w:sz w:val="15"/>
                              </w:rPr>
                              <w:t>$1,000 per security</w:t>
                            </w:r>
                          </w:p>
                        </w:tc>
                      </w:tr>
                      <w:tr>
                        <w:trPr/>
                        <w:tc>
                          <w:tcPr>
                            <w:tcW w:w="1863"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Pricing date:</w:t>
                            </w:r>
                          </w:p>
                        </w:tc>
                        <w:tc>
                          <w:tcPr>
                            <w:tcW w:w="8342" w:type="dxa"/>
                            <w:tcBorders/>
                            <w:vAlign w:val="center"/>
                          </w:tcPr>
                          <w:p>
                            <w:pPr>
                              <w:pStyle w:val="TableContents"/>
                              <w:bidi w:val="0"/>
                              <w:spacing w:before="0" w:after="283"/>
                              <w:jc w:val="left"/>
                              <w:rPr>
                                <w:sz w:val="15"/>
                              </w:rPr>
                            </w:pPr>
                            <w:r>
                              <w:rPr>
                                <w:sz w:val="15"/>
                              </w:rPr>
                              <w:t>Expected to be September 4, 2026</w:t>
                            </w:r>
                          </w:p>
                        </w:tc>
                      </w:tr>
                      <w:tr>
                        <w:trPr/>
                        <w:tc>
                          <w:tcPr>
                            <w:tcW w:w="1863"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Original issue date (settlement date): </w:t>
                            </w:r>
                          </w:p>
                        </w:tc>
                        <w:tc>
                          <w:tcPr>
                            <w:tcW w:w="8342" w:type="dxa"/>
                            <w:tcBorders/>
                            <w:shd w:fill="DCEBF4" w:val="clear"/>
                            <w:vAlign w:val="center"/>
                          </w:tcPr>
                          <w:p>
                            <w:pPr>
                              <w:pStyle w:val="TableContents"/>
                              <w:bidi w:val="0"/>
                              <w:spacing w:before="0" w:after="283"/>
                              <w:jc w:val="left"/>
                              <w:rPr>
                                <w:sz w:val="15"/>
                              </w:rPr>
                            </w:pPr>
                            <w:r>
                              <w:rPr>
                                <w:sz w:val="15"/>
                              </w:rPr>
                              <w:t>3 business days after the pricing date</w:t>
                            </w:r>
                          </w:p>
                        </w:tc>
                      </w:tr>
                      <w:tr>
                        <w:trPr/>
                        <w:tc>
                          <w:tcPr>
                            <w:tcW w:w="1863"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Determination dates</w:t>
                            </w:r>
                            <w:r>
                              <w:rPr>
                                <w:rFonts w:ascii="Arial;Helvetica;Sans-Serif" w:hAnsi="Arial;Helvetica;Sans-Serif"/>
                                <w:b/>
                                <w:color w:val="296DC1"/>
                                <w:position w:val="5"/>
                                <w:sz w:val="11"/>
                                <w:sz w:val="14"/>
                              </w:rPr>
                              <w:t>†</w:t>
                            </w:r>
                            <w:r>
                              <w:rPr>
                                <w:rFonts w:ascii="Arial;Helvetica;Sans-Serif" w:hAnsi="Arial;Helvetica;Sans-Serif"/>
                                <w:b/>
                                <w:color w:val="296DC1"/>
                                <w:sz w:val="14"/>
                              </w:rPr>
                              <w:t>:</w:t>
                            </w:r>
                          </w:p>
                        </w:tc>
                        <w:tc>
                          <w:tcPr>
                            <w:tcW w:w="8342" w:type="dxa"/>
                            <w:tcBorders/>
                            <w:shd w:fill="FFFFFF" w:val="clear"/>
                            <w:vAlign w:val="center"/>
                          </w:tcPr>
                          <w:p>
                            <w:pPr>
                              <w:pStyle w:val="TableContents"/>
                              <w:bidi w:val="0"/>
                              <w:spacing w:before="0" w:after="283"/>
                              <w:jc w:val="left"/>
                              <w:rPr>
                                <w:sz w:val="15"/>
                              </w:rPr>
                            </w:pPr>
                            <w:r>
                              <w:rPr>
                                <w:sz w:val="15"/>
                              </w:rPr>
                              <w:t>December 4, 2026, March 4, 2027, June 4, 2027, September 7, 2027, December 6, 2027, March 6, 2028, June 5, 2028, September 5, 2028, December 4, 2028, March 5, 2029, June 4, 2029 and September 4, 2029</w:t>
                            </w:r>
                          </w:p>
                        </w:tc>
                      </w:tr>
                      <w:tr>
                        <w:trPr/>
                        <w:tc>
                          <w:tcPr>
                            <w:tcW w:w="1863"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Contingent payment dates</w:t>
                            </w:r>
                            <w:r>
                              <w:rPr>
                                <w:rFonts w:ascii="Arial;Helvetica;Sans-Serif" w:hAnsi="Arial;Helvetica;Sans-Serif"/>
                                <w:b/>
                                <w:color w:val="296DC1"/>
                                <w:position w:val="5"/>
                                <w:sz w:val="11"/>
                                <w:sz w:val="14"/>
                              </w:rPr>
                              <w:t>†</w:t>
                            </w:r>
                            <w:r>
                              <w:rPr>
                                <w:rFonts w:ascii="Arial;Helvetica;Sans-Serif" w:hAnsi="Arial;Helvetica;Sans-Serif"/>
                                <w:b/>
                                <w:color w:val="296DC1"/>
                                <w:sz w:val="14"/>
                              </w:rPr>
                              <w:t>:</w:t>
                            </w:r>
                          </w:p>
                        </w:tc>
                        <w:tc>
                          <w:tcPr>
                            <w:tcW w:w="8342" w:type="dxa"/>
                            <w:tcBorders/>
                            <w:shd w:fill="DCEBF4" w:val="clear"/>
                            <w:vAlign w:val="center"/>
                          </w:tcPr>
                          <w:p>
                            <w:pPr>
                              <w:pStyle w:val="TableContents"/>
                              <w:bidi w:val="0"/>
                              <w:spacing w:before="0" w:after="283"/>
                              <w:jc w:val="left"/>
                              <w:rPr>
                                <w:sz w:val="15"/>
                              </w:rPr>
                            </w:pPr>
                            <w:r>
                              <w:rPr>
                                <w:sz w:val="15"/>
                              </w:rPr>
                              <w:t>December 9, 2026, March 9, 2027, June 9, 2027, September 10, 2027, December 9, 2027, March 9, 2028, June 8, 2028, September 8, 2028, December 7, 2028, March 8, 2029, June 7, 2029 and the maturity date</w:t>
                            </w:r>
                          </w:p>
                        </w:tc>
                      </w:tr>
                      <w:tr>
                        <w:trPr/>
                        <w:tc>
                          <w:tcPr>
                            <w:tcW w:w="1863"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Maturity date</w:t>
                            </w:r>
                            <w:r>
                              <w:rPr>
                                <w:rFonts w:ascii="Arial;Helvetica;Sans-Serif" w:hAnsi="Arial;Helvetica;Sans-Serif"/>
                                <w:b/>
                                <w:color w:val="296DC1"/>
                                <w:position w:val="5"/>
                                <w:sz w:val="11"/>
                                <w:sz w:val="14"/>
                              </w:rPr>
                              <w:t>†</w:t>
                            </w:r>
                            <w:r>
                              <w:rPr>
                                <w:rFonts w:ascii="Arial;Helvetica;Sans-Serif" w:hAnsi="Arial;Helvetica;Sans-Serif"/>
                                <w:b/>
                                <w:color w:val="296DC1"/>
                                <w:sz w:val="14"/>
                              </w:rPr>
                              <w:t xml:space="preserve">: </w:t>
                            </w:r>
                          </w:p>
                        </w:tc>
                        <w:tc>
                          <w:tcPr>
                            <w:tcW w:w="8342" w:type="dxa"/>
                            <w:tcBorders/>
                            <w:vAlign w:val="center"/>
                          </w:tcPr>
                          <w:p>
                            <w:pPr>
                              <w:pStyle w:val="TableContents"/>
                              <w:bidi w:val="0"/>
                              <w:spacing w:before="0" w:after="283"/>
                              <w:jc w:val="left"/>
                              <w:rPr>
                                <w:sz w:val="15"/>
                              </w:rPr>
                            </w:pPr>
                            <w:r>
                              <w:rPr>
                                <w:sz w:val="15"/>
                              </w:rPr>
                              <w:t>September 7, 2029</w:t>
                            </w:r>
                          </w:p>
                        </w:tc>
                      </w:tr>
                      <w:tr>
                        <w:trPr/>
                        <w:tc>
                          <w:tcPr>
                            <w:tcW w:w="1863" w:type="dxa"/>
                            <w:tcBorders/>
                            <w:shd w:fill="DCEBF4" w:val="clear"/>
                            <w:vAlign w:val="center"/>
                          </w:tcPr>
                          <w:p>
                            <w:pPr>
                              <w:pStyle w:val="TableContents"/>
                              <w:bidi w:val="0"/>
                              <w:spacing w:before="0" w:after="283"/>
                              <w:jc w:val="left"/>
                              <w:rPr>
                                <w:b/>
                                <w:color w:val="296DC1"/>
                                <w:sz w:val="14"/>
                              </w:rPr>
                            </w:pPr>
                            <w:r>
                              <w:rPr>
                                <w:b/>
                                <w:color w:val="296DC1"/>
                                <w:sz w:val="14"/>
                              </w:rPr>
                              <w:t>CUSIP / ISIN:</w:t>
                            </w:r>
                          </w:p>
                        </w:tc>
                        <w:tc>
                          <w:tcPr>
                            <w:tcW w:w="8342" w:type="dxa"/>
                            <w:tcBorders/>
                            <w:shd w:fill="DCEBF4" w:val="clear"/>
                            <w:vAlign w:val="center"/>
                          </w:tcPr>
                          <w:p>
                            <w:pPr>
                              <w:pStyle w:val="TableContents"/>
                              <w:bidi w:val="0"/>
                              <w:spacing w:before="0" w:after="283"/>
                              <w:jc w:val="left"/>
                              <w:rPr>
                                <w:sz w:val="15"/>
                              </w:rPr>
                            </w:pPr>
                            <w:r>
                              <w:rPr>
                                <w:sz w:val="15"/>
                              </w:rPr>
                              <w:t>46661MP99 / US46661MP990</w:t>
                            </w:r>
                          </w:p>
                        </w:tc>
                      </w:tr>
                      <w:tr>
                        <w:trPr/>
                        <w:tc>
                          <w:tcPr>
                            <w:tcW w:w="1863" w:type="dxa"/>
                            <w:tcBorders/>
                            <w:vAlign w:val="center"/>
                          </w:tcPr>
                          <w:p>
                            <w:pPr>
                              <w:pStyle w:val="TableContents"/>
                              <w:bidi w:val="0"/>
                              <w:spacing w:before="0" w:after="283"/>
                              <w:jc w:val="left"/>
                              <w:rPr>
                                <w:b/>
                                <w:color w:val="296DC1"/>
                                <w:sz w:val="14"/>
                              </w:rPr>
                            </w:pPr>
                            <w:r>
                              <w:rPr>
                                <w:b/>
                                <w:color w:val="296DC1"/>
                                <w:sz w:val="14"/>
                              </w:rPr>
                              <w:t xml:space="preserve">Preliminary pricing supplement: </w:t>
                            </w:r>
                          </w:p>
                        </w:tc>
                        <w:tc>
                          <w:tcPr>
                            <w:tcW w:w="8342" w:type="dxa"/>
                            <w:tcBorders/>
                            <w:vAlign w:val="center"/>
                          </w:tcPr>
                          <w:p>
                            <w:pPr>
                              <w:pStyle w:val="TableContents"/>
                              <w:bidi w:val="0"/>
                              <w:spacing w:before="0" w:after="283"/>
                              <w:jc w:val="left"/>
                              <w:rPr/>
                            </w:pPr>
                            <w:hyperlink r:id="rId3">
                              <w:r>
                                <w:rPr>
                                  <w:rStyle w:val="InternetLink"/>
                                  <w:sz w:val="15"/>
                                </w:rPr>
                                <w:t>http://www.sec.gov/Archives/edgar/data/19617/000121390026096169/</w:t>
                                <w:br/>
                                <w:t>ea0304226-01_424b2.htm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4"/>
                        </w:rPr>
                        <w:t>Subject to postponement or early acceleration</w:t>
                      </w:r>
                    </w:p>
                    <w:p>
                      <w:pPr>
                        <w:pStyle w:val="TextBody"/>
                        <w:bidi w:val="0"/>
                        <w:jc w:val="left"/>
                        <w:rPr>
                          <w:rFonts w:ascii="Arial;Helvetica;Sans-Serif" w:hAnsi="Arial;Helvetica;Sans-Serif"/>
                          <w:b w:val="false"/>
                          <w:i w:val="false"/>
                          <w:caps w:val="false"/>
                          <w:smallCaps w:val="false"/>
                          <w:sz w:val="13"/>
                        </w:rPr>
                      </w:pPr>
                      <w:r>
                        <w:rPr>
                          <w:rFonts w:ascii="Arial;Helvetica;Sans-Serif" w:hAnsi="Arial;Helvetica;Sans-Serif"/>
                          <w:b w:val="false"/>
                          <w:i w:val="false"/>
                          <w:caps w:val="false"/>
                          <w:smallCaps w:val="false"/>
                          <w:sz w:val="13"/>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jc w:val="left"/>
                        <w:rPr>
                          <w:rFonts w:ascii="Arial;Helvetica;Sans-Serif" w:hAnsi="Arial;Helvetica;Sans-Serif"/>
                          <w:b w:val="false"/>
                          <w:i w:val="false"/>
                          <w:caps w:val="false"/>
                          <w:smallCaps w:val="false"/>
                          <w:sz w:val="13"/>
                        </w:rPr>
                      </w:pPr>
                      <w:r>
                        <w:rPr>
                          <w:rFonts w:ascii="Arial;Helvetica;Sans-Serif" w:hAnsi="Arial;Helvetica;Sans-Serif"/>
                          <w:b w:val="false"/>
                          <w:i w:val="false"/>
                          <w:caps w:val="false"/>
                          <w:smallCaps w:val="false"/>
                          <w:sz w:val="13"/>
                        </w:rPr>
                        <w:t>Any payment on the securities is subject to the credit risk of JPMorgan Financial as issuer of the securities, and the credit risk of JPMorgan Chase &amp; Co., as guarantor of the securities.</w:t>
                      </w:r>
                    </w:p>
                    <w:tbl>
                      <w:tblPr>
                        <w:tblW w:w="8530" w:type="dxa"/>
                        <w:jc w:val="left"/>
                        <w:tblInd w:w="0" w:type="dxa"/>
                        <w:tblLayout w:type="fixed"/>
                        <w:tblCellMar>
                          <w:top w:w="0" w:type="dxa"/>
                          <w:left w:w="0" w:type="dxa"/>
                          <w:bottom w:w="0" w:type="dxa"/>
                          <w:right w:w="0" w:type="dxa"/>
                        </w:tblCellMar>
                      </w:tblPr>
                      <w:tblGrid>
                        <w:gridCol w:w="2975"/>
                        <w:gridCol w:w="5555"/>
                      </w:tblGrid>
                      <w:tr>
                        <w:trPr/>
                        <w:tc>
                          <w:tcPr>
                            <w:tcW w:w="8530"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Hypothetical Payout at Maturity</w:t>
                            </w:r>
                          </w:p>
                        </w:tc>
                      </w:tr>
                      <w:tr>
                        <w:trPr/>
                        <w:tc>
                          <w:tcPr>
                            <w:tcW w:w="297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Change in Worst Performing Underlying Index</w:t>
                            </w:r>
                          </w:p>
                        </w:tc>
                        <w:tc>
                          <w:tcPr>
                            <w:tcW w:w="555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Payment at Maturity (excluding any contingent quarterly payment payable at maturity)</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40.00%</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20.00%</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-30.00%</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-35.00%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-35.01%</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$649.90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-50.00%</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$400.00</w:t>
                            </w:r>
                          </w:p>
                        </w:tc>
                      </w:tr>
                      <w:tr>
                        <w:trPr/>
                        <w:tc>
                          <w:tcPr>
                            <w:tcW w:w="297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-80.00%</w:t>
                            </w:r>
                          </w:p>
                        </w:tc>
                        <w:tc>
                          <w:tcPr>
                            <w:tcW w:w="5555" w:type="dxa"/>
                            <w:tcBorders/>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$200.00</w:t>
                            </w:r>
                          </w:p>
                        </w:tc>
                      </w:tr>
                      <w:tr>
                        <w:trPr/>
                        <w:tc>
                          <w:tcPr>
                            <w:tcW w:w="297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-100.00%</w:t>
                            </w:r>
                          </w:p>
                        </w:tc>
                        <w:tc>
                          <w:tcPr>
                            <w:tcW w:w="5555" w:type="dxa"/>
                            <w:tcBorders/>
                            <w:shd w:fill="D9D9D9"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$0.00</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3-Year RTY/SPX/SX5E Contingent Income Auto-Callable Securities, with 6-Month Initial Non-Call Period</w:t>
      </w:r>
    </w:p>
    <w:p>
      <w:pPr>
        <w:pStyle w:val="TextBody"/>
        <w:bidi w:val="0"/>
        <w:spacing w:before="20" w:after="40"/>
        <w:ind w:left="20" w:right="20" w:hanging="0"/>
        <w:jc w:val="left"/>
        <w:rPr>
          <w:rFonts w:ascii="Arial;Helvetica;Sans-Serif" w:hAnsi="Arial;Helvetica;Sans-Serif"/>
          <w:b w:val="false"/>
          <w:i w:val="false"/>
          <w:caps w:val="false"/>
          <w:smallCaps w:val="false"/>
          <w:color w:val="296DC1"/>
          <w:sz w:val="24"/>
        </w:rPr>
      </w:pPr>
      <w:r>
        <w:rPr>
          <w:rFonts w:ascii="Arial;Helvetica;Sans-Serif" w:hAnsi="Arial;Helvetica;Sans-Serif"/>
          <w:b w:val="false"/>
          <w:i w:val="false"/>
          <w:caps w:val="false"/>
          <w:smallCaps w:val="false"/>
          <w:color w:val="296DC1"/>
          <w:sz w:val="24"/>
        </w:rPr>
        <w:t>Underlying Indices</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more information about the underlying indices, including historical performance information, see the accompanying preliminary pricing supplement.</w:t>
      </w:r>
    </w:p>
    <w:p>
      <w:pPr>
        <w:pStyle w:val="TextBody"/>
        <w:bidi w:val="0"/>
        <w:spacing w:before="60" w:after="60"/>
        <w:ind w:left="60" w:right="60" w:hanging="0"/>
        <w:jc w:val="left"/>
        <w:rPr>
          <w:rFonts w:ascii="Arial;Helvetica;Sans-Serif" w:hAnsi="Arial;Helvetica;Sans-Serif"/>
          <w:b w:val="false"/>
          <w:i w:val="false"/>
          <w:caps w:val="false"/>
          <w:smallCaps w:val="false"/>
          <w:color w:val="296DC1"/>
          <w:sz w:val="24"/>
        </w:rPr>
      </w:pPr>
      <w:r>
        <w:rPr>
          <w:rFonts w:ascii="Arial;Helvetica;Sans-Serif" w:hAnsi="Arial;Helvetica;Sans-Serif"/>
          <w:b w:val="false"/>
          <w:i w:val="false"/>
          <w:caps w:val="false"/>
          <w:smallCaps w:val="false"/>
          <w:color w:val="296DC1"/>
          <w:sz w:val="24"/>
        </w:rPr>
        <w:t>Risk Considerations</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5"/>
        <w:gridCol w:w="10004"/>
      </w:tblGrid>
      <w:tr>
        <w:trPr/>
        <w:tc>
          <w:tcPr>
            <w:tcW w:w="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4" w:type="dxa"/>
            <w:tcBorders/>
            <w:vAlign w:val="center"/>
          </w:tcPr>
          <w:p>
            <w:pPr>
              <w:pStyle w:val="TableContents"/>
              <w:bidi w:val="0"/>
              <w:spacing w:before="0" w:after="283"/>
              <w:jc w:val="left"/>
              <w:rPr>
                <w:sz w:val="16"/>
              </w:rPr>
            </w:pPr>
            <w:r>
              <w:rPr>
                <w:sz w:val="16"/>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You will not receive any contingent quarterly payment for any quarterly monitoring period if the closing level of any underlying index is less than its coupon barrier level on any day during that quarterly monitoring period.</w:t>
            </w:r>
          </w:p>
        </w:tc>
      </w:tr>
    </w:tbl>
    <w:tbl>
      <w:tblPr>
        <w:tblW w:w="5000" w:type="pct"/>
        <w:jc w:val="left"/>
        <w:tblInd w:w="0" w:type="dxa"/>
        <w:tblLayout w:type="fixed"/>
        <w:tblCellMar>
          <w:top w:w="0" w:type="dxa"/>
          <w:left w:w="0" w:type="dxa"/>
          <w:bottom w:w="0" w:type="dxa"/>
          <w:right w:w="0" w:type="dxa"/>
        </w:tblCellMar>
      </w:tblPr>
      <w:tblGrid>
        <w:gridCol w:w="41"/>
        <w:gridCol w:w="138"/>
        <w:gridCol w:w="10026"/>
      </w:tblGrid>
      <w:tr>
        <w:trPr/>
        <w:tc>
          <w:tcPr>
            <w:tcW w:w="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6" w:type="dxa"/>
            <w:tcBorders/>
            <w:vAlign w:val="center"/>
          </w:tcPr>
          <w:p>
            <w:pPr>
              <w:pStyle w:val="TableContents"/>
              <w:bidi w:val="0"/>
              <w:spacing w:before="0" w:after="283"/>
              <w:jc w:val="left"/>
              <w:rPr>
                <w:sz w:val="16"/>
              </w:rPr>
            </w:pPr>
            <w:r>
              <w:rPr>
                <w:sz w:val="16"/>
              </w:rPr>
              <w:t>The contingent quarterly payment is based on the closing levels of the underlying indices during the quarterly monitoring periods.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 xml:space="preserve">You are exposed to the price risk of all three underlying indices, with respect to all the contingent quarterly payments, if any, and the payment at maturity, if any.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64" w:type="dxa"/>
            <w:tcBorders/>
            <w:vAlign w:val="center"/>
          </w:tcPr>
          <w:p>
            <w:pPr>
              <w:pStyle w:val="TableContents"/>
              <w:bidi w:val="0"/>
              <w:spacing w:before="0" w:after="283"/>
              <w:jc w:val="left"/>
              <w:rPr>
                <w:sz w:val="16"/>
              </w:rPr>
            </w:pPr>
            <w:r>
              <w:rPr>
                <w:sz w:val="16"/>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40"/>
        <w:gridCol w:w="9893"/>
      </w:tblGrid>
      <w:tr>
        <w:trPr/>
        <w:tc>
          <w:tcPr>
            <w:tcW w:w="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3" w:type="dxa"/>
            <w:tcBorders/>
            <w:vAlign w:val="center"/>
          </w:tcPr>
          <w:p>
            <w:pPr>
              <w:pStyle w:val="TableContents"/>
              <w:bidi w:val="0"/>
              <w:spacing w:before="0" w:after="283"/>
              <w:jc w:val="left"/>
              <w:rPr>
                <w:sz w:val="16"/>
              </w:rPr>
            </w:pPr>
            <w:r>
              <w:rPr>
                <w:sz w:val="16"/>
              </w:rPr>
              <w:t>Investors will not participate in any appreciation of any underlying index.</w:t>
            </w:r>
          </w:p>
        </w:tc>
      </w:tr>
    </w:tbl>
    <w:tbl>
      <w:tblPr>
        <w:tblW w:w="5000" w:type="pct"/>
        <w:jc w:val="left"/>
        <w:tblInd w:w="0" w:type="dxa"/>
        <w:tblLayout w:type="fixed"/>
        <w:tblCellMar>
          <w:top w:w="0" w:type="dxa"/>
          <w:left w:w="0" w:type="dxa"/>
          <w:bottom w:w="0" w:type="dxa"/>
          <w:right w:w="0" w:type="dxa"/>
        </w:tblCellMar>
      </w:tblPr>
      <w:tblGrid>
        <w:gridCol w:w="215"/>
        <w:gridCol w:w="707"/>
        <w:gridCol w:w="9283"/>
      </w:tblGrid>
      <w:tr>
        <w:trPr/>
        <w:tc>
          <w:tcPr>
            <w:tcW w:w="21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83" w:type="dxa"/>
            <w:tcBorders/>
            <w:vAlign w:val="center"/>
          </w:tcPr>
          <w:p>
            <w:pPr>
              <w:pStyle w:val="TableContents"/>
              <w:bidi w:val="0"/>
              <w:spacing w:before="0" w:after="283"/>
              <w:jc w:val="left"/>
              <w:rPr>
                <w:sz w:val="16"/>
              </w:rPr>
            </w:pPr>
            <w:r>
              <w:rPr>
                <w:sz w:val="16"/>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149"/>
        <w:gridCol w:w="491"/>
        <w:gridCol w:w="9565"/>
      </w:tblGrid>
      <w:tr>
        <w:trPr/>
        <w:tc>
          <w:tcPr>
            <w:tcW w:w="14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5" w:type="dxa"/>
            <w:tcBorders/>
            <w:vAlign w:val="center"/>
          </w:tcPr>
          <w:p>
            <w:pPr>
              <w:pStyle w:val="TableContents"/>
              <w:bidi w:val="0"/>
              <w:spacing w:before="0" w:after="283"/>
              <w:jc w:val="left"/>
              <w:rPr>
                <w:sz w:val="16"/>
              </w:rPr>
            </w:pPr>
            <w:r>
              <w:rPr>
                <w:sz w:val="16"/>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6"/>
              </w:rPr>
            </w:pPr>
            <w:r>
              <w:rPr>
                <w:sz w:val="16"/>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7" w:type="dxa"/>
            <w:tcBorders/>
            <w:vAlign w:val="center"/>
          </w:tcPr>
          <w:p>
            <w:pPr>
              <w:pStyle w:val="TableContents"/>
              <w:bidi w:val="0"/>
              <w:spacing w:before="0" w:after="283"/>
              <w:jc w:val="left"/>
              <w:rPr>
                <w:sz w:val="16"/>
              </w:rPr>
            </w:pPr>
            <w:r>
              <w:rPr>
                <w:sz w:val="16"/>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9"/>
        <w:gridCol w:w="163"/>
        <w:gridCol w:w="9993"/>
      </w:tblGrid>
      <w:tr>
        <w:trPr/>
        <w:tc>
          <w:tcPr>
            <w:tcW w:w="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3" w:type="dxa"/>
            <w:tcBorders/>
            <w:vAlign w:val="center"/>
          </w:tcPr>
          <w:p>
            <w:pPr>
              <w:pStyle w:val="TableContents"/>
              <w:bidi w:val="0"/>
              <w:spacing w:before="0" w:after="283"/>
              <w:jc w:val="left"/>
              <w:rPr>
                <w:sz w:val="16"/>
              </w:rPr>
            </w:pPr>
            <w:r>
              <w:rPr>
                <w:sz w:val="16"/>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6" w:type="dxa"/>
            <w:tcBorders/>
            <w:vAlign w:val="center"/>
          </w:tcPr>
          <w:p>
            <w:pPr>
              <w:pStyle w:val="TableContents"/>
              <w:bidi w:val="0"/>
              <w:spacing w:before="0" w:after="283"/>
              <w:jc w:val="left"/>
              <w:rPr>
                <w:sz w:val="16"/>
              </w:rPr>
            </w:pPr>
            <w:r>
              <w:rPr>
                <w:sz w:val="16"/>
              </w:rPr>
              <w:t>The estimated value of the securities will be lower than the original issue price (price to public) of the securities</w:t>
            </w:r>
            <w:r>
              <w:rPr>
                <w:rFonts w:ascii="Arial;Helvetica;Sans-Serif" w:hAnsi="Arial;Helvetica;Sans-Serif"/>
                <w:b w:val="false"/>
                <w:sz w:val="16"/>
              </w:rPr>
              <w:t>.</w:t>
            </w:r>
          </w:p>
        </w:tc>
      </w:tr>
    </w:tbl>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6" w:type="dxa"/>
            <w:tcBorders/>
            <w:vAlign w:val="center"/>
          </w:tcPr>
          <w:p>
            <w:pPr>
              <w:pStyle w:val="TableContents"/>
              <w:bidi w:val="0"/>
              <w:spacing w:before="0" w:after="283"/>
              <w:jc w:val="left"/>
              <w:rPr>
                <w:sz w:val="16"/>
              </w:rPr>
            </w:pPr>
            <w:r>
              <w:rPr>
                <w:sz w:val="16"/>
              </w:rPr>
              <w:t>The estimated value of the securities does not represent future values of the securities and may differ from others’ estimates.</w:t>
            </w:r>
          </w:p>
        </w:tc>
      </w:tr>
    </w:tbl>
    <w:tbl>
      <w:tblPr>
        <w:tblW w:w="5000" w:type="pct"/>
        <w:jc w:val="left"/>
        <w:tblInd w:w="0" w:type="dxa"/>
        <w:tblLayout w:type="fixed"/>
        <w:tblCellMar>
          <w:top w:w="0" w:type="dxa"/>
          <w:left w:w="0" w:type="dxa"/>
          <w:bottom w:w="0" w:type="dxa"/>
          <w:right w:w="0" w:type="dxa"/>
        </w:tblCellMar>
      </w:tblPr>
      <w:tblGrid>
        <w:gridCol w:w="59"/>
        <w:gridCol w:w="196"/>
        <w:gridCol w:w="9950"/>
      </w:tblGrid>
      <w:tr>
        <w:trPr/>
        <w:tc>
          <w:tcPr>
            <w:tcW w:w="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50" w:type="dxa"/>
            <w:tcBorders/>
            <w:vAlign w:val="center"/>
          </w:tcPr>
          <w:p>
            <w:pPr>
              <w:pStyle w:val="TableContents"/>
              <w:bidi w:val="0"/>
              <w:spacing w:before="0" w:after="283"/>
              <w:jc w:val="left"/>
              <w:rPr>
                <w:rFonts w:ascii="Arial;Helvetica;Sans-Serif" w:hAnsi="Arial;Helvetica;Sans-Serif"/>
                <w:b w:val="false"/>
                <w:sz w:val="16"/>
              </w:rPr>
            </w:pPr>
            <w:r>
              <w:rPr>
                <w:rFonts w:ascii="Arial;Helvetica;Sans-Serif" w:hAnsi="Arial;Helvetica;Sans-Serif"/>
                <w:b w:val="false"/>
                <w:sz w:val="16"/>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6"/>
              </w:rPr>
            </w:pPr>
            <w:r>
              <w:rPr>
                <w:rFonts w:ascii="Arial;Helvetica;Sans-Serif" w:hAnsi="Arial;Helvetica;Sans-Serif"/>
                <w:b w:val="false"/>
                <w:sz w:val="16"/>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1"/>
        <w:gridCol w:w="168"/>
        <w:gridCol w:w="9986"/>
      </w:tblGrid>
      <w:tr>
        <w:trPr/>
        <w:tc>
          <w:tcPr>
            <w:tcW w:w="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6" w:type="dxa"/>
            <w:tcBorders/>
            <w:vAlign w:val="center"/>
          </w:tcPr>
          <w:p>
            <w:pPr>
              <w:pStyle w:val="TableContents"/>
              <w:bidi w:val="0"/>
              <w:spacing w:before="0" w:after="283"/>
              <w:jc w:val="left"/>
              <w:rPr>
                <w:sz w:val="16"/>
              </w:rPr>
            </w:pPr>
            <w:r>
              <w:rPr>
                <w:sz w:val="16"/>
              </w:rPr>
              <w:t>Secondary market prices of the securities will likely be lower than the original issue price of the securities</w:t>
            </w:r>
            <w:r>
              <w:rPr>
                <w:rFonts w:ascii="Arial;Helvetica;Sans-Serif" w:hAnsi="Arial;Helvetica;Sans-Serif"/>
                <w:b w:val="false"/>
                <w:sz w:val="16"/>
              </w:rPr>
              <w:t xml:space="preserve">. </w:t>
            </w:r>
          </w:p>
        </w:tc>
      </w:tr>
    </w:tbl>
    <w:tbl>
      <w:tblPr>
        <w:tblW w:w="5000" w:type="pct"/>
        <w:jc w:val="left"/>
        <w:tblInd w:w="0" w:type="dxa"/>
        <w:tblLayout w:type="fixed"/>
        <w:tblCellMar>
          <w:top w:w="0" w:type="dxa"/>
          <w:left w:w="0" w:type="dxa"/>
          <w:bottom w:w="0" w:type="dxa"/>
          <w:right w:w="0" w:type="dxa"/>
        </w:tblCellMar>
      </w:tblPr>
      <w:tblGrid>
        <w:gridCol w:w="52"/>
        <w:gridCol w:w="175"/>
        <w:gridCol w:w="9978"/>
      </w:tblGrid>
      <w:tr>
        <w:trPr/>
        <w:tc>
          <w:tcPr>
            <w:tcW w:w="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8" w:type="dxa"/>
            <w:tcBorders/>
            <w:vAlign w:val="center"/>
          </w:tcPr>
          <w:p>
            <w:pPr>
              <w:pStyle w:val="TableContents"/>
              <w:bidi w:val="0"/>
              <w:spacing w:before="0" w:after="283"/>
              <w:jc w:val="left"/>
              <w:rPr>
                <w:rFonts w:ascii="Arial;Helvetica;Sans-Serif" w:hAnsi="Arial;Helvetica;Sans-Serif"/>
                <w:b w:val="false"/>
                <w:sz w:val="16"/>
              </w:rPr>
            </w:pPr>
            <w:r>
              <w:rPr>
                <w:rFonts w:ascii="Arial;Helvetica;Sans-Serif" w:hAnsi="Arial;Helvetica;Sans-Serif"/>
                <w:b w:val="false"/>
                <w:sz w:val="16"/>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62"/>
        <w:gridCol w:w="205"/>
        <w:gridCol w:w="9938"/>
      </w:tblGrid>
      <w:tr>
        <w:trPr/>
        <w:tc>
          <w:tcPr>
            <w:tcW w:w="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38" w:type="dxa"/>
            <w:tcBorders/>
            <w:vAlign w:val="center"/>
          </w:tcPr>
          <w:p>
            <w:pPr>
              <w:pStyle w:val="TableContents"/>
              <w:bidi w:val="0"/>
              <w:spacing w:before="0" w:after="283"/>
              <w:jc w:val="left"/>
              <w:rPr>
                <w:sz w:val="16"/>
              </w:rPr>
            </w:pPr>
            <w:r>
              <w:rPr>
                <w:sz w:val="16"/>
              </w:rPr>
              <w:t>JPMorgan Chase &amp; Co. is currently one of the companies that make up the SPX Index.</w:t>
            </w:r>
          </w:p>
        </w:tc>
      </w:tr>
    </w:tbl>
    <w:tbl>
      <w:tblPr>
        <w:tblW w:w="5000" w:type="pct"/>
        <w:jc w:val="left"/>
        <w:tblInd w:w="0" w:type="dxa"/>
        <w:tblLayout w:type="fixed"/>
        <w:tblCellMar>
          <w:top w:w="0" w:type="dxa"/>
          <w:left w:w="0" w:type="dxa"/>
          <w:bottom w:w="0" w:type="dxa"/>
          <w:right w:w="0" w:type="dxa"/>
        </w:tblCellMar>
      </w:tblPr>
      <w:tblGrid>
        <w:gridCol w:w="67"/>
        <w:gridCol w:w="221"/>
        <w:gridCol w:w="9917"/>
      </w:tblGrid>
      <w:tr>
        <w:trPr/>
        <w:tc>
          <w:tcPr>
            <w:tcW w:w="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17" w:type="dxa"/>
            <w:tcBorders/>
            <w:vAlign w:val="center"/>
          </w:tcPr>
          <w:p>
            <w:pPr>
              <w:pStyle w:val="TableContents"/>
              <w:bidi w:val="0"/>
              <w:spacing w:before="0" w:after="283"/>
              <w:jc w:val="left"/>
              <w:rPr>
                <w:sz w:val="16"/>
              </w:rPr>
            </w:pPr>
            <w:r>
              <w:rPr>
                <w:sz w:val="16"/>
              </w:rPr>
              <w:t>Investing in the securities is not equivalent to investing in any underlying index.</w:t>
            </w:r>
          </w:p>
        </w:tc>
      </w:tr>
    </w:tbl>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37" w:type="dxa"/>
            <w:tcBorders/>
            <w:vAlign w:val="center"/>
          </w:tcPr>
          <w:p>
            <w:pPr>
              <w:pStyle w:val="TableContents"/>
              <w:bidi w:val="0"/>
              <w:spacing w:before="0" w:after="283"/>
              <w:jc w:val="left"/>
              <w:rPr>
                <w:sz w:val="16"/>
              </w:rPr>
            </w:pPr>
            <w:r>
              <w:rPr>
                <w:sz w:val="16"/>
              </w:rPr>
              <w:t>Adjustments to any underlying index could adversely affect the value of the securities.</w:t>
            </w:r>
          </w:p>
        </w:tc>
      </w:tr>
    </w:tbl>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3" w:type="dxa"/>
            <w:tcBorders/>
            <w:vAlign w:val="center"/>
          </w:tcPr>
          <w:p>
            <w:pPr>
              <w:pStyle w:val="TableContents"/>
              <w:bidi w:val="0"/>
              <w:spacing w:before="0" w:after="283"/>
              <w:jc w:val="left"/>
              <w:rPr>
                <w:sz w:val="16"/>
              </w:rPr>
            </w:pPr>
            <w:r>
              <w:rPr>
                <w:sz w:val="16"/>
              </w:rPr>
              <w:t xml:space="preserve">An investment in the securities is subject to risks associated with small capitalization stocks with respect to the RTY Index. </w:t>
            </w:r>
          </w:p>
        </w:tc>
      </w:tr>
    </w:tbl>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3" w:type="dxa"/>
            <w:tcBorders/>
            <w:vAlign w:val="center"/>
          </w:tcPr>
          <w:p>
            <w:pPr>
              <w:pStyle w:val="TableContents"/>
              <w:bidi w:val="0"/>
              <w:spacing w:before="0" w:after="283"/>
              <w:jc w:val="left"/>
              <w:rPr>
                <w:sz w:val="16"/>
              </w:rPr>
            </w:pPr>
            <w:r>
              <w:rPr>
                <w:sz w:val="16"/>
              </w:rPr>
              <w:t xml:space="preserve">The securities are subject to risks associated with securities issued by non-U.S. companies with respect to the SX5E Index.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6"/>
              </w:rPr>
            </w:pPr>
            <w:r>
              <w:rPr>
                <w:sz w:val="16"/>
              </w:rPr>
              <w:t>The securities are not directly exposed to fluctuations in foreign exchange rates with respect to the SX5E Index.</w:t>
            </w:r>
          </w:p>
        </w:tc>
      </w:tr>
    </w:tbl>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9" w:type="dxa"/>
            <w:tcBorders/>
            <w:vAlign w:val="center"/>
          </w:tcPr>
          <w:p>
            <w:pPr>
              <w:pStyle w:val="TableContents"/>
              <w:bidi w:val="0"/>
              <w:spacing w:before="0" w:after="283"/>
              <w:jc w:val="left"/>
              <w:rPr>
                <w:sz w:val="16"/>
              </w:rPr>
            </w:pPr>
            <w:r>
              <w:rPr>
                <w:sz w:val="16"/>
              </w:rPr>
              <w:t xml:space="preserve">Governmental legislative and regulatory actions, including sanctions, could adversely affect your investment in the securities. </w:t>
            </w:r>
          </w:p>
        </w:tc>
      </w:tr>
    </w:tbl>
    <w:p>
      <w:pPr>
        <w:pStyle w:val="TextBody"/>
        <w:bidi w:val="0"/>
        <w:spacing w:before="0" w:after="60"/>
        <w:jc w:val="left"/>
        <w:rPr>
          <w:rFonts w:ascii="Arial;Helvetica;Sans-Serif" w:hAnsi="Arial;Helvetica;Sans-Serif"/>
          <w:b w:val="false"/>
          <w:i w:val="false"/>
          <w:caps w:val="false"/>
          <w:smallCaps w:val="false"/>
          <w:color w:val="296DC1"/>
          <w:sz w:val="24"/>
        </w:rPr>
      </w:pPr>
      <w:r>
        <w:rPr>
          <w:rFonts w:ascii="Arial;Helvetica;Sans-Serif" w:hAnsi="Arial;Helvetica;Sans-Serif"/>
          <w:b w:val="false"/>
          <w:i w:val="false"/>
          <w:caps w:val="false"/>
          <w:smallCaps w:val="false"/>
          <w:color w:val="296DC1"/>
          <w:sz w:val="24"/>
        </w:rPr>
        <w:t>Tax Considerations</w:t>
      </w:r>
    </w:p>
    <w:p>
      <w:pPr>
        <w:pStyle w:val="TextBody"/>
        <w:bidi w:val="0"/>
        <w:spacing w:before="0" w:after="6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6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617/000121390026096169/ea0304226-01_424b2.htm" TargetMode="External"/><Relationship Id="rId3" Type="http://schemas.openxmlformats.org/officeDocument/2006/relationships/hyperlink" Target="https://www.sec.gov/Archives/edgar/data/19617/000121390026096169/ea0304226-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1852</Words>
  <Characters>10178</Characters>
  <CharactersWithSpaces>11898</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