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4227-01_fwp.htm"/>
      <w:bookmarkStart w:id="1" w:name="ksea030422701_fwp"/>
      <w:bookmarkStart w:id="2" w:name="ea0304227-01_fwp.htm"/>
      <w:bookmarkStart w:id="3" w:name="ksea030422701_fwp"/>
      <w:bookmarkEnd w:id="2"/>
      <w:bookmarkEnd w:id="3"/>
    </w:p>
    <w:tbl>
      <w:tblPr>
        <w:tblW w:w="10205" w:type="dxa"/>
        <w:jc w:val="left"/>
        <w:tblInd w:w="0" w:type="dxa"/>
        <w:tblLayout w:type="fixed"/>
        <w:tblCellMar>
          <w:top w:w="0" w:type="dxa"/>
          <w:left w:w="0" w:type="dxa"/>
          <w:bottom w:w="0" w:type="dxa"/>
          <w:right w:w="0" w:type="dxa"/>
        </w:tblCellMar>
      </w:tblPr>
      <w:tblGrid>
        <w:gridCol w:w="6191"/>
        <w:gridCol w:w="4014"/>
      </w:tblGrid>
      <w:tr>
        <w:trPr/>
        <w:tc>
          <w:tcPr>
            <w:tcW w:w="6191"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014"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91" w:type="dxa"/>
            <w:vMerge w:val="continue"/>
            <w:tcBorders/>
            <w:vAlign w:val="center"/>
          </w:tcPr>
          <w:p>
            <w:pPr>
              <w:pStyle w:val="Normal"/>
              <w:bidi w:val="0"/>
              <w:jc w:val="left"/>
              <w:rPr/>
            </w:pPr>
            <w:r>
              <w:rPr/>
            </w:r>
          </w:p>
        </w:tc>
        <w:tc>
          <w:tcPr>
            <w:tcW w:w="4014"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5240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33375"/>
                          </a:xfrm>
                          <a:prstGeom prst="rect">
                            <a:avLst/>
                          </a:prstGeom>
                        </pic:spPr>
                      </pic:pic>
                    </a:graphicData>
                  </a:graphic>
                </wp:inline>
              </w:drawing>
            </w:r>
          </w:p>
        </w:tc>
      </w:tr>
      <w:tr>
        <w:trPr/>
        <w:tc>
          <w:tcPr>
            <w:tcW w:w="10205" w:type="dxa"/>
            <w:gridSpan w:val="2"/>
            <w:tcBorders/>
            <w:shd w:fill="8F8F8F" w:val="clear"/>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Contingent Fixed Return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GE Vernova Inc. due November 8, 2027</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1, 2026 to Preliminary Pricing Supplement dated September 1, 2026</w:t>
            </w:r>
          </w:p>
        </w:tc>
      </w:tr>
    </w:tbl>
    <w:p>
      <w:pPr>
        <w:pStyle w:val="TextBody"/>
        <w:bidi w:val="0"/>
        <w:spacing w:before="60" w:after="6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04367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04367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7"/>
                              <w:gridCol w:w="8618"/>
                            </w:tblGrid>
                            <w:tr>
                              <w:trPr/>
                              <w:tc>
                                <w:tcPr>
                                  <w:tcW w:w="15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GE Vernova Inc. (Bloomberg ticker: GEV)</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9,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3,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8,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8"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32.55% of the principal amount (at least $325.50 per security) (to be provided in the pricing supplement)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75% of the starting price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46661MKA1</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0.775%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0.20%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7"/>
                        <w:gridCol w:w="8618"/>
                      </w:tblGrid>
                      <w:tr>
                        <w:trPr/>
                        <w:tc>
                          <w:tcPr>
                            <w:tcW w:w="15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GE Vernova Inc. (Bloomberg ticker: GEV)</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9,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3,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8,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8"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32.55% of the principal amount (at least $325.50 per security) (to be provided in the pricing supplement)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75% of the starting price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46661MKA1</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0.775%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0.20%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5737225"/>
                <wp:effectExtent l="0" t="0" r="0" b="0"/>
                <wp:wrapSquare wrapText="left"/>
                <wp:docPr id="3" name="Frame2"/>
                <a:graphic xmlns:a="http://schemas.openxmlformats.org/drawingml/2006/main">
                  <a:graphicData uri="http://schemas.microsoft.com/office/word/2010/wordprocessingShape">
                    <wps:wsp>
                      <wps:cNvSpPr txBox="1"/>
                      <wps:spPr>
                        <a:xfrm>
                          <a:off x="0" y="0"/>
                          <a:ext cx="3175000" cy="5737225"/>
                        </a:xfrm>
                        <a:prstGeom prst="rect"/>
                        <a:solidFill>
                          <a:srgbClr val="FFFFFF"/>
                        </a:solidFill>
                      </wps:spPr>
                      <wps:txbx>
                        <w:txbxContent>
                          <w:p>
                            <w:pPr>
                              <w:pStyle w:val="TextBody"/>
                              <w:bidi w:val="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jc w:val="center"/>
                              <w:rPr>
                                <w:caps w:val="false"/>
                                <w:smallCaps w:val="false"/>
                              </w:rPr>
                            </w:pPr>
                            <w:r>
                              <w:rPr>
                                <w:caps w:val="false"/>
                                <w:smallCaps w:val="false"/>
                              </w:rPr>
                              <w:drawing>
                                <wp:inline distT="0" distB="0" distL="0" distR="0">
                                  <wp:extent cx="3143250" cy="20002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143250" cy="200025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25%,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$973.50 per security. The estimated value of the securities, when the terms of the securities are set, will be provided in the pricing supplement and will not be less than $940.00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Preliminary Pricing Supplement:</w:t>
                              <w:br/>
                            </w:r>
                            <w:hyperlink r:id="rId4">
                              <w:r>
                                <w:rPr>
                                  <w:rStyle w:val="InternetLink"/>
                                  <w:rFonts w:ascii="Georgia;Times;Serif" w:hAnsi="Georgia;Times;Serif"/>
                                  <w:b w:val="false"/>
                                  <w:i w:val="false"/>
                                  <w:caps w:val="false"/>
                                  <w:smallCaps w:val="false"/>
                                  <w:sz w:val="16"/>
                                </w:rPr>
                                <w:t>http://www.sec.gov/Archives/edgar/data/19617/000121390026096001/</w:t>
                                <w:br/>
                                <w:t>ea0304138-01_424b2.htm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51.7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jc w:val="center"/>
                        <w:rPr>
                          <w:caps w:val="false"/>
                          <w:smallCaps w:val="false"/>
                        </w:rPr>
                      </w:pPr>
                      <w:r>
                        <w:rPr>
                          <w:caps w:val="false"/>
                          <w:smallCaps w:val="false"/>
                        </w:rPr>
                        <w:drawing>
                          <wp:inline distT="0" distB="0" distL="0" distR="0">
                            <wp:extent cx="3143250" cy="20002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143250" cy="200025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25%,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$973.50 per security. The estimated value of the securities, when the terms of the securities are set, will be provided in the pricing supplement and will not be less than $940.00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Preliminary Pricing Supplement:</w:t>
                        <w:br/>
                      </w:r>
                      <w:hyperlink r:id="rId6">
                        <w:r>
                          <w:rPr>
                            <w:rStyle w:val="InternetLink"/>
                            <w:rFonts w:ascii="Georgia;Times;Serif" w:hAnsi="Georgia;Times;Serif"/>
                            <w:b w:val="false"/>
                            <w:i w:val="false"/>
                            <w:caps w:val="false"/>
                            <w:smallCaps w:val="false"/>
                            <w:sz w:val="16"/>
                          </w:rPr>
                          <w:t>http://www.sec.gov/Archives/edgar/data/19617/000121390026096001/</w:t>
                          <w:br/>
                          <w:t>ea0304138-01_424b2.htm</w:t>
                        </w:r>
                      </w:hyperlink>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3978"/>
        <w:gridCol w:w="6227"/>
      </w:tblGrid>
      <w:tr>
        <w:trPr/>
        <w:tc>
          <w:tcPr>
            <w:tcW w:w="3978"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Price Is Less Than the Threshold Price, You Will Lose More Than 25%,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Potential Return on the Securities Is Limited to the Contingent Fixed Return and May Be Lower Than the Return on a Direct Investment in the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Ability to Receive the Contingent Fixed Return May Terminate on the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0"/>
              <w:jc w:val="left"/>
              <w:rPr>
                <w:caps w:val="false"/>
                <w:smallCaps w:val="false"/>
              </w:rPr>
            </w:pPr>
            <w:r>
              <w:rPr>
                <w:caps w:val="false"/>
                <w:smallCaps w:val="false"/>
              </w:rPr>
              <w:t> </w:t>
            </w:r>
          </w:p>
        </w:tc>
        <w:tc>
          <w:tcPr>
            <w:tcW w:w="6227"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Limited Trading History.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Maturity Payment Amount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6001/ea0304138-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6001/ea0304138-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1271</Words>
  <Characters>6901</Characters>
  <CharactersWithSpaces>8211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