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5783-01_fwp.htm"/>
      <w:bookmarkStart w:id="1" w:name="ksea030578301_fwp"/>
      <w:bookmarkStart w:id="2" w:name="ea0305783-01_fwp.htm"/>
      <w:bookmarkStart w:id="3" w:name="ksea030578301_fwp"/>
      <w:bookmarkEnd w:id="2"/>
      <w:bookmarkEnd w:id="3"/>
    </w:p>
    <w:tbl>
      <w:tblPr>
        <w:tblW w:w="10205" w:type="dxa"/>
        <w:jc w:val="left"/>
        <w:tblInd w:w="0" w:type="dxa"/>
        <w:tblLayout w:type="fixed"/>
        <w:tblCellMar>
          <w:top w:w="0" w:type="dxa"/>
          <w:left w:w="0" w:type="dxa"/>
          <w:bottom w:w="0" w:type="dxa"/>
          <w:right w:w="0" w:type="dxa"/>
        </w:tblCellMar>
      </w:tblPr>
      <w:tblGrid>
        <w:gridCol w:w="6922"/>
        <w:gridCol w:w="3283"/>
      </w:tblGrid>
      <w:tr>
        <w:trPr/>
        <w:tc>
          <w:tcPr>
            <w:tcW w:w="6922" w:type="dxa"/>
            <w:tcBorders/>
            <w:vAlign w:val="center"/>
          </w:tcPr>
          <w:p>
            <w:pPr>
              <w:pStyle w:val="TableContents"/>
              <w:bidi w:val="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3283" w:type="dxa"/>
            <w:tcBorders/>
            <w:vAlign w:val="center"/>
          </w:tcPr>
          <w:p>
            <w:pPr>
              <w:pStyle w:val="TableContents"/>
              <w:bidi w:val="0"/>
              <w:ind w:left="133" w:right="133"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ind w:left="133" w:right="133"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w:t>
            </w:r>
          </w:p>
          <w:p>
            <w:pPr>
              <w:pStyle w:val="TableContents"/>
              <w:bidi w:val="0"/>
              <w:ind w:left="133" w:right="133"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333-293684-01</w:t>
            </w:r>
          </w:p>
          <w:p>
            <w:pPr>
              <w:pStyle w:val="TableContents"/>
              <w:bidi w:val="0"/>
              <w:ind w:left="133" w:right="133" w:hanging="0"/>
              <w:jc w:val="right"/>
              <w:rPr>
                <w:caps w:val="false"/>
                <w:smallCaps w:val="false"/>
              </w:rPr>
            </w:pPr>
            <w:r>
              <w:rPr>
                <w:caps w:val="false"/>
                <w:smallCaps w:val="false"/>
              </w:rPr>
              <w:t> </w:t>
            </w:r>
          </w:p>
          <w:p>
            <w:pPr>
              <w:pStyle w:val="TableContents"/>
              <w:bidi w:val="0"/>
              <w:spacing w:before="0" w:after="0"/>
              <w:ind w:left="0" w:right="0" w:hanging="0"/>
              <w:jc w:val="right"/>
              <w:rPr>
                <w:caps w:val="false"/>
                <w:smallCaps w:val="false"/>
              </w:rPr>
            </w:pPr>
            <w:r>
              <w:rPr>
                <w:caps w:val="false"/>
                <w:smallCaps w:val="false"/>
              </w:rPr>
              <w:drawing>
                <wp:inline distT="0" distB="0" distL="0" distR="0">
                  <wp:extent cx="15240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400050"/>
                          </a:xfrm>
                          <a:prstGeom prst="rect">
                            <a:avLst/>
                          </a:prstGeom>
                        </pic:spPr>
                      </pic:pic>
                    </a:graphicData>
                  </a:graphic>
                </wp:inline>
              </w:drawing>
            </w:r>
            <w:r>
              <w:rPr>
                <w:caps w:val="false"/>
                <w:smallCaps w:val="false"/>
              </w:rPr>
              <w:t> </w:t>
            </w:r>
          </w:p>
        </w:tc>
      </w:tr>
      <w:tr>
        <w:trPr/>
        <w:tc>
          <w:tcPr>
            <w:tcW w:w="6922" w:type="dxa"/>
            <w:tcBorders/>
            <w:vAlign w:val="center"/>
          </w:tcPr>
          <w:p>
            <w:pPr>
              <w:pStyle w:val="TableContents"/>
              <w:bidi w:val="0"/>
              <w:spacing w:before="0" w:after="283"/>
              <w:jc w:val="left"/>
              <w:rPr>
                <w:sz w:val="4"/>
                <w:szCs w:val="4"/>
              </w:rPr>
            </w:pPr>
            <w:r>
              <w:rPr>
                <w:sz w:val="4"/>
                <w:szCs w:val="4"/>
              </w:rPr>
            </w:r>
          </w:p>
        </w:tc>
        <w:tc>
          <w:tcPr>
            <w:tcW w:w="32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Securities—Auto-Callable with Contingent Coupon with Memory Feature and Contingent Downside</w:t>
            </w:r>
          </w:p>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Common Stock of The Boeing Company due September 21, 2028</w:t>
            </w:r>
          </w:p>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September 16, 2026 to Preliminary Pricing Supplement dated September 16, 2026</w:t>
            </w:r>
          </w:p>
        </w:tc>
      </w:tr>
    </w:tbl>
    <w:p>
      <w:pPr>
        <w:pStyle w:val="TextBody"/>
        <w:bidi w:val="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872109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8721090"/>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081"/>
                              <w:gridCol w:w="9124"/>
                            </w:tblGrid>
                            <w:tr>
                              <w:trPr/>
                              <w:tc>
                                <w:tcPr>
                                  <w:tcW w:w="10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Issuer:</w:t>
                                  </w:r>
                                </w:p>
                              </w:tc>
                              <w:tc>
                                <w:tcPr>
                                  <w:tcW w:w="912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Financial Company LLC</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Guarantor:</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&amp; C0.</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Underlying Stock:</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common stock of The Boeing Company (Bloomberg ticker: BA) (the “</w:t>
                                  </w:r>
                                  <w:r>
                                    <w:rPr>
                                      <w:rFonts w:ascii="Georgia;Times;Serif" w:hAnsi="Georgia;Times;Serif"/>
                                      <w:b w:val="false"/>
                                      <w:i w:val="false"/>
                                      <w:caps w:val="false"/>
                                      <w:smallCaps w:val="false"/>
                                      <w:sz w:val="15"/>
                                      <w:u w:val="single"/>
                                    </w:rPr>
                                    <w:t>Underlying Stock</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Pricing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18,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23,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Stated Maturity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21, 2028</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Principal Amount: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per security (100% of par)</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20" w:after="20"/>
                                    <w:ind w:left="20" w:right="2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5"/>
                                    </w:rPr>
                                    <w:t>and only if</w:t>
                                  </w:r>
                                  <w:r>
                                    <w:rPr>
                                      <w:rFonts w:ascii="Georgia;Times;Serif" w:hAnsi="Georgia;Times;Serif"/>
                                      <w:b w:val="false"/>
                                      <w:i w:val="false"/>
                                      <w:caps w:val="false"/>
                                      <w:smallCaps w:val="false"/>
                                      <w:sz w:val="15"/>
                                    </w:rPr>
                                    <w:t xml:space="preserve">, the stock closing price of the Underlying Stock on the related calculation day is greater than or equal to the threshold price. In addition, if the stock closing price of the Underlying Stock on one or more calculation days is less than the threshold price and, on a subsequent calculation day, the stock closing price of the Underlying Stock is greater than or equal to the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all previously unpaid contingent coupon payments (without interest on amounts previously unpaid). Each “</w:t>
                                  </w:r>
                                  <w:r>
                                    <w:rPr>
                                      <w:rFonts w:ascii="Georgia;Times;Serif" w:hAnsi="Georgia;Times;Serif"/>
                                      <w:b w:val="false"/>
                                      <w:i w:val="false"/>
                                      <w:caps w:val="false"/>
                                      <w:smallCaps w:val="false"/>
                                      <w:sz w:val="15"/>
                                      <w:u w:val="single"/>
                                    </w:rPr>
                                    <w:t>contingent coupon payment</w:t>
                                  </w:r>
                                  <w:r>
                                    <w:rPr>
                                      <w:rFonts w:ascii="Georgia;Times;Serif" w:hAnsi="Georgia;Times;Serif"/>
                                      <w:b w:val="false"/>
                                      <w:i w:val="false"/>
                                      <w:caps w:val="false"/>
                                      <w:smallCaps w:val="false"/>
                                      <w:sz w:val="15"/>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contingent coupon rate) / 4</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 Dates</w:t>
                                  </w:r>
                                  <w:r>
                                    <w:rPr>
                                      <w:rFonts w:ascii="Georgia;Times;Serif" w:hAnsi="Georgia;Times;Serif"/>
                                      <w:b w:val="false"/>
                                      <w:i w:val="false"/>
                                      <w:caps w:val="false"/>
                                      <w:smallCaps w:val="false"/>
                                      <w:color w:val="808080"/>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Quarterly, on the third business day following each calculation day, </w:t>
                                  </w:r>
                                  <w:r>
                                    <w:rPr>
                                      <w:rFonts w:ascii="Georgia;Times;Serif" w:hAnsi="Georgia;Times;Serif"/>
                                      <w:b w:val="false"/>
                                      <w:i/>
                                      <w:caps w:val="false"/>
                                      <w:smallCaps w:val="false"/>
                                      <w:sz w:val="15"/>
                                    </w:rPr>
                                    <w:t xml:space="preserve">provided </w:t>
                                  </w:r>
                                  <w:r>
                                    <w:rPr>
                                      <w:rFonts w:ascii="Georgia;Times;Serif" w:hAnsi="Georgia;Times;Serif"/>
                                      <w:b w:val="false"/>
                                      <w:i w:val="false"/>
                                      <w:caps w:val="false"/>
                                      <w:smallCaps w:val="false"/>
                                      <w:sz w:val="15"/>
                                    </w:rPr>
                                    <w:t>that the contingent coupon payment date with respect to the final calculation day will be the stated maturity date</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Rate:</w:t>
                                  </w:r>
                                </w:p>
                              </w:tc>
                              <w:tc>
                                <w:tcPr>
                                  <w:tcW w:w="9124"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At least 10.10% per annum (to be provided in the pricing supplement)</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Automatic Call: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If the stock closing price of the Underlying Stock on any of the calculation days from December 2026 to June 2028, inclusive, is greater than or equal to the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 final contingent coupon payment and any previously unpaid contingent coupon payments.  </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Days</w:t>
                                  </w:r>
                                  <w:r>
                                    <w:rPr>
                                      <w:rFonts w:ascii="Georgia;Times;Serif" w:hAnsi="Georgia;Times;Serif"/>
                                      <w:b w:val="false"/>
                                      <w:i w:val="false"/>
                                      <w:caps w:val="false"/>
                                      <w:smallCaps w:val="false"/>
                                      <w:color w:val="808080"/>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Quarterly, on the 18</w:t>
                                  </w:r>
                                  <w:r>
                                    <w:rPr>
                                      <w:rFonts w:ascii="Georgia;Times;Serif" w:hAnsi="Georgia;Times;Serif"/>
                                      <w:b w:val="false"/>
                                      <w:i w:val="false"/>
                                      <w:caps w:val="false"/>
                                      <w:smallCaps w:val="false"/>
                                      <w:position w:val="5"/>
                                      <w:sz w:val="12"/>
                                      <w:sz w:val="15"/>
                                    </w:rPr>
                                    <w:t>th</w:t>
                                  </w:r>
                                  <w:r>
                                    <w:rPr>
                                      <w:rFonts w:ascii="Georgia;Times;Serif" w:hAnsi="Georgia;Times;Serif"/>
                                      <w:b w:val="false"/>
                                      <w:i w:val="false"/>
                                      <w:caps w:val="false"/>
                                      <w:smallCaps w:val="false"/>
                                      <w:sz w:val="15"/>
                                    </w:rPr>
                                    <w:t xml:space="preserve"> day of each March, June, September and December, commencing December 2026 and ending September 2028.  We refer to September 18, 2028 as the “</w:t>
                                  </w:r>
                                  <w:r>
                                    <w:rPr>
                                      <w:rFonts w:ascii="Georgia;Times;Serif" w:hAnsi="Georgia;Times;Serif"/>
                                      <w:b w:val="false"/>
                                      <w:i w:val="false"/>
                                      <w:caps w:val="false"/>
                                      <w:smallCaps w:val="false"/>
                                      <w:sz w:val="15"/>
                                      <w:u w:val="single"/>
                                    </w:rPr>
                                    <w:t>final calculation day</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Settlement Date</w:t>
                                  </w:r>
                                  <w:r>
                                    <w:rPr>
                                      <w:rFonts w:ascii="Georgia;Times;Serif" w:hAnsi="Georgia;Times;Serif"/>
                                      <w:b w:val="false"/>
                                      <w:i w:val="false"/>
                                      <w:caps w:val="false"/>
                                      <w:smallCaps w:val="false"/>
                                      <w:color w:val="808080"/>
                                      <w:position w:val="5"/>
                                      <w:sz w:val="12"/>
                                      <w:sz w:val="15"/>
                                    </w:rPr>
                                    <w:t>1, 2</w:t>
                                  </w:r>
                                  <w:r>
                                    <w:rPr>
                                      <w:rFonts w:ascii="Georgia;Times;Serif" w:hAnsi="Georgia;Times;Serif"/>
                                      <w:b w:val="false"/>
                                      <w:i w:val="false"/>
                                      <w:caps w:val="false"/>
                                      <w:smallCaps w:val="false"/>
                                      <w:sz w:val="15"/>
                                    </w:rPr>
                                    <w:t xml:space="preserve">: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Three business days after the applicable calculation day</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Maturity Payment Amount (per Security):</w:t>
                                  </w:r>
                                </w:p>
                              </w:tc>
                              <w:tc>
                                <w:tcPr>
                                  <w:tcW w:w="9124"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greater than or equal to the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less than the threshold price:</w:t>
                                  </w:r>
                                </w:p>
                                <w:p>
                                  <w:pPr>
                                    <w:pStyle w:val="TableContents"/>
                                    <w:bidi w:val="0"/>
                                    <w:spacing w:before="60" w:after="40"/>
                                    <w:ind w:left="0" w:right="60" w:hanging="0"/>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Starting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pricing date</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final calculation day</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86.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081"/>
                        <w:gridCol w:w="9124"/>
                      </w:tblGrid>
                      <w:tr>
                        <w:trPr/>
                        <w:tc>
                          <w:tcPr>
                            <w:tcW w:w="10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Issuer:</w:t>
                            </w:r>
                          </w:p>
                        </w:tc>
                        <w:tc>
                          <w:tcPr>
                            <w:tcW w:w="912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Financial Company LLC</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Guarantor:</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&amp; C0.</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Underlying Stock:</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common stock of The Boeing Company (Bloomberg ticker: BA) (the “</w:t>
                            </w:r>
                            <w:r>
                              <w:rPr>
                                <w:rFonts w:ascii="Georgia;Times;Serif" w:hAnsi="Georgia;Times;Serif"/>
                                <w:b w:val="false"/>
                                <w:i w:val="false"/>
                                <w:caps w:val="false"/>
                                <w:smallCaps w:val="false"/>
                                <w:sz w:val="15"/>
                                <w:u w:val="single"/>
                              </w:rPr>
                              <w:t>Underlying Stock</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Pricing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18,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23,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Stated Maturity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21, 2028</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Principal Amount: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per security (100% of par)</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20" w:after="20"/>
                              <w:ind w:left="20" w:right="2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5"/>
                              </w:rPr>
                              <w:t>and only if</w:t>
                            </w:r>
                            <w:r>
                              <w:rPr>
                                <w:rFonts w:ascii="Georgia;Times;Serif" w:hAnsi="Georgia;Times;Serif"/>
                                <w:b w:val="false"/>
                                <w:i w:val="false"/>
                                <w:caps w:val="false"/>
                                <w:smallCaps w:val="false"/>
                                <w:sz w:val="15"/>
                              </w:rPr>
                              <w:t xml:space="preserve">, the stock closing price of the Underlying Stock on the related calculation day is greater than or equal to the threshold price. In addition, if the stock closing price of the Underlying Stock on one or more calculation days is less than the threshold price and, on a subsequent calculation day, the stock closing price of the Underlying Stock is greater than or equal to the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all previously unpaid contingent coupon payments (without interest on amounts previously unpaid). Each “</w:t>
                            </w:r>
                            <w:r>
                              <w:rPr>
                                <w:rFonts w:ascii="Georgia;Times;Serif" w:hAnsi="Georgia;Times;Serif"/>
                                <w:b w:val="false"/>
                                <w:i w:val="false"/>
                                <w:caps w:val="false"/>
                                <w:smallCaps w:val="false"/>
                                <w:sz w:val="15"/>
                                <w:u w:val="single"/>
                              </w:rPr>
                              <w:t>contingent coupon payment</w:t>
                            </w:r>
                            <w:r>
                              <w:rPr>
                                <w:rFonts w:ascii="Georgia;Times;Serif" w:hAnsi="Georgia;Times;Serif"/>
                                <w:b w:val="false"/>
                                <w:i w:val="false"/>
                                <w:caps w:val="false"/>
                                <w:smallCaps w:val="false"/>
                                <w:sz w:val="15"/>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contingent coupon rate) / 4</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 Dates</w:t>
                            </w:r>
                            <w:r>
                              <w:rPr>
                                <w:rFonts w:ascii="Georgia;Times;Serif" w:hAnsi="Georgia;Times;Serif"/>
                                <w:b w:val="false"/>
                                <w:i w:val="false"/>
                                <w:caps w:val="false"/>
                                <w:smallCaps w:val="false"/>
                                <w:color w:val="808080"/>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Quarterly, on the third business day following each calculation day, </w:t>
                            </w:r>
                            <w:r>
                              <w:rPr>
                                <w:rFonts w:ascii="Georgia;Times;Serif" w:hAnsi="Georgia;Times;Serif"/>
                                <w:b w:val="false"/>
                                <w:i/>
                                <w:caps w:val="false"/>
                                <w:smallCaps w:val="false"/>
                                <w:sz w:val="15"/>
                              </w:rPr>
                              <w:t xml:space="preserve">provided </w:t>
                            </w:r>
                            <w:r>
                              <w:rPr>
                                <w:rFonts w:ascii="Georgia;Times;Serif" w:hAnsi="Georgia;Times;Serif"/>
                                <w:b w:val="false"/>
                                <w:i w:val="false"/>
                                <w:caps w:val="false"/>
                                <w:smallCaps w:val="false"/>
                                <w:sz w:val="15"/>
                              </w:rPr>
                              <w:t>that the contingent coupon payment date with respect to the final calculation day will be the stated maturity date</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Rate:</w:t>
                            </w:r>
                          </w:p>
                        </w:tc>
                        <w:tc>
                          <w:tcPr>
                            <w:tcW w:w="9124"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At least 10.10% per annum (to be provided in the pricing supplement)</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Automatic Call: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If the stock closing price of the Underlying Stock on any of the calculation days from December 2026 to June 2028, inclusive, is greater than or equal to the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 final contingent coupon payment and any previously unpaid contingent coupon payments.  </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Days</w:t>
                            </w:r>
                            <w:r>
                              <w:rPr>
                                <w:rFonts w:ascii="Georgia;Times;Serif" w:hAnsi="Georgia;Times;Serif"/>
                                <w:b w:val="false"/>
                                <w:i w:val="false"/>
                                <w:caps w:val="false"/>
                                <w:smallCaps w:val="false"/>
                                <w:color w:val="808080"/>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Quarterly, on the 18</w:t>
                            </w:r>
                            <w:r>
                              <w:rPr>
                                <w:rFonts w:ascii="Georgia;Times;Serif" w:hAnsi="Georgia;Times;Serif"/>
                                <w:b w:val="false"/>
                                <w:i w:val="false"/>
                                <w:caps w:val="false"/>
                                <w:smallCaps w:val="false"/>
                                <w:position w:val="5"/>
                                <w:sz w:val="12"/>
                                <w:sz w:val="15"/>
                              </w:rPr>
                              <w:t>th</w:t>
                            </w:r>
                            <w:r>
                              <w:rPr>
                                <w:rFonts w:ascii="Georgia;Times;Serif" w:hAnsi="Georgia;Times;Serif"/>
                                <w:b w:val="false"/>
                                <w:i w:val="false"/>
                                <w:caps w:val="false"/>
                                <w:smallCaps w:val="false"/>
                                <w:sz w:val="15"/>
                              </w:rPr>
                              <w:t xml:space="preserve"> day of each March, June, September and December, commencing December 2026 and ending September 2028.  We refer to September 18, 2028 as the “</w:t>
                            </w:r>
                            <w:r>
                              <w:rPr>
                                <w:rFonts w:ascii="Georgia;Times;Serif" w:hAnsi="Georgia;Times;Serif"/>
                                <w:b w:val="false"/>
                                <w:i w:val="false"/>
                                <w:caps w:val="false"/>
                                <w:smallCaps w:val="false"/>
                                <w:sz w:val="15"/>
                                <w:u w:val="single"/>
                              </w:rPr>
                              <w:t>final calculation day</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Settlement Date</w:t>
                            </w:r>
                            <w:r>
                              <w:rPr>
                                <w:rFonts w:ascii="Georgia;Times;Serif" w:hAnsi="Georgia;Times;Serif"/>
                                <w:b w:val="false"/>
                                <w:i w:val="false"/>
                                <w:caps w:val="false"/>
                                <w:smallCaps w:val="false"/>
                                <w:color w:val="808080"/>
                                <w:position w:val="5"/>
                                <w:sz w:val="12"/>
                                <w:sz w:val="15"/>
                              </w:rPr>
                              <w:t>1, 2</w:t>
                            </w:r>
                            <w:r>
                              <w:rPr>
                                <w:rFonts w:ascii="Georgia;Times;Serif" w:hAnsi="Georgia;Times;Serif"/>
                                <w:b w:val="false"/>
                                <w:i w:val="false"/>
                                <w:caps w:val="false"/>
                                <w:smallCaps w:val="false"/>
                                <w:sz w:val="15"/>
                              </w:rPr>
                              <w:t xml:space="preserve">: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Three business days after the applicable calculation day</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Maturity Payment Amount (per Security):</w:t>
                            </w:r>
                          </w:p>
                        </w:tc>
                        <w:tc>
                          <w:tcPr>
                            <w:tcW w:w="9124"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greater than or equal to the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less than the threshold price:</w:t>
                            </w:r>
                          </w:p>
                          <w:p>
                            <w:pPr>
                              <w:pStyle w:val="TableContents"/>
                              <w:bidi w:val="0"/>
                              <w:spacing w:before="60" w:after="40"/>
                              <w:ind w:left="0" w:right="60" w:hanging="0"/>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Starting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pricing date</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final calculation day</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9576435"/>
                <wp:effectExtent l="0" t="0" r="0" b="0"/>
                <wp:wrapSquare wrapText="left"/>
                <wp:docPr id="3" name="Frame2"/>
                <a:graphic xmlns:a="http://schemas.openxmlformats.org/drawingml/2006/main">
                  <a:graphicData uri="http://schemas.microsoft.com/office/word/2010/wordprocessingShape">
                    <wps:wsp>
                      <wps:cNvSpPr txBox="1"/>
                      <wps:spPr>
                        <a:xfrm>
                          <a:off x="0" y="0"/>
                          <a:ext cx="3175000" cy="9576435"/>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185"/>
                              <w:gridCol w:w="9020"/>
                            </w:tblGrid>
                            <w:tr>
                              <w:trPr/>
                              <w:tc>
                                <w:tcPr>
                                  <w:tcW w:w="11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Stock Return:</w:t>
                                  </w:r>
                                </w:p>
                              </w:tc>
                              <w:tc>
                                <w:tcPr>
                                  <w:tcW w:w="90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 – starting price) / starting price</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Threshold Price:</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70% of the starting price</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Agent:</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 Morgan Securities LLC (“</w:t>
                                  </w:r>
                                  <w:r>
                                    <w:rPr>
                                      <w:rFonts w:ascii="Georgia;Times;Serif" w:hAnsi="Georgia;Times;Serif"/>
                                      <w:b w:val="false"/>
                                      <w:i w:val="false"/>
                                      <w:caps w:val="false"/>
                                      <w:smallCaps w:val="false"/>
                                      <w:sz w:val="15"/>
                                      <w:u w:val="single"/>
                                    </w:rPr>
                                    <w:t>JPMS</w:t>
                                  </w:r>
                                  <w:r>
                                    <w:rPr>
                                      <w:rFonts w:ascii="Georgia;Times;Serif" w:hAnsi="Georgia;Times;Serif"/>
                                      <w:b w:val="false"/>
                                      <w:i w:val="false"/>
                                      <w:caps w:val="false"/>
                                      <w:smallCaps w:val="false"/>
                                      <w:sz w:val="15"/>
                                    </w:rPr>
                                    <w:t>”)</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Denominations: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and any integral multiple of $1,000</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CUSIP:</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46661PVX2</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Fees and Commissions: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 to 2.075% for Wells Fargo Securities, LLC (“</w:t>
                                  </w:r>
                                  <w:r>
                                    <w:rPr>
                                      <w:rFonts w:ascii="Georgia;Times;Serif" w:hAnsi="Georgia;Times;Serif"/>
                                      <w:b w:val="false"/>
                                      <w:i w:val="false"/>
                                      <w:caps w:val="false"/>
                                      <w:smallCaps w:val="false"/>
                                      <w:sz w:val="15"/>
                                      <w:u w:val="single"/>
                                    </w:rPr>
                                    <w:t>WFS</w:t>
                                  </w:r>
                                  <w:r>
                                    <w:rPr>
                                      <w:rFonts w:ascii="Georgia;Times;Serif" w:hAnsi="Georgia;Times;Serif"/>
                                      <w:b w:val="false"/>
                                      <w:i w:val="false"/>
                                      <w:caps w:val="false"/>
                                      <w:smallCaps w:val="false"/>
                                      <w:sz w:val="15"/>
                                    </w:rPr>
                                    <w:t>”); WFS has advised us that dealers, including Wells Fargo Advisors (“</w:t>
                                  </w:r>
                                  <w:r>
                                    <w:rPr>
                                      <w:rFonts w:ascii="Georgia;Times;Serif" w:hAnsi="Georgia;Times;Serif"/>
                                      <w:b w:val="false"/>
                                      <w:i w:val="false"/>
                                      <w:caps w:val="false"/>
                                      <w:smallCaps w:val="false"/>
                                      <w:sz w:val="15"/>
                                      <w:u w:val="single"/>
                                    </w:rPr>
                                    <w:t>WFA</w:t>
                                  </w:r>
                                  <w:r>
                                    <w:rPr>
                                      <w:rFonts w:ascii="Georgia;Times;Serif" w:hAnsi="Georgia;Times;Serif"/>
                                      <w:b w:val="false"/>
                                      <w:i w:val="false"/>
                                      <w:caps w:val="false"/>
                                      <w:smallCaps w:val="false"/>
                                      <w:sz w:val="15"/>
                                    </w:rPr>
                                    <w:t>”), may receive 1.50% of WFS’s fee, and WFA may also receive a distribution expense fee of 0.075%.  In addition, in respect of certain securities sold in this offering, JPMS may pay a fee of up to 0.20% to selected dealers in consideration for marketing and other services in connection with the distribution of the securities to other dealers.</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Tax Considerations: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60" w:after="60"/>
                              <w:ind w:left="57" w:right="6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jc w:val="center"/>
                              <w:rPr>
                                <w:caps w:val="false"/>
                                <w:smallCaps w:val="false"/>
                                <w:color w:val="8F8F8F"/>
                              </w:rPr>
                            </w:pPr>
                            <w:r>
                              <w:rPr>
                                <w:caps w:val="false"/>
                                <w:smallCaps w:val="false"/>
                                <w:color w:val="8F8F8F"/>
                              </w:rPr>
                              <w:drawing>
                                <wp:inline distT="0" distB="0" distL="0" distR="0">
                                  <wp:extent cx="2886075" cy="19812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886075" cy="1981200"/>
                                          </a:xfrm>
                                          <a:prstGeom prst="rect">
                                            <a:avLst/>
                                          </a:prstGeom>
                                        </pic:spPr>
                                      </pic:pic>
                                    </a:graphicData>
                                  </a:graphic>
                                </wp:inline>
                              </w:drawing>
                            </w:r>
                          </w:p>
                          <w:p>
                            <w:pPr>
                              <w:pStyle w:val="TextBody"/>
                              <w:bidi w:val="0"/>
                              <w:ind w:left="13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If the securities are not automatically called prior to maturity and the ending price is less than the threshold price, you will lose more than 30%, and possibly all, of the principal amount of your securities at maturity.</w:t>
                            </w:r>
                          </w:p>
                          <w:p>
                            <w:pPr>
                              <w:pStyle w:val="TextBody"/>
                              <w:bidi w:val="0"/>
                              <w:ind w:left="13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Any return on the securities will be limited to the sum of your contingent coupon payments, if any. You will not participate in any appreciation of the Underlying Stock, but you will have full downside exposure to the Underlying Stock on the final calculation day if the ending price is less than the threshold price.</w:t>
                            </w:r>
                          </w:p>
                          <w:p>
                            <w:pPr>
                              <w:pStyle w:val="TextBody"/>
                              <w:bidi w:val="0"/>
                              <w:ind w:left="13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4"/>
                              </w:rPr>
                              <w:t>Any payment on the securities is subject to the credit risk of JPMorgan Financial, as issuer of the securities, and the credit risk of JPMorgan Chase &amp; Co., as guarantor of the securities.</w:t>
                            </w:r>
                          </w:p>
                          <w:p>
                            <w:pPr>
                              <w:pStyle w:val="TextBody"/>
                              <w:bidi w:val="0"/>
                              <w:ind w:left="13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If the securities priced on the date of the accompanying preliminary pricing supplement, the estimated value of the securities would be approximately $960.20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0" w:after="0"/>
                              <w:ind w:left="13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Preliminary Pricing Supplement:</w:t>
                            </w:r>
                          </w:p>
                          <w:p>
                            <w:pPr>
                              <w:pStyle w:val="TextBody"/>
                              <w:bidi w:val="0"/>
                              <w:spacing w:before="0" w:after="0"/>
                              <w:ind w:left="130" w:right="0" w:hanging="0"/>
                              <w:jc w:val="left"/>
                              <w:rPr/>
                            </w:pPr>
                            <w:hyperlink r:id="rId4">
                              <w:r>
                                <w:rPr>
                                  <w:rStyle w:val="InternetLink"/>
                                  <w:rFonts w:ascii="Georgia;Times;Serif" w:hAnsi="Georgia;Times;Serif"/>
                                  <w:b w:val="false"/>
                                  <w:i w:val="false"/>
                                  <w:caps w:val="false"/>
                                  <w:smallCaps w:val="false"/>
                                  <w:sz w:val="14"/>
                                </w:rPr>
                                <w:t>http://www.sec.gov/Archives/edgar/data/19617/000121390026100559/</w:t>
                                <w:br/>
                                <w:t>ea0305739-01_424b2.htm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54.05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185"/>
                        <w:gridCol w:w="9020"/>
                      </w:tblGrid>
                      <w:tr>
                        <w:trPr/>
                        <w:tc>
                          <w:tcPr>
                            <w:tcW w:w="11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Stock Return:</w:t>
                            </w:r>
                          </w:p>
                        </w:tc>
                        <w:tc>
                          <w:tcPr>
                            <w:tcW w:w="90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 – starting price) / starting price</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Threshold Price:</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70% of the starting price</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Agent:</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 Morgan Securities LLC (“</w:t>
                            </w:r>
                            <w:r>
                              <w:rPr>
                                <w:rFonts w:ascii="Georgia;Times;Serif" w:hAnsi="Georgia;Times;Serif"/>
                                <w:b w:val="false"/>
                                <w:i w:val="false"/>
                                <w:caps w:val="false"/>
                                <w:smallCaps w:val="false"/>
                                <w:sz w:val="15"/>
                                <w:u w:val="single"/>
                              </w:rPr>
                              <w:t>JPMS</w:t>
                            </w:r>
                            <w:r>
                              <w:rPr>
                                <w:rFonts w:ascii="Georgia;Times;Serif" w:hAnsi="Georgia;Times;Serif"/>
                                <w:b w:val="false"/>
                                <w:i w:val="false"/>
                                <w:caps w:val="false"/>
                                <w:smallCaps w:val="false"/>
                                <w:sz w:val="15"/>
                              </w:rPr>
                              <w:t>”)</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Denominations: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and any integral multiple of $1,000</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CUSIP:</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46661PVX2</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Fees and Commissions: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 to 2.075% for Wells Fargo Securities, LLC (“</w:t>
                            </w:r>
                            <w:r>
                              <w:rPr>
                                <w:rFonts w:ascii="Georgia;Times;Serif" w:hAnsi="Georgia;Times;Serif"/>
                                <w:b w:val="false"/>
                                <w:i w:val="false"/>
                                <w:caps w:val="false"/>
                                <w:smallCaps w:val="false"/>
                                <w:sz w:val="15"/>
                                <w:u w:val="single"/>
                              </w:rPr>
                              <w:t>WFS</w:t>
                            </w:r>
                            <w:r>
                              <w:rPr>
                                <w:rFonts w:ascii="Georgia;Times;Serif" w:hAnsi="Georgia;Times;Serif"/>
                                <w:b w:val="false"/>
                                <w:i w:val="false"/>
                                <w:caps w:val="false"/>
                                <w:smallCaps w:val="false"/>
                                <w:sz w:val="15"/>
                              </w:rPr>
                              <w:t>”); WFS has advised us that dealers, including Wells Fargo Advisors (“</w:t>
                            </w:r>
                            <w:r>
                              <w:rPr>
                                <w:rFonts w:ascii="Georgia;Times;Serif" w:hAnsi="Georgia;Times;Serif"/>
                                <w:b w:val="false"/>
                                <w:i w:val="false"/>
                                <w:caps w:val="false"/>
                                <w:smallCaps w:val="false"/>
                                <w:sz w:val="15"/>
                                <w:u w:val="single"/>
                              </w:rPr>
                              <w:t>WFA</w:t>
                            </w:r>
                            <w:r>
                              <w:rPr>
                                <w:rFonts w:ascii="Georgia;Times;Serif" w:hAnsi="Georgia;Times;Serif"/>
                                <w:b w:val="false"/>
                                <w:i w:val="false"/>
                                <w:caps w:val="false"/>
                                <w:smallCaps w:val="false"/>
                                <w:sz w:val="15"/>
                              </w:rPr>
                              <w:t>”), may receive 1.50% of WFS’s fee, and WFA may also receive a distribution expense fee of 0.075%.  In addition, in respect of certain securities sold in this offering, JPMS may pay a fee of up to 0.20% to selected dealers in consideration for marketing and other services in connection with the distribution of the securities to other dealers.</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Tax Considerations: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60" w:after="60"/>
                        <w:ind w:left="57" w:right="6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jc w:val="center"/>
                        <w:rPr>
                          <w:caps w:val="false"/>
                          <w:smallCaps w:val="false"/>
                          <w:color w:val="8F8F8F"/>
                        </w:rPr>
                      </w:pPr>
                      <w:r>
                        <w:rPr>
                          <w:caps w:val="false"/>
                          <w:smallCaps w:val="false"/>
                          <w:color w:val="8F8F8F"/>
                        </w:rPr>
                        <w:drawing>
                          <wp:inline distT="0" distB="0" distL="0" distR="0">
                            <wp:extent cx="2886075" cy="19812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2886075" cy="1981200"/>
                                    </a:xfrm>
                                    <a:prstGeom prst="rect">
                                      <a:avLst/>
                                    </a:prstGeom>
                                  </pic:spPr>
                                </pic:pic>
                              </a:graphicData>
                            </a:graphic>
                          </wp:inline>
                        </w:drawing>
                      </w:r>
                    </w:p>
                    <w:p>
                      <w:pPr>
                        <w:pStyle w:val="TextBody"/>
                        <w:bidi w:val="0"/>
                        <w:ind w:left="13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If the securities are not automatically called prior to maturity and the ending price is less than the threshold price, you will lose more than 30%, and possibly all, of the principal amount of your securities at maturity.</w:t>
                      </w:r>
                    </w:p>
                    <w:p>
                      <w:pPr>
                        <w:pStyle w:val="TextBody"/>
                        <w:bidi w:val="0"/>
                        <w:ind w:left="13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Any return on the securities will be limited to the sum of your contingent coupon payments, if any. You will not participate in any appreciation of the Underlying Stock, but you will have full downside exposure to the Underlying Stock on the final calculation day if the ending price is less than the threshold price.</w:t>
                      </w:r>
                    </w:p>
                    <w:p>
                      <w:pPr>
                        <w:pStyle w:val="TextBody"/>
                        <w:bidi w:val="0"/>
                        <w:ind w:left="13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4"/>
                        </w:rPr>
                        <w:t>Any payment on the securities is subject to the credit risk of JPMorgan Financial, as issuer of the securities, and the credit risk of JPMorgan Chase &amp; Co., as guarantor of the securities.</w:t>
                      </w:r>
                    </w:p>
                    <w:p>
                      <w:pPr>
                        <w:pStyle w:val="TextBody"/>
                        <w:bidi w:val="0"/>
                        <w:ind w:left="13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If the securities priced on the date of the accompanying preliminary pricing supplement, the estimated value of the securities would be approximately $960.20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0" w:after="0"/>
                        <w:ind w:left="13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Preliminary Pricing Supplement:</w:t>
                      </w:r>
                    </w:p>
                    <w:p>
                      <w:pPr>
                        <w:pStyle w:val="TextBody"/>
                        <w:bidi w:val="0"/>
                        <w:spacing w:before="0" w:after="0"/>
                        <w:ind w:left="130" w:right="0" w:hanging="0"/>
                        <w:jc w:val="left"/>
                        <w:rPr/>
                      </w:pPr>
                      <w:hyperlink r:id="rId6">
                        <w:r>
                          <w:rPr>
                            <w:rStyle w:val="InternetLink"/>
                            <w:rFonts w:ascii="Georgia;Times;Serif" w:hAnsi="Georgia;Times;Serif"/>
                            <w:b w:val="false"/>
                            <w:i w:val="false"/>
                            <w:caps w:val="false"/>
                            <w:smallCaps w:val="false"/>
                            <w:sz w:val="14"/>
                          </w:rPr>
                          <w:t>http://www.sec.gov/Archives/edgar/data/19617/000121390026100559/</w:t>
                          <w:br/>
                          <w:t>ea0305739-01_424b2.htm</w:t>
                        </w:r>
                      </w:hyperlink>
                    </w:p>
                  </w:txbxContent>
                </v:textbox>
                <w10:wrap type="square" side="left"/>
              </v:rect>
            </w:pict>
          </mc:Fallback>
        </mc:AlternateContent>
      </w:r>
    </w:p>
    <w:p>
      <w:pPr>
        <w:pStyle w:val="TextBody"/>
        <w:bidi w:val="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4414"/>
        <w:gridCol w:w="5791"/>
      </w:tblGrid>
      <w:tr>
        <w:trPr/>
        <w:tc>
          <w:tcPr>
            <w:tcW w:w="4414"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Not Automatically Called and the Ending Price Is Less Than the Threshold Price, You Will Lose More Than 30%, and Possibly All, of the Principal Amount of Your Securities at Maturity.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Do Not Guarantee the Payment of Interest and May Not Pay Any Interest at All.</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shd w:fill="FFFFFF" w:val="clear"/>
              </w:rPr>
              <w:t>      </w:t>
            </w:r>
            <w:r>
              <w:rPr>
                <w:rFonts w:ascii="Georgia;Times;Serif" w:hAnsi="Georgia;Times;Serif"/>
                <w:b/>
                <w:i w:val="false"/>
                <w:caps w:val="false"/>
                <w:smallCaps w:val="false"/>
                <w:sz w:val="18"/>
                <w:shd w:fill="FFFFFF" w:val="clear"/>
              </w:rPr>
              <w:t xml:space="preserve">The Potential Return on the Securities Is Limited to the Sum of Any Contingent Coupon Payments </w:t>
            </w:r>
            <w:r>
              <w:rPr>
                <w:rFonts w:ascii="Georgia;Times;Serif" w:hAnsi="Georgia;Times;Serif"/>
                <w:b/>
                <w:i w:val="false"/>
                <w:caps w:val="false"/>
                <w:smallCaps w:val="false"/>
                <w:sz w:val="18"/>
              </w:rPr>
              <w:t>and You Will Not Participate in Any Appreciation of the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Reinvestment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Higher Contingent Coupon Rates Are Associated with Greater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Price May Terminate on the Final Calculation Day.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Dividend Payments or Voting Rights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tc>
        <w:tc>
          <w:tcPr>
            <w:tcW w:w="5791"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Affiliation with the Underlying Stock Issuer.</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Anti-Dilution Protection Is Limited and May Be Discretionary.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 xml:space="preserve">Any Payment on the Securities Will Depend upon the Performance of the Underlying Stock and Therefore the Securities Are Subject to the Risks Associated with the Underlying Stock, Each as Discussed in the Accompanying Preliminary Pricing Supplement and Product Supplement. </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2400" w:after="120"/>
        <w:ind w:left="0" w:right="0" w:hanging="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100559/ea0305739-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100559/ea0305739-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1649</Words>
  <Characters>8895</Characters>
  <CharactersWithSpaces>10572</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