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4" w:lineRule="exact"/>
        <w:rPr>
          <w:sz w:val="24"/>
          <w:szCs w:val="24"/>
          <w:color w:val="auto"/>
        </w:rPr>
      </w:pPr>
    </w:p>
    <w:p>
      <w:pPr>
        <w:ind w:left="100"/>
        <w:spacing w:after="0"/>
        <w:rPr>
          <w:sz w:val="20"/>
          <w:szCs w:val="20"/>
          <w:color w:val="auto"/>
        </w:rPr>
      </w:pPr>
      <w:r>
        <w:rPr>
          <w:rFonts w:ascii="Verdana" w:cs="Verdana" w:eastAsia="Verdana" w:hAnsi="Verdana"/>
          <w:sz w:val="26"/>
          <w:szCs w:val="26"/>
          <w:b w:val="1"/>
          <w:bCs w:val="1"/>
          <w:color w:val="BB0826"/>
        </w:rPr>
        <w:t>JPMorgan Chase Financial Company LLC</w:t>
      </w:r>
    </w:p>
    <w:p>
      <w:pPr>
        <w:spacing w:after="0" w:line="20" w:lineRule="exact"/>
        <w:rPr>
          <w:sz w:val="24"/>
          <w:szCs w:val="24"/>
          <w:color w:val="auto"/>
        </w:rPr>
      </w:pPr>
      <w:r>
        <w:rPr>
          <w:sz w:val="24"/>
          <w:szCs w:val="24"/>
          <w:color w:val="auto"/>
        </w:rPr>
        <w:br w:type="column"/>
      </w:r>
    </w:p>
    <w:p>
      <w:pPr>
        <w:jc w:val="right"/>
        <w:ind w:right="100"/>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123825</wp:posOffset>
            </wp:positionH>
            <wp:positionV relativeFrom="paragraph">
              <wp:posOffset>-5715</wp:posOffset>
            </wp:positionV>
            <wp:extent cx="156845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125" w:lineRule="exact"/>
        <w:rPr>
          <w:sz w:val="24"/>
          <w:szCs w:val="24"/>
          <w:color w:val="auto"/>
        </w:rPr>
      </w:pPr>
    </w:p>
    <w:p>
      <w:pPr>
        <w:sectPr>
          <w:pgSz w:w="11900" w:h="16838" w:orient="portrait"/>
          <w:cols w:equalWidth="0" w:num="2">
            <w:col w:w="7760" w:space="720"/>
            <w:col w:w="2760"/>
          </w:cols>
          <w:pgMar w:left="320" w:top="242" w:right="339" w:bottom="1440" w:gutter="0" w:footer="0" w:header="0"/>
        </w:sectPr>
      </w:pPr>
    </w:p>
    <w:p>
      <w:pPr>
        <w:ind w:left="100"/>
        <w:spacing w:after="0"/>
        <w:rPr>
          <w:sz w:val="20"/>
          <w:szCs w:val="20"/>
          <w:color w:val="auto"/>
        </w:rPr>
      </w:pPr>
      <w:r>
        <w:rPr>
          <w:rFonts w:ascii="Verdana" w:cs="Verdana" w:eastAsia="Verdana" w:hAnsi="Verdana"/>
          <w:sz w:val="16"/>
          <w:szCs w:val="16"/>
          <w:b w:val="1"/>
          <w:bCs w:val="1"/>
          <w:i w:val="1"/>
          <w:iCs w:val="1"/>
          <w:color w:val="BB0826"/>
        </w:rPr>
        <w:t>Fully and Unconditionally Guaranteed by JPMorgan Chase &amp; Co.</w:t>
      </w:r>
    </w:p>
    <w:p>
      <w:pPr>
        <w:spacing w:after="0" w:line="66" w:lineRule="exact"/>
        <w:rPr>
          <w:sz w:val="24"/>
          <w:szCs w:val="24"/>
          <w:color w:val="auto"/>
        </w:rPr>
      </w:pPr>
    </w:p>
    <w:p>
      <w:pPr>
        <w:ind w:left="100"/>
        <w:spacing w:after="0"/>
        <w:rPr>
          <w:sz w:val="20"/>
          <w:szCs w:val="20"/>
          <w:color w:val="auto"/>
        </w:rPr>
      </w:pPr>
      <w:r>
        <w:rPr>
          <w:rFonts w:ascii="Verdana" w:cs="Verdana" w:eastAsia="Verdana" w:hAnsi="Verdana"/>
          <w:sz w:val="20"/>
          <w:szCs w:val="20"/>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97"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Market Linked Securities— Auto-Callable with Leveraged Upside Participation and Contingent Downside</w:t>
      </w:r>
    </w:p>
    <w:p>
      <w:pPr>
        <w:spacing w:after="0" w:line="62" w:lineRule="exact"/>
        <w:rPr>
          <w:sz w:val="24"/>
          <w:szCs w:val="24"/>
          <w:color w:val="auto"/>
        </w:rPr>
      </w:pPr>
    </w:p>
    <w:p>
      <w:pPr>
        <w:ind w:left="100" w:right="280"/>
        <w:spacing w:after="0" w:line="270" w:lineRule="auto"/>
        <w:rPr>
          <w:sz w:val="20"/>
          <w:szCs w:val="20"/>
          <w:color w:val="auto"/>
        </w:rPr>
      </w:pPr>
      <w:r>
        <w:rPr>
          <w:rFonts w:ascii="Verdana" w:cs="Verdana" w:eastAsia="Verdana" w:hAnsi="Verdana"/>
          <w:sz w:val="16"/>
          <w:szCs w:val="16"/>
          <w:color w:val="FFFFFF"/>
        </w:rPr>
        <w:t>Principal at Risk Securities Linked to the Lowest Performing of the Class A Common Stock of Alphabet Inc. and the Common Stock of Microsoft Corporation due November 8, 2029</w:t>
      </w:r>
    </w:p>
    <w:p>
      <w:pPr>
        <w:spacing w:after="0" w:line="21"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Fact Sheet dated November 2, 2026 to Preliminary Pricing Supplement dated November 2, 2026</w:t>
      </w:r>
    </w:p>
    <w:p>
      <w:pPr>
        <w:sectPr>
          <w:pgSz w:w="11900" w:h="16838" w:orient="portrait"/>
          <w:cols w:equalWidth="0" w:num="1">
            <w:col w:w="11240"/>
          </w:cols>
          <w:pgMar w:left="320" w:top="242" w:right="339" w:bottom="1440" w:gutter="0" w:footer="0" w:header="0"/>
          <w:type w:val="continuous"/>
        </w:sectPr>
      </w:pPr>
    </w:p>
    <w:p>
      <w:pPr>
        <w:spacing w:after="0" w:line="117"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Summary of Terms</w:t>
      </w:r>
    </w:p>
    <w:tbl>
      <w:tblPr>
        <w:tblLayout w:type="fixed"/>
        <w:tblInd w:w="10" w:type="dxa"/>
        <w:tblCellMar>
          <w:top w:w="0" w:type="dxa"/>
          <w:left w:w="0" w:type="dxa"/>
          <w:bottom w:w="0" w:type="dxa"/>
          <w:right w:w="0" w:type="dxa"/>
        </w:tblCellMar>
      </w:tblPr>
      <w:tr>
        <w:trPr>
          <w:trHeight w:val="142"/>
        </w:trPr>
        <w:tc>
          <w:tcPr>
            <w:tcW w:w="192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Issuer:</w:t>
            </w:r>
          </w:p>
        </w:tc>
        <w:tc>
          <w:tcPr>
            <w:tcW w:w="3640" w:type="dxa"/>
            <w:vAlign w:val="bottom"/>
            <w:tcBorders>
              <w:top w:val="single" w:sz="8" w:color="auto"/>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JPMorgan Chase Financial Company LLC</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Guarantor:</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JPMorgan Chase &amp; Co.</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Underlying Stocks:</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The Class A common stock of Alphabet Inc. (Bloomberg</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ticker: GOOGL) and the common stock of Microsoft</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Corporation (Bloomberg ticker: MSFT)</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Strike Date:</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October 29, 2026</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November 3, 2026</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November 6, 2026</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Final 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November 5, 2029</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November 8, 2029</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Principal Amount:</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$1,000 per security (100% of par)</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Automatic Call:</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If the stock closing price of the lowest performing</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Underlying Stock on the call date is greater than or equal</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to its starting price, the securities will be automatically</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called, and on the call settlement date, investors will</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 xml:space="preserve">receive the principal amount </w:t>
            </w:r>
            <w:r>
              <w:rPr>
                <w:rFonts w:ascii="Georgia" w:cs="Georgia" w:eastAsia="Georgia" w:hAnsi="Georgia"/>
                <w:sz w:val="13"/>
                <w:szCs w:val="13"/>
                <w:i w:val="1"/>
                <w:iCs w:val="1"/>
                <w:color w:val="auto"/>
              </w:rPr>
              <w:t>plus</w:t>
            </w:r>
            <w:r>
              <w:rPr>
                <w:rFonts w:ascii="Georgia" w:cs="Georgia" w:eastAsia="Georgia" w:hAnsi="Georgia"/>
                <w:sz w:val="13"/>
                <w:szCs w:val="13"/>
                <w:color w:val="auto"/>
              </w:rPr>
              <w:t xml:space="preserve"> the call premium.</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Call Premium:</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At least 40.00% of the principal amount (the actual call</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premium will be provided in the pricing supplement)</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November 8, 2027</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Three business days after the call date</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Maturity Payment Amount:</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If the securities are not automatically called on the call</w:t>
            </w:r>
          </w:p>
        </w:tc>
      </w:tr>
      <w:tr>
        <w:trPr>
          <w:trHeight w:val="137"/>
        </w:trPr>
        <w:tc>
          <w:tcPr>
            <w:tcW w:w="1920" w:type="dxa"/>
            <w:vAlign w:val="bottom"/>
            <w:tcBorders>
              <w:left w:val="single" w:sz="8" w:color="auto"/>
              <w:right w:val="single" w:sz="8" w:color="auto"/>
            </w:tcBorders>
          </w:tcPr>
          <w:p>
            <w:pPr>
              <w:spacing w:after="0"/>
              <w:rPr>
                <w:sz w:val="11"/>
                <w:szCs w:val="11"/>
                <w:color w:val="auto"/>
              </w:rPr>
            </w:pPr>
          </w:p>
        </w:tc>
        <w:tc>
          <w:tcPr>
            <w:tcW w:w="3640" w:type="dxa"/>
            <w:vAlign w:val="bottom"/>
            <w:tcBorders>
              <w:right w:val="single" w:sz="8" w:color="auto"/>
            </w:tcBorders>
            <w:gridSpan w:val="7"/>
          </w:tcPr>
          <w:p>
            <w:pPr>
              <w:ind w:left="80"/>
              <w:spacing w:after="0" w:line="138" w:lineRule="exact"/>
              <w:rPr>
                <w:sz w:val="20"/>
                <w:szCs w:val="20"/>
                <w:color w:val="auto"/>
              </w:rPr>
            </w:pPr>
            <w:r>
              <w:rPr>
                <w:rFonts w:ascii="Georgia" w:cs="Georgia" w:eastAsia="Georgia" w:hAnsi="Georgia"/>
                <w:sz w:val="13"/>
                <w:szCs w:val="13"/>
                <w:color w:val="auto"/>
              </w:rPr>
              <w:t>date, the “maturity payment amount” per security will</w:t>
            </w:r>
          </w:p>
        </w:tc>
      </w:tr>
      <w:tr>
        <w:trPr>
          <w:trHeight w:val="140"/>
        </w:trPr>
        <w:tc>
          <w:tcPr>
            <w:tcW w:w="1920" w:type="dxa"/>
            <w:vAlign w:val="bottom"/>
            <w:tcBorders>
              <w:left w:val="single" w:sz="8" w:color="auto"/>
              <w:right w:val="single" w:sz="8" w:color="auto"/>
            </w:tcBorders>
          </w:tcPr>
          <w:p>
            <w:pPr>
              <w:spacing w:after="0"/>
              <w:rPr>
                <w:sz w:val="12"/>
                <w:szCs w:val="12"/>
                <w:color w:val="auto"/>
              </w:rPr>
            </w:pPr>
          </w:p>
        </w:tc>
        <w:tc>
          <w:tcPr>
            <w:tcW w:w="700" w:type="dxa"/>
            <w:vAlign w:val="bottom"/>
          </w:tcPr>
          <w:p>
            <w:pPr>
              <w:ind w:left="80"/>
              <w:spacing w:after="0" w:line="140" w:lineRule="exact"/>
              <w:rPr>
                <w:sz w:val="20"/>
                <w:szCs w:val="20"/>
                <w:color w:val="auto"/>
              </w:rPr>
            </w:pPr>
            <w:r>
              <w:rPr>
                <w:rFonts w:ascii="Georgia" w:cs="Georgia" w:eastAsia="Georgia" w:hAnsi="Georgia"/>
                <w:sz w:val="13"/>
                <w:szCs w:val="13"/>
                <w:color w:val="auto"/>
              </w:rPr>
              <w:t>equal:</w:t>
            </w: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Stock on the final calculation day is greater than its</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starting price:</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$1,000 + ($1,000 × stock return of the lowest</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performing Underlying Stock on the final</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calculation day × upside participation rate);</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Stock on the final calculation day is less than or equal to</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its starting price, but greater than or equal to its</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threshold price: $1,000; or</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Stock on the final calculation day is less than its</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threshold price:</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$1,000 + ($1,000 × stock return of the lowest</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performing Underlying Stock on the final</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420"/>
              <w:spacing w:after="0"/>
              <w:rPr>
                <w:sz w:val="20"/>
                <w:szCs w:val="20"/>
                <w:color w:val="auto"/>
              </w:rPr>
            </w:pPr>
            <w:r>
              <w:rPr>
                <w:rFonts w:ascii="Georgia" w:cs="Georgia" w:eastAsia="Georgia" w:hAnsi="Georgia"/>
                <w:sz w:val="13"/>
                <w:szCs w:val="13"/>
                <w:color w:val="auto"/>
              </w:rPr>
              <w:t>calculation day)</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Lowest Performing</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On the call date or the final calculation date, the</w:t>
            </w:r>
          </w:p>
        </w:tc>
      </w:tr>
      <w:tr>
        <w:trPr>
          <w:trHeight w:val="151"/>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Underlying Stock:</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Underlying Stock with the lowest stock return on that day</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Starting Price:</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For each Underlying Stock, its stock closing price on the</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 xml:space="preserve">strike date. </w:t>
            </w:r>
            <w:r>
              <w:rPr>
                <w:rFonts w:ascii="Georgia" w:cs="Georgia" w:eastAsia="Georgia" w:hAnsi="Georgia"/>
                <w:sz w:val="13"/>
                <w:szCs w:val="13"/>
                <w:b w:val="1"/>
                <w:bCs w:val="1"/>
                <w:color w:val="auto"/>
              </w:rPr>
              <w:t>The starting price for each Underlying</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b w:val="1"/>
                <w:bCs w:val="1"/>
                <w:color w:val="auto"/>
              </w:rPr>
              <w:t xml:space="preserve">Stock is </w:t>
            </w:r>
            <w:r>
              <w:rPr>
                <w:rFonts w:ascii="Georgia" w:cs="Georgia" w:eastAsia="Georgia" w:hAnsi="Georgia"/>
                <w:sz w:val="13"/>
                <w:szCs w:val="13"/>
                <w:b w:val="1"/>
                <w:bCs w:val="1"/>
                <w:i w:val="1"/>
                <w:iCs w:val="1"/>
                <w:color w:val="auto"/>
              </w:rPr>
              <w:t>not</w:t>
            </w:r>
            <w:r>
              <w:rPr>
                <w:rFonts w:ascii="Georgia" w:cs="Georgia" w:eastAsia="Georgia" w:hAnsi="Georgia"/>
                <w:sz w:val="13"/>
                <w:szCs w:val="13"/>
                <w:b w:val="1"/>
                <w:bCs w:val="1"/>
                <w:color w:val="auto"/>
              </w:rPr>
              <w:t xml:space="preserve"> the stock closing price of that</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b w:val="1"/>
                <w:bCs w:val="1"/>
                <w:color w:val="auto"/>
              </w:rPr>
              <w:t>Underlying Stock on the pricing date.</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Ending Price:</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For each Underlying Stock, its stock closing price on the</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final calculation day</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Upside Participation Rate:</w:t>
            </w:r>
          </w:p>
        </w:tc>
        <w:tc>
          <w:tcPr>
            <w:tcW w:w="700" w:type="dxa"/>
            <w:vAlign w:val="bottom"/>
            <w:tcBorders>
              <w:bottom w:val="single" w:sz="8" w:color="auto"/>
            </w:tcBorders>
          </w:tcPr>
          <w:p>
            <w:pPr>
              <w:ind w:left="80"/>
              <w:spacing w:after="0" w:line="142" w:lineRule="exact"/>
              <w:rPr>
                <w:sz w:val="20"/>
                <w:szCs w:val="20"/>
                <w:color w:val="auto"/>
              </w:rPr>
            </w:pPr>
            <w:r>
              <w:rPr>
                <w:rFonts w:ascii="Georgia" w:cs="Georgia" w:eastAsia="Georgia" w:hAnsi="Georgia"/>
                <w:sz w:val="13"/>
                <w:szCs w:val="13"/>
                <w:color w:val="auto"/>
              </w:rPr>
              <w:t>150%</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Threshold Price:</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For each Underlying Stock, 70% of its starting price</w:t>
            </w:r>
          </w:p>
        </w:tc>
      </w:tr>
      <w:tr>
        <w:trPr>
          <w:trHeight w:val="140"/>
        </w:trPr>
        <w:tc>
          <w:tcPr>
            <w:tcW w:w="192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Stock Return:</w:t>
            </w: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For the call date or the final calculation day and for each</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Underlying Stock: (stock closing price on that day –</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starting price) / starting price</w:t>
            </w:r>
          </w:p>
        </w:tc>
      </w:tr>
      <w:tr>
        <w:trPr>
          <w:trHeight w:val="136"/>
        </w:trPr>
        <w:tc>
          <w:tcPr>
            <w:tcW w:w="192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Calculation Agent:</w:t>
            </w:r>
          </w:p>
        </w:tc>
        <w:tc>
          <w:tcPr>
            <w:tcW w:w="3640" w:type="dxa"/>
            <w:vAlign w:val="bottom"/>
            <w:tcBorders>
              <w:bottom w:val="single" w:sz="8" w:color="auto"/>
              <w:right w:val="single" w:sz="8" w:color="auto"/>
            </w:tcBorders>
            <w:gridSpan w:val="7"/>
          </w:tcPr>
          <w:p>
            <w:pPr>
              <w:ind w:left="80"/>
              <w:spacing w:after="0" w:line="129" w:lineRule="exact"/>
              <w:rPr>
                <w:sz w:val="20"/>
                <w:szCs w:val="20"/>
                <w:color w:val="auto"/>
              </w:rPr>
            </w:pPr>
            <w:r>
              <w:rPr>
                <w:rFonts w:ascii="Georgia" w:cs="Georgia" w:eastAsia="Georgia" w:hAnsi="Georgia"/>
                <w:sz w:val="13"/>
                <w:szCs w:val="13"/>
                <w:color w:val="auto"/>
              </w:rPr>
              <w:t>J.P. Morgan Securities LLC (“JPMS”)</w:t>
            </w:r>
          </w:p>
        </w:tc>
      </w:tr>
      <w:tr>
        <w:trPr>
          <w:trHeight w:val="148"/>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Denominations:</w:t>
            </w: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$1,000 and any integral multiple of $1,000</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CUSIP:</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46661QGJ8</w:t>
            </w:r>
          </w:p>
        </w:tc>
      </w:tr>
      <w:tr>
        <w:trPr>
          <w:trHeight w:val="128"/>
        </w:trPr>
        <w:tc>
          <w:tcPr>
            <w:tcW w:w="1920" w:type="dxa"/>
            <w:vAlign w:val="bottom"/>
            <w:tcBorders>
              <w:left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Fees and Commissions:</w:t>
            </w:r>
          </w:p>
        </w:tc>
        <w:tc>
          <w:tcPr>
            <w:tcW w:w="3640" w:type="dxa"/>
            <w:vAlign w:val="bottom"/>
            <w:tcBorders>
              <w:right w:val="single" w:sz="8" w:color="auto"/>
            </w:tcBorders>
            <w:gridSpan w:val="7"/>
          </w:tcPr>
          <w:p>
            <w:pPr>
              <w:ind w:left="80"/>
              <w:spacing w:after="0" w:line="129" w:lineRule="exact"/>
              <w:rPr>
                <w:sz w:val="20"/>
                <w:szCs w:val="20"/>
                <w:color w:val="auto"/>
              </w:rPr>
            </w:pPr>
            <w:r>
              <w:rPr>
                <w:rFonts w:ascii="Georgia" w:cs="Georgia" w:eastAsia="Georgia" w:hAnsi="Georgia"/>
                <w:sz w:val="13"/>
                <w:szCs w:val="13"/>
                <w:color w:val="auto"/>
              </w:rPr>
              <w:t>Up to 2.575% for Wells Fargo Securities, LLC (“WFS”);</w:t>
            </w: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140"/>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line="140" w:lineRule="exact"/>
              <w:rPr>
                <w:sz w:val="20"/>
                <w:szCs w:val="20"/>
                <w:color w:val="auto"/>
              </w:rPr>
            </w:pPr>
            <w:r>
              <w:rPr>
                <w:rFonts w:ascii="Georgia" w:cs="Georgia" w:eastAsia="Georgia" w:hAnsi="Georgia"/>
                <w:sz w:val="13"/>
                <w:szCs w:val="13"/>
                <w:color w:val="auto"/>
              </w:rPr>
              <w:t>WFS has advised us that dealers, including Wells Fargo</w:t>
            </w:r>
          </w:p>
        </w:tc>
      </w:tr>
      <w:tr>
        <w:trPr>
          <w:trHeight w:val="137"/>
        </w:trPr>
        <w:tc>
          <w:tcPr>
            <w:tcW w:w="1920" w:type="dxa"/>
            <w:vAlign w:val="bottom"/>
            <w:tcBorders>
              <w:left w:val="single" w:sz="8" w:color="auto"/>
              <w:right w:val="single" w:sz="8" w:color="auto"/>
            </w:tcBorders>
          </w:tcPr>
          <w:p>
            <w:pPr>
              <w:spacing w:after="0"/>
              <w:rPr>
                <w:sz w:val="11"/>
                <w:szCs w:val="11"/>
                <w:color w:val="auto"/>
              </w:rPr>
            </w:pPr>
          </w:p>
        </w:tc>
        <w:tc>
          <w:tcPr>
            <w:tcW w:w="3640" w:type="dxa"/>
            <w:vAlign w:val="bottom"/>
            <w:tcBorders>
              <w:right w:val="single" w:sz="8" w:color="auto"/>
            </w:tcBorders>
            <w:gridSpan w:val="7"/>
          </w:tcPr>
          <w:p>
            <w:pPr>
              <w:ind w:left="80"/>
              <w:spacing w:after="0" w:line="138" w:lineRule="exact"/>
              <w:rPr>
                <w:sz w:val="20"/>
                <w:szCs w:val="20"/>
                <w:color w:val="auto"/>
              </w:rPr>
            </w:pPr>
            <w:r>
              <w:rPr>
                <w:rFonts w:ascii="Georgia" w:cs="Georgia" w:eastAsia="Georgia" w:hAnsi="Georgia"/>
                <w:sz w:val="13"/>
                <w:szCs w:val="13"/>
                <w:color w:val="auto"/>
              </w:rPr>
              <w:t>Advisors (“WFA”), may receive 2.00% of WFS’s fee, and</w:t>
            </w:r>
          </w:p>
        </w:tc>
      </w:tr>
      <w:tr>
        <w:trPr>
          <w:trHeight w:val="140"/>
        </w:trPr>
        <w:tc>
          <w:tcPr>
            <w:tcW w:w="1920" w:type="dxa"/>
            <w:vAlign w:val="bottom"/>
            <w:tcBorders>
              <w:left w:val="single" w:sz="8" w:color="auto"/>
              <w:right w:val="single" w:sz="8" w:color="auto"/>
            </w:tcBorders>
          </w:tcPr>
          <w:p>
            <w:pPr>
              <w:spacing w:after="0"/>
              <w:rPr>
                <w:sz w:val="12"/>
                <w:szCs w:val="12"/>
                <w:color w:val="auto"/>
              </w:rPr>
            </w:pPr>
          </w:p>
        </w:tc>
        <w:tc>
          <w:tcPr>
            <w:tcW w:w="740" w:type="dxa"/>
            <w:vAlign w:val="bottom"/>
            <w:gridSpan w:val="2"/>
          </w:tcPr>
          <w:p>
            <w:pPr>
              <w:ind w:left="80"/>
              <w:spacing w:after="0" w:line="140" w:lineRule="exact"/>
              <w:rPr>
                <w:sz w:val="20"/>
                <w:szCs w:val="20"/>
                <w:color w:val="auto"/>
              </w:rPr>
            </w:pPr>
            <w:r>
              <w:rPr>
                <w:rFonts w:ascii="Georgia" w:cs="Georgia" w:eastAsia="Georgia" w:hAnsi="Georgia"/>
                <w:sz w:val="13"/>
                <w:szCs w:val="13"/>
                <w:color w:val="auto"/>
              </w:rPr>
              <w:t>WFA may</w:t>
            </w:r>
          </w:p>
        </w:tc>
        <w:tc>
          <w:tcPr>
            <w:tcW w:w="300" w:type="dxa"/>
            <w:vAlign w:val="bottom"/>
            <w:tcBorders>
              <w:top w:val="single" w:sz="8" w:color="auto"/>
            </w:tcBorders>
          </w:tcPr>
          <w:p>
            <w:pPr>
              <w:spacing w:after="0" w:line="140" w:lineRule="exact"/>
              <w:rPr>
                <w:sz w:val="20"/>
                <w:szCs w:val="20"/>
                <w:color w:val="auto"/>
              </w:rPr>
            </w:pPr>
            <w:r>
              <w:rPr>
                <w:rFonts w:ascii="Georgia" w:cs="Georgia" w:eastAsia="Georgia" w:hAnsi="Georgia"/>
                <w:sz w:val="13"/>
                <w:szCs w:val="13"/>
                <w:color w:val="auto"/>
              </w:rPr>
              <w:t>also</w:t>
            </w:r>
          </w:p>
        </w:tc>
        <w:tc>
          <w:tcPr>
            <w:tcW w:w="2600" w:type="dxa"/>
            <w:vAlign w:val="bottom"/>
            <w:tcBorders>
              <w:right w:val="single" w:sz="8" w:color="auto"/>
            </w:tcBorders>
            <w:gridSpan w:val="4"/>
          </w:tcPr>
          <w:p>
            <w:pPr>
              <w:spacing w:after="0" w:line="140" w:lineRule="exact"/>
              <w:rPr>
                <w:sz w:val="20"/>
                <w:szCs w:val="20"/>
                <w:color w:val="auto"/>
              </w:rPr>
            </w:pPr>
            <w:r>
              <w:rPr>
                <w:rFonts w:ascii="Georgia" w:cs="Georgia" w:eastAsia="Georgia" w:hAnsi="Georgia"/>
                <w:sz w:val="13"/>
                <w:szCs w:val="13"/>
                <w:color w:val="auto"/>
              </w:rPr>
              <w:t>receive a distribution expense fee of</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0.075%. In addition, in respect of certain securities sold</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in this offering, JPMS may pay a fee of up to 0.30% to</w:t>
            </w:r>
          </w:p>
        </w:tc>
      </w:tr>
      <w:tr>
        <w:trPr>
          <w:trHeight w:val="148"/>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selected dealers in consideration for marketing and other</w:t>
            </w: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services in connection with the distribution of the</w:t>
            </w:r>
          </w:p>
        </w:tc>
      </w:tr>
      <w:tr>
        <w:trPr>
          <w:trHeight w:val="151"/>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7"/>
          </w:tcPr>
          <w:p>
            <w:pPr>
              <w:ind w:left="80"/>
              <w:spacing w:after="0"/>
              <w:rPr>
                <w:sz w:val="20"/>
                <w:szCs w:val="20"/>
                <w:color w:val="auto"/>
              </w:rPr>
            </w:pPr>
            <w:r>
              <w:rPr>
                <w:rFonts w:ascii="Georgia" w:cs="Georgia" w:eastAsia="Georgia" w:hAnsi="Georgia"/>
                <w:sz w:val="13"/>
                <w:szCs w:val="13"/>
                <w:color w:val="auto"/>
              </w:rPr>
              <w:t>securities to other dealers.</w:t>
            </w:r>
          </w:p>
        </w:tc>
      </w:tr>
      <w:tr>
        <w:trPr>
          <w:trHeight w:val="142"/>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Tax Considerations:</w:t>
            </w:r>
          </w:p>
        </w:tc>
        <w:tc>
          <w:tcPr>
            <w:tcW w:w="3640" w:type="dxa"/>
            <w:vAlign w:val="bottom"/>
            <w:tcBorders>
              <w:bottom w:val="single" w:sz="8" w:color="auto"/>
              <w:right w:val="single" w:sz="8" w:color="auto"/>
            </w:tcBorders>
            <w:gridSpan w:val="7"/>
          </w:tcPr>
          <w:p>
            <w:pPr>
              <w:ind w:left="80"/>
              <w:spacing w:after="0" w:line="142" w:lineRule="exact"/>
              <w:rPr>
                <w:sz w:val="20"/>
                <w:szCs w:val="20"/>
                <w:color w:val="auto"/>
              </w:rPr>
            </w:pPr>
            <w:r>
              <w:rPr>
                <w:rFonts w:ascii="Georgia" w:cs="Georgia" w:eastAsia="Georgia" w:hAnsi="Georgia"/>
                <w:sz w:val="13"/>
                <w:szCs w:val="13"/>
                <w:color w:val="auto"/>
              </w:rPr>
              <w:t>See the preliminary pricing supplement.</w:t>
            </w:r>
          </w:p>
        </w:tc>
      </w:tr>
      <w:tr>
        <w:trPr>
          <w:trHeight w:val="201"/>
        </w:trPr>
        <w:tc>
          <w:tcPr>
            <w:tcW w:w="192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r>
      <w:tr>
        <w:trPr>
          <w:trHeight w:val="184"/>
        </w:trPr>
        <w:tc>
          <w:tcPr>
            <w:tcW w:w="192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50165</wp:posOffset>
            </wp:positionH>
            <wp:positionV relativeFrom="paragraph">
              <wp:posOffset>-1905</wp:posOffset>
            </wp:positionV>
            <wp:extent cx="3223260" cy="2040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3260" cy="2040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right="100"/>
        <w:spacing w:after="0" w:line="247" w:lineRule="auto"/>
        <w:rPr>
          <w:sz w:val="20"/>
          <w:szCs w:val="20"/>
          <w:color w:val="auto"/>
        </w:rPr>
      </w:pPr>
      <w:r>
        <w:rPr>
          <w:rFonts w:ascii="Georgia" w:cs="Georgia" w:eastAsia="Georgia" w:hAnsi="Georgia"/>
          <w:sz w:val="13"/>
          <w:szCs w:val="13"/>
          <w:color w:val="auto"/>
        </w:rPr>
        <w:t>*Assumes a call premium equal to the lowest possible call premium that may be determined on the pricing date</w:t>
      </w:r>
    </w:p>
    <w:p>
      <w:pPr>
        <w:spacing w:after="0" w:line="47" w:lineRule="exact"/>
        <w:rPr>
          <w:sz w:val="24"/>
          <w:szCs w:val="24"/>
          <w:color w:val="auto"/>
        </w:rPr>
      </w:pPr>
    </w:p>
    <w:p>
      <w:pPr>
        <w:ind w:right="160"/>
        <w:spacing w:after="0" w:line="242" w:lineRule="auto"/>
        <w:rPr>
          <w:sz w:val="20"/>
          <w:szCs w:val="20"/>
          <w:color w:val="auto"/>
        </w:rPr>
      </w:pPr>
      <w:r>
        <w:rPr>
          <w:rFonts w:ascii="Georgia" w:cs="Georgia" w:eastAsia="Georgia" w:hAnsi="Georgia"/>
          <w:sz w:val="13"/>
          <w:szCs w:val="13"/>
          <w:b w:val="1"/>
          <w:bCs w:val="1"/>
          <w:color w:val="auto"/>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spacing w:after="0" w:line="51" w:lineRule="exact"/>
        <w:rPr>
          <w:sz w:val="24"/>
          <w:szCs w:val="24"/>
          <w:color w:val="auto"/>
        </w:rPr>
      </w:pPr>
    </w:p>
    <w:p>
      <w:pPr>
        <w:ind w:right="140"/>
        <w:spacing w:after="0" w:line="242" w:lineRule="auto"/>
        <w:rPr>
          <w:sz w:val="20"/>
          <w:szCs w:val="20"/>
          <w:color w:val="auto"/>
        </w:rPr>
      </w:pPr>
      <w:r>
        <w:rPr>
          <w:rFonts w:ascii="Georgia" w:cs="Georgia" w:eastAsia="Georgia" w:hAnsi="Georgia"/>
          <w:sz w:val="13"/>
          <w:szCs w:val="13"/>
          <w:b w:val="1"/>
          <w:bCs w:val="1"/>
          <w:color w:val="auto"/>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30%, and possibly all, of the principal amount of your securities at maturity.</w:t>
      </w:r>
    </w:p>
    <w:p>
      <w:pPr>
        <w:spacing w:after="0" w:line="200" w:lineRule="exact"/>
        <w:rPr>
          <w:sz w:val="24"/>
          <w:szCs w:val="24"/>
          <w:color w:val="auto"/>
        </w:rPr>
      </w:pPr>
    </w:p>
    <w:p>
      <w:pPr>
        <w:jc w:val="both"/>
        <w:ind w:right="60"/>
        <w:spacing w:after="0" w:line="242" w:lineRule="auto"/>
        <w:rPr>
          <w:sz w:val="20"/>
          <w:szCs w:val="20"/>
          <w:color w:val="auto"/>
        </w:rPr>
      </w:pPr>
      <w:r>
        <w:rPr>
          <w:rFonts w:ascii="Georgia" w:cs="Georgia" w:eastAsia="Georgia" w:hAnsi="Georgia"/>
          <w:sz w:val="13"/>
          <w:szCs w:val="13"/>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3"/>
          <w:szCs w:val="13"/>
          <w:b w:val="1"/>
          <w:bCs w:val="1"/>
          <w:color w:val="auto"/>
        </w:rPr>
        <w:t>Any payment on the securities is</w:t>
      </w:r>
      <w:r>
        <w:rPr>
          <w:rFonts w:ascii="Georgia" w:cs="Georgia" w:eastAsia="Georgia" w:hAnsi="Georgia"/>
          <w:sz w:val="13"/>
          <w:szCs w:val="13"/>
          <w:color w:val="auto"/>
        </w:rPr>
        <w:t xml:space="preserve"> </w:t>
      </w:r>
      <w:r>
        <w:rPr>
          <w:rFonts w:ascii="Georgia" w:cs="Georgia" w:eastAsia="Georgia" w:hAnsi="Georgia"/>
          <w:sz w:val="13"/>
          <w:szCs w:val="13"/>
          <w:b w:val="1"/>
          <w:bCs w:val="1"/>
          <w:color w:val="auto"/>
        </w:rPr>
        <w:t>subject to the credit risk of JPMorgan Financial, as issuer of the securities, and the credit risk of JPMorgan Chase &amp; Co., as guarantor of the securities.</w:t>
      </w:r>
    </w:p>
    <w:p>
      <w:pPr>
        <w:spacing w:after="0" w:line="254" w:lineRule="exact"/>
        <w:rPr>
          <w:sz w:val="24"/>
          <w:szCs w:val="24"/>
          <w:color w:val="auto"/>
        </w:rPr>
      </w:pPr>
    </w:p>
    <w:p>
      <w:pPr>
        <w:spacing w:after="0" w:line="242" w:lineRule="auto"/>
        <w:rPr>
          <w:sz w:val="20"/>
          <w:szCs w:val="20"/>
          <w:color w:val="auto"/>
        </w:rPr>
      </w:pPr>
      <w:r>
        <w:rPr>
          <w:rFonts w:ascii="Georgia" w:cs="Georgia" w:eastAsia="Georgia" w:hAnsi="Georgia"/>
          <w:sz w:val="13"/>
          <w:szCs w:val="13"/>
          <w:color w:val="auto"/>
        </w:rPr>
        <w:t>If the securities priced on the date of the accompanying preliminary pricing supplement, the estimated value of the securities would be approximately $949.50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spacing w:after="0" w:line="254" w:lineRule="exact"/>
        <w:rPr>
          <w:sz w:val="24"/>
          <w:szCs w:val="24"/>
          <w:color w:val="auto"/>
        </w:rPr>
      </w:pPr>
    </w:p>
    <w:p>
      <w:pPr>
        <w:ind w:right="620"/>
        <w:spacing w:after="0" w:line="247" w:lineRule="auto"/>
        <w:rPr>
          <w:rFonts w:ascii="Georgia" w:cs="Georgia" w:eastAsia="Georgia" w:hAnsi="Georgia"/>
          <w:sz w:val="13"/>
          <w:szCs w:val="13"/>
          <w:u w:val="single" w:color="auto"/>
          <w:color w:val="0000EE"/>
        </w:rPr>
      </w:pPr>
      <w:hyperlink r:id="rId11">
        <w:r>
          <w:rPr>
            <w:rFonts w:ascii="Georgia" w:cs="Georgia" w:eastAsia="Georgia" w:hAnsi="Georgia"/>
            <w:sz w:val="13"/>
            <w:szCs w:val="13"/>
            <w:color w:val="auto"/>
          </w:rPr>
          <w:t xml:space="preserve">Preliminary Pricing Supplement: </w:t>
        </w:r>
        <w:r>
          <w:rPr>
            <w:rFonts w:ascii="Georgia" w:cs="Georgia" w:eastAsia="Georgia" w:hAnsi="Georgia"/>
            <w:sz w:val="13"/>
            <w:szCs w:val="13"/>
            <w:u w:val="single" w:color="auto"/>
            <w:color w:val="0000EE"/>
          </w:rPr>
          <w:t>http://www.sec.gov/Archives/edgar/data/19617/</w:t>
        </w:r>
      </w:hyperlink>
      <w:r>
        <w:rPr>
          <w:rFonts w:ascii="Georgia" w:cs="Georgia" w:eastAsia="Georgia" w:hAnsi="Georgia"/>
          <w:sz w:val="13"/>
          <w:szCs w:val="13"/>
          <w:color w:val="auto"/>
        </w:rPr>
        <w:t xml:space="preserve"> </w:t>
      </w:r>
      <w:hyperlink r:id="rId11">
        <w:r>
          <w:rPr>
            <w:rFonts w:ascii="Georgia" w:cs="Georgia" w:eastAsia="Georgia" w:hAnsi="Georgia"/>
            <w:sz w:val="13"/>
            <w:szCs w:val="13"/>
            <w:u w:val="single" w:color="auto"/>
            <w:color w:val="0000EE"/>
          </w:rPr>
          <w:t>000121390026114924/ea0310537-01_424b2.htm</w:t>
        </w:r>
      </w:hyperlink>
    </w:p>
    <w:p>
      <w:pPr>
        <w:spacing w:after="0" w:line="2738" w:lineRule="exact"/>
        <w:rPr>
          <w:sz w:val="20"/>
          <w:szCs w:val="20"/>
          <w:color w:val="auto"/>
        </w:rPr>
      </w:pPr>
    </w:p>
    <w:p>
      <w:pPr>
        <w:sectPr>
          <w:pgSz w:w="11900" w:h="16838" w:orient="portrait"/>
          <w:cols w:equalWidth="0" w:num="2">
            <w:col w:w="5560" w:space="120"/>
            <w:col w:w="5560"/>
          </w:cols>
          <w:pgMar w:left="320" w:top="242" w:right="339" w:bottom="1440" w:gutter="0" w:footer="0" w:header="0"/>
          <w:type w:val="continuous"/>
        </w:sectPr>
      </w:pPr>
    </w:p>
    <w:p>
      <w:pPr>
        <w:jc w:val="both"/>
        <w:ind w:left="34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51" w:lineRule="exact"/>
        <w:rPr>
          <w:sz w:val="20"/>
          <w:szCs w:val="20"/>
          <w:color w:val="auto"/>
        </w:rPr>
      </w:pPr>
    </w:p>
    <w:p>
      <w:pPr>
        <w:ind w:left="340" w:right="34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38100</wp:posOffset>
            </wp:positionV>
            <wp:extent cx="6926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56" w:lineRule="exact"/>
        <w:rPr>
          <w:sz w:val="20"/>
          <w:szCs w:val="20"/>
          <w:color w:val="auto"/>
        </w:rPr>
      </w:pPr>
    </w:p>
    <w:p>
      <w:pPr>
        <w:ind w:left="340" w:right="540"/>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prospectus supplement and product supplement.</w:t>
      </w:r>
    </w:p>
    <w:p>
      <w:pPr>
        <w:sectPr>
          <w:pgSz w:w="11900" w:h="16838" w:orient="portrait"/>
          <w:cols w:equalWidth="0" w:num="1">
            <w:col w:w="11240"/>
          </w:cols>
          <w:pgMar w:left="320" w:top="242"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543" w:right="359" w:bottom="1440" w:gutter="0" w:footer="0" w:header="0"/>
        </w:sectPr>
      </w:pPr>
    </w:p>
    <w:p>
      <w:pPr>
        <w:spacing w:after="0" w:line="121" w:lineRule="exact"/>
        <w:rPr>
          <w:sz w:val="20"/>
          <w:szCs w:val="20"/>
          <w:color w:val="auto"/>
        </w:rPr>
      </w:pPr>
    </w:p>
    <w:p>
      <w:pPr>
        <w:ind w:left="420" w:hanging="315"/>
        <w:spacing w:after="0" w:line="248"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Securities Are Not Automatically Called and the Ending Price of the Lowest Performing Underlying Stock on the Final Calculation Day Is Less Than Its Threshold Price, You Will Lose More Than 30%, and Possibly All, of the Principal Amount of Your Securities at Maturity.</w:t>
      </w:r>
    </w:p>
    <w:p>
      <w:pPr>
        <w:spacing w:after="0" w:line="42" w:lineRule="exact"/>
        <w:rPr>
          <w:rFonts w:ascii="Arial" w:cs="Arial" w:eastAsia="Arial" w:hAnsi="Arial"/>
          <w:sz w:val="16"/>
          <w:szCs w:val="16"/>
          <w:b w:val="1"/>
          <w:bCs w:val="1"/>
          <w:color w:val="auto"/>
        </w:rPr>
      </w:pPr>
    </w:p>
    <w:p>
      <w:pPr>
        <w:ind w:left="420" w:right="10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Securities Are Automatically Called, the Return on the Securities Will Be Limited to the Call Premium.</w:t>
      </w:r>
    </w:p>
    <w:p>
      <w:pPr>
        <w:spacing w:after="0" w:line="53"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Reinvestment Risk.</w:t>
      </w:r>
    </w:p>
    <w:p>
      <w:pPr>
        <w:spacing w:after="0" w:line="60" w:lineRule="exact"/>
        <w:rPr>
          <w:rFonts w:ascii="Arial" w:cs="Arial" w:eastAsia="Arial" w:hAnsi="Arial"/>
          <w:sz w:val="16"/>
          <w:szCs w:val="16"/>
          <w:b w:val="1"/>
          <w:bCs w:val="1"/>
          <w:color w:val="auto"/>
        </w:rPr>
      </w:pPr>
    </w:p>
    <w:p>
      <w:pPr>
        <w:ind w:left="420" w:right="22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42" w:lineRule="exact"/>
        <w:rPr>
          <w:rFonts w:ascii="Arial" w:cs="Arial" w:eastAsia="Arial" w:hAnsi="Arial"/>
          <w:sz w:val="16"/>
          <w:szCs w:val="16"/>
          <w:b w:val="1"/>
          <w:bCs w:val="1"/>
          <w:color w:val="auto"/>
        </w:rPr>
      </w:pPr>
    </w:p>
    <w:p>
      <w:pPr>
        <w:ind w:left="420" w:right="68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55" w:lineRule="exact"/>
        <w:rPr>
          <w:rFonts w:ascii="Arial" w:cs="Arial" w:eastAsia="Arial" w:hAnsi="Arial"/>
          <w:sz w:val="16"/>
          <w:szCs w:val="16"/>
          <w:b w:val="1"/>
          <w:bCs w:val="1"/>
          <w:color w:val="auto"/>
        </w:rPr>
      </w:pPr>
    </w:p>
    <w:p>
      <w:pPr>
        <w:ind w:left="420" w:right="20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55" w:lineRule="exact"/>
        <w:rPr>
          <w:rFonts w:ascii="Arial" w:cs="Arial" w:eastAsia="Arial" w:hAnsi="Arial"/>
          <w:sz w:val="16"/>
          <w:szCs w:val="16"/>
          <w:b w:val="1"/>
          <w:bCs w:val="1"/>
          <w:color w:val="auto"/>
        </w:rPr>
      </w:pPr>
    </w:p>
    <w:p>
      <w:pPr>
        <w:ind w:left="420" w:right="4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Your Payment at Maturity Will Be Determined by the Lowest Performing Underlying Stock.</w:t>
      </w:r>
    </w:p>
    <w:p>
      <w:pPr>
        <w:spacing w:after="0" w:line="42" w:lineRule="exact"/>
        <w:rPr>
          <w:rFonts w:ascii="Arial" w:cs="Arial" w:eastAsia="Arial" w:hAnsi="Arial"/>
          <w:sz w:val="16"/>
          <w:szCs w:val="16"/>
          <w:b w:val="1"/>
          <w:bCs w:val="1"/>
          <w:color w:val="auto"/>
        </w:rPr>
      </w:pPr>
    </w:p>
    <w:p>
      <w:pPr>
        <w:ind w:left="420" w:right="4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Risks Resulting from the Relationship Between the Underlying Stocks.</w:t>
      </w:r>
    </w:p>
    <w:p>
      <w:pPr>
        <w:spacing w:after="0" w:line="55" w:lineRule="exact"/>
        <w:rPr>
          <w:rFonts w:ascii="Arial" w:cs="Arial" w:eastAsia="Arial" w:hAnsi="Arial"/>
          <w:sz w:val="16"/>
          <w:szCs w:val="16"/>
          <w:b w:val="1"/>
          <w:bCs w:val="1"/>
          <w:color w:val="auto"/>
        </w:rPr>
      </w:pPr>
    </w:p>
    <w:p>
      <w:pPr>
        <w:ind w:left="420" w:right="10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53"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Interest or Dividend Payments or Voting Rights</w:t>
      </w:r>
    </w:p>
    <w:p>
      <w:pPr>
        <w:spacing w:after="0" w:line="44"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Lack of Liquidity</w:t>
      </w:r>
    </w:p>
    <w:p>
      <w:pPr>
        <w:spacing w:after="0" w:line="60" w:lineRule="exact"/>
        <w:rPr>
          <w:rFonts w:ascii="Arial" w:cs="Arial" w:eastAsia="Arial" w:hAnsi="Arial"/>
          <w:sz w:val="16"/>
          <w:szCs w:val="16"/>
          <w:b w:val="1"/>
          <w:bCs w:val="1"/>
          <w:color w:val="auto"/>
        </w:rPr>
      </w:pPr>
    </w:p>
    <w:p>
      <w:pPr>
        <w:ind w:left="420" w:right="24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42" w:lineRule="exact"/>
        <w:rPr>
          <w:rFonts w:ascii="Arial" w:cs="Arial" w:eastAsia="Arial" w:hAnsi="Arial"/>
          <w:sz w:val="16"/>
          <w:szCs w:val="16"/>
          <w:b w:val="1"/>
          <w:bCs w:val="1"/>
          <w:color w:val="auto"/>
        </w:rPr>
      </w:pPr>
    </w:p>
    <w:p>
      <w:pPr>
        <w:ind w:left="420" w:right="6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53"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Potential Conflicts</w:t>
      </w:r>
    </w:p>
    <w:p>
      <w:pPr>
        <w:spacing w:after="0" w:line="60" w:lineRule="exact"/>
        <w:rPr>
          <w:rFonts w:ascii="Arial" w:cs="Arial" w:eastAsia="Arial" w:hAnsi="Arial"/>
          <w:sz w:val="16"/>
          <w:szCs w:val="16"/>
          <w:b w:val="1"/>
          <w:bCs w:val="1"/>
          <w:color w:val="auto"/>
        </w:rPr>
      </w:pPr>
    </w:p>
    <w:p>
      <w:pPr>
        <w:jc w:val="both"/>
        <w:ind w:left="420" w:right="28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42" w:lineRule="exact"/>
        <w:rPr>
          <w:rFonts w:ascii="Arial" w:cs="Arial" w:eastAsia="Arial" w:hAnsi="Arial"/>
          <w:sz w:val="16"/>
          <w:szCs w:val="16"/>
          <w:b w:val="1"/>
          <w:bCs w:val="1"/>
          <w:color w:val="auto"/>
        </w:rPr>
      </w:pPr>
    </w:p>
    <w:p>
      <w:pPr>
        <w:ind w:left="420" w:right="140" w:hanging="315"/>
        <w:spacing w:after="0" w:line="247"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56" w:lineRule="exact"/>
        <w:rPr>
          <w:rFonts w:ascii="Arial" w:cs="Arial" w:eastAsia="Arial" w:hAnsi="Arial"/>
          <w:sz w:val="16"/>
          <w:szCs w:val="16"/>
          <w:b w:val="1"/>
          <w:bCs w:val="1"/>
          <w:color w:val="auto"/>
        </w:rPr>
      </w:pPr>
    </w:p>
    <w:p>
      <w:pPr>
        <w:ind w:left="420" w:right="840" w:hanging="315"/>
        <w:spacing w:after="0" w:line="246"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55" w:lineRule="exact"/>
        <w:rPr>
          <w:rFonts w:ascii="Arial" w:cs="Arial" w:eastAsia="Arial" w:hAnsi="Arial"/>
          <w:sz w:val="16"/>
          <w:szCs w:val="16"/>
          <w:b w:val="1"/>
          <w:bCs w:val="1"/>
          <w:color w:val="auto"/>
        </w:rPr>
      </w:pPr>
    </w:p>
    <w:p>
      <w:pPr>
        <w:ind w:left="420" w:hanging="315"/>
        <w:spacing w:after="0" w:line="248" w:lineRule="auto"/>
        <w:tabs>
          <w:tab w:leader="none" w:pos="42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19" w:right="500" w:hanging="319"/>
        <w:spacing w:after="0" w:line="246" w:lineRule="auto"/>
        <w:tabs>
          <w:tab w:leader="none" w:pos="321"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42" w:lineRule="exact"/>
        <w:rPr>
          <w:rFonts w:ascii="Arial" w:cs="Arial" w:eastAsia="Arial" w:hAnsi="Arial"/>
          <w:sz w:val="16"/>
          <w:szCs w:val="16"/>
          <w:b w:val="1"/>
          <w:bCs w:val="1"/>
          <w:color w:val="auto"/>
        </w:rPr>
      </w:pPr>
    </w:p>
    <w:p>
      <w:pPr>
        <w:ind w:left="319" w:right="100" w:hanging="319"/>
        <w:spacing w:after="0" w:line="246" w:lineRule="auto"/>
        <w:tabs>
          <w:tab w:leader="none" w:pos="321"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Many Economic and Market Factors Will Impact the Value of the Securities.</w:t>
      </w:r>
    </w:p>
    <w:p>
      <w:pPr>
        <w:spacing w:after="0" w:line="53" w:lineRule="exact"/>
        <w:rPr>
          <w:rFonts w:ascii="Arial" w:cs="Arial" w:eastAsia="Arial" w:hAnsi="Arial"/>
          <w:sz w:val="16"/>
          <w:szCs w:val="16"/>
          <w:b w:val="1"/>
          <w:bCs w:val="1"/>
          <w:color w:val="auto"/>
        </w:rPr>
      </w:pPr>
    </w:p>
    <w:p>
      <w:pPr>
        <w:ind w:left="319" w:hanging="319"/>
        <w:spacing w:after="0"/>
        <w:tabs>
          <w:tab w:leader="none" w:pos="319"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Affiliation with Either Underlying Stock Issuer</w:t>
      </w:r>
    </w:p>
    <w:p>
      <w:pPr>
        <w:spacing w:after="0" w:line="60" w:lineRule="exact"/>
        <w:rPr>
          <w:rFonts w:ascii="Arial" w:cs="Arial" w:eastAsia="Arial" w:hAnsi="Arial"/>
          <w:sz w:val="16"/>
          <w:szCs w:val="16"/>
          <w:b w:val="1"/>
          <w:bCs w:val="1"/>
          <w:color w:val="auto"/>
        </w:rPr>
      </w:pPr>
    </w:p>
    <w:p>
      <w:pPr>
        <w:ind w:left="319" w:right="880" w:hanging="319"/>
        <w:spacing w:after="0" w:line="246" w:lineRule="auto"/>
        <w:tabs>
          <w:tab w:leader="none" w:pos="321"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Anti-Dilution Protection Is Limited and May Be Discretionary.</w:t>
      </w:r>
    </w:p>
    <w:p>
      <w:pPr>
        <w:spacing w:after="0" w:line="42" w:lineRule="exact"/>
        <w:rPr>
          <w:rFonts w:ascii="Arial" w:cs="Arial" w:eastAsia="Arial" w:hAnsi="Arial"/>
          <w:sz w:val="16"/>
          <w:szCs w:val="16"/>
          <w:b w:val="1"/>
          <w:bCs w:val="1"/>
          <w:color w:val="auto"/>
        </w:rPr>
      </w:pPr>
    </w:p>
    <w:p>
      <w:pPr>
        <w:ind w:left="319" w:right="300" w:hanging="319"/>
        <w:spacing w:after="0" w:line="248" w:lineRule="auto"/>
        <w:tabs>
          <w:tab w:leader="none" w:pos="321"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spacing w:after="0" w:line="5763" w:lineRule="exact"/>
        <w:rPr>
          <w:sz w:val="20"/>
          <w:szCs w:val="20"/>
          <w:color w:val="auto"/>
        </w:rPr>
      </w:pPr>
    </w:p>
    <w:p>
      <w:pPr>
        <w:sectPr>
          <w:pgSz w:w="11900" w:h="16838" w:orient="portrait"/>
          <w:cols w:equalWidth="0" w:num="2">
            <w:col w:w="5520" w:space="201"/>
            <w:col w:w="5499"/>
          </w:cols>
          <w:pgMar w:left="320" w:top="543" w:right="359" w:bottom="1440" w:gutter="0" w:footer="0" w:header="0"/>
          <w:type w:val="continuous"/>
        </w:sectPr>
      </w:pPr>
    </w:p>
    <w:p>
      <w:pPr>
        <w:spacing w:after="0" w:line="139"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114924/ea0310537-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2026-11-03T05:15:56Z</dcterms:created>
  <dcterms:modified xsi:type="dcterms:W3CDTF">2026-11-03T05:15:56Z</dcterms:modified>
</cp:coreProperties>
</file>