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2306-01_fwp.htm"/>
      <w:bookmarkStart w:id="1" w:name="ksea0302306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August 14,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PLTR Contingent Income Auto-Callable Securities</w:t>
      </w:r>
    </w:p>
    <w:p>
      <w:pPr>
        <w:pStyle w:val="TextBody"/>
        <w:bidi w:val="0"/>
        <w:ind w:left="86" w:right="0" w:hanging="0"/>
        <w:jc w:val="left"/>
        <w:rPr>
          <w:rFonts w:ascii="Arial;Helvetica;Sans-Serif" w:hAnsi="Arial;Helvetica;Sans-Serif"/>
          <w:b/>
          <w:i/>
          <w:caps w:val="false"/>
          <w:smallCaps w:val="false"/>
          <w:sz w:val="17"/>
        </w:rPr>
      </w:pPr>
      <w:r>
        <w:rPr>
          <w:rFonts w:ascii="Arial;Helvetica;Sans-Serif" w:hAnsi="Arial;Helvetica;Sans-Serif"/>
          <w:b/>
          <w:i/>
          <w:caps w:val="false"/>
          <w:smallCaps w:val="false"/>
          <w:sz w:val="17"/>
        </w:rPr>
        <w:t>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6784975"/>
                <wp:effectExtent l="0" t="0" r="0" b="0"/>
                <wp:wrapSquare wrapText="right"/>
                <wp:docPr id="1" name="Frame1"/>
                <a:graphic xmlns:a="http://schemas.openxmlformats.org/drawingml/2006/main">
                  <a:graphicData uri="http://schemas.microsoft.com/office/word/2010/wordprocessingShape">
                    <wps:wsp>
                      <wps:cNvSpPr txBox="1"/>
                      <wps:spPr>
                        <a:xfrm>
                          <a:off x="0" y="0"/>
                          <a:ext cx="3110230" cy="67849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362"/>
                              <w:gridCol w:w="8843"/>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362"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843"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843" w:type="dxa"/>
                                  <w:tcBorders/>
                                  <w:shd w:fill="DCEBF4" w:val="clear"/>
                                  <w:vAlign w:val="center"/>
                                </w:tcPr>
                                <w:p>
                                  <w:pPr>
                                    <w:pStyle w:val="TableContents"/>
                                    <w:bidi w:val="0"/>
                                    <w:spacing w:before="0" w:after="283"/>
                                    <w:jc w:val="left"/>
                                    <w:rPr>
                                      <w:sz w:val="16"/>
                                    </w:rPr>
                                  </w:pPr>
                                  <w:r>
                                    <w:rPr>
                                      <w:sz w:val="16"/>
                                    </w:rPr>
                                    <w:t>JPMorgan Chase &amp; Co.</w:t>
                                  </w:r>
                                </w:p>
                              </w:tc>
                            </w:tr>
                            <w:tr>
                              <w:trPr/>
                              <w:tc>
                                <w:tcPr>
                                  <w:tcW w:w="136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stock: </w:t>
                                  </w:r>
                                </w:p>
                              </w:tc>
                              <w:tc>
                                <w:tcPr>
                                  <w:tcW w:w="8843" w:type="dxa"/>
                                  <w:tcBorders/>
                                  <w:vAlign w:val="center"/>
                                </w:tcPr>
                                <w:p>
                                  <w:pPr>
                                    <w:pStyle w:val="TableContents"/>
                                    <w:bidi w:val="0"/>
                                    <w:spacing w:before="0" w:after="283"/>
                                    <w:jc w:val="left"/>
                                    <w:rPr>
                                      <w:sz w:val="16"/>
                                    </w:rPr>
                                  </w:pPr>
                                  <w:r>
                                    <w:rPr>
                                      <w:sz w:val="16"/>
                                    </w:rPr>
                                    <w:t>Class A common stock of Palantir Technologies Inc. (Bloomberg ticker: PLTR UW Equity)  </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w:t>
                                  </w:r>
                                </w:p>
                              </w:tc>
                              <w:tc>
                                <w:tcPr>
                                  <w:tcW w:w="8843" w:type="dxa"/>
                                  <w:tcBorders/>
                                  <w:shd w:fill="DCEBF4" w:val="clear"/>
                                  <w:vAlign w:val="center"/>
                                </w:tcPr>
                                <w:p>
                                  <w:pPr>
                                    <w:pStyle w:val="TableContents"/>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on any determination date (other than the final determination date), the closing price of the underlying stock is </w:t>
                                  </w:r>
                                  <w:r>
                                    <w:rPr>
                                      <w:rFonts w:ascii="Arial;Helvetica;Sans-Serif" w:hAnsi="Arial;Helvetica;Sans-Serif"/>
                                      <w:b/>
                                      <w:i w:val="false"/>
                                      <w:caps w:val="false"/>
                                      <w:smallCaps w:val="false"/>
                                      <w:sz w:val="16"/>
                                    </w:rPr>
                                    <w:t xml:space="preserve">greater than or equal to </w:t>
                                  </w:r>
                                  <w:r>
                                    <w:rPr>
                                      <w:rFonts w:ascii="Arial;Helvetica;Sans-Serif" w:hAnsi="Arial;Helvetica;Sans-Serif"/>
                                      <w:b w:val="false"/>
                                      <w:i w:val="false"/>
                                      <w:caps w:val="false"/>
                                      <w:smallCaps w:val="false"/>
                                      <w:sz w:val="16"/>
                                    </w:rPr>
                                    <w:t>the initial stock price,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The securities will not be redeemed early on any contingent payment date if the closing price of the underlying stock is below the initial stock price on the related determination date.</w:t>
                                  </w:r>
                                </w:p>
                              </w:tc>
                            </w:tr>
                            <w:tr>
                              <w:trPr/>
                              <w:tc>
                                <w:tcPr>
                                  <w:tcW w:w="136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Early redemption payment:</w:t>
                                  </w:r>
                                </w:p>
                              </w:tc>
                              <w:tc>
                                <w:tcPr>
                                  <w:tcW w:w="8843" w:type="dxa"/>
                                  <w:tcBorders/>
                                  <w:vAlign w:val="center"/>
                                </w:tcPr>
                                <w:p>
                                  <w:pPr>
                                    <w:pStyle w:val="TableContents"/>
                                    <w:bidi w:val="0"/>
                                    <w:spacing w:before="0" w:after="283"/>
                                    <w:jc w:val="left"/>
                                    <w:rPr>
                                      <w:sz w:val="16"/>
                                    </w:rPr>
                                  </w:pPr>
                                  <w:r>
                                    <w:rPr>
                                      <w:sz w:val="16"/>
                                    </w:rPr>
                                    <w:t xml:space="preserve">The early redemption payment will be an amount equal to (i) the stated principal amount </w:t>
                                  </w:r>
                                  <w:r>
                                    <w:rPr>
                                      <w:i/>
                                      <w:sz w:val="16"/>
                                    </w:rPr>
                                    <w:t>plus</w:t>
                                  </w:r>
                                  <w:r>
                                    <w:rPr>
                                      <w:sz w:val="16"/>
                                    </w:rPr>
                                    <w:t xml:space="preserve"> (ii) the contingent quarterly payment with respect to the related determination date </w:t>
                                  </w:r>
                                  <w:r>
                                    <w:rPr>
                                      <w:i/>
                                      <w:sz w:val="16"/>
                                    </w:rPr>
                                    <w:t>plus</w:t>
                                  </w:r>
                                  <w:r>
                                    <w:rPr>
                                      <w:sz w:val="16"/>
                                    </w:rPr>
                                    <w:t xml:space="preserve"> (iii) any previously unpaid contingent  quarterly payments with respect to any prior determination dates.</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quarterly payment:</w:t>
                                  </w:r>
                                </w:p>
                              </w:tc>
                              <w:tc>
                                <w:tcPr>
                                  <w:tcW w:w="8843" w:type="dxa"/>
                                  <w:tcBorders/>
                                  <w:shd w:fill="DCEBF4" w:val="clear"/>
                                  <w:vAlign w:val="center"/>
                                </w:tcPr>
                                <w:p>
                                  <w:pPr>
                                    <w:pStyle w:val="TableContents"/>
                                    <w:bidi w:val="0"/>
                                    <w:ind w:left="169" w:right="0" w:hanging="169"/>
                                    <w:jc w:val="left"/>
                                    <w:rPr>
                                      <w:rFonts w:ascii="Arial;Helvetica;Sans-Serif" w:hAnsi="Arial;Helvetica;Sans-Serif"/>
                                      <w:b w:val="false"/>
                                      <w:i w:val="false"/>
                                      <w:caps w:val="false"/>
                                      <w:smallCaps w:val="false"/>
                                      <w:sz w:val="24"/>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24"/>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greater than or equal to the downside threshold level, we will pay a contingent quarterly payment of at least $41.875 (at least 4.1875% of the stated principal amount) per security on the related contingent payment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any previously unpaid contingent quarterly payments with respect to any prior determination dates. The actual contingent quarterly payment will be provided in the pricing supplement. </w:t>
                                  </w:r>
                                  <w:r>
                                    <w:rPr>
                                      <w:rFonts w:ascii="Arial;Helvetica;Sans-Serif" w:hAnsi="Arial;Helvetica;Sans-Serif"/>
                                      <w:b/>
                                      <w:i w:val="false"/>
                                      <w:caps w:val="false"/>
                                      <w:smallCaps w:val="false"/>
                                      <w:sz w:val="16"/>
                                    </w:rPr>
                                    <w:t xml:space="preserve">However, even if any unpaid contingent quarterly payment is payable on a later contingent payment date, no additional interest will accrue or be payable in respect of that unpaid contingent quarterly payment. </w:t>
                                  </w:r>
                                </w:p>
                                <w:p>
                                  <w:pPr>
                                    <w:pStyle w:val="TableContents"/>
                                    <w:bidi w:val="0"/>
                                    <w:spacing w:before="0" w:after="283"/>
                                    <w:ind w:left="147" w:right="0" w:hanging="147"/>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less than the downside threshold level, no contingent quarterly payment will be made with respect to that determination date. </w:t>
                                  </w:r>
                                  <w:r>
                                    <w:rPr>
                                      <w:rFonts w:ascii="Arial;Helvetica;Sans-Serif" w:hAnsi="Arial;Helvetica;Sans-Serif"/>
                                      <w:b/>
                                      <w:i w:val="false"/>
                                      <w:caps w:val="false"/>
                                      <w:smallCaps w:val="false"/>
                                      <w:sz w:val="16"/>
                                    </w:rPr>
                                    <w:t>It is possible that the closing price of the underlying stock will be below the downside threshold level on most or all of the determination dates so that you will receive few or no contingent quarterly payments.</w:t>
                                  </w:r>
                                </w:p>
                              </w:tc>
                            </w:tr>
                            <w:tr>
                              <w:trPr/>
                              <w:tc>
                                <w:tcPr>
                                  <w:tcW w:w="136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Determination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843" w:type="dxa"/>
                                  <w:tcBorders/>
                                  <w:vAlign w:val="center"/>
                                </w:tcPr>
                                <w:p>
                                  <w:pPr>
                                    <w:pStyle w:val="TableContents"/>
                                    <w:bidi w:val="0"/>
                                    <w:spacing w:before="0" w:after="283"/>
                                    <w:jc w:val="left"/>
                                    <w:rPr>
                                      <w:sz w:val="16"/>
                                    </w:rPr>
                                  </w:pPr>
                                  <w:r>
                                    <w:rPr>
                                      <w:sz w:val="16"/>
                                    </w:rPr>
                                    <w:t>November 23, 2026, February 22, 2027, May 21, 2027, August 23, 2027, November 22, 2027, February 22, 2028, May 22, 2028, August 21, 2028, November 21, 2028, February 21, 2029, May 21, 2029 and August 21, 2029</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payment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843" w:type="dxa"/>
                                  <w:tcBorders/>
                                  <w:shd w:fill="DCEBF4" w:val="clear"/>
                                  <w:vAlign w:val="center"/>
                                </w:tcPr>
                                <w:p>
                                  <w:pPr>
                                    <w:pStyle w:val="TableContents"/>
                                    <w:bidi w:val="0"/>
                                    <w:spacing w:before="0" w:after="283"/>
                                    <w:jc w:val="left"/>
                                    <w:rPr>
                                      <w:sz w:val="16"/>
                                    </w:rPr>
                                  </w:pPr>
                                  <w:r>
                                    <w:rPr>
                                      <w:sz w:val="16"/>
                                    </w:rPr>
                                    <w:t>November 27, 2026, February 25, 2027, May 26, 2027, August 26, 2027, November 26, 2027, February 25, 2028, May 25, 2028, August 24, 2028, November 27, 2028, February 26, 2029, May 24, 2029 and the maturity date</w:t>
                                  </w:r>
                                </w:p>
                              </w:tc>
                            </w:tr>
                          </w:tbl>
                          <w:tbl>
                            <w:tblPr>
                              <w:tblW w:w="10205" w:type="dxa"/>
                              <w:jc w:val="left"/>
                              <w:tblInd w:w="0" w:type="dxa"/>
                              <w:tblLayout w:type="fixed"/>
                              <w:tblCellMar>
                                <w:top w:w="0" w:type="dxa"/>
                                <w:left w:w="0" w:type="dxa"/>
                                <w:bottom w:w="0" w:type="dxa"/>
                                <w:right w:w="0" w:type="dxa"/>
                              </w:tblCellMar>
                            </w:tblPr>
                            <w:tblGrid>
                              <w:gridCol w:w="1298"/>
                              <w:gridCol w:w="2536"/>
                              <w:gridCol w:w="6371"/>
                            </w:tblGrid>
                            <w:tr>
                              <w:trPr/>
                              <w:tc>
                                <w:tcPr>
                                  <w:tcW w:w="1298"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536"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greater than or equal to</w:t>
                                  </w:r>
                                  <w:r>
                                    <w:rPr>
                                      <w:sz w:val="16"/>
                                    </w:rPr>
                                    <w:t xml:space="preserve"> the downside threshold level:</w:t>
                                  </w:r>
                                </w:p>
                              </w:tc>
                              <w:tc>
                                <w:tcPr>
                                  <w:tcW w:w="6371" w:type="dxa"/>
                                  <w:tcBorders/>
                                  <w:vAlign w:val="center"/>
                                </w:tcPr>
                                <w:p>
                                  <w:pPr>
                                    <w:pStyle w:val="TableContents"/>
                                    <w:bidi w:val="0"/>
                                    <w:spacing w:before="0" w:after="283"/>
                                    <w:jc w:val="left"/>
                                    <w:rPr>
                                      <w:sz w:val="16"/>
                                    </w:rPr>
                                  </w:pPr>
                                  <w:r>
                                    <w:rPr>
                                      <w:sz w:val="16"/>
                                    </w:rPr>
                                    <w:t xml:space="preserve">(i) the stated principal amount </w:t>
                                  </w:r>
                                  <w:r>
                                    <w:rPr>
                                      <w:i/>
                                      <w:sz w:val="16"/>
                                    </w:rPr>
                                    <w:t>plus</w:t>
                                  </w:r>
                                  <w:r>
                                    <w:rPr>
                                      <w:sz w:val="16"/>
                                    </w:rPr>
                                    <w:t xml:space="preserve"> (ii) the contingent quarterly payment with respect to the final determination date </w:t>
                                  </w:r>
                                  <w:r>
                                    <w:rPr>
                                      <w:i/>
                                      <w:sz w:val="16"/>
                                    </w:rPr>
                                    <w:t>plus</w:t>
                                  </w:r>
                                  <w:r>
                                    <w:rPr>
                                      <w:sz w:val="16"/>
                                    </w:rPr>
                                    <w:t xml:space="preserve"> (iii) any previously unpaid contingent quarterly payments with respect to any prior determination dates.</w:t>
                                  </w:r>
                                </w:p>
                              </w:tc>
                            </w:tr>
                            <w:tr>
                              <w:trPr/>
                              <w:tc>
                                <w:tcPr>
                                  <w:tcW w:w="1298" w:type="dxa"/>
                                  <w:tcBorders/>
                                  <w:vAlign w:val="center"/>
                                </w:tcPr>
                                <w:p>
                                  <w:pPr>
                                    <w:pStyle w:val="TableContents"/>
                                    <w:bidi w:val="0"/>
                                    <w:spacing w:before="0" w:after="283"/>
                                    <w:ind w:left="0" w:right="0" w:hanging="147"/>
                                    <w:jc w:val="left"/>
                                    <w:rPr>
                                      <w:color w:val="296DC1"/>
                                    </w:rPr>
                                  </w:pPr>
                                  <w:r>
                                    <w:rPr>
                                      <w:color w:val="296DC1"/>
                                    </w:rPr>
                                    <w:t> </w:t>
                                  </w:r>
                                </w:p>
                              </w:tc>
                              <w:tc>
                                <w:tcPr>
                                  <w:tcW w:w="2536"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less than</w:t>
                                  </w:r>
                                  <w:r>
                                    <w:rPr>
                                      <w:sz w:val="16"/>
                                    </w:rPr>
                                    <w:t xml:space="preserve"> the downside threshold level:</w:t>
                                  </w:r>
                                </w:p>
                              </w:tc>
                              <w:tc>
                                <w:tcPr>
                                  <w:tcW w:w="6371" w:type="dxa"/>
                                  <w:tcBorders/>
                                  <w:vAlign w:val="center"/>
                                </w:tcPr>
                                <w:p>
                                  <w:pPr>
                                    <w:pStyle w:val="TableContents"/>
                                    <w:bidi w:val="0"/>
                                    <w:spacing w:before="0" w:after="283"/>
                                    <w:jc w:val="left"/>
                                    <w:rPr>
                                      <w:sz w:val="16"/>
                                    </w:rPr>
                                  </w:pPr>
                                  <w:r>
                                    <w:rPr>
                                      <w:sz w:val="16"/>
                                    </w:rPr>
                                    <w:t xml:space="preserve">(i) the stated principal amount </w:t>
                                  </w:r>
                                  <w:r>
                                    <w:rPr>
                                      <w:i/>
                                      <w:sz w:val="16"/>
                                    </w:rPr>
                                    <w:t>times</w:t>
                                  </w:r>
                                  <w:r>
                                    <w:rPr>
                                      <w:sz w:val="16"/>
                                    </w:rPr>
                                    <w:t xml:space="preserve"> (ii) the stock performance factor.  This cash payment will be less than 50% of the stated principal amount of the securities and could be zero.</w:t>
                                  </w:r>
                                </w:p>
                              </w:tc>
                            </w:tr>
                            <w:tr>
                              <w:trPr/>
                              <w:tc>
                                <w:tcPr>
                                  <w:tcW w:w="129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907" w:type="dxa"/>
                                  <w:gridSpan w:val="2"/>
                                  <w:tcBorders/>
                                  <w:shd w:fill="DCEBF4" w:val="clear"/>
                                  <w:vAlign w:val="center"/>
                                </w:tcPr>
                                <w:p>
                                  <w:pPr>
                                    <w:pStyle w:val="TableContents"/>
                                    <w:bidi w:val="0"/>
                                    <w:spacing w:before="0" w:after="283"/>
                                    <w:jc w:val="left"/>
                                    <w:rPr>
                                      <w:sz w:val="16"/>
                                    </w:rPr>
                                  </w:pPr>
                                  <w:r>
                                    <w:rPr>
                                      <w:sz w:val="16"/>
                                    </w:rPr>
                                    <w:t xml:space="preserve">50% of the initial stock price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4.2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362"/>
                        <w:gridCol w:w="8843"/>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362"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843"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843" w:type="dxa"/>
                            <w:tcBorders/>
                            <w:shd w:fill="DCEBF4" w:val="clear"/>
                            <w:vAlign w:val="center"/>
                          </w:tcPr>
                          <w:p>
                            <w:pPr>
                              <w:pStyle w:val="TableContents"/>
                              <w:bidi w:val="0"/>
                              <w:spacing w:before="0" w:after="283"/>
                              <w:jc w:val="left"/>
                              <w:rPr>
                                <w:sz w:val="16"/>
                              </w:rPr>
                            </w:pPr>
                            <w:r>
                              <w:rPr>
                                <w:sz w:val="16"/>
                              </w:rPr>
                              <w:t>JPMorgan Chase &amp; Co.</w:t>
                            </w:r>
                          </w:p>
                        </w:tc>
                      </w:tr>
                      <w:tr>
                        <w:trPr/>
                        <w:tc>
                          <w:tcPr>
                            <w:tcW w:w="136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stock: </w:t>
                            </w:r>
                          </w:p>
                        </w:tc>
                        <w:tc>
                          <w:tcPr>
                            <w:tcW w:w="8843" w:type="dxa"/>
                            <w:tcBorders/>
                            <w:vAlign w:val="center"/>
                          </w:tcPr>
                          <w:p>
                            <w:pPr>
                              <w:pStyle w:val="TableContents"/>
                              <w:bidi w:val="0"/>
                              <w:spacing w:before="0" w:after="283"/>
                              <w:jc w:val="left"/>
                              <w:rPr>
                                <w:sz w:val="16"/>
                              </w:rPr>
                            </w:pPr>
                            <w:r>
                              <w:rPr>
                                <w:sz w:val="16"/>
                              </w:rPr>
                              <w:t>Class A common stock of Palantir Technologies Inc. (Bloomberg ticker: PLTR UW Equity)  </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w:t>
                            </w:r>
                          </w:p>
                        </w:tc>
                        <w:tc>
                          <w:tcPr>
                            <w:tcW w:w="8843" w:type="dxa"/>
                            <w:tcBorders/>
                            <w:shd w:fill="DCEBF4" w:val="clear"/>
                            <w:vAlign w:val="center"/>
                          </w:tcPr>
                          <w:p>
                            <w:pPr>
                              <w:pStyle w:val="TableContents"/>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on any determination date (other than the final determination date), the closing price of the underlying stock is </w:t>
                            </w:r>
                            <w:r>
                              <w:rPr>
                                <w:rFonts w:ascii="Arial;Helvetica;Sans-Serif" w:hAnsi="Arial;Helvetica;Sans-Serif"/>
                                <w:b/>
                                <w:i w:val="false"/>
                                <w:caps w:val="false"/>
                                <w:smallCaps w:val="false"/>
                                <w:sz w:val="16"/>
                              </w:rPr>
                              <w:t xml:space="preserve">greater than or equal to </w:t>
                            </w:r>
                            <w:r>
                              <w:rPr>
                                <w:rFonts w:ascii="Arial;Helvetica;Sans-Serif" w:hAnsi="Arial;Helvetica;Sans-Serif"/>
                                <w:b w:val="false"/>
                                <w:i w:val="false"/>
                                <w:caps w:val="false"/>
                                <w:smallCaps w:val="false"/>
                                <w:sz w:val="16"/>
                              </w:rPr>
                              <w:t>the initial stock price,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The securities will not be redeemed early on any contingent payment date if the closing price of the underlying stock is below the initial stock price on the related determination date.</w:t>
                            </w:r>
                          </w:p>
                        </w:tc>
                      </w:tr>
                      <w:tr>
                        <w:trPr/>
                        <w:tc>
                          <w:tcPr>
                            <w:tcW w:w="136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Early redemption payment:</w:t>
                            </w:r>
                          </w:p>
                        </w:tc>
                        <w:tc>
                          <w:tcPr>
                            <w:tcW w:w="8843" w:type="dxa"/>
                            <w:tcBorders/>
                            <w:vAlign w:val="center"/>
                          </w:tcPr>
                          <w:p>
                            <w:pPr>
                              <w:pStyle w:val="TableContents"/>
                              <w:bidi w:val="0"/>
                              <w:spacing w:before="0" w:after="283"/>
                              <w:jc w:val="left"/>
                              <w:rPr>
                                <w:sz w:val="16"/>
                              </w:rPr>
                            </w:pPr>
                            <w:r>
                              <w:rPr>
                                <w:sz w:val="16"/>
                              </w:rPr>
                              <w:t xml:space="preserve">The early redemption payment will be an amount equal to (i) the stated principal amount </w:t>
                            </w:r>
                            <w:r>
                              <w:rPr>
                                <w:i/>
                                <w:sz w:val="16"/>
                              </w:rPr>
                              <w:t>plus</w:t>
                            </w:r>
                            <w:r>
                              <w:rPr>
                                <w:sz w:val="16"/>
                              </w:rPr>
                              <w:t xml:space="preserve"> (ii) the contingent quarterly payment with respect to the related determination date </w:t>
                            </w:r>
                            <w:r>
                              <w:rPr>
                                <w:i/>
                                <w:sz w:val="16"/>
                              </w:rPr>
                              <w:t>plus</w:t>
                            </w:r>
                            <w:r>
                              <w:rPr>
                                <w:sz w:val="16"/>
                              </w:rPr>
                              <w:t xml:space="preserve"> (iii) any previously unpaid contingent  quarterly payments with respect to any prior determination dates.</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quarterly payment:</w:t>
                            </w:r>
                          </w:p>
                        </w:tc>
                        <w:tc>
                          <w:tcPr>
                            <w:tcW w:w="8843" w:type="dxa"/>
                            <w:tcBorders/>
                            <w:shd w:fill="DCEBF4" w:val="clear"/>
                            <w:vAlign w:val="center"/>
                          </w:tcPr>
                          <w:p>
                            <w:pPr>
                              <w:pStyle w:val="TableContents"/>
                              <w:bidi w:val="0"/>
                              <w:ind w:left="169" w:right="0" w:hanging="169"/>
                              <w:jc w:val="left"/>
                              <w:rPr>
                                <w:rFonts w:ascii="Arial;Helvetica;Sans-Serif" w:hAnsi="Arial;Helvetica;Sans-Serif"/>
                                <w:b w:val="false"/>
                                <w:i w:val="false"/>
                                <w:caps w:val="false"/>
                                <w:smallCaps w:val="false"/>
                                <w:sz w:val="24"/>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24"/>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greater than or equal to the downside threshold level, we will pay a contingent quarterly payment of at least $41.875 (at least 4.1875% of the stated principal amount) per security on the related contingent payment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any previously unpaid contingent quarterly payments with respect to any prior determination dates. The actual contingent quarterly payment will be provided in the pricing supplement. </w:t>
                            </w:r>
                            <w:r>
                              <w:rPr>
                                <w:rFonts w:ascii="Arial;Helvetica;Sans-Serif" w:hAnsi="Arial;Helvetica;Sans-Serif"/>
                                <w:b/>
                                <w:i w:val="false"/>
                                <w:caps w:val="false"/>
                                <w:smallCaps w:val="false"/>
                                <w:sz w:val="16"/>
                              </w:rPr>
                              <w:t xml:space="preserve">However, even if any unpaid contingent quarterly payment is payable on a later contingent payment date, no additional interest will accrue or be payable in respect of that unpaid contingent quarterly payment. </w:t>
                            </w:r>
                          </w:p>
                          <w:p>
                            <w:pPr>
                              <w:pStyle w:val="TableContents"/>
                              <w:bidi w:val="0"/>
                              <w:spacing w:before="0" w:after="283"/>
                              <w:ind w:left="147" w:right="0" w:hanging="147"/>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6"/>
                              </w:rPr>
                              <w:t xml:space="preserve">If, on any determination date, the closing price of the underlying stock is less than the downside threshold level, no contingent quarterly payment will be made with respect to that determination date. </w:t>
                            </w:r>
                            <w:r>
                              <w:rPr>
                                <w:rFonts w:ascii="Arial;Helvetica;Sans-Serif" w:hAnsi="Arial;Helvetica;Sans-Serif"/>
                                <w:b/>
                                <w:i w:val="false"/>
                                <w:caps w:val="false"/>
                                <w:smallCaps w:val="false"/>
                                <w:sz w:val="16"/>
                              </w:rPr>
                              <w:t>It is possible that the closing price of the underlying stock will be below the downside threshold level on most or all of the determination dates so that you will receive few or no contingent quarterly payments.</w:t>
                            </w:r>
                          </w:p>
                        </w:tc>
                      </w:tr>
                      <w:tr>
                        <w:trPr/>
                        <w:tc>
                          <w:tcPr>
                            <w:tcW w:w="1362"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Determination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843" w:type="dxa"/>
                            <w:tcBorders/>
                            <w:vAlign w:val="center"/>
                          </w:tcPr>
                          <w:p>
                            <w:pPr>
                              <w:pStyle w:val="TableContents"/>
                              <w:bidi w:val="0"/>
                              <w:spacing w:before="0" w:after="283"/>
                              <w:jc w:val="left"/>
                              <w:rPr>
                                <w:sz w:val="16"/>
                              </w:rPr>
                            </w:pPr>
                            <w:r>
                              <w:rPr>
                                <w:sz w:val="16"/>
                              </w:rPr>
                              <w:t>November 23, 2026, February 22, 2027, May 21, 2027, August 23, 2027, November 22, 2027, February 22, 2028, May 22, 2028, August 21, 2028, November 21, 2028, February 21, 2029, May 21, 2029 and August 21, 2029</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Contingent payment dates</w:t>
                            </w:r>
                            <w:r>
                              <w:rPr>
                                <w:rFonts w:ascii="Arial;Helvetica;Sans-Serif" w:hAnsi="Arial;Helvetica;Sans-Serif"/>
                                <w:b/>
                                <w:i w:val="false"/>
                                <w:caps w:val="false"/>
                                <w:smallCaps w:val="false"/>
                                <w:color w:val="296DC1"/>
                                <w:position w:val="5"/>
                                <w:sz w:val="13"/>
                                <w:sz w:val="16"/>
                              </w:rPr>
                              <w:t>†</w:t>
                            </w:r>
                            <w:r>
                              <w:rPr>
                                <w:rFonts w:ascii="Arial;Helvetica;Sans-Serif" w:hAnsi="Arial;Helvetica;Sans-Serif"/>
                                <w:b/>
                                <w:i w:val="false"/>
                                <w:caps w:val="false"/>
                                <w:smallCaps w:val="false"/>
                                <w:color w:val="296DC1"/>
                                <w:sz w:val="16"/>
                              </w:rPr>
                              <w:t xml:space="preserve">: </w:t>
                            </w:r>
                          </w:p>
                        </w:tc>
                        <w:tc>
                          <w:tcPr>
                            <w:tcW w:w="8843" w:type="dxa"/>
                            <w:tcBorders/>
                            <w:shd w:fill="DCEBF4" w:val="clear"/>
                            <w:vAlign w:val="center"/>
                          </w:tcPr>
                          <w:p>
                            <w:pPr>
                              <w:pStyle w:val="TableContents"/>
                              <w:bidi w:val="0"/>
                              <w:spacing w:before="0" w:after="283"/>
                              <w:jc w:val="left"/>
                              <w:rPr>
                                <w:sz w:val="16"/>
                              </w:rPr>
                            </w:pPr>
                            <w:r>
                              <w:rPr>
                                <w:sz w:val="16"/>
                              </w:rPr>
                              <w:t>November 27, 2026, February 25, 2027, May 26, 2027, August 26, 2027, November 26, 2027, February 25, 2028, May 25, 2028, August 24, 2028, November 27, 2028, February 26, 2029, May 24, 2029 and the maturity date</w:t>
                            </w:r>
                          </w:p>
                        </w:tc>
                      </w:tr>
                    </w:tbl>
                    <w:tbl>
                      <w:tblPr>
                        <w:tblW w:w="10205" w:type="dxa"/>
                        <w:jc w:val="left"/>
                        <w:tblInd w:w="0" w:type="dxa"/>
                        <w:tblLayout w:type="fixed"/>
                        <w:tblCellMar>
                          <w:top w:w="0" w:type="dxa"/>
                          <w:left w:w="0" w:type="dxa"/>
                          <w:bottom w:w="0" w:type="dxa"/>
                          <w:right w:w="0" w:type="dxa"/>
                        </w:tblCellMar>
                      </w:tblPr>
                      <w:tblGrid>
                        <w:gridCol w:w="1298"/>
                        <w:gridCol w:w="2536"/>
                        <w:gridCol w:w="6371"/>
                      </w:tblGrid>
                      <w:tr>
                        <w:trPr/>
                        <w:tc>
                          <w:tcPr>
                            <w:tcW w:w="1298" w:type="dxa"/>
                            <w:tcBorders/>
                            <w:vAlign w:val="center"/>
                          </w:tcPr>
                          <w:p>
                            <w:pPr>
                              <w:pStyle w:val="TableContents"/>
                              <w:bidi w:val="0"/>
                              <w:spacing w:before="0" w:after="283"/>
                              <w:ind w:left="0" w:right="0" w:hanging="147"/>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Payment at maturity:</w:t>
                            </w:r>
                          </w:p>
                        </w:tc>
                        <w:tc>
                          <w:tcPr>
                            <w:tcW w:w="2536"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greater than or equal to</w:t>
                            </w:r>
                            <w:r>
                              <w:rPr>
                                <w:sz w:val="16"/>
                              </w:rPr>
                              <w:t xml:space="preserve"> the downside threshold level:</w:t>
                            </w:r>
                          </w:p>
                        </w:tc>
                        <w:tc>
                          <w:tcPr>
                            <w:tcW w:w="6371" w:type="dxa"/>
                            <w:tcBorders/>
                            <w:vAlign w:val="center"/>
                          </w:tcPr>
                          <w:p>
                            <w:pPr>
                              <w:pStyle w:val="TableContents"/>
                              <w:bidi w:val="0"/>
                              <w:spacing w:before="0" w:after="283"/>
                              <w:jc w:val="left"/>
                              <w:rPr>
                                <w:sz w:val="16"/>
                              </w:rPr>
                            </w:pPr>
                            <w:r>
                              <w:rPr>
                                <w:sz w:val="16"/>
                              </w:rPr>
                              <w:t xml:space="preserve">(i) the stated principal amount </w:t>
                            </w:r>
                            <w:r>
                              <w:rPr>
                                <w:i/>
                                <w:sz w:val="16"/>
                              </w:rPr>
                              <w:t>plus</w:t>
                            </w:r>
                            <w:r>
                              <w:rPr>
                                <w:sz w:val="16"/>
                              </w:rPr>
                              <w:t xml:space="preserve"> (ii) the contingent quarterly payment with respect to the final determination date </w:t>
                            </w:r>
                            <w:r>
                              <w:rPr>
                                <w:i/>
                                <w:sz w:val="16"/>
                              </w:rPr>
                              <w:t>plus</w:t>
                            </w:r>
                            <w:r>
                              <w:rPr>
                                <w:sz w:val="16"/>
                              </w:rPr>
                              <w:t xml:space="preserve"> (iii) any previously unpaid contingent quarterly payments with respect to any prior determination dates.</w:t>
                            </w:r>
                          </w:p>
                        </w:tc>
                      </w:tr>
                      <w:tr>
                        <w:trPr/>
                        <w:tc>
                          <w:tcPr>
                            <w:tcW w:w="1298" w:type="dxa"/>
                            <w:tcBorders/>
                            <w:vAlign w:val="center"/>
                          </w:tcPr>
                          <w:p>
                            <w:pPr>
                              <w:pStyle w:val="TableContents"/>
                              <w:bidi w:val="0"/>
                              <w:spacing w:before="0" w:after="283"/>
                              <w:ind w:left="0" w:right="0" w:hanging="147"/>
                              <w:jc w:val="left"/>
                              <w:rPr>
                                <w:color w:val="296DC1"/>
                              </w:rPr>
                            </w:pPr>
                            <w:r>
                              <w:rPr>
                                <w:color w:val="296DC1"/>
                              </w:rPr>
                              <w:t> </w:t>
                            </w:r>
                          </w:p>
                        </w:tc>
                        <w:tc>
                          <w:tcPr>
                            <w:tcW w:w="2536"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less than</w:t>
                            </w:r>
                            <w:r>
                              <w:rPr>
                                <w:sz w:val="16"/>
                              </w:rPr>
                              <w:t xml:space="preserve"> the downside threshold level:</w:t>
                            </w:r>
                          </w:p>
                        </w:tc>
                        <w:tc>
                          <w:tcPr>
                            <w:tcW w:w="6371" w:type="dxa"/>
                            <w:tcBorders/>
                            <w:vAlign w:val="center"/>
                          </w:tcPr>
                          <w:p>
                            <w:pPr>
                              <w:pStyle w:val="TableContents"/>
                              <w:bidi w:val="0"/>
                              <w:spacing w:before="0" w:after="283"/>
                              <w:jc w:val="left"/>
                              <w:rPr>
                                <w:sz w:val="16"/>
                              </w:rPr>
                            </w:pPr>
                            <w:r>
                              <w:rPr>
                                <w:sz w:val="16"/>
                              </w:rPr>
                              <w:t xml:space="preserve">(i) the stated principal amount </w:t>
                            </w:r>
                            <w:r>
                              <w:rPr>
                                <w:i/>
                                <w:sz w:val="16"/>
                              </w:rPr>
                              <w:t>times</w:t>
                            </w:r>
                            <w:r>
                              <w:rPr>
                                <w:sz w:val="16"/>
                              </w:rPr>
                              <w:t xml:space="preserve"> (ii) the stock performance factor.  This cash payment will be less than 50% of the stated principal amount of the securities and could be zero.</w:t>
                            </w:r>
                          </w:p>
                        </w:tc>
                      </w:tr>
                      <w:tr>
                        <w:trPr/>
                        <w:tc>
                          <w:tcPr>
                            <w:tcW w:w="129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907" w:type="dxa"/>
                            <w:gridSpan w:val="2"/>
                            <w:tcBorders/>
                            <w:shd w:fill="DCEBF4" w:val="clear"/>
                            <w:vAlign w:val="center"/>
                          </w:tcPr>
                          <w:p>
                            <w:pPr>
                              <w:pStyle w:val="TableContents"/>
                              <w:bidi w:val="0"/>
                              <w:spacing w:before="0" w:after="283"/>
                              <w:jc w:val="left"/>
                              <w:rPr>
                                <w:sz w:val="16"/>
                              </w:rPr>
                            </w:pPr>
                            <w:r>
                              <w:rPr>
                                <w:sz w:val="16"/>
                              </w:rPr>
                              <w:t xml:space="preserve">50% of the initial stock price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28"/>
                              <w:gridCol w:w="8377"/>
                            </w:tblGrid>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stock price:</w:t>
                                  </w:r>
                                </w:p>
                              </w:tc>
                              <w:tc>
                                <w:tcPr>
                                  <w:tcW w:w="8377" w:type="dxa"/>
                                  <w:tcBorders/>
                                  <w:vAlign w:val="center"/>
                                </w:tcPr>
                                <w:p>
                                  <w:pPr>
                                    <w:pStyle w:val="TableContents"/>
                                    <w:bidi w:val="0"/>
                                    <w:spacing w:before="0" w:after="283"/>
                                    <w:jc w:val="left"/>
                                    <w:rPr>
                                      <w:sz w:val="16"/>
                                    </w:rPr>
                                  </w:pPr>
                                  <w:r>
                                    <w:rPr>
                                      <w:sz w:val="16"/>
                                    </w:rPr>
                                    <w:t>The closing price of the underlying stock on the pricing date</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stock price:</w:t>
                                  </w:r>
                                </w:p>
                              </w:tc>
                              <w:tc>
                                <w:tcPr>
                                  <w:tcW w:w="8377" w:type="dxa"/>
                                  <w:tcBorders/>
                                  <w:shd w:fill="DCEBF4" w:val="clear"/>
                                  <w:vAlign w:val="center"/>
                                </w:tcPr>
                                <w:p>
                                  <w:pPr>
                                    <w:pStyle w:val="TableContents"/>
                                    <w:bidi w:val="0"/>
                                    <w:spacing w:before="0" w:after="283"/>
                                    <w:jc w:val="left"/>
                                    <w:rPr>
                                      <w:sz w:val="16"/>
                                    </w:rPr>
                                  </w:pPr>
                                  <w:r>
                                    <w:rPr>
                                      <w:sz w:val="16"/>
                                    </w:rPr>
                                    <w:t>The closing price of the underlying stock on the final determination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adjustment factor:</w:t>
                                  </w:r>
                                </w:p>
                              </w:tc>
                              <w:tc>
                                <w:tcPr>
                                  <w:tcW w:w="8377" w:type="dxa"/>
                                  <w:tcBorders/>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377" w:type="dxa"/>
                                  <w:tcBorders/>
                                  <w:shd w:fill="DCEBF4" w:val="clear"/>
                                  <w:vAlign w:val="center"/>
                                </w:tcPr>
                                <w:p>
                                  <w:pPr>
                                    <w:pStyle w:val="TableContents"/>
                                    <w:bidi w:val="0"/>
                                    <w:spacing w:before="0" w:after="283"/>
                                    <w:jc w:val="left"/>
                                    <w:rPr>
                                      <w:sz w:val="16"/>
                                    </w:rPr>
                                  </w:pPr>
                                  <w:r>
                                    <w:rPr>
                                      <w:sz w:val="16"/>
                                    </w:rPr>
                                    <w:t>final stock price / initial stock price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77" w:type="dxa"/>
                                  <w:tcBorders/>
                                  <w:vAlign w:val="center"/>
                                </w:tcPr>
                                <w:p>
                                  <w:pPr>
                                    <w:pStyle w:val="TableContents"/>
                                    <w:bidi w:val="0"/>
                                    <w:spacing w:before="0" w:after="283"/>
                                    <w:jc w:val="left"/>
                                    <w:rPr>
                                      <w:sz w:val="16"/>
                                    </w:rPr>
                                  </w:pPr>
                                  <w:r>
                                    <w:rPr>
                                      <w:sz w:val="16"/>
                                    </w:rPr>
                                    <w:t>$1,000 per security</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377" w:type="dxa"/>
                                  <w:tcBorders/>
                                  <w:shd w:fill="DCEBF4" w:val="clear"/>
                                  <w:vAlign w:val="center"/>
                                </w:tcPr>
                                <w:p>
                                  <w:pPr>
                                    <w:pStyle w:val="TableContents"/>
                                    <w:bidi w:val="0"/>
                                    <w:spacing w:before="0" w:after="283"/>
                                    <w:jc w:val="left"/>
                                    <w:rPr>
                                      <w:sz w:val="16"/>
                                    </w:rPr>
                                  </w:pPr>
                                  <w:r>
                                    <w:rPr>
                                      <w:sz w:val="16"/>
                                    </w:rPr>
                                    <w:t>$1,000 per security</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77" w:type="dxa"/>
                                  <w:tcBorders/>
                                  <w:vAlign w:val="center"/>
                                </w:tcPr>
                                <w:p>
                                  <w:pPr>
                                    <w:pStyle w:val="TableContents"/>
                                    <w:bidi w:val="0"/>
                                    <w:spacing w:before="0" w:after="283"/>
                                    <w:jc w:val="left"/>
                                    <w:rPr>
                                      <w:sz w:val="16"/>
                                    </w:rPr>
                                  </w:pPr>
                                  <w:r>
                                    <w:rPr>
                                      <w:sz w:val="16"/>
                                    </w:rPr>
                                    <w:t>Expected to be August 21, 2026</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77"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77" w:type="dxa"/>
                                  <w:tcBorders/>
                                  <w:vAlign w:val="center"/>
                                </w:tcPr>
                                <w:p>
                                  <w:pPr>
                                    <w:pStyle w:val="TableContents"/>
                                    <w:bidi w:val="0"/>
                                    <w:spacing w:before="0" w:after="283"/>
                                    <w:jc w:val="left"/>
                                    <w:rPr>
                                      <w:sz w:val="16"/>
                                    </w:rPr>
                                  </w:pPr>
                                  <w:r>
                                    <w:rPr>
                                      <w:sz w:val="16"/>
                                    </w:rPr>
                                    <w:t>August 24, 2029</w:t>
                                  </w:r>
                                </w:p>
                              </w:tc>
                            </w:tr>
                            <w:tr>
                              <w:trPr/>
                              <w:tc>
                                <w:tcPr>
                                  <w:tcW w:w="1828"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377" w:type="dxa"/>
                                  <w:tcBorders/>
                                  <w:shd w:fill="DCEBF4" w:val="clear"/>
                                  <w:vAlign w:val="center"/>
                                </w:tcPr>
                                <w:p>
                                  <w:pPr>
                                    <w:pStyle w:val="TableContents"/>
                                    <w:bidi w:val="0"/>
                                    <w:spacing w:before="0" w:after="283"/>
                                    <w:jc w:val="left"/>
                                    <w:rPr>
                                      <w:sz w:val="24"/>
                                    </w:rPr>
                                  </w:pPr>
                                  <w:r>
                                    <w:rPr>
                                      <w:rFonts w:ascii="Arial;Helvetica;Sans-Serif" w:hAnsi="Arial;Helvetica;Sans-Serif"/>
                                      <w:sz w:val="16"/>
                                    </w:rPr>
                                    <w:t xml:space="preserve">46661KLF3 </w:t>
                                  </w:r>
                                  <w:r>
                                    <w:rPr>
                                      <w:sz w:val="16"/>
                                    </w:rPr>
                                    <w:t xml:space="preserve">/ </w:t>
                                  </w:r>
                                  <w:r>
                                    <w:rPr>
                                      <w:rFonts w:ascii="Arial;Helvetica;Sans-Serif" w:hAnsi="Arial;Helvetica;Sans-Serif"/>
                                      <w:sz w:val="16"/>
                                    </w:rPr>
                                    <w:t>US46661KLF39</w:t>
                                  </w:r>
                                </w:p>
                              </w:tc>
                            </w:tr>
                            <w:tr>
                              <w:trPr/>
                              <w:tc>
                                <w:tcPr>
                                  <w:tcW w:w="1828"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77" w:type="dxa"/>
                                  <w:tcBorders/>
                                  <w:vAlign w:val="center"/>
                                </w:tcPr>
                                <w:p>
                                  <w:pPr>
                                    <w:pStyle w:val="TableContents"/>
                                    <w:bidi w:val="0"/>
                                    <w:spacing w:before="0" w:after="283"/>
                                    <w:jc w:val="left"/>
                                    <w:rPr/>
                                  </w:pPr>
                                  <w:hyperlink r:id="rId2">
                                    <w:r>
                                      <w:rPr>
                                        <w:rStyle w:val="InternetLink"/>
                                        <w:sz w:val="16"/>
                                      </w:rPr>
                                      <w:t>http://www.sec.gov/Archives/edgar/data</w:t>
                                      <w:br/>
                                      <w:t>/19617/000121390026090134/ea0302213-01_424b2.htm</w:t>
                                    </w:r>
                                  </w:hyperlink>
                                  <w:r>
                                    <w:rPr>
                                      <w:sz w:val="16"/>
                                    </w:rPr>
                                    <w:t xml:space="preserve">     </w:t>
                                  </w:r>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securities is subject to the credit risk of JPMorgan Financial, as issuer of the securities, and the credit risk of JPMorgan Chase &amp; Co., as guarantor of the securities.</w:t>
                            </w:r>
                          </w:p>
                          <w:tbl>
                            <w:tblPr>
                              <w:tblW w:w="9100" w:type="dxa"/>
                              <w:jc w:val="left"/>
                              <w:tblInd w:w="0" w:type="dxa"/>
                              <w:tblLayout w:type="fixed"/>
                              <w:tblCellMar>
                                <w:top w:w="0" w:type="dxa"/>
                                <w:left w:w="0" w:type="dxa"/>
                                <w:bottom w:w="0" w:type="dxa"/>
                                <w:right w:w="0" w:type="dxa"/>
                              </w:tblCellMar>
                            </w:tblPr>
                            <w:tblGrid>
                              <w:gridCol w:w="2255"/>
                              <w:gridCol w:w="6845"/>
                            </w:tblGrid>
                            <w:tr>
                              <w:trPr/>
                              <w:tc>
                                <w:tcPr>
                                  <w:tcW w:w="9100" w:type="dxa"/>
                                  <w:gridSpan w:val="2"/>
                                  <w:tcBorders/>
                                  <w:shd w:fill="296DC1" w:val="clear"/>
                                  <w:vAlign w:val="center"/>
                                </w:tcPr>
                                <w:p>
                                  <w:pPr>
                                    <w:pStyle w:val="TableContents"/>
                                    <w:bidi w:val="0"/>
                                    <w:spacing w:before="20" w:after="20"/>
                                    <w:ind w:left="20" w:right="2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p>
                                  <w:pPr>
                                    <w:pStyle w:val="TableContents"/>
                                    <w:bidi w:val="0"/>
                                    <w:spacing w:before="20" w:after="20"/>
                                    <w:ind w:left="20" w:right="2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 xml:space="preserve">(if the securities have not previously been redeemed) </w:t>
                                  </w:r>
                                </w:p>
                              </w:tc>
                            </w:tr>
                            <w:tr>
                              <w:trPr/>
                              <w:tc>
                                <w:tcPr>
                                  <w:tcW w:w="225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Stock</w:t>
                                  </w:r>
                                </w:p>
                              </w:tc>
                              <w:tc>
                                <w:tcPr>
                                  <w:tcW w:w="684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bl>
                          <w:tbl>
                            <w:tblPr>
                              <w:tblW w:w="1495" w:type="dxa"/>
                              <w:jc w:val="left"/>
                              <w:tblInd w:w="0" w:type="dxa"/>
                              <w:tblLayout w:type="fixed"/>
                              <w:tblCellMar>
                                <w:top w:w="0" w:type="dxa"/>
                                <w:left w:w="0" w:type="dxa"/>
                                <w:bottom w:w="0" w:type="dxa"/>
                                <w:right w:w="0" w:type="dxa"/>
                              </w:tblCellMar>
                            </w:tblPr>
                            <w:tblGrid>
                              <w:gridCol w:w="740"/>
                              <w:gridCol w:w="755"/>
                            </w:tblGrid>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-50.01%</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$499.90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28"/>
                        <w:gridCol w:w="8377"/>
                      </w:tblGrid>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stock price:</w:t>
                            </w:r>
                          </w:p>
                        </w:tc>
                        <w:tc>
                          <w:tcPr>
                            <w:tcW w:w="8377" w:type="dxa"/>
                            <w:tcBorders/>
                            <w:vAlign w:val="center"/>
                          </w:tcPr>
                          <w:p>
                            <w:pPr>
                              <w:pStyle w:val="TableContents"/>
                              <w:bidi w:val="0"/>
                              <w:spacing w:before="0" w:after="283"/>
                              <w:jc w:val="left"/>
                              <w:rPr>
                                <w:sz w:val="16"/>
                              </w:rPr>
                            </w:pPr>
                            <w:r>
                              <w:rPr>
                                <w:sz w:val="16"/>
                              </w:rPr>
                              <w:t>The closing price of the underlying stock on the pricing date</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stock price:</w:t>
                            </w:r>
                          </w:p>
                        </w:tc>
                        <w:tc>
                          <w:tcPr>
                            <w:tcW w:w="8377" w:type="dxa"/>
                            <w:tcBorders/>
                            <w:shd w:fill="DCEBF4" w:val="clear"/>
                            <w:vAlign w:val="center"/>
                          </w:tcPr>
                          <w:p>
                            <w:pPr>
                              <w:pStyle w:val="TableContents"/>
                              <w:bidi w:val="0"/>
                              <w:spacing w:before="0" w:after="283"/>
                              <w:jc w:val="left"/>
                              <w:rPr>
                                <w:sz w:val="16"/>
                              </w:rPr>
                            </w:pPr>
                            <w:r>
                              <w:rPr>
                                <w:sz w:val="16"/>
                              </w:rPr>
                              <w:t>The closing price of the underlying stock on the final determination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adjustment factor:</w:t>
                            </w:r>
                          </w:p>
                        </w:tc>
                        <w:tc>
                          <w:tcPr>
                            <w:tcW w:w="8377" w:type="dxa"/>
                            <w:tcBorders/>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377" w:type="dxa"/>
                            <w:tcBorders/>
                            <w:shd w:fill="DCEBF4" w:val="clear"/>
                            <w:vAlign w:val="center"/>
                          </w:tcPr>
                          <w:p>
                            <w:pPr>
                              <w:pStyle w:val="TableContents"/>
                              <w:bidi w:val="0"/>
                              <w:spacing w:before="0" w:after="283"/>
                              <w:jc w:val="left"/>
                              <w:rPr>
                                <w:sz w:val="16"/>
                              </w:rPr>
                            </w:pPr>
                            <w:r>
                              <w:rPr>
                                <w:sz w:val="16"/>
                              </w:rPr>
                              <w:t>final stock price / initial stock price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77" w:type="dxa"/>
                            <w:tcBorders/>
                            <w:vAlign w:val="center"/>
                          </w:tcPr>
                          <w:p>
                            <w:pPr>
                              <w:pStyle w:val="TableContents"/>
                              <w:bidi w:val="0"/>
                              <w:spacing w:before="0" w:after="283"/>
                              <w:jc w:val="left"/>
                              <w:rPr>
                                <w:sz w:val="16"/>
                              </w:rPr>
                            </w:pPr>
                            <w:r>
                              <w:rPr>
                                <w:sz w:val="16"/>
                              </w:rPr>
                              <w:t>$1,000 per security</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377" w:type="dxa"/>
                            <w:tcBorders/>
                            <w:shd w:fill="DCEBF4" w:val="clear"/>
                            <w:vAlign w:val="center"/>
                          </w:tcPr>
                          <w:p>
                            <w:pPr>
                              <w:pStyle w:val="TableContents"/>
                              <w:bidi w:val="0"/>
                              <w:spacing w:before="0" w:after="283"/>
                              <w:jc w:val="left"/>
                              <w:rPr>
                                <w:sz w:val="16"/>
                              </w:rPr>
                            </w:pPr>
                            <w:r>
                              <w:rPr>
                                <w:sz w:val="16"/>
                              </w:rPr>
                              <w:t>$1,000 per security</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77" w:type="dxa"/>
                            <w:tcBorders/>
                            <w:vAlign w:val="center"/>
                          </w:tcPr>
                          <w:p>
                            <w:pPr>
                              <w:pStyle w:val="TableContents"/>
                              <w:bidi w:val="0"/>
                              <w:spacing w:before="0" w:after="283"/>
                              <w:jc w:val="left"/>
                              <w:rPr>
                                <w:sz w:val="16"/>
                              </w:rPr>
                            </w:pPr>
                            <w:r>
                              <w:rPr>
                                <w:sz w:val="16"/>
                              </w:rPr>
                              <w:t>Expected to be August 21, 2026</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77"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77" w:type="dxa"/>
                            <w:tcBorders/>
                            <w:vAlign w:val="center"/>
                          </w:tcPr>
                          <w:p>
                            <w:pPr>
                              <w:pStyle w:val="TableContents"/>
                              <w:bidi w:val="0"/>
                              <w:spacing w:before="0" w:after="283"/>
                              <w:jc w:val="left"/>
                              <w:rPr>
                                <w:sz w:val="16"/>
                              </w:rPr>
                            </w:pPr>
                            <w:r>
                              <w:rPr>
                                <w:sz w:val="16"/>
                              </w:rPr>
                              <w:t>August 24, 2029</w:t>
                            </w:r>
                          </w:p>
                        </w:tc>
                      </w:tr>
                      <w:tr>
                        <w:trPr/>
                        <w:tc>
                          <w:tcPr>
                            <w:tcW w:w="1828"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377" w:type="dxa"/>
                            <w:tcBorders/>
                            <w:shd w:fill="DCEBF4" w:val="clear"/>
                            <w:vAlign w:val="center"/>
                          </w:tcPr>
                          <w:p>
                            <w:pPr>
                              <w:pStyle w:val="TableContents"/>
                              <w:bidi w:val="0"/>
                              <w:spacing w:before="0" w:after="283"/>
                              <w:jc w:val="left"/>
                              <w:rPr>
                                <w:sz w:val="24"/>
                              </w:rPr>
                            </w:pPr>
                            <w:r>
                              <w:rPr>
                                <w:rFonts w:ascii="Arial;Helvetica;Sans-Serif" w:hAnsi="Arial;Helvetica;Sans-Serif"/>
                                <w:sz w:val="16"/>
                              </w:rPr>
                              <w:t xml:space="preserve">46661KLF3 </w:t>
                            </w:r>
                            <w:r>
                              <w:rPr>
                                <w:sz w:val="16"/>
                              </w:rPr>
                              <w:t xml:space="preserve">/ </w:t>
                            </w:r>
                            <w:r>
                              <w:rPr>
                                <w:rFonts w:ascii="Arial;Helvetica;Sans-Serif" w:hAnsi="Arial;Helvetica;Sans-Serif"/>
                                <w:sz w:val="16"/>
                              </w:rPr>
                              <w:t>US46661KLF39</w:t>
                            </w:r>
                          </w:p>
                        </w:tc>
                      </w:tr>
                      <w:tr>
                        <w:trPr/>
                        <w:tc>
                          <w:tcPr>
                            <w:tcW w:w="1828"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77" w:type="dxa"/>
                            <w:tcBorders/>
                            <w:vAlign w:val="center"/>
                          </w:tcPr>
                          <w:p>
                            <w:pPr>
                              <w:pStyle w:val="TableContents"/>
                              <w:bidi w:val="0"/>
                              <w:spacing w:before="0" w:after="283"/>
                              <w:jc w:val="left"/>
                              <w:rPr/>
                            </w:pPr>
                            <w:hyperlink r:id="rId3">
                              <w:r>
                                <w:rPr>
                                  <w:rStyle w:val="InternetLink"/>
                                  <w:sz w:val="16"/>
                                </w:rPr>
                                <w:t>http://www.sec.gov/Archives/edgar/data</w:t>
                                <w:br/>
                                <w:t>/19617/000121390026090134/ea0302213-01_424b2.htm</w:t>
                              </w:r>
                            </w:hyperlink>
                            <w:r>
                              <w:rPr>
                                <w:sz w:val="16"/>
                              </w:rPr>
                              <w:t xml:space="preserve">     </w:t>
                            </w:r>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securities is subject to the credit risk of JPMorgan Financial, as issuer of the securities, and the credit risk of JPMorgan Chase &amp; Co., as guarantor of the securities.</w:t>
                      </w:r>
                    </w:p>
                    <w:tbl>
                      <w:tblPr>
                        <w:tblW w:w="9100" w:type="dxa"/>
                        <w:jc w:val="left"/>
                        <w:tblInd w:w="0" w:type="dxa"/>
                        <w:tblLayout w:type="fixed"/>
                        <w:tblCellMar>
                          <w:top w:w="0" w:type="dxa"/>
                          <w:left w:w="0" w:type="dxa"/>
                          <w:bottom w:w="0" w:type="dxa"/>
                          <w:right w:w="0" w:type="dxa"/>
                        </w:tblCellMar>
                      </w:tblPr>
                      <w:tblGrid>
                        <w:gridCol w:w="2255"/>
                        <w:gridCol w:w="6845"/>
                      </w:tblGrid>
                      <w:tr>
                        <w:trPr/>
                        <w:tc>
                          <w:tcPr>
                            <w:tcW w:w="9100" w:type="dxa"/>
                            <w:gridSpan w:val="2"/>
                            <w:tcBorders/>
                            <w:shd w:fill="296DC1" w:val="clear"/>
                            <w:vAlign w:val="center"/>
                          </w:tcPr>
                          <w:p>
                            <w:pPr>
                              <w:pStyle w:val="TableContents"/>
                              <w:bidi w:val="0"/>
                              <w:spacing w:before="20" w:after="20"/>
                              <w:ind w:left="20" w:right="2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p>
                            <w:pPr>
                              <w:pStyle w:val="TableContents"/>
                              <w:bidi w:val="0"/>
                              <w:spacing w:before="20" w:after="20"/>
                              <w:ind w:left="20" w:right="2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 xml:space="preserve">(if the securities have not previously been redeemed) </w:t>
                            </w:r>
                          </w:p>
                        </w:tc>
                      </w:tr>
                      <w:tr>
                        <w:trPr/>
                        <w:tc>
                          <w:tcPr>
                            <w:tcW w:w="225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Stock</w:t>
                            </w:r>
                          </w:p>
                        </w:tc>
                        <w:tc>
                          <w:tcPr>
                            <w:tcW w:w="684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bl>
                    <w:tbl>
                      <w:tblPr>
                        <w:tblW w:w="1495" w:type="dxa"/>
                        <w:jc w:val="left"/>
                        <w:tblInd w:w="0" w:type="dxa"/>
                        <w:tblLayout w:type="fixed"/>
                        <w:tblCellMar>
                          <w:top w:w="0" w:type="dxa"/>
                          <w:left w:w="0" w:type="dxa"/>
                          <w:bottom w:w="0" w:type="dxa"/>
                          <w:right w:w="0" w:type="dxa"/>
                        </w:tblCellMar>
                      </w:tblPr>
                      <w:tblGrid>
                        <w:gridCol w:w="740"/>
                        <w:gridCol w:w="755"/>
                      </w:tblGrid>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-50.01%</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$499.90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PLTR Contingent Income Auto-Callable Securities</w:t>
      </w:r>
    </w:p>
    <w:p>
      <w:pPr>
        <w:pStyle w:val="TextBody"/>
        <w:bidi w:val="0"/>
        <w:spacing w:before="20" w:after="40"/>
        <w:ind w:left="20" w:right="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Stock</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stock, including historical performance information, see the accompanying preliminary pricing supplement.</w:t>
      </w:r>
    </w:p>
    <w:p>
      <w:pPr>
        <w:pStyle w:val="TextBody"/>
        <w:bidi w:val="0"/>
        <w:spacing w:before="60" w:after="60"/>
        <w:ind w:left="60" w:right="6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will not receive any contingent quarterly payment for any quarterly period (or any previously unpaid contingent quarterly payments) if the closing price of the underlying stock on the relevant determination date is less than the downside threshold level. </w:t>
            </w:r>
          </w:p>
        </w:tc>
      </w:tr>
    </w:tbl>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30" w:type="dxa"/>
            <w:tcBorders/>
            <w:vAlign w:val="center"/>
          </w:tcPr>
          <w:p>
            <w:pPr>
              <w:pStyle w:val="TableContents"/>
              <w:bidi w:val="0"/>
              <w:spacing w:before="0" w:after="283"/>
              <w:jc w:val="left"/>
              <w:rPr>
                <w:sz w:val="18"/>
              </w:rPr>
            </w:pPr>
            <w:r>
              <w:rPr>
                <w:sz w:val="18"/>
              </w:rPr>
              <w:t>The contingent quarterly payment is based solely on the closing prices of the underlying stock on the specified determination dates.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40"/>
        <w:gridCol w:w="9893"/>
      </w:tblGrid>
      <w:tr>
        <w:trPr/>
        <w:tc>
          <w:tcPr>
            <w:tcW w:w="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3" w:type="dxa"/>
            <w:tcBorders/>
            <w:vAlign w:val="center"/>
          </w:tcPr>
          <w:p>
            <w:pPr>
              <w:pStyle w:val="TableContents"/>
              <w:bidi w:val="0"/>
              <w:spacing w:before="0" w:after="283"/>
              <w:jc w:val="left"/>
              <w:rPr>
                <w:sz w:val="18"/>
              </w:rPr>
            </w:pPr>
            <w:r>
              <w:rPr>
                <w:sz w:val="18"/>
              </w:rPr>
              <w:t>Investors will not participate in any appreciation of the underlying stock.</w:t>
            </w:r>
          </w:p>
        </w:tc>
      </w:tr>
    </w:tbl>
    <w:tbl>
      <w:tblPr>
        <w:tblW w:w="5000" w:type="pct"/>
        <w:jc w:val="left"/>
        <w:tblInd w:w="0" w:type="dxa"/>
        <w:tblLayout w:type="fixed"/>
        <w:tblCellMar>
          <w:top w:w="0" w:type="dxa"/>
          <w:left w:w="0" w:type="dxa"/>
          <w:bottom w:w="0" w:type="dxa"/>
          <w:right w:w="0" w:type="dxa"/>
        </w:tblCellMar>
      </w:tblPr>
      <w:tblGrid>
        <w:gridCol w:w="218"/>
        <w:gridCol w:w="720"/>
        <w:gridCol w:w="9267"/>
      </w:tblGrid>
      <w:tr>
        <w:trPr/>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67" w:type="dxa"/>
            <w:tcBorders/>
            <w:vAlign w:val="center"/>
          </w:tcPr>
          <w:p>
            <w:pPr>
              <w:pStyle w:val="TableContents"/>
              <w:bidi w:val="0"/>
              <w:spacing w:before="0" w:after="283"/>
              <w:jc w:val="left"/>
              <w:rPr>
                <w:sz w:val="18"/>
              </w:rPr>
            </w:pPr>
            <w:r>
              <w:rPr>
                <w:sz w:val="18"/>
              </w:rPr>
              <w:t>Early redemption risk.</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0" w:type="dxa"/>
            <w:tcBorders/>
            <w:vAlign w:val="center"/>
          </w:tcPr>
          <w:p>
            <w:pPr>
              <w:pStyle w:val="TableContents"/>
              <w:bidi w:val="0"/>
              <w:spacing w:before="0" w:after="283"/>
              <w:jc w:val="left"/>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Stock</w:t>
      </w:r>
    </w:p>
    <w:tbl>
      <w:tblPr>
        <w:tblW w:w="5000" w:type="pct"/>
        <w:jc w:val="left"/>
        <w:tblInd w:w="0" w:type="dxa"/>
        <w:tblLayout w:type="fixed"/>
        <w:tblCellMar>
          <w:top w:w="0" w:type="dxa"/>
          <w:left w:w="0" w:type="dxa"/>
          <w:bottom w:w="0" w:type="dxa"/>
          <w:right w:w="0" w:type="dxa"/>
        </w:tblCellMar>
      </w:tblPr>
      <w:tblGrid>
        <w:gridCol w:w="58"/>
        <w:gridCol w:w="194"/>
        <w:gridCol w:w="9953"/>
      </w:tblGrid>
      <w:tr>
        <w:trPr/>
        <w:tc>
          <w:tcPr>
            <w:tcW w:w="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5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Investing in the securities is not equivalent to investing in the underlying stock. </w:t>
            </w:r>
          </w:p>
        </w:tc>
      </w:tr>
    </w:tbl>
    <w:tbl>
      <w:tblPr>
        <w:tblW w:w="5000" w:type="pct"/>
        <w:jc w:val="left"/>
        <w:tblInd w:w="0" w:type="dxa"/>
        <w:tblLayout w:type="fixed"/>
        <w:tblCellMar>
          <w:top w:w="0" w:type="dxa"/>
          <w:left w:w="0" w:type="dxa"/>
          <w:bottom w:w="0" w:type="dxa"/>
          <w:right w:w="0" w:type="dxa"/>
        </w:tblCellMar>
      </w:tblPr>
      <w:tblGrid>
        <w:gridCol w:w="101"/>
        <w:gridCol w:w="336"/>
        <w:gridCol w:w="9768"/>
      </w:tblGrid>
      <w:tr>
        <w:trPr/>
        <w:tc>
          <w:tcPr>
            <w:tcW w:w="10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76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No affiliation with Palantir Technologies Inc. </w:t>
            </w:r>
          </w:p>
        </w:tc>
      </w:tr>
    </w:tbl>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1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may engage in business with or involving Palantir Technologies Inc. without regard to your interests.</w:t>
            </w:r>
          </w:p>
        </w:tc>
      </w:tr>
    </w:tbl>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7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anti-dilution protection for the underlying stock is limited and may be discretionary.</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Tax Considerations</w:t>
      </w:r>
    </w:p>
    <w:p>
      <w:pPr>
        <w:pStyle w:val="TextBody"/>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0134/ea0302213-01_424b2.htm" TargetMode="External"/><Relationship Id="rId3" Type="http://schemas.openxmlformats.org/officeDocument/2006/relationships/hyperlink" Target="http://www.sec.gov/Archives/edgar/data/19617/000121390026090134/ea0302213-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1642</Words>
  <Characters>9089</Characters>
  <CharactersWithSpaces>10616</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