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Dow Jones Industrial Average ® , Russell 2000 ®   Index and S&amp;P 500 ®   Index  Pricing Date:   October 16, 2026  Final Review Date:   October 16, 2030  Maturity Date:   October 21, 2030  Review Dates:   Monthly  Contingent Interest Rate:   At least 8.65%* per annum, paid monthly at a rate of at least 0.72083%*, if applicable  Interest Barrier :   With respect to each Underlying, an amount that represents 75.00% of its Initial Value  Trigger Value :   With respect to each Underlying, an amount that represents 65.00% of its Initial Value  CUSIP:   46661PAP2  Preliminary Pricing Supplement:   http://sp.jpmorgan.com/document/cusip/46661PAP2/doctype/Product_Termsheet/document.pdf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third, fourth, fifth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35.00%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8.65% per annum Contingent Interest Rate)  60.00%   $1,007.2083  40.00%   $1,007.2083  20.00%   $1,007.2083  5.00%   $1,007.2083  0.00%   $1,007.2083  -5.00%   $1,007.2083  -20.00%   $1,007.2083  -25.00%   $1,007.2083  -25.01%   $1,000.0000  -30.00%   $1,000.0000  -35.00%   $1,000.0000  -35.01%   $649.9000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$7.2083 (equivalent to a Contingent Interest Rate of at least 8.65% per annum, payable at a rate of at least 0.72083%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and the Dow Jones Industrial Average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1593</Words>
  <Characters>8305</Characters>
  <CharactersWithSpaces>10104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