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tabs>
          <w:tab w:leader="none" w:pos="4800" w:val="left"/>
        </w:tabs>
        <w:rPr>
          <w:sz w:val="20"/>
          <w:szCs w:val="20"/>
          <w:color w:val="auto"/>
        </w:rPr>
      </w:pPr>
      <w:r>
        <w:rPr>
          <w:rFonts w:ascii="Arial" w:cs="Arial" w:eastAsia="Arial" w:hAnsi="Arial"/>
          <w:sz w:val="14"/>
          <w:szCs w:val="14"/>
          <w:color w:val="595959"/>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May 15, 2026</w:t>
      </w:r>
      <w:r>
        <w:rPr>
          <w:sz w:val="20"/>
          <w:szCs w:val="20"/>
          <w:color w:val="auto"/>
        </w:rPr>
        <w:tab/>
      </w:r>
      <w:r>
        <w:rPr>
          <w:rFonts w:ascii="Arial" w:cs="Arial" w:eastAsia="Arial" w:hAnsi="Arial"/>
          <w:sz w:val="14"/>
          <w:szCs w:val="14"/>
          <w:color w:val="595959"/>
        </w:rPr>
        <w:t>Registration Statement Nos. 333-293684 and 333-293684-01; Rule 424(b)(2)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5"/>
          <w:szCs w:val="25"/>
          <w:color w:val="595959"/>
        </w:rPr>
        <w:t>JPMorgan Chase Financial Company LLC</w:t>
      </w:r>
    </w:p>
    <w:p>
      <w:pPr>
        <w:spacing w:after="0" w:line="34" w:lineRule="exact"/>
        <w:rPr>
          <w:sz w:val="24"/>
          <w:szCs w:val="24"/>
          <w:color w:val="auto"/>
        </w:rPr>
      </w:pPr>
    </w:p>
    <w:p>
      <w:pPr>
        <w:spacing w:after="0"/>
        <w:rPr>
          <w:sz w:val="20"/>
          <w:szCs w:val="20"/>
          <w:color w:val="auto"/>
        </w:rPr>
      </w:pPr>
      <w:r>
        <w:rPr>
          <w:rFonts w:ascii="Arial" w:cs="Arial" w:eastAsia="Arial" w:hAnsi="Arial"/>
          <w:sz w:val="25"/>
          <w:szCs w:val="25"/>
          <w:color w:val="595959"/>
        </w:rPr>
        <w:t>Structured Investments</w:t>
      </w:r>
    </w:p>
    <w:p>
      <w:pPr>
        <w:spacing w:after="0" w:line="28" w:lineRule="exact"/>
        <w:rPr>
          <w:sz w:val="24"/>
          <w:szCs w:val="24"/>
          <w:color w:val="auto"/>
        </w:rPr>
      </w:pPr>
    </w:p>
    <w:p>
      <w:pPr>
        <w:spacing w:after="0"/>
        <w:rPr>
          <w:sz w:val="20"/>
          <w:szCs w:val="20"/>
          <w:color w:val="auto"/>
        </w:rPr>
      </w:pPr>
      <w:r>
        <w:rPr>
          <w:rFonts w:ascii="Arial" w:cs="Arial" w:eastAsia="Arial" w:hAnsi="Arial"/>
          <w:sz w:val="40"/>
          <w:szCs w:val="40"/>
          <w:color w:val="54301A"/>
        </w:rPr>
        <w:t>$1,219,000</w:t>
      </w:r>
    </w:p>
    <w:p>
      <w:pPr>
        <w:spacing w:after="0" w:line="67" w:lineRule="exact"/>
        <w:rPr>
          <w:sz w:val="24"/>
          <w:szCs w:val="24"/>
          <w:color w:val="auto"/>
        </w:rPr>
      </w:pPr>
    </w:p>
    <w:p>
      <w:pPr>
        <w:ind w:right="660"/>
        <w:spacing w:after="0" w:line="263" w:lineRule="auto"/>
        <w:rPr>
          <w:sz w:val="20"/>
          <w:szCs w:val="20"/>
          <w:color w:val="auto"/>
        </w:rPr>
      </w:pPr>
      <w:r>
        <w:rPr>
          <w:rFonts w:ascii="Arial" w:cs="Arial" w:eastAsia="Arial" w:hAnsi="Arial"/>
          <w:sz w:val="32"/>
          <w:szCs w:val="32"/>
          <w:color w:val="54301A"/>
        </w:rPr>
        <w:t>Auto Callable Contingent Interest Notes Linked to the MerQube US Large-Cap Vol Advantage Index due May 20, 2031</w:t>
      </w:r>
    </w:p>
    <w:p>
      <w:pPr>
        <w:spacing w:after="0" w:line="1" w:lineRule="exact"/>
        <w:rPr>
          <w:sz w:val="24"/>
          <w:szCs w:val="24"/>
          <w:color w:val="auto"/>
        </w:rPr>
      </w:pPr>
    </w:p>
    <w:p>
      <w:pPr>
        <w:spacing w:after="0"/>
        <w:rPr>
          <w:sz w:val="20"/>
          <w:szCs w:val="20"/>
          <w:color w:val="auto"/>
        </w:rPr>
      </w:pPr>
      <w:r>
        <w:rPr>
          <w:rFonts w:ascii="Arial" w:cs="Arial" w:eastAsia="Arial" w:hAnsi="Arial"/>
          <w:sz w:val="25"/>
          <w:szCs w:val="25"/>
          <w:color w:val="54301A"/>
        </w:rPr>
        <w:t>Fully and Unconditionally Guaranteed by JPMorgan Chase &amp; Co.</w:t>
      </w:r>
    </w:p>
    <w:p>
      <w:pPr>
        <w:spacing w:after="0" w:line="72" w:lineRule="exact"/>
        <w:rPr>
          <w:sz w:val="24"/>
          <w:szCs w:val="24"/>
          <w:color w:val="auto"/>
        </w:rPr>
      </w:pPr>
    </w:p>
    <w:p>
      <w:pPr>
        <w:ind w:left="640" w:right="240" w:hanging="320"/>
        <w:spacing w:after="0" w:line="253" w:lineRule="auto"/>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are designed for investors who seek a Contingent Interest Payment with respect to each monthly Interest Review Date for which the closing level of the MerQube US Large-Cap Vol Advantage Index, which we refer to as the Index, is greater than or equal to 70.00% of the Initial Value, which we refer to as the Interest Barrier.</w:t>
      </w:r>
    </w:p>
    <w:p>
      <w:pPr>
        <w:spacing w:after="0" w:line="1" w:lineRule="exact"/>
        <w:rPr>
          <w:rFonts w:ascii="Arial" w:cs="Arial" w:eastAsia="Arial" w:hAnsi="Arial"/>
          <w:sz w:val="16"/>
          <w:szCs w:val="16"/>
          <w:color w:val="262626"/>
        </w:rPr>
      </w:pPr>
    </w:p>
    <w:p>
      <w:pPr>
        <w:ind w:left="640" w:right="340" w:hanging="320"/>
        <w:spacing w:after="0" w:line="246" w:lineRule="auto"/>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will be automatically called if the closing level of the Index on any quarterly Autocall Review Date is greater than or equal to the Initial Value.</w:t>
      </w:r>
    </w:p>
    <w:p>
      <w:pPr>
        <w:ind w:left="640" w:hanging="320"/>
        <w:spacing w:after="0"/>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earliest date on which an automatic call may be initiated is May 17, 2027.</w:t>
      </w:r>
    </w:p>
    <w:p>
      <w:pPr>
        <w:spacing w:after="0" w:line="5" w:lineRule="exact"/>
        <w:rPr>
          <w:rFonts w:ascii="Arial" w:cs="Arial" w:eastAsia="Arial" w:hAnsi="Arial"/>
          <w:sz w:val="16"/>
          <w:szCs w:val="16"/>
          <w:color w:val="262626"/>
        </w:rPr>
      </w:pPr>
    </w:p>
    <w:p>
      <w:pPr>
        <w:ind w:left="640" w:right="840" w:hanging="320"/>
        <w:spacing w:after="0" w:line="246" w:lineRule="auto"/>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Investors should be willing to accept the risk of losing a significant portion or all of their principal and the risk that no Contingent Interest Payment may be made with respect to some or all Interest Review Dates.</w:t>
      </w:r>
    </w:p>
    <w:p>
      <w:pPr>
        <w:ind w:left="640" w:right="540" w:hanging="320"/>
        <w:spacing w:after="0" w:line="237" w:lineRule="auto"/>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Investors should also be willing to forgo fixed interest and dividend payments, in exchange for the opportunity to receive Contingent Interest Payments.</w:t>
      </w:r>
    </w:p>
    <w:p>
      <w:pPr>
        <w:spacing w:after="0" w:line="1" w:lineRule="exact"/>
        <w:rPr>
          <w:rFonts w:ascii="Arial" w:cs="Arial" w:eastAsia="Arial" w:hAnsi="Arial"/>
          <w:sz w:val="16"/>
          <w:szCs w:val="16"/>
          <w:color w:val="262626"/>
        </w:rPr>
      </w:pPr>
    </w:p>
    <w:p>
      <w:pPr>
        <w:ind w:left="640" w:right="280" w:hanging="320"/>
        <w:spacing w:after="0" w:line="245" w:lineRule="auto"/>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b w:val="1"/>
          <w:bCs w:val="1"/>
          <w:color w:val="262626"/>
        </w:rPr>
        <w:t>The Index is subject to a 6.0% per annum daily deduction. This daily deduction will offset any appreciation of the futures contracts included in the Index, will heighten any depreciation of those futures contracts and will generally be a drag on the performance of the Index. The Index will trail the performance of an identical index without a deduction. See “Selected Risk Considerations — Risks Relating to the Notes Generally — The Level of the Index Will Include a 6.0% per Annum Daily Deduction” in this pricing supplement.</w:t>
      </w:r>
    </w:p>
    <w:p>
      <w:pPr>
        <w:spacing w:after="0" w:line="3" w:lineRule="exact"/>
        <w:rPr>
          <w:rFonts w:ascii="Arial" w:cs="Arial" w:eastAsia="Arial" w:hAnsi="Arial"/>
          <w:sz w:val="16"/>
          <w:szCs w:val="16"/>
          <w:color w:val="262626"/>
        </w:rPr>
      </w:pPr>
    </w:p>
    <w:p>
      <w:pPr>
        <w:ind w:left="640" w:right="220" w:hanging="320"/>
        <w:spacing w:after="0" w:line="247" w:lineRule="auto"/>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6"/>
          <w:szCs w:val="16"/>
          <w:b w:val="1"/>
          <w:bCs w:val="1"/>
          <w:color w:val="262626"/>
        </w:rPr>
        <w:t>Any</w:t>
      </w:r>
      <w:r>
        <w:rPr>
          <w:rFonts w:ascii="Arial" w:cs="Arial" w:eastAsia="Arial" w:hAnsi="Arial"/>
          <w:sz w:val="16"/>
          <w:szCs w:val="16"/>
          <w:color w:val="262626"/>
        </w:rPr>
        <w:t xml:space="preserve"> </w:t>
      </w:r>
      <w:r>
        <w:rPr>
          <w:rFonts w:ascii="Arial" w:cs="Arial" w:eastAsia="Arial" w:hAnsi="Arial"/>
          <w:sz w:val="16"/>
          <w:szCs w:val="16"/>
          <w:b w:val="1"/>
          <w:bCs w:val="1"/>
          <w:color w:val="262626"/>
        </w:rPr>
        <w:t>payment on the notes is subject to the credit risk of JPMorgan Financial, as issuer of the notes, and the credit risk of JPMorgan Chase &amp; Co., as guarantor of the notes.</w:t>
      </w:r>
    </w:p>
    <w:p>
      <w:pPr>
        <w:spacing w:after="0" w:line="1" w:lineRule="exact"/>
        <w:rPr>
          <w:rFonts w:ascii="Arial" w:cs="Arial" w:eastAsia="Arial" w:hAnsi="Arial"/>
          <w:sz w:val="16"/>
          <w:szCs w:val="16"/>
          <w:color w:val="262626"/>
        </w:rPr>
      </w:pPr>
    </w:p>
    <w:p>
      <w:pPr>
        <w:ind w:left="640" w:hanging="320"/>
        <w:spacing w:after="0"/>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Minimum denominations of $1,000 and integral multiples thereof</w:t>
      </w:r>
    </w:p>
    <w:p>
      <w:pPr>
        <w:spacing w:after="0" w:line="29" w:lineRule="exact"/>
        <w:rPr>
          <w:rFonts w:ascii="Arial" w:cs="Arial" w:eastAsia="Arial" w:hAnsi="Arial"/>
          <w:sz w:val="16"/>
          <w:szCs w:val="16"/>
          <w:color w:val="262626"/>
        </w:rPr>
      </w:pPr>
    </w:p>
    <w:p>
      <w:pPr>
        <w:ind w:left="640" w:hanging="320"/>
        <w:spacing w:after="0"/>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priced on May 15, 2026 and are expected to settle on or about May 20, 2026.</w:t>
      </w:r>
    </w:p>
    <w:p>
      <w:pPr>
        <w:spacing w:after="0" w:line="7" w:lineRule="exact"/>
        <w:rPr>
          <w:rFonts w:ascii="Arial" w:cs="Arial" w:eastAsia="Arial" w:hAnsi="Arial"/>
          <w:sz w:val="16"/>
          <w:szCs w:val="16"/>
          <w:color w:val="262626"/>
        </w:rPr>
      </w:pPr>
    </w:p>
    <w:p>
      <w:pPr>
        <w:ind w:left="640" w:hanging="320"/>
        <w:spacing w:after="0"/>
        <w:tabs>
          <w:tab w:leader="none" w:pos="6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CUSIP: 46661A4K3</w:t>
      </w:r>
    </w:p>
    <w:p>
      <w:pPr>
        <w:spacing w:after="0" w:line="57" w:lineRule="exact"/>
        <w:rPr>
          <w:sz w:val="24"/>
          <w:szCs w:val="24"/>
          <w:color w:val="auto"/>
        </w:rPr>
      </w:pPr>
    </w:p>
    <w:p>
      <w:pPr>
        <w:jc w:val="both"/>
        <w:ind w:left="100" w:right="760"/>
        <w:spacing w:after="0" w:line="259" w:lineRule="auto"/>
        <w:rPr>
          <w:sz w:val="20"/>
          <w:szCs w:val="20"/>
          <w:color w:val="auto"/>
        </w:rPr>
      </w:pPr>
      <w:r>
        <w:rPr>
          <w:rFonts w:ascii="Arial" w:cs="Arial" w:eastAsia="Arial" w:hAnsi="Arial"/>
          <w:sz w:val="16"/>
          <w:szCs w:val="16"/>
          <w:b w:val="1"/>
          <w:bCs w:val="1"/>
          <w:color w:val="auto"/>
        </w:rPr>
        <w:t>Investing in the notes involves a number of risks. See “Risk Factors” beginning on page S-2 of the accompanying prospectus supplement, “Risk Factors” beginning on page PS-12 of the accompanying product supplement, “Risk Factors” beginning on page US-4 of the accompanying underlying supplement and “Selected Risk Considerations” beginning on page PS-9 of this pricing supplement.</w:t>
      </w:r>
    </w:p>
    <w:p>
      <w:pPr>
        <w:spacing w:after="0" w:line="2" w:lineRule="exact"/>
        <w:rPr>
          <w:sz w:val="24"/>
          <w:szCs w:val="24"/>
          <w:color w:val="auto"/>
        </w:rPr>
      </w:pPr>
    </w:p>
    <w:p>
      <w:pPr>
        <w:ind w:left="100" w:right="280"/>
        <w:spacing w:after="0" w:line="266"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and prospectus. Any representation to the contrary is a criminal offense.</w:t>
      </w:r>
    </w:p>
    <w:p>
      <w:pPr>
        <w:spacing w:after="0" w:line="10" w:lineRule="exact"/>
        <w:rPr>
          <w:sz w:val="24"/>
          <w:szCs w:val="24"/>
          <w:color w:val="auto"/>
        </w:rPr>
      </w:pPr>
    </w:p>
    <w:tbl>
      <w:tblPr>
        <w:tblLayout w:type="fixed"/>
        <w:tblInd w:w="620" w:type="dxa"/>
        <w:tblCellMar>
          <w:top w:w="0" w:type="dxa"/>
          <w:left w:w="0" w:type="dxa"/>
          <w:bottom w:w="0" w:type="dxa"/>
          <w:right w:w="0" w:type="dxa"/>
        </w:tblCellMar>
      </w:tblPr>
      <w:tr>
        <w:trPr>
          <w:trHeight w:val="230"/>
        </w:trPr>
        <w:tc>
          <w:tcPr>
            <w:tcW w:w="1060" w:type="dxa"/>
            <w:vAlign w:val="bottom"/>
            <w:shd w:val="clear" w:color="auto" w:fill="BFBFBF"/>
          </w:tcPr>
          <w:p>
            <w:pPr>
              <w:spacing w:after="0"/>
              <w:rPr>
                <w:sz w:val="19"/>
                <w:szCs w:val="19"/>
                <w:color w:val="auto"/>
              </w:rPr>
            </w:pPr>
          </w:p>
        </w:tc>
        <w:tc>
          <w:tcPr>
            <w:tcW w:w="2400" w:type="dxa"/>
            <w:vAlign w:val="bottom"/>
            <w:shd w:val="clear" w:color="auto" w:fill="BFBFBF"/>
          </w:tcPr>
          <w:p>
            <w:pPr>
              <w:ind w:left="360"/>
              <w:spacing w:after="0"/>
              <w:rPr>
                <w:sz w:val="20"/>
                <w:szCs w:val="20"/>
                <w:color w:val="auto"/>
              </w:rPr>
            </w:pPr>
            <w:r>
              <w:rPr>
                <w:rFonts w:ascii="Arial" w:cs="Arial" w:eastAsia="Arial" w:hAnsi="Arial"/>
                <w:sz w:val="16"/>
                <w:szCs w:val="16"/>
                <w:color w:val="595959"/>
              </w:rPr>
              <w:t>Price to Public (1)</w:t>
            </w:r>
          </w:p>
        </w:tc>
        <w:tc>
          <w:tcPr>
            <w:tcW w:w="3180" w:type="dxa"/>
            <w:vAlign w:val="bottom"/>
            <w:shd w:val="clear" w:color="auto" w:fill="BFBFBF"/>
          </w:tcPr>
          <w:p>
            <w:pPr>
              <w:ind w:left="740"/>
              <w:spacing w:after="0"/>
              <w:rPr>
                <w:sz w:val="20"/>
                <w:szCs w:val="20"/>
                <w:color w:val="auto"/>
              </w:rPr>
            </w:pPr>
            <w:r>
              <w:rPr>
                <w:rFonts w:ascii="Arial" w:cs="Arial" w:eastAsia="Arial" w:hAnsi="Arial"/>
                <w:sz w:val="16"/>
                <w:szCs w:val="16"/>
                <w:color w:val="595959"/>
              </w:rPr>
              <w:t>Fees and Commissions (2)</w:t>
            </w:r>
          </w:p>
        </w:tc>
        <w:tc>
          <w:tcPr>
            <w:tcW w:w="2260" w:type="dxa"/>
            <w:vAlign w:val="bottom"/>
            <w:shd w:val="clear" w:color="auto" w:fill="BFBFBF"/>
          </w:tcPr>
          <w:p>
            <w:pPr>
              <w:ind w:left="500"/>
              <w:spacing w:after="0"/>
              <w:rPr>
                <w:sz w:val="20"/>
                <w:szCs w:val="20"/>
                <w:color w:val="auto"/>
              </w:rPr>
            </w:pPr>
            <w:r>
              <w:rPr>
                <w:rFonts w:ascii="Arial" w:cs="Arial" w:eastAsia="Arial" w:hAnsi="Arial"/>
                <w:sz w:val="16"/>
                <w:szCs w:val="16"/>
                <w:color w:val="595959"/>
              </w:rPr>
              <w:t>Proceeds to Issuer</w:t>
            </w:r>
          </w:p>
        </w:tc>
      </w:tr>
      <w:tr>
        <w:trPr>
          <w:trHeight w:val="215"/>
        </w:trPr>
        <w:tc>
          <w:tcPr>
            <w:tcW w:w="1060" w:type="dxa"/>
            <w:vAlign w:val="bottom"/>
          </w:tcPr>
          <w:p>
            <w:pPr>
              <w:ind w:left="80"/>
              <w:spacing w:after="0"/>
              <w:rPr>
                <w:sz w:val="20"/>
                <w:szCs w:val="20"/>
                <w:color w:val="auto"/>
              </w:rPr>
            </w:pPr>
            <w:r>
              <w:rPr>
                <w:rFonts w:ascii="Arial" w:cs="Arial" w:eastAsia="Arial" w:hAnsi="Arial"/>
                <w:sz w:val="16"/>
                <w:szCs w:val="16"/>
                <w:color w:val="595959"/>
              </w:rPr>
              <w:t>Per note</w:t>
            </w:r>
          </w:p>
        </w:tc>
        <w:tc>
          <w:tcPr>
            <w:tcW w:w="2400" w:type="dxa"/>
            <w:vAlign w:val="bottom"/>
          </w:tcPr>
          <w:p>
            <w:pPr>
              <w:ind w:left="360"/>
              <w:spacing w:after="0"/>
              <w:rPr>
                <w:sz w:val="20"/>
                <w:szCs w:val="20"/>
                <w:color w:val="auto"/>
              </w:rPr>
            </w:pPr>
            <w:r>
              <w:rPr>
                <w:rFonts w:ascii="Arial" w:cs="Arial" w:eastAsia="Arial" w:hAnsi="Arial"/>
                <w:sz w:val="16"/>
                <w:szCs w:val="16"/>
                <w:color w:val="595959"/>
              </w:rPr>
              <w:t>$1,000</w:t>
            </w:r>
          </w:p>
        </w:tc>
        <w:tc>
          <w:tcPr>
            <w:tcW w:w="3180" w:type="dxa"/>
            <w:vAlign w:val="bottom"/>
          </w:tcPr>
          <w:p>
            <w:pPr>
              <w:ind w:left="740"/>
              <w:spacing w:after="0"/>
              <w:rPr>
                <w:sz w:val="20"/>
                <w:szCs w:val="20"/>
                <w:color w:val="auto"/>
              </w:rPr>
            </w:pPr>
            <w:r>
              <w:rPr>
                <w:rFonts w:ascii="Arial" w:cs="Arial" w:eastAsia="Arial" w:hAnsi="Arial"/>
                <w:sz w:val="16"/>
                <w:szCs w:val="16"/>
                <w:color w:val="595959"/>
              </w:rPr>
              <w:t>$7.50</w:t>
            </w:r>
          </w:p>
        </w:tc>
        <w:tc>
          <w:tcPr>
            <w:tcW w:w="2260" w:type="dxa"/>
            <w:vAlign w:val="bottom"/>
          </w:tcPr>
          <w:p>
            <w:pPr>
              <w:ind w:left="500"/>
              <w:spacing w:after="0"/>
              <w:rPr>
                <w:sz w:val="20"/>
                <w:szCs w:val="20"/>
                <w:color w:val="auto"/>
              </w:rPr>
            </w:pPr>
            <w:r>
              <w:rPr>
                <w:rFonts w:ascii="Arial" w:cs="Arial" w:eastAsia="Arial" w:hAnsi="Arial"/>
                <w:sz w:val="16"/>
                <w:szCs w:val="16"/>
                <w:color w:val="595959"/>
              </w:rPr>
              <w:t>$992.50</w:t>
            </w:r>
          </w:p>
        </w:tc>
      </w:tr>
      <w:tr>
        <w:trPr>
          <w:trHeight w:val="229"/>
        </w:trPr>
        <w:tc>
          <w:tcPr>
            <w:tcW w:w="1060" w:type="dxa"/>
            <w:vAlign w:val="bottom"/>
          </w:tcPr>
          <w:p>
            <w:pPr>
              <w:ind w:left="80"/>
              <w:spacing w:after="0"/>
              <w:rPr>
                <w:sz w:val="20"/>
                <w:szCs w:val="20"/>
                <w:color w:val="auto"/>
              </w:rPr>
            </w:pPr>
            <w:r>
              <w:rPr>
                <w:rFonts w:ascii="Arial" w:cs="Arial" w:eastAsia="Arial" w:hAnsi="Arial"/>
                <w:sz w:val="16"/>
                <w:szCs w:val="16"/>
                <w:color w:val="595959"/>
              </w:rPr>
              <w:t>Total</w:t>
            </w:r>
          </w:p>
        </w:tc>
        <w:tc>
          <w:tcPr>
            <w:tcW w:w="2400" w:type="dxa"/>
            <w:vAlign w:val="bottom"/>
          </w:tcPr>
          <w:p>
            <w:pPr>
              <w:ind w:left="360"/>
              <w:spacing w:after="0"/>
              <w:rPr>
                <w:sz w:val="20"/>
                <w:szCs w:val="20"/>
                <w:color w:val="auto"/>
              </w:rPr>
            </w:pPr>
            <w:r>
              <w:rPr>
                <w:rFonts w:ascii="Arial" w:cs="Arial" w:eastAsia="Arial" w:hAnsi="Arial"/>
                <w:sz w:val="16"/>
                <w:szCs w:val="16"/>
                <w:color w:val="595959"/>
              </w:rPr>
              <w:t>$1,219,000</w:t>
            </w:r>
          </w:p>
        </w:tc>
        <w:tc>
          <w:tcPr>
            <w:tcW w:w="3180" w:type="dxa"/>
            <w:vAlign w:val="bottom"/>
          </w:tcPr>
          <w:p>
            <w:pPr>
              <w:ind w:left="740"/>
              <w:spacing w:after="0"/>
              <w:rPr>
                <w:sz w:val="20"/>
                <w:szCs w:val="20"/>
                <w:color w:val="auto"/>
              </w:rPr>
            </w:pPr>
            <w:r>
              <w:rPr>
                <w:rFonts w:ascii="Arial" w:cs="Arial" w:eastAsia="Arial" w:hAnsi="Arial"/>
                <w:sz w:val="16"/>
                <w:szCs w:val="16"/>
                <w:color w:val="595959"/>
              </w:rPr>
              <w:t>$9,142.50</w:t>
            </w:r>
          </w:p>
        </w:tc>
        <w:tc>
          <w:tcPr>
            <w:tcW w:w="2260" w:type="dxa"/>
            <w:vAlign w:val="bottom"/>
          </w:tcPr>
          <w:p>
            <w:pPr>
              <w:ind w:left="500"/>
              <w:spacing w:after="0"/>
              <w:rPr>
                <w:sz w:val="20"/>
                <w:szCs w:val="20"/>
                <w:color w:val="auto"/>
              </w:rPr>
            </w:pPr>
            <w:r>
              <w:rPr>
                <w:rFonts w:ascii="Arial" w:cs="Arial" w:eastAsia="Arial" w:hAnsi="Arial"/>
                <w:sz w:val="16"/>
                <w:szCs w:val="16"/>
                <w:color w:val="595959"/>
              </w:rPr>
              <w:t>$1,209,857.50</w:t>
            </w:r>
          </w:p>
        </w:tc>
      </w:tr>
    </w:tbl>
    <w:p>
      <w:pPr>
        <w:spacing w:after="0" w:line="20" w:lineRule="exact"/>
        <w:rPr>
          <w:sz w:val="24"/>
          <w:szCs w:val="24"/>
          <w:color w:val="auto"/>
        </w:rPr>
      </w:pPr>
    </w:p>
    <w:p>
      <w:pPr>
        <w:ind w:left="840" w:hanging="221"/>
        <w:spacing w:after="0"/>
        <w:tabs>
          <w:tab w:leader="none" w:pos="840"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See “Supplemental Use of Proceeds” in this pricing supplement for information about the components of the price to public of the notes.</w:t>
      </w:r>
    </w:p>
    <w:p>
      <w:pPr>
        <w:spacing w:after="0" w:line="15" w:lineRule="exact"/>
        <w:rPr>
          <w:rFonts w:ascii="Arial" w:cs="Arial" w:eastAsia="Arial" w:hAnsi="Arial"/>
          <w:sz w:val="14"/>
          <w:szCs w:val="14"/>
          <w:color w:val="404040"/>
        </w:rPr>
      </w:pPr>
    </w:p>
    <w:p>
      <w:pPr>
        <w:jc w:val="both"/>
        <w:ind w:left="620" w:right="260" w:hanging="1"/>
        <w:spacing w:after="0" w:line="248" w:lineRule="auto"/>
        <w:tabs>
          <w:tab w:leader="none" w:pos="841"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J.P. Morgan Securities LLC, which we refer to as JPMS, acting as agent for JPMorgan Financial, will pay all of the selling commissions of $7.50 per $1,000 principal amount note it receives from us to other affiliated or unaffiliated dealers. See “Plan of Distribution (Conflicts of Interest)” in the accompanying product supplement.</w:t>
      </w:r>
    </w:p>
    <w:p>
      <w:pPr>
        <w:spacing w:after="0" w:line="1" w:lineRule="exact"/>
        <w:rPr>
          <w:sz w:val="24"/>
          <w:szCs w:val="24"/>
          <w:color w:val="auto"/>
        </w:rPr>
      </w:pPr>
    </w:p>
    <w:p>
      <w:pPr>
        <w:ind w:left="100" w:right="200"/>
        <w:spacing w:after="0" w:line="279" w:lineRule="auto"/>
        <w:rPr>
          <w:sz w:val="20"/>
          <w:szCs w:val="20"/>
          <w:color w:val="auto"/>
        </w:rPr>
      </w:pPr>
      <w:r>
        <w:rPr>
          <w:rFonts w:ascii="Arial" w:cs="Arial" w:eastAsia="Arial" w:hAnsi="Arial"/>
          <w:sz w:val="16"/>
          <w:szCs w:val="16"/>
          <w:b w:val="1"/>
          <w:bCs w:val="1"/>
          <w:color w:val="auto"/>
        </w:rPr>
        <w:t>The estimated value of the notes, when the terms of the notes were set, was $927.90 per $1,000 principal amount note. See “The Estimated Value of the Notes” in this pricing supplement for additional information.</w:t>
      </w:r>
    </w:p>
    <w:p>
      <w:pPr>
        <w:ind w:left="100" w:right="200"/>
        <w:spacing w:after="0" w:line="319" w:lineRule="auto"/>
        <w:rPr>
          <w:sz w:val="20"/>
          <w:szCs w:val="20"/>
          <w:color w:val="auto"/>
        </w:rPr>
      </w:pPr>
      <w:r>
        <w:rPr>
          <w:rFonts w:ascii="Arial" w:cs="Arial" w:eastAsia="Arial" w:hAnsi="Arial"/>
          <w:sz w:val="16"/>
          <w:szCs w:val="16"/>
          <w:i w:val="1"/>
          <w:iCs w:val="1"/>
          <w:color w:val="auto"/>
        </w:rPr>
        <w:t>The notes are not bank deposits, are not insured by the Federal Deposit Insurance Corporation or any other governmental agency and are not obligations of, or guaranteed by, a bank.</w:t>
      </w:r>
    </w:p>
    <w:p>
      <w:pPr>
        <w:sectPr>
          <w:pgSz w:w="11900" w:h="16838" w:orient="portrait"/>
          <w:cols w:equalWidth="0" w:num="1">
            <w:col w:w="9740"/>
          </w:cols>
          <w:pgMar w:left="1280" w:top="792" w:right="8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right="680"/>
        <w:spacing w:after="0" w:line="285" w:lineRule="auto"/>
        <w:rPr>
          <w:sz w:val="20"/>
          <w:szCs w:val="20"/>
          <w:color w:val="auto"/>
        </w:rPr>
      </w:pPr>
      <w:r>
        <w:rPr>
          <w:rFonts w:ascii="Arial" w:cs="Arial" w:eastAsia="Arial" w:hAnsi="Arial"/>
          <w:sz w:val="14"/>
          <w:szCs w:val="14"/>
          <w:color w:val="6D6E71"/>
        </w:rPr>
        <w:t>Pricing supplement to product supplement no. 3-I dated April 17, 2026, underlying supplement no. 5-I dated April 17, 2026, the prospectus and prospectus supplement, each dated April 17, 2026</w:t>
      </w:r>
    </w:p>
    <w:p>
      <w:pPr>
        <w:sectPr>
          <w:pgSz w:w="11900" w:h="16838" w:orient="portrait"/>
          <w:cols w:equalWidth="0" w:num="1">
            <w:col w:w="9740"/>
          </w:cols>
          <w:pgMar w:left="1280" w:top="792" w:right="8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Key Terms</w:t>
      </w:r>
    </w:p>
    <w:p>
      <w:pPr>
        <w:sectPr>
          <w:pgSz w:w="11900" w:h="16838" w:orient="portrait"/>
          <w:cols w:equalWidth="0" w:num="1">
            <w:col w:w="9780"/>
          </w:cols>
          <w:pgMar w:left="1080" w:top="1039" w:right="1039" w:bottom="1440" w:gutter="0" w:footer="0" w:header="0"/>
        </w:sectPr>
      </w:pPr>
    </w:p>
    <w:p>
      <w:pPr>
        <w:spacing w:after="0" w:line="93" w:lineRule="exact"/>
        <w:rPr>
          <w:sz w:val="20"/>
          <w:szCs w:val="20"/>
          <w:color w:val="auto"/>
        </w:rPr>
      </w:pPr>
    </w:p>
    <w:p>
      <w:pPr>
        <w:jc w:val="both"/>
        <w:ind w:left="220" w:right="220"/>
        <w:spacing w:after="0" w:line="268"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 direct,</w:t>
      </w:r>
      <w:r>
        <w:rPr>
          <w:rFonts w:ascii="Arial" w:cs="Arial" w:eastAsia="Arial" w:hAnsi="Arial"/>
          <w:sz w:val="16"/>
          <w:szCs w:val="16"/>
          <w:b w:val="1"/>
          <w:bCs w:val="1"/>
          <w:color w:val="54301A"/>
        </w:rPr>
        <w:t xml:space="preserve"> </w:t>
      </w:r>
      <w:r>
        <w:rPr>
          <w:rFonts w:ascii="Arial" w:cs="Arial" w:eastAsia="Arial" w:hAnsi="Arial"/>
          <w:sz w:val="16"/>
          <w:szCs w:val="16"/>
          <w:color w:val="000000"/>
        </w:rPr>
        <w:t>wholly owned finance subsidiary of JPMorgan Chase &amp; Co.</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Guarantor: </w:t>
      </w:r>
      <w:r>
        <w:rPr>
          <w:rFonts w:ascii="Arial" w:cs="Arial" w:eastAsia="Arial" w:hAnsi="Arial"/>
          <w:sz w:val="16"/>
          <w:szCs w:val="16"/>
          <w:color w:val="000000"/>
        </w:rPr>
        <w:t>JPMorgan Chase &amp; Co.</w:t>
      </w:r>
    </w:p>
    <w:p>
      <w:pPr>
        <w:spacing w:after="0" w:line="73" w:lineRule="exact"/>
        <w:rPr>
          <w:sz w:val="20"/>
          <w:szCs w:val="20"/>
          <w:color w:val="auto"/>
        </w:rPr>
      </w:pPr>
    </w:p>
    <w:p>
      <w:pPr>
        <w:ind w:left="220" w:right="60"/>
        <w:spacing w:after="0" w:line="266" w:lineRule="auto"/>
        <w:rPr>
          <w:sz w:val="20"/>
          <w:szCs w:val="20"/>
          <w:color w:val="auto"/>
        </w:rPr>
      </w:pPr>
      <w:r>
        <w:rPr>
          <w:rFonts w:ascii="Arial" w:cs="Arial" w:eastAsia="Arial" w:hAnsi="Arial"/>
          <w:sz w:val="16"/>
          <w:szCs w:val="16"/>
          <w:b w:val="1"/>
          <w:bCs w:val="1"/>
          <w:color w:val="54301A"/>
        </w:rPr>
        <w:t xml:space="preserve">Index: </w:t>
      </w:r>
      <w:r>
        <w:rPr>
          <w:rFonts w:ascii="Arial" w:cs="Arial" w:eastAsia="Arial" w:hAnsi="Arial"/>
          <w:sz w:val="16"/>
          <w:szCs w:val="16"/>
          <w:color w:val="000000"/>
        </w:rPr>
        <w:t>The MerQube US Large-Cap Vol Advantage Index</w:t>
      </w:r>
      <w:r>
        <w:rPr>
          <w:rFonts w:ascii="Arial" w:cs="Arial" w:eastAsia="Arial" w:hAnsi="Arial"/>
          <w:sz w:val="16"/>
          <w:szCs w:val="16"/>
          <w:b w:val="1"/>
          <w:bCs w:val="1"/>
          <w:color w:val="54301A"/>
        </w:rPr>
        <w:t xml:space="preserve"> </w:t>
      </w:r>
      <w:r>
        <w:rPr>
          <w:rFonts w:ascii="Arial" w:cs="Arial" w:eastAsia="Arial" w:hAnsi="Arial"/>
          <w:sz w:val="16"/>
          <w:szCs w:val="16"/>
          <w:color w:val="000000"/>
        </w:rPr>
        <w:t>(Bloomberg ticker: MQUSLVA). The level of the Index reflects a deduction of 6.0% per annum that accrues daily.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Contingent Interest Payments:</w:t>
      </w:r>
    </w:p>
    <w:p>
      <w:pPr>
        <w:spacing w:after="0" w:line="59" w:lineRule="exact"/>
        <w:rPr>
          <w:sz w:val="20"/>
          <w:szCs w:val="20"/>
          <w:color w:val="auto"/>
        </w:rPr>
      </w:pPr>
    </w:p>
    <w:p>
      <w:pPr>
        <w:ind w:left="220" w:right="20"/>
        <w:spacing w:after="0" w:line="239" w:lineRule="auto"/>
        <w:rPr>
          <w:sz w:val="20"/>
          <w:szCs w:val="20"/>
          <w:color w:val="auto"/>
        </w:rPr>
      </w:pPr>
      <w:r>
        <w:rPr>
          <w:rFonts w:ascii="Arial" w:cs="Arial" w:eastAsia="Arial" w:hAnsi="Arial"/>
          <w:sz w:val="16"/>
          <w:szCs w:val="16"/>
          <w:color w:val="auto"/>
        </w:rPr>
        <w:t>If the notes have not been automatically called and the closing level of the Index on any Interest Review Date is greater than</w:t>
      </w:r>
    </w:p>
    <w:p>
      <w:pPr>
        <w:spacing w:after="0" w:line="1" w:lineRule="exact"/>
        <w:rPr>
          <w:sz w:val="20"/>
          <w:szCs w:val="20"/>
          <w:color w:val="auto"/>
        </w:rPr>
      </w:pPr>
    </w:p>
    <w:p>
      <w:pPr>
        <w:ind w:left="220" w:right="280"/>
        <w:spacing w:after="0" w:line="220" w:lineRule="auto"/>
        <w:rPr>
          <w:sz w:val="20"/>
          <w:szCs w:val="20"/>
          <w:color w:val="auto"/>
        </w:rPr>
      </w:pPr>
      <w:r>
        <w:rPr>
          <w:rFonts w:ascii="Arial" w:cs="Arial" w:eastAsia="Arial" w:hAnsi="Arial"/>
          <w:sz w:val="16"/>
          <w:szCs w:val="16"/>
          <w:color w:val="auto"/>
        </w:rPr>
        <w:t>or equal to the Interest Barrier, you will receive on the applicable Interest Payment Date for each $1,000 principal</w:t>
      </w:r>
    </w:p>
    <w:p>
      <w:pPr>
        <w:ind w:left="220"/>
        <w:spacing w:after="0" w:line="229" w:lineRule="auto"/>
        <w:rPr>
          <w:sz w:val="20"/>
          <w:szCs w:val="20"/>
          <w:color w:val="auto"/>
        </w:rPr>
      </w:pPr>
      <w:r>
        <w:rPr>
          <w:rFonts w:ascii="Arial" w:cs="Arial" w:eastAsia="Arial" w:hAnsi="Arial"/>
          <w:sz w:val="16"/>
          <w:szCs w:val="16"/>
          <w:color w:val="auto"/>
        </w:rPr>
        <w:t>amount note a Contingent Interest Payment equal to $13.875</w:t>
      </w:r>
    </w:p>
    <w:p>
      <w:pPr>
        <w:ind w:left="220" w:right="520"/>
        <w:spacing w:after="0" w:line="235" w:lineRule="auto"/>
        <w:rPr>
          <w:sz w:val="20"/>
          <w:szCs w:val="20"/>
          <w:color w:val="auto"/>
        </w:rPr>
      </w:pPr>
      <w:r>
        <w:rPr>
          <w:rFonts w:ascii="Arial" w:cs="Arial" w:eastAsia="Arial" w:hAnsi="Arial"/>
          <w:sz w:val="16"/>
          <w:szCs w:val="16"/>
          <w:color w:val="auto"/>
        </w:rPr>
        <w:t>(equivalent to a Contingent Interest Rate of 16.65% per annum, payable at a rate of 1.3875% per month).</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If the closing level of the Index on any Interest Review Date is</w:t>
      </w:r>
    </w:p>
    <w:p>
      <w:pPr>
        <w:spacing w:after="0" w:line="6" w:lineRule="exact"/>
        <w:rPr>
          <w:sz w:val="20"/>
          <w:szCs w:val="20"/>
          <w:color w:val="auto"/>
        </w:rPr>
      </w:pPr>
    </w:p>
    <w:p>
      <w:pPr>
        <w:ind w:left="220" w:right="100"/>
        <w:spacing w:after="0" w:line="235" w:lineRule="auto"/>
        <w:rPr>
          <w:sz w:val="20"/>
          <w:szCs w:val="20"/>
          <w:color w:val="auto"/>
        </w:rPr>
      </w:pPr>
      <w:r>
        <w:rPr>
          <w:rFonts w:ascii="Arial" w:cs="Arial" w:eastAsia="Arial" w:hAnsi="Arial"/>
          <w:sz w:val="16"/>
          <w:szCs w:val="16"/>
          <w:i w:val="1"/>
          <w:iCs w:val="1"/>
          <w:color w:val="auto"/>
        </w:rPr>
        <w:t>less than the Interest Barrier, no Contingent Interest Payment will be made with respect to that Interest Review Date.</w:t>
      </w:r>
    </w:p>
    <w:p>
      <w:pPr>
        <w:spacing w:after="0" w:line="29" w:lineRule="exact"/>
        <w:rPr>
          <w:sz w:val="20"/>
          <w:szCs w:val="20"/>
          <w:color w:val="auto"/>
        </w:rPr>
      </w:pPr>
    </w:p>
    <w:p>
      <w:pPr>
        <w:ind w:left="220" w:right="160"/>
        <w:spacing w:after="0" w:line="268" w:lineRule="auto"/>
        <w:rPr>
          <w:sz w:val="20"/>
          <w:szCs w:val="20"/>
          <w:color w:val="auto"/>
        </w:rPr>
      </w:pPr>
      <w:r>
        <w:rPr>
          <w:rFonts w:ascii="Arial" w:cs="Arial" w:eastAsia="Arial" w:hAnsi="Arial"/>
          <w:sz w:val="16"/>
          <w:szCs w:val="16"/>
          <w:b w:val="1"/>
          <w:bCs w:val="1"/>
          <w:color w:val="54301A"/>
        </w:rPr>
        <w:t xml:space="preserve">Contingent Interest Rate: </w:t>
      </w:r>
      <w:r>
        <w:rPr>
          <w:rFonts w:ascii="Arial" w:cs="Arial" w:eastAsia="Arial" w:hAnsi="Arial"/>
          <w:sz w:val="16"/>
          <w:szCs w:val="16"/>
          <w:color w:val="000000"/>
        </w:rPr>
        <w:t>16.65% per annum, payable at a</w:t>
      </w:r>
      <w:r>
        <w:rPr>
          <w:rFonts w:ascii="Arial" w:cs="Arial" w:eastAsia="Arial" w:hAnsi="Arial"/>
          <w:sz w:val="16"/>
          <w:szCs w:val="16"/>
          <w:b w:val="1"/>
          <w:bCs w:val="1"/>
          <w:color w:val="54301A"/>
        </w:rPr>
        <w:t xml:space="preserve"> </w:t>
      </w:r>
      <w:r>
        <w:rPr>
          <w:rFonts w:ascii="Arial" w:cs="Arial" w:eastAsia="Arial" w:hAnsi="Arial"/>
          <w:sz w:val="16"/>
          <w:szCs w:val="16"/>
          <w:color w:val="000000"/>
        </w:rPr>
        <w:t>rate of 1.3875% per month</w:t>
      </w:r>
    </w:p>
    <w:p>
      <w:pPr>
        <w:spacing w:after="0" w:line="21" w:lineRule="exact"/>
        <w:rPr>
          <w:sz w:val="20"/>
          <w:szCs w:val="20"/>
          <w:color w:val="auto"/>
        </w:rPr>
      </w:pPr>
    </w:p>
    <w:p>
      <w:pPr>
        <w:ind w:left="220" w:right="680"/>
        <w:spacing w:after="0" w:line="286" w:lineRule="auto"/>
        <w:rPr>
          <w:sz w:val="20"/>
          <w:szCs w:val="20"/>
          <w:color w:val="auto"/>
        </w:rPr>
      </w:pPr>
      <w:r>
        <w:rPr>
          <w:rFonts w:ascii="Arial" w:cs="Arial" w:eastAsia="Arial" w:hAnsi="Arial"/>
          <w:sz w:val="16"/>
          <w:szCs w:val="16"/>
          <w:b w:val="1"/>
          <w:bCs w:val="1"/>
          <w:color w:val="54301A"/>
        </w:rPr>
        <w:t xml:space="preserve">Interest Barrier: </w:t>
      </w:r>
      <w:r>
        <w:rPr>
          <w:rFonts w:ascii="Arial" w:cs="Arial" w:eastAsia="Arial" w:hAnsi="Arial"/>
          <w:sz w:val="16"/>
          <w:szCs w:val="16"/>
          <w:color w:val="000000"/>
        </w:rPr>
        <w:t>70.00% of the Initial Value, which is</w:t>
      </w:r>
      <w:r>
        <w:rPr>
          <w:rFonts w:ascii="Arial" w:cs="Arial" w:eastAsia="Arial" w:hAnsi="Arial"/>
          <w:sz w:val="16"/>
          <w:szCs w:val="16"/>
          <w:b w:val="1"/>
          <w:bCs w:val="1"/>
          <w:color w:val="54301A"/>
        </w:rPr>
        <w:t xml:space="preserve"> </w:t>
      </w:r>
      <w:r>
        <w:rPr>
          <w:rFonts w:ascii="Arial" w:cs="Arial" w:eastAsia="Arial" w:hAnsi="Arial"/>
          <w:sz w:val="16"/>
          <w:szCs w:val="16"/>
          <w:color w:val="000000"/>
        </w:rPr>
        <w:t>3,035.592</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Trigger Value: </w:t>
      </w:r>
      <w:r>
        <w:rPr>
          <w:rFonts w:ascii="Arial" w:cs="Arial" w:eastAsia="Arial" w:hAnsi="Arial"/>
          <w:sz w:val="16"/>
          <w:szCs w:val="16"/>
          <w:color w:val="000000"/>
        </w:rPr>
        <w:t>50.00% of the Initial Value, which is 2,168.28</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Pricing Date: </w:t>
      </w:r>
      <w:r>
        <w:rPr>
          <w:rFonts w:ascii="Arial" w:cs="Arial" w:eastAsia="Arial" w:hAnsi="Arial"/>
          <w:sz w:val="16"/>
          <w:szCs w:val="16"/>
          <w:color w:val="000000"/>
        </w:rPr>
        <w:t>May 15, 2026</w:t>
      </w:r>
    </w:p>
    <w:p>
      <w:pPr>
        <w:spacing w:after="0" w:line="59" w:lineRule="exact"/>
        <w:rPr>
          <w:sz w:val="20"/>
          <w:szCs w:val="20"/>
          <w:color w:val="auto"/>
        </w:rPr>
      </w:pPr>
    </w:p>
    <w:p>
      <w:pPr>
        <w:ind w:left="220" w:right="60"/>
        <w:spacing w:after="0" w:line="268" w:lineRule="auto"/>
        <w:rPr>
          <w:sz w:val="20"/>
          <w:szCs w:val="20"/>
          <w:color w:val="auto"/>
        </w:rPr>
      </w:pPr>
      <w:r>
        <w:rPr>
          <w:rFonts w:ascii="Arial" w:cs="Arial" w:eastAsia="Arial" w:hAnsi="Arial"/>
          <w:sz w:val="16"/>
          <w:szCs w:val="16"/>
          <w:b w:val="1"/>
          <w:bCs w:val="1"/>
          <w:color w:val="54301A"/>
        </w:rPr>
        <w:t xml:space="preserve">Original Issue Date (Settlement Date): </w:t>
      </w:r>
      <w:r>
        <w:rPr>
          <w:rFonts w:ascii="Arial" w:cs="Arial" w:eastAsia="Arial" w:hAnsi="Arial"/>
          <w:sz w:val="16"/>
          <w:szCs w:val="16"/>
          <w:color w:val="000000"/>
        </w:rPr>
        <w:t>On or about May 20,</w:t>
      </w:r>
      <w:r>
        <w:rPr>
          <w:rFonts w:ascii="Arial" w:cs="Arial" w:eastAsia="Arial" w:hAnsi="Arial"/>
          <w:sz w:val="16"/>
          <w:szCs w:val="16"/>
          <w:b w:val="1"/>
          <w:bCs w:val="1"/>
          <w:color w:val="54301A"/>
        </w:rPr>
        <w:t xml:space="preserve"> </w:t>
      </w:r>
      <w:r>
        <w:rPr>
          <w:rFonts w:ascii="Arial" w:cs="Arial" w:eastAsia="Arial" w:hAnsi="Arial"/>
          <w:sz w:val="16"/>
          <w:szCs w:val="16"/>
          <w:color w:val="000000"/>
        </w:rPr>
        <w:t>2026</w:t>
      </w:r>
    </w:p>
    <w:p>
      <w:pPr>
        <w:spacing w:after="0" w:line="21"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b w:val="1"/>
          <w:bCs w:val="1"/>
          <w:color w:val="54301A"/>
        </w:rPr>
        <w:t xml:space="preserve">Interest Review Dates*: </w:t>
      </w:r>
      <w:r>
        <w:rPr>
          <w:rFonts w:ascii="Arial" w:cs="Arial" w:eastAsia="Arial" w:hAnsi="Arial"/>
          <w:sz w:val="16"/>
          <w:szCs w:val="16"/>
          <w:color w:val="000000"/>
        </w:rPr>
        <w:t>As specified under “Key Terms</w:t>
      </w:r>
      <w:r>
        <w:rPr>
          <w:rFonts w:ascii="Arial" w:cs="Arial" w:eastAsia="Arial" w:hAnsi="Arial"/>
          <w:sz w:val="16"/>
          <w:szCs w:val="16"/>
          <w:b w:val="1"/>
          <w:bCs w:val="1"/>
          <w:color w:val="54301A"/>
        </w:rPr>
        <w:t xml:space="preserve"> </w:t>
      </w:r>
      <w:r>
        <w:rPr>
          <w:rFonts w:ascii="Arial" w:cs="Arial" w:eastAsia="Arial" w:hAnsi="Arial"/>
          <w:sz w:val="16"/>
          <w:szCs w:val="16"/>
          <w:color w:val="000000"/>
        </w:rPr>
        <w:t>Relating to the Interest Review Dates, Autocall Review Dates and Interest Payment Dates” in this pricing supplement</w:t>
      </w:r>
    </w:p>
    <w:p>
      <w:pPr>
        <w:spacing w:after="0" w:line="144" w:lineRule="exact"/>
        <w:rPr>
          <w:sz w:val="20"/>
          <w:szCs w:val="20"/>
          <w:color w:val="auto"/>
        </w:rPr>
      </w:pPr>
    </w:p>
    <w:p>
      <w:pPr>
        <w:ind w:left="220" w:right="100"/>
        <w:spacing w:after="0" w:line="266" w:lineRule="auto"/>
        <w:rPr>
          <w:sz w:val="20"/>
          <w:szCs w:val="20"/>
          <w:color w:val="auto"/>
        </w:rPr>
      </w:pPr>
      <w:r>
        <w:rPr>
          <w:rFonts w:ascii="Arial" w:cs="Arial" w:eastAsia="Arial" w:hAnsi="Arial"/>
          <w:sz w:val="16"/>
          <w:szCs w:val="16"/>
          <w:b w:val="1"/>
          <w:bCs w:val="1"/>
          <w:color w:val="54301A"/>
        </w:rPr>
        <w:t xml:space="preserve">Autocall Review Dates*: </w:t>
      </w:r>
      <w:r>
        <w:rPr>
          <w:rFonts w:ascii="Arial" w:cs="Arial" w:eastAsia="Arial" w:hAnsi="Arial"/>
          <w:sz w:val="16"/>
          <w:szCs w:val="16"/>
          <w:color w:val="000000"/>
        </w:rPr>
        <w:t>As specified under “Key Terms</w:t>
      </w:r>
      <w:r>
        <w:rPr>
          <w:rFonts w:ascii="Arial" w:cs="Arial" w:eastAsia="Arial" w:hAnsi="Arial"/>
          <w:sz w:val="16"/>
          <w:szCs w:val="16"/>
          <w:b w:val="1"/>
          <w:bCs w:val="1"/>
          <w:color w:val="54301A"/>
        </w:rPr>
        <w:t xml:space="preserve"> </w:t>
      </w:r>
      <w:r>
        <w:rPr>
          <w:rFonts w:ascii="Arial" w:cs="Arial" w:eastAsia="Arial" w:hAnsi="Arial"/>
          <w:sz w:val="16"/>
          <w:szCs w:val="16"/>
          <w:color w:val="000000"/>
        </w:rPr>
        <w:t>Relating to the Interest Review Dates, Autocall Review Dates and Interest Payment Dates” in this pricing supplement</w:t>
      </w:r>
    </w:p>
    <w:p>
      <w:pPr>
        <w:spacing w:after="0" w:line="9" w:lineRule="exact"/>
        <w:rPr>
          <w:sz w:val="20"/>
          <w:szCs w:val="20"/>
          <w:color w:val="auto"/>
        </w:rPr>
      </w:pPr>
    </w:p>
    <w:p>
      <w:pPr>
        <w:ind w:left="220" w:right="100"/>
        <w:spacing w:after="0" w:line="248" w:lineRule="auto"/>
        <w:rPr>
          <w:sz w:val="20"/>
          <w:szCs w:val="20"/>
          <w:color w:val="auto"/>
        </w:rPr>
      </w:pPr>
      <w:r>
        <w:rPr>
          <w:rFonts w:ascii="Arial" w:cs="Arial" w:eastAsia="Arial" w:hAnsi="Arial"/>
          <w:sz w:val="16"/>
          <w:szCs w:val="16"/>
          <w:b w:val="1"/>
          <w:bCs w:val="1"/>
          <w:color w:val="54301A"/>
        </w:rPr>
        <w:t xml:space="preserve">Interest Payment Dates*: </w:t>
      </w:r>
      <w:r>
        <w:rPr>
          <w:rFonts w:ascii="Arial" w:cs="Arial" w:eastAsia="Arial" w:hAnsi="Arial"/>
          <w:sz w:val="16"/>
          <w:szCs w:val="16"/>
          <w:color w:val="000000"/>
        </w:rPr>
        <w:t>As specified under “Key Terms</w:t>
      </w:r>
      <w:r>
        <w:rPr>
          <w:rFonts w:ascii="Arial" w:cs="Arial" w:eastAsia="Arial" w:hAnsi="Arial"/>
          <w:sz w:val="16"/>
          <w:szCs w:val="16"/>
          <w:b w:val="1"/>
          <w:bCs w:val="1"/>
          <w:color w:val="54301A"/>
        </w:rPr>
        <w:t xml:space="preserve"> </w:t>
      </w:r>
      <w:r>
        <w:rPr>
          <w:rFonts w:ascii="Arial" w:cs="Arial" w:eastAsia="Arial" w:hAnsi="Arial"/>
          <w:sz w:val="16"/>
          <w:szCs w:val="16"/>
          <w:color w:val="000000"/>
        </w:rPr>
        <w:t>Relating to the Interest Review Dates, Autocall Review Dates and Interest Payment Dates” in this pricing supplement</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54301A"/>
        </w:rPr>
        <w:t xml:space="preserve">Maturity Date*: </w:t>
      </w:r>
      <w:r>
        <w:rPr>
          <w:rFonts w:ascii="Arial" w:cs="Arial" w:eastAsia="Arial" w:hAnsi="Arial"/>
          <w:sz w:val="16"/>
          <w:szCs w:val="16"/>
          <w:color w:val="000000"/>
        </w:rPr>
        <w:t>May 20, 2031</w:t>
      </w:r>
    </w:p>
    <w:p>
      <w:pPr>
        <w:spacing w:after="0" w:line="59" w:lineRule="exact"/>
        <w:rPr>
          <w:sz w:val="20"/>
          <w:szCs w:val="20"/>
          <w:color w:val="auto"/>
        </w:rPr>
      </w:pPr>
    </w:p>
    <w:p>
      <w:pPr>
        <w:ind w:left="220"/>
        <w:spacing w:after="0" w:line="230" w:lineRule="auto"/>
        <w:rPr>
          <w:sz w:val="20"/>
          <w:szCs w:val="20"/>
          <w:color w:val="auto"/>
        </w:rPr>
      </w:pPr>
      <w:r>
        <w:rPr>
          <w:rFonts w:ascii="Arial" w:cs="Arial" w:eastAsia="Arial" w:hAnsi="Arial"/>
          <w:sz w:val="16"/>
          <w:szCs w:val="16"/>
          <w:b w:val="1"/>
          <w:bCs w:val="1"/>
          <w:color w:val="54301A"/>
        </w:rPr>
        <w:t xml:space="preserve">Call Settlement Date*: </w:t>
      </w:r>
      <w:r>
        <w:rPr>
          <w:rFonts w:ascii="Arial" w:cs="Arial" w:eastAsia="Arial" w:hAnsi="Arial"/>
          <w:sz w:val="16"/>
          <w:szCs w:val="16"/>
          <w:color w:val="000000"/>
        </w:rPr>
        <w:t>If the notes are automatically called on</w:t>
      </w:r>
      <w:r>
        <w:rPr>
          <w:rFonts w:ascii="Arial" w:cs="Arial" w:eastAsia="Arial" w:hAnsi="Arial"/>
          <w:sz w:val="16"/>
          <w:szCs w:val="16"/>
          <w:b w:val="1"/>
          <w:bCs w:val="1"/>
          <w:color w:val="54301A"/>
        </w:rPr>
        <w:t xml:space="preserve"> </w:t>
      </w:r>
      <w:r>
        <w:rPr>
          <w:rFonts w:ascii="Arial" w:cs="Arial" w:eastAsia="Arial" w:hAnsi="Arial"/>
          <w:sz w:val="16"/>
          <w:szCs w:val="16"/>
          <w:color w:val="000000"/>
        </w:rPr>
        <w:t>any Autocall Review Date, the first Interest Payment Date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immediately following that Autocall Review Date</w:t>
      </w:r>
    </w:p>
    <w:p>
      <w:pPr>
        <w:spacing w:after="0" w:line="61" w:lineRule="exact"/>
        <w:rPr>
          <w:sz w:val="20"/>
          <w:szCs w:val="20"/>
          <w:color w:val="auto"/>
        </w:rPr>
      </w:pPr>
    </w:p>
    <w:p>
      <w:pPr>
        <w:ind w:left="220" w:hanging="6"/>
        <w:spacing w:after="0" w:line="250" w:lineRule="auto"/>
        <w:tabs>
          <w:tab w:leader="none" w:pos="3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postponement in the event of a market disruption event as described under “Supplemental Terms of the Notes — Postponement of a Determination Date — Notes Linked Solely to an Index” in the accompanying underlying supplement and “General Terms of Notes — Postponement of a Payment Date” in the accompanying product supplement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Automatic Call:</w:t>
      </w:r>
    </w:p>
    <w:p>
      <w:pPr>
        <w:spacing w:after="0" w:line="5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If the closing level of the Index on any Autocall Review Date is greater than or equal to the Initial Value, the notes will be</w:t>
      </w:r>
    </w:p>
    <w:p>
      <w:pPr>
        <w:spacing w:after="0" w:line="1" w:lineRule="exact"/>
        <w:rPr>
          <w:sz w:val="20"/>
          <w:szCs w:val="20"/>
          <w:color w:val="auto"/>
        </w:rPr>
      </w:pPr>
    </w:p>
    <w:p>
      <w:pPr>
        <w:ind w:right="420"/>
        <w:spacing w:after="0" w:line="220" w:lineRule="auto"/>
        <w:rPr>
          <w:sz w:val="20"/>
          <w:szCs w:val="20"/>
          <w:color w:val="auto"/>
        </w:rPr>
      </w:pPr>
      <w:r>
        <w:rPr>
          <w:rFonts w:ascii="Arial" w:cs="Arial" w:eastAsia="Arial" w:hAnsi="Arial"/>
          <w:sz w:val="16"/>
          <w:szCs w:val="16"/>
          <w:color w:val="auto"/>
        </w:rPr>
        <w:t xml:space="preserve">automatically called for a cash payment, for each $1,000 principal amount note, equal to (a) $1,000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w:t>
      </w:r>
    </w:p>
    <w:p>
      <w:pPr>
        <w:spacing w:after="0" w:line="229" w:lineRule="auto"/>
        <w:rPr>
          <w:sz w:val="20"/>
          <w:szCs w:val="20"/>
          <w:color w:val="auto"/>
        </w:rPr>
      </w:pPr>
      <w:r>
        <w:rPr>
          <w:rFonts w:ascii="Arial" w:cs="Arial" w:eastAsia="Arial" w:hAnsi="Arial"/>
          <w:sz w:val="16"/>
          <w:szCs w:val="16"/>
          <w:color w:val="auto"/>
        </w:rPr>
        <w:t>Contingent Interest Payment applicable to the Interest Review</w:t>
      </w:r>
    </w:p>
    <w:p>
      <w:pPr>
        <w:ind w:right="80"/>
        <w:spacing w:after="0" w:line="220" w:lineRule="auto"/>
        <w:rPr>
          <w:sz w:val="20"/>
          <w:szCs w:val="20"/>
          <w:color w:val="auto"/>
        </w:rPr>
      </w:pPr>
      <w:r>
        <w:rPr>
          <w:rFonts w:ascii="Arial" w:cs="Arial" w:eastAsia="Arial" w:hAnsi="Arial"/>
          <w:sz w:val="16"/>
          <w:szCs w:val="16"/>
          <w:color w:val="auto"/>
        </w:rPr>
        <w:t>Date corresponding to that Autocall Review Date, payable on the applicable Call Settlement Date. No further payments will</w:t>
      </w:r>
    </w:p>
    <w:p>
      <w:pPr>
        <w:spacing w:after="0"/>
        <w:rPr>
          <w:sz w:val="20"/>
          <w:szCs w:val="20"/>
          <w:color w:val="auto"/>
        </w:rPr>
      </w:pPr>
      <w:r>
        <w:rPr>
          <w:rFonts w:ascii="Arial" w:cs="Arial" w:eastAsia="Arial" w:hAnsi="Arial"/>
          <w:sz w:val="16"/>
          <w:szCs w:val="16"/>
          <w:color w:val="auto"/>
        </w:rPr>
        <w:t>be made on the notes.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 at Maturity: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If the notes have not been automatically called and the Final</w:t>
      </w:r>
    </w:p>
    <w:p>
      <w:pPr>
        <w:spacing w:after="0" w:line="8" w:lineRule="exact"/>
        <w:rPr>
          <w:sz w:val="20"/>
          <w:szCs w:val="20"/>
          <w:color w:val="auto"/>
        </w:rPr>
      </w:pPr>
    </w:p>
    <w:p>
      <w:pPr>
        <w:ind w:right="100"/>
        <w:spacing w:after="0" w:line="220" w:lineRule="auto"/>
        <w:rPr>
          <w:sz w:val="20"/>
          <w:szCs w:val="20"/>
          <w:color w:val="auto"/>
        </w:rPr>
      </w:pPr>
      <w:r>
        <w:rPr>
          <w:rFonts w:ascii="Arial" w:cs="Arial" w:eastAsia="Arial" w:hAnsi="Arial"/>
          <w:sz w:val="16"/>
          <w:szCs w:val="16"/>
          <w:color w:val="auto"/>
        </w:rPr>
        <w:t>Value is greater than or equal to the Trigger Value, you will receive a cash payment at maturity, for each $1,000 principal</w:t>
      </w:r>
    </w:p>
    <w:p>
      <w:pPr>
        <w:ind w:right="160"/>
        <w:spacing w:after="0" w:line="235" w:lineRule="auto"/>
        <w:rPr>
          <w:sz w:val="20"/>
          <w:szCs w:val="20"/>
          <w:color w:val="auto"/>
        </w:rPr>
      </w:pPr>
      <w:r>
        <w:rPr>
          <w:rFonts w:ascii="Arial" w:cs="Arial" w:eastAsia="Arial" w:hAnsi="Arial"/>
          <w:sz w:val="16"/>
          <w:szCs w:val="16"/>
          <w:color w:val="auto"/>
        </w:rPr>
        <w:t xml:space="preserve">amount note, equal to (a) $1,000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Contingent Interest Payment, if any, applicable to the final Review Date.</w:t>
      </w:r>
    </w:p>
    <w:p>
      <w:pPr>
        <w:spacing w:after="0" w:line="2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If the notes have not been automatically called and the Final Value is less than the Trigger Value, your payment at maturity per $1,000 principal amount note will be calculated as follows:</w:t>
      </w:r>
    </w:p>
    <w:p>
      <w:pPr>
        <w:spacing w:after="0" w:line="24"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$1,000 + ($1,000 × Index Return)</w:t>
      </w:r>
    </w:p>
    <w:p>
      <w:pPr>
        <w:spacing w:after="0" w:line="61" w:lineRule="exact"/>
        <w:rPr>
          <w:sz w:val="20"/>
          <w:szCs w:val="20"/>
          <w:color w:val="auto"/>
        </w:rPr>
      </w:pPr>
    </w:p>
    <w:p>
      <w:pPr>
        <w:ind w:right="140"/>
        <w:spacing w:after="0" w:line="229" w:lineRule="auto"/>
        <w:rPr>
          <w:sz w:val="20"/>
          <w:szCs w:val="20"/>
          <w:color w:val="auto"/>
        </w:rPr>
      </w:pPr>
      <w:r>
        <w:rPr>
          <w:rFonts w:ascii="Arial" w:cs="Arial" w:eastAsia="Arial" w:hAnsi="Arial"/>
          <w:sz w:val="16"/>
          <w:szCs w:val="16"/>
          <w:i w:val="1"/>
          <w:iCs w:val="1"/>
          <w:color w:val="auto"/>
        </w:rPr>
        <w:t>If the notes have not been automatically called and the Final Value is less than the Trigger Value, you will lose more than</w:t>
      </w:r>
    </w:p>
    <w:p>
      <w:pPr>
        <w:ind w:right="40"/>
        <w:spacing w:after="0" w:line="248" w:lineRule="auto"/>
        <w:rPr>
          <w:sz w:val="20"/>
          <w:szCs w:val="20"/>
          <w:color w:val="auto"/>
        </w:rPr>
      </w:pPr>
      <w:r>
        <w:rPr>
          <w:rFonts w:ascii="Arial" w:cs="Arial" w:eastAsia="Arial" w:hAnsi="Arial"/>
          <w:sz w:val="16"/>
          <w:szCs w:val="16"/>
          <w:i w:val="1"/>
          <w:iCs w:val="1"/>
          <w:color w:val="auto"/>
        </w:rPr>
        <w:t>50.00% of your principal amount at maturity and could lose all of your principal amount at maturity.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Index Return:</w:t>
      </w:r>
    </w:p>
    <w:p>
      <w:pPr>
        <w:spacing w:after="0" w:line="53" w:lineRule="exact"/>
        <w:rPr>
          <w:sz w:val="20"/>
          <w:szCs w:val="20"/>
          <w:color w:val="auto"/>
        </w:rPr>
      </w:pPr>
    </w:p>
    <w:p>
      <w:pPr>
        <w:jc w:val="center"/>
        <w:ind w:right="-79"/>
        <w:spacing w:after="0"/>
        <w:rPr>
          <w:sz w:val="20"/>
          <w:szCs w:val="20"/>
          <w:color w:val="auto"/>
        </w:rPr>
      </w:pPr>
      <w:r>
        <w:rPr>
          <w:rFonts w:ascii="Arial" w:cs="Arial" w:eastAsia="Arial" w:hAnsi="Arial"/>
          <w:sz w:val="16"/>
          <w:szCs w:val="16"/>
          <w:u w:val="single" w:color="auto"/>
          <w:color w:val="auto"/>
        </w:rPr>
        <w:t>(Final Value – Initial Value)</w:t>
      </w:r>
    </w:p>
    <w:p>
      <w:pPr>
        <w:jc w:val="center"/>
        <w:ind w:right="-79"/>
        <w:spacing w:after="0"/>
        <w:rPr>
          <w:sz w:val="20"/>
          <w:szCs w:val="20"/>
          <w:color w:val="auto"/>
        </w:rPr>
      </w:pPr>
      <w:r>
        <w:rPr>
          <w:rFonts w:ascii="Arial" w:cs="Arial" w:eastAsia="Arial" w:hAnsi="Arial"/>
          <w:sz w:val="16"/>
          <w:szCs w:val="16"/>
          <w:color w:val="auto"/>
        </w:rPr>
        <w:t>Initial Value</w:t>
      </w:r>
    </w:p>
    <w:p>
      <w:pPr>
        <w:spacing w:after="0" w:line="57"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b w:val="1"/>
          <w:bCs w:val="1"/>
          <w:color w:val="54301A"/>
        </w:rPr>
        <w:t xml:space="preserve">Initial Value: </w:t>
      </w:r>
      <w:r>
        <w:rPr>
          <w:rFonts w:ascii="Arial" w:cs="Arial" w:eastAsia="Arial" w:hAnsi="Arial"/>
          <w:sz w:val="16"/>
          <w:szCs w:val="16"/>
          <w:color w:val="000000"/>
        </w:rPr>
        <w:t>The closing level of the Index on the Pricing</w:t>
      </w:r>
      <w:r>
        <w:rPr>
          <w:rFonts w:ascii="Arial" w:cs="Arial" w:eastAsia="Arial" w:hAnsi="Arial"/>
          <w:sz w:val="16"/>
          <w:szCs w:val="16"/>
          <w:b w:val="1"/>
          <w:bCs w:val="1"/>
          <w:color w:val="54301A"/>
        </w:rPr>
        <w:t xml:space="preserve"> </w:t>
      </w:r>
      <w:r>
        <w:rPr>
          <w:rFonts w:ascii="Arial" w:cs="Arial" w:eastAsia="Arial" w:hAnsi="Arial"/>
          <w:sz w:val="16"/>
          <w:szCs w:val="16"/>
          <w:color w:val="000000"/>
        </w:rPr>
        <w:t>Date, which was 4,336.56</w:t>
      </w:r>
    </w:p>
    <w:p>
      <w:pPr>
        <w:spacing w:after="0" w:line="34" w:lineRule="exact"/>
        <w:rPr>
          <w:sz w:val="20"/>
          <w:szCs w:val="20"/>
          <w:color w:val="auto"/>
        </w:rPr>
      </w:pPr>
    </w:p>
    <w:p>
      <w:pPr>
        <w:spacing w:after="0" w:line="321" w:lineRule="auto"/>
        <w:rPr>
          <w:sz w:val="20"/>
          <w:szCs w:val="20"/>
          <w:color w:val="auto"/>
        </w:rPr>
      </w:pPr>
      <w:r>
        <w:rPr>
          <w:rFonts w:ascii="Arial" w:cs="Arial" w:eastAsia="Arial" w:hAnsi="Arial"/>
          <w:sz w:val="16"/>
          <w:szCs w:val="16"/>
          <w:b w:val="1"/>
          <w:bCs w:val="1"/>
          <w:color w:val="54301A"/>
        </w:rPr>
        <w:t xml:space="preserve">Final Value: </w:t>
      </w:r>
      <w:r>
        <w:rPr>
          <w:rFonts w:ascii="Arial" w:cs="Arial" w:eastAsia="Arial" w:hAnsi="Arial"/>
          <w:sz w:val="16"/>
          <w:szCs w:val="16"/>
          <w:color w:val="000000"/>
        </w:rPr>
        <w:t>The closing level of the Index on the final Review</w:t>
      </w:r>
      <w:r>
        <w:rPr>
          <w:rFonts w:ascii="Arial" w:cs="Arial" w:eastAsia="Arial" w:hAnsi="Arial"/>
          <w:sz w:val="16"/>
          <w:szCs w:val="16"/>
          <w:b w:val="1"/>
          <w:bCs w:val="1"/>
          <w:color w:val="54301A"/>
        </w:rPr>
        <w:t xml:space="preserve"> </w:t>
      </w:r>
      <w:r>
        <w:rPr>
          <w:rFonts w:ascii="Arial" w:cs="Arial" w:eastAsia="Arial" w:hAnsi="Arial"/>
          <w:sz w:val="16"/>
          <w:szCs w:val="16"/>
          <w:color w:val="000000"/>
        </w:rPr>
        <w:t>Date</w:t>
      </w:r>
    </w:p>
    <w:p>
      <w:pPr>
        <w:spacing w:after="0" w:line="3256" w:lineRule="exact"/>
        <w:rPr>
          <w:sz w:val="20"/>
          <w:szCs w:val="20"/>
          <w:color w:val="auto"/>
        </w:rPr>
      </w:pPr>
    </w:p>
    <w:p>
      <w:pPr>
        <w:sectPr>
          <w:pgSz w:w="11900" w:h="16838" w:orient="portrait"/>
          <w:cols w:equalWidth="0" w:num="2">
            <w:col w:w="4700" w:space="620"/>
            <w:col w:w="4460"/>
          </w:cols>
          <w:pgMar w:left="1080" w:top="1039"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 Structured Investments</w:t>
      </w:r>
    </w:p>
    <w:p>
      <w:pPr>
        <w:spacing w:after="0" w:line="91" w:lineRule="exact"/>
        <w:rPr>
          <w:sz w:val="20"/>
          <w:szCs w:val="20"/>
          <w:color w:val="auto"/>
        </w:rPr>
      </w:pPr>
    </w:p>
    <w:p>
      <w:pPr>
        <w:ind w:left="20" w:right="452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80"/>
          </w:cols>
          <w:pgMar w:left="1080" w:top="1039" w:right="10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Key Terms Relating to the Interest Review Dates, Autocall Review Dates and Interest Payment Dates</w:t>
      </w:r>
    </w:p>
    <w:p>
      <w:pPr>
        <w:sectPr>
          <w:pgSz w:w="11900" w:h="16838" w:orient="portrait"/>
          <w:cols w:equalWidth="0" w:num="1">
            <w:col w:w="9620"/>
          </w:cols>
          <w:pgMar w:left="1080" w:top="1187" w:right="1199" w:bottom="1440" w:gutter="0" w:footer="0" w:header="0"/>
        </w:sectPr>
      </w:pPr>
    </w:p>
    <w:p>
      <w:pPr>
        <w:spacing w:after="0" w:line="106" w:lineRule="exact"/>
        <w:rPr>
          <w:sz w:val="20"/>
          <w:szCs w:val="20"/>
          <w:color w:val="auto"/>
        </w:rPr>
      </w:pPr>
    </w:p>
    <w:p>
      <w:pPr>
        <w:ind w:left="20" w:right="73"/>
        <w:spacing w:after="0" w:line="248" w:lineRule="auto"/>
        <w:rPr>
          <w:sz w:val="20"/>
          <w:szCs w:val="20"/>
          <w:color w:val="auto"/>
        </w:rPr>
      </w:pPr>
      <w:r>
        <w:rPr>
          <w:rFonts w:ascii="Arial" w:cs="Arial" w:eastAsia="Arial" w:hAnsi="Arial"/>
          <w:sz w:val="16"/>
          <w:szCs w:val="16"/>
          <w:b w:val="1"/>
          <w:bCs w:val="1"/>
          <w:color w:val="54301A"/>
        </w:rPr>
        <w:t xml:space="preserve">Interest Review Dates*: </w:t>
      </w:r>
      <w:r>
        <w:rPr>
          <w:rFonts w:ascii="Arial" w:cs="Arial" w:eastAsia="Arial" w:hAnsi="Arial"/>
          <w:sz w:val="16"/>
          <w:szCs w:val="16"/>
          <w:color w:val="000000"/>
        </w:rPr>
        <w:t>June 15, 2026, July 15, 2026,</w:t>
      </w:r>
      <w:r>
        <w:rPr>
          <w:rFonts w:ascii="Arial" w:cs="Arial" w:eastAsia="Arial" w:hAnsi="Arial"/>
          <w:sz w:val="16"/>
          <w:szCs w:val="16"/>
          <w:b w:val="1"/>
          <w:bCs w:val="1"/>
          <w:color w:val="54301A"/>
        </w:rPr>
        <w:t xml:space="preserve"> </w:t>
      </w:r>
      <w:r>
        <w:rPr>
          <w:rFonts w:ascii="Arial" w:cs="Arial" w:eastAsia="Arial" w:hAnsi="Arial"/>
          <w:sz w:val="16"/>
          <w:szCs w:val="16"/>
          <w:color w:val="000000"/>
        </w:rPr>
        <w:t>August 17, 2026, September 15, 2026, October 15, 2026, November 16, 2026, December 15, 2026, January 15, 2027, February 16, 2027, March 15, 2027, April 15, 2027, May 17, 2027, June 15, 2027, July 15, 2027, August 16, 2027, September 15, 2027, October 15, 2027, November 15, 2027, December 15, 2027, January 18, 2028, February 15, 2028, March 15, 2028, April 17, 2028, May 15, 2028, June 15, 2028, July 17, 2028, August 15, 2028, September 15, 2028, October 16, 2028, November 15, 2028, December 15, 2028, January 16, 2029, February 15, 2029, March 15, 2029, April 16, 2029, May 15, 2029, June 15, 2029, July 16, 2029, August 15, 2029, September 17, 2029, October 15, 2029, November 15, 2029, December 17, 2029, January 15, 2030, February 15, 2030, March 15, 2030, April 15, 2030, May 15, 2030, June 17, 2030, July 15, 2030, August 15, 2030, September 16, 2030, October 15, 2030, November 15, 2030, December 16, 2030, January 15, 2031, February 18, 2031, March 17, 2031, April 15, 2031 and May 15, 2031 (the “final Review Date”)</w:t>
      </w:r>
    </w:p>
    <w:p>
      <w:pPr>
        <w:spacing w:after="0" w:line="235" w:lineRule="exact"/>
        <w:rPr>
          <w:sz w:val="20"/>
          <w:szCs w:val="20"/>
          <w:color w:val="auto"/>
        </w:rPr>
      </w:pPr>
    </w:p>
    <w:p>
      <w:pPr>
        <w:ind w:left="20" w:right="333"/>
        <w:spacing w:after="0" w:line="254" w:lineRule="auto"/>
        <w:rPr>
          <w:sz w:val="20"/>
          <w:szCs w:val="20"/>
          <w:color w:val="auto"/>
        </w:rPr>
      </w:pPr>
      <w:r>
        <w:rPr>
          <w:rFonts w:ascii="Arial" w:cs="Arial" w:eastAsia="Arial" w:hAnsi="Arial"/>
          <w:sz w:val="16"/>
          <w:szCs w:val="16"/>
          <w:b w:val="1"/>
          <w:bCs w:val="1"/>
          <w:color w:val="54301A"/>
        </w:rPr>
        <w:t xml:space="preserve">Autocall Review Dates*: </w:t>
      </w:r>
      <w:r>
        <w:rPr>
          <w:rFonts w:ascii="Arial" w:cs="Arial" w:eastAsia="Arial" w:hAnsi="Arial"/>
          <w:sz w:val="16"/>
          <w:szCs w:val="16"/>
          <w:color w:val="000000"/>
        </w:rPr>
        <w:t>May 17, 2027, August 16, 2027,</w:t>
      </w:r>
      <w:r>
        <w:rPr>
          <w:rFonts w:ascii="Arial" w:cs="Arial" w:eastAsia="Arial" w:hAnsi="Arial"/>
          <w:sz w:val="16"/>
          <w:szCs w:val="16"/>
          <w:b w:val="1"/>
          <w:bCs w:val="1"/>
          <w:color w:val="54301A"/>
        </w:rPr>
        <w:t xml:space="preserve"> </w:t>
      </w:r>
      <w:r>
        <w:rPr>
          <w:rFonts w:ascii="Arial" w:cs="Arial" w:eastAsia="Arial" w:hAnsi="Arial"/>
          <w:sz w:val="16"/>
          <w:szCs w:val="16"/>
          <w:color w:val="000000"/>
        </w:rPr>
        <w:t>November 15, 2027, February 15, 2028, May 15, 2028, August 15, 2028, November 15, 2028, February 15, 2029, May 15, 2029, August 15, 2029, November 15, 2029, February 15, 2030, May 15, 2030, August 15, 2030, November 15, 2030 and February 18, 2031</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left="7"/>
        <w:spacing w:after="0" w:line="248" w:lineRule="auto"/>
        <w:rPr>
          <w:sz w:val="20"/>
          <w:szCs w:val="20"/>
          <w:color w:val="auto"/>
        </w:rPr>
      </w:pPr>
      <w:r>
        <w:rPr>
          <w:rFonts w:ascii="Arial" w:cs="Arial" w:eastAsia="Arial" w:hAnsi="Arial"/>
          <w:sz w:val="16"/>
          <w:szCs w:val="16"/>
          <w:b w:val="1"/>
          <w:bCs w:val="1"/>
          <w:color w:val="54301A"/>
        </w:rPr>
        <w:t xml:space="preserve">Interest Payment Dates*: </w:t>
      </w:r>
      <w:r>
        <w:rPr>
          <w:rFonts w:ascii="Arial" w:cs="Arial" w:eastAsia="Arial" w:hAnsi="Arial"/>
          <w:sz w:val="16"/>
          <w:szCs w:val="16"/>
          <w:color w:val="000000"/>
        </w:rPr>
        <w:t>June 18, 2026, July 20, 2026,</w:t>
      </w:r>
      <w:r>
        <w:rPr>
          <w:rFonts w:ascii="Arial" w:cs="Arial" w:eastAsia="Arial" w:hAnsi="Arial"/>
          <w:sz w:val="16"/>
          <w:szCs w:val="16"/>
          <w:b w:val="1"/>
          <w:bCs w:val="1"/>
          <w:color w:val="54301A"/>
        </w:rPr>
        <w:t xml:space="preserve"> </w:t>
      </w:r>
      <w:r>
        <w:rPr>
          <w:rFonts w:ascii="Arial" w:cs="Arial" w:eastAsia="Arial" w:hAnsi="Arial"/>
          <w:sz w:val="16"/>
          <w:szCs w:val="16"/>
          <w:color w:val="000000"/>
        </w:rPr>
        <w:t>August 20, 2026, September 18, 2026, October 20, 2026, November 19, 2026, December 18, 2026, January 21, 2027, February 19, 2027, March 18, 2027, April 20, 2027, May 20, 2027, June 21, 2027, July 20, 2027, August 19, 2027, September 20, 2027, October 20, 2027, November 18, 2027, December 20, 2027, January 21, 2028, February 18, 2028, March 20, 2028, April 20, 2028, May 18, 2028, June 21, 2028, July 20, 2028, August 18, 2028, September 20, 2028, October 19, 2028, November 20, 2028, December 20, 2028, January 19, 2029, February 21, 2029, March 20, 2029, April 19, 2029, May 18, 2029, June 21, 2029, July 19, 2029, August 20, 2029, September 20, 2029, October 18, 2029, November 20, 2029, December 20, 2029, January 18, 2030, February 21, 2030, March 20, 2030, April 18, 2030, May 20, 2030, June 21, 2030, July 18, 2030, August 20, 2030, September 19, 2030, October 18, 2030, November 20, 2030, December 19, 2030, January 21, 2031, February 21, 2031, March 20, 2031, April 18, 2031 and the Maturity Date</w:t>
      </w:r>
    </w:p>
    <w:p>
      <w:pPr>
        <w:spacing w:after="0" w:line="51" w:lineRule="exact"/>
        <w:rPr>
          <w:sz w:val="20"/>
          <w:szCs w:val="20"/>
          <w:color w:val="auto"/>
        </w:rPr>
      </w:pPr>
    </w:p>
    <w:p>
      <w:pPr>
        <w:ind w:left="7" w:right="20" w:hanging="7"/>
        <w:spacing w:after="0" w:line="250" w:lineRule="auto"/>
        <w:tabs>
          <w:tab w:leader="none" w:pos="103"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Subject to postponement in the event of a market disruption event and as described under "Supplemental Terms of the Notes — Postponement of a Determination Date — Notes Linked Solely to an Index" in the accompanying underlying supplement and "General Terms of Notes — Postponement of a Payment Date" in the accompanying product supplement</w:t>
      </w:r>
    </w:p>
    <w:p>
      <w:pPr>
        <w:spacing w:after="0" w:line="546" w:lineRule="exact"/>
        <w:rPr>
          <w:sz w:val="20"/>
          <w:szCs w:val="20"/>
          <w:color w:val="auto"/>
        </w:rPr>
      </w:pPr>
    </w:p>
    <w:p>
      <w:pPr>
        <w:sectPr>
          <w:pgSz w:w="11900" w:h="16838" w:orient="portrait"/>
          <w:cols w:equalWidth="0" w:num="2">
            <w:col w:w="4533" w:space="720"/>
            <w:col w:w="4367"/>
          </w:cols>
          <w:pgMar w:left="1080" w:top="1187"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PS-2| Structured Investments</w:t>
      </w:r>
    </w:p>
    <w:p>
      <w:pPr>
        <w:spacing w:after="0" w:line="91" w:lineRule="exact"/>
        <w:rPr>
          <w:sz w:val="20"/>
          <w:szCs w:val="20"/>
          <w:color w:val="auto"/>
        </w:rPr>
      </w:pPr>
    </w:p>
    <w:p>
      <w:pPr>
        <w:ind w:left="20" w:right="43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620"/>
          </w:cols>
          <w:pgMar w:left="1080" w:top="1187" w:right="11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MerQube US Large-Cap Vol Advantage Index</w:t>
      </w:r>
    </w:p>
    <w:p>
      <w:pPr>
        <w:spacing w:after="0" w:line="95" w:lineRule="exact"/>
        <w:rPr>
          <w:sz w:val="20"/>
          <w:szCs w:val="20"/>
          <w:color w:val="auto"/>
        </w:rPr>
      </w:pPr>
    </w:p>
    <w:p>
      <w:pPr>
        <w:ind w:right="220"/>
        <w:spacing w:after="0" w:line="295" w:lineRule="auto"/>
        <w:rPr>
          <w:sz w:val="20"/>
          <w:szCs w:val="20"/>
          <w:color w:val="auto"/>
        </w:rPr>
      </w:pPr>
      <w:r>
        <w:rPr>
          <w:rFonts w:ascii="Arial" w:cs="Arial" w:eastAsia="Arial" w:hAnsi="Arial"/>
          <w:sz w:val="16"/>
          <w:szCs w:val="16"/>
          <w:color w:val="404040"/>
        </w:rPr>
        <w:t>The MerQube US Large-Cap Vol Advantage Index (the “Index”) was developed by MerQube (the “Index Sponsor” and “Index Calculation Agent”), in coordination with JPMS, and is maintained by the Index Sponsor and is calculated and published by the Index Calculation Agent. The Index was established on February 11, 2022. An affiliate of ours currently has an approximately 10% equity interest in the Index Sponsor, and an employee of JPMS, another of our affiliates, is a member of the board of directors of the Index Sponsor.</w:t>
      </w:r>
    </w:p>
    <w:p>
      <w:pPr>
        <w:spacing w:after="0" w:line="3" w:lineRule="exact"/>
        <w:rPr>
          <w:sz w:val="20"/>
          <w:szCs w:val="20"/>
          <w:color w:val="auto"/>
        </w:rPr>
      </w:pPr>
    </w:p>
    <w:p>
      <w:pPr>
        <w:ind w:right="100"/>
        <w:spacing w:after="0" w:line="214" w:lineRule="auto"/>
        <w:rPr>
          <w:sz w:val="20"/>
          <w:szCs w:val="20"/>
          <w:color w:val="auto"/>
        </w:rPr>
      </w:pPr>
      <w:r>
        <w:rPr>
          <w:rFonts w:ascii="Arial" w:cs="Arial" w:eastAsia="Arial" w:hAnsi="Arial"/>
          <w:sz w:val="16"/>
          <w:szCs w:val="16"/>
          <w:color w:val="404040"/>
        </w:rPr>
        <w:t>The Index attempts to provide a dynamic rules-based exposure to an unfunded rolling position in E-mini</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futures (the “Futures Contracts”), which reference the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Index, while targeting a level of implied volatility, with a maximum exposure to the Futures Contracts of 500% and a minimum exposure to the Futures Contracts of 0%. The Index is subject to a 6.0% per annum daily deduction. The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Index consists of stocks of 500 companies selected to provide a performance benchmark for the U.S. equity markets. For more information about the Futures Contracts and the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Index, see “Background on the Futures Contracts — Background on E-mini</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Futures” and “Background on the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Index,” respectively, in the accompanying underlying supplement.</w:t>
      </w:r>
    </w:p>
    <w:p>
      <w:pPr>
        <w:spacing w:after="0" w:line="6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404040"/>
        </w:rPr>
        <w:t>On each weekly Index rebalance day, the exposure to the Futures Contracts is set equal to (a) the 35% implied volatility target (the “target volatility”) divided by (b) the one-week implied volatility of the State Street</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SPDR</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ETF Trust (the “SPY Fund”), subject to a maximum exposure of 500%. For example, if the implied volatility of the SPY Fund is equal to 17.5%, the exposure to the Futures Contracts will equal 200% (or 35% / 17.5%) and if the implied volatility of the SPY Fund is equal to 40%, the exposure to the Futures Contracts will equal 87.5% (or 35% / 40%). The Index’s exposure to the Futures Contracts will be greater than 100% when the implied volatility of the SPY Fund is below 35%, and the Index’s exposure to the Futures Contracts will be less than 100% when the implied volatility of the SPY Fund is above 35%. In general, the Index’s target volatility feature is expected to result in the volatility of the Index being more stable over time than if no target volatility feature were employed. No assurance can be provided that the volatility of the Index will be stable at any time.</w:t>
      </w:r>
    </w:p>
    <w:p>
      <w:pPr>
        <w:spacing w:after="0" w:line="28" w:lineRule="exact"/>
        <w:rPr>
          <w:sz w:val="20"/>
          <w:szCs w:val="20"/>
          <w:color w:val="auto"/>
        </w:rPr>
      </w:pPr>
    </w:p>
    <w:p>
      <w:pPr>
        <w:ind w:right="60"/>
        <w:spacing w:after="0" w:line="228" w:lineRule="auto"/>
        <w:rPr>
          <w:sz w:val="20"/>
          <w:szCs w:val="20"/>
          <w:color w:val="auto"/>
        </w:rPr>
      </w:pPr>
      <w:r>
        <w:rPr>
          <w:rFonts w:ascii="Arial" w:cs="Arial" w:eastAsia="Arial" w:hAnsi="Arial"/>
          <w:sz w:val="16"/>
          <w:szCs w:val="16"/>
          <w:color w:val="404040"/>
        </w:rPr>
        <w:t>The investment objective of the SPY Fund is to provide investment results that, before expenses, correspond generally to the price and yield performance of the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Index. For more information about the SPY Fund, see “Background on the State Street</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SPDR</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ETF Trust” in the accompanying underlying supplement. The Index uses the implied volatility of the SPY Fund as a proxy for the volatility of the Futures Contracts.</w:t>
      </w:r>
    </w:p>
    <w:p>
      <w:pPr>
        <w:spacing w:after="0" w:line="7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404040"/>
        </w:rPr>
        <w:t>The 6.0% per annum daily deduction will offset any appreciation of the Futures Contracts, will heighten any depreciation of the Futures Contracts and will generally be a drag on the performance of the Index. The Index will trail the performance of an identical index without a deduction.</w:t>
      </w:r>
    </w:p>
    <w:p>
      <w:pPr>
        <w:spacing w:after="0" w:line="2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404040"/>
        </w:rPr>
        <w:t>Holding the estimated value of the notes and market conditions constant, the Contingent Interest Rate, the Interest Barrier, the Trigger Value and the other economic terms available on the notes are more favorable to investors than the terms that would be available on a hypothetical note issued by us linked to an identical index without a daily deduction. However, there can be no assurance that any improvement in the terms of the notes derived from the daily deduction will offset the negative effect of the daily deduction on the performance of the Index. The return on the notes may be lower than the return on a hypothetical note issued by us linked to an identical index without a daily deduction.</w:t>
      </w:r>
    </w:p>
    <w:p>
      <w:pPr>
        <w:spacing w:after="0" w:line="16" w:lineRule="exact"/>
        <w:rPr>
          <w:sz w:val="20"/>
          <w:szCs w:val="20"/>
          <w:color w:val="auto"/>
        </w:rPr>
      </w:pPr>
    </w:p>
    <w:p>
      <w:pPr>
        <w:spacing w:after="0" w:line="296" w:lineRule="auto"/>
        <w:rPr>
          <w:sz w:val="20"/>
          <w:szCs w:val="20"/>
          <w:color w:val="auto"/>
        </w:rPr>
      </w:pPr>
      <w:r>
        <w:rPr>
          <w:rFonts w:ascii="Arial" w:cs="Arial" w:eastAsia="Arial" w:hAnsi="Arial"/>
          <w:sz w:val="16"/>
          <w:szCs w:val="16"/>
          <w:color w:val="404040"/>
        </w:rPr>
        <w:t>The daily deduction and the volatility of the Index (as influenced by the Index’s target volatility feature) are two of the primary variables that affect the economic terms of the notes. Additionally, the daily deduction and volatility of the Index are two of the inputs our affiliates’ internal pricing models use to value the derivative or derivatives underlying the economic terms of the notes for purposes of determining the estimated value of the notes set forth on the cover of this pricing supplement. The daily deduction will effectively reduce the value of the derivative or derivatives underlying the economic terms of the notes. See “The Estimated Value of the Notes” and “Selected Risk Considerations — Risks Relating to the Estimated Value and Secondary Market Prices of the Notes” in this pricing supplement.</w:t>
      </w:r>
    </w:p>
    <w:p>
      <w:pPr>
        <w:spacing w:after="0" w:line="16"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b w:val="1"/>
          <w:bCs w:val="1"/>
          <w:color w:val="404040"/>
        </w:rPr>
        <w:t>The Index is subject to risks associated with the use of significant leverage. In addition, the Index may be significantly uninvested on any given day, and, in that case, will realize only a portion of any gains due to appreciation of the Futures Contracts on that day. The index deduction is deducted daily at a rate of 6.0% per annum, even when the Index is not fully invested.</w:t>
      </w:r>
    </w:p>
    <w:p>
      <w:pPr>
        <w:spacing w:after="0" w:line="13" w:lineRule="exact"/>
        <w:rPr>
          <w:sz w:val="20"/>
          <w:szCs w:val="20"/>
          <w:color w:val="auto"/>
        </w:rPr>
      </w:pPr>
    </w:p>
    <w:p>
      <w:pPr>
        <w:jc w:val="both"/>
        <w:ind w:right="240"/>
        <w:spacing w:after="0" w:line="316" w:lineRule="auto"/>
        <w:rPr>
          <w:sz w:val="20"/>
          <w:szCs w:val="20"/>
          <w:color w:val="auto"/>
        </w:rPr>
      </w:pPr>
      <w:r>
        <w:rPr>
          <w:rFonts w:ascii="Arial" w:cs="Arial" w:eastAsia="Arial" w:hAnsi="Arial"/>
          <w:sz w:val="16"/>
          <w:szCs w:val="16"/>
          <w:b w:val="1"/>
          <w:bCs w:val="1"/>
          <w:color w:val="404040"/>
        </w:rPr>
        <w:t>No assurance can be given that the investment strategy used to construct the Index will achieve its intended results or that the Index will be successful or will outperform any alternative index or strategy that might reference the Futures Contracts.</w:t>
      </w:r>
    </w:p>
    <w:p>
      <w:pPr>
        <w:spacing w:after="0" w:line="2" w:lineRule="exact"/>
        <w:rPr>
          <w:sz w:val="20"/>
          <w:szCs w:val="20"/>
          <w:color w:val="auto"/>
        </w:rPr>
      </w:pPr>
    </w:p>
    <w:p>
      <w:pPr>
        <w:ind w:right="860"/>
        <w:spacing w:after="0" w:line="339" w:lineRule="auto"/>
        <w:rPr>
          <w:sz w:val="20"/>
          <w:szCs w:val="20"/>
          <w:color w:val="auto"/>
        </w:rPr>
      </w:pPr>
      <w:r>
        <w:rPr>
          <w:rFonts w:ascii="Arial" w:cs="Arial" w:eastAsia="Arial" w:hAnsi="Arial"/>
          <w:sz w:val="16"/>
          <w:szCs w:val="16"/>
          <w:color w:val="404040"/>
        </w:rPr>
        <w:t>For additional information about the Index, see “The MerQube Vol Advantage Index Series” in the accompanying underlying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PS-3| Structured Investments</w:t>
      </w:r>
    </w:p>
    <w:p>
      <w:pPr>
        <w:spacing w:after="0" w:line="91" w:lineRule="exact"/>
        <w:rPr>
          <w:sz w:val="20"/>
          <w:szCs w:val="20"/>
          <w:color w:val="auto"/>
        </w:rPr>
      </w:pPr>
    </w:p>
    <w:p>
      <w:pPr>
        <w:ind w:left="20"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20"/>
          </w:cols>
          <w:pgMar w:left="1080" w:top="1039" w:right="10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Supplemental Terms of the Notes</w:t>
      </w:r>
    </w:p>
    <w:p>
      <w:pPr>
        <w:spacing w:after="0" w:line="9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404040"/>
        </w:rPr>
        <w:t xml:space="preserve">The notes are not futures contracts or swaps and are not regulated under the Commodity Exchange Act, as amended (the “Commodity Exchange Act”). </w:t>
      </w:r>
      <w:r>
        <w:rPr>
          <w:rFonts w:ascii="Arial" w:cs="Arial" w:eastAsia="Arial" w:hAnsi="Arial"/>
          <w:sz w:val="16"/>
          <w:szCs w:val="16"/>
          <w:color w:val="404040"/>
        </w:rPr>
        <w:t>The notes are offered pursuant to an exemption from regulation under the Commodity Exchange Act,</w:t>
      </w:r>
      <w:r>
        <w:rPr>
          <w:rFonts w:ascii="Arial" w:cs="Arial" w:eastAsia="Arial" w:hAnsi="Arial"/>
          <w:sz w:val="16"/>
          <w:szCs w:val="16"/>
          <w:b w:val="1"/>
          <w:bCs w:val="1"/>
          <w:color w:val="404040"/>
        </w:rPr>
        <w:t xml:space="preserve"> </w:t>
      </w:r>
      <w:r>
        <w:rPr>
          <w:rFonts w:ascii="Arial" w:cs="Arial" w:eastAsia="Arial" w:hAnsi="Arial"/>
          <w:sz w:val="16"/>
          <w:szCs w:val="16"/>
          <w:color w:val="404040"/>
        </w:rPr>
        <w:t>commonly known as the hybrid instrument exemption, that is available to securities that have one or more payments indexed to the value, level or rate of one or more commodities, as set out in section 2(f) of that statute. Accordingly, you are not afforded any protection provided by the Commodity Exchange Act or any regulation promulgated by the Commodity Futures Trading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PS-4| Structured Investments</w:t>
      </w:r>
    </w:p>
    <w:p>
      <w:pPr>
        <w:spacing w:after="0" w:line="91" w:lineRule="exact"/>
        <w:rPr>
          <w:sz w:val="20"/>
          <w:szCs w:val="20"/>
          <w:color w:val="auto"/>
        </w:rPr>
      </w:pPr>
    </w:p>
    <w:p>
      <w:pPr>
        <w:ind w:left="20" w:right="434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600"/>
          </w:cols>
          <w:pgMar w:left="1080" w:top="1187" w:right="1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How the Notes Work</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Payments in Connection with Interest Review Dates Preceding the Final Review Date</w:t>
      </w:r>
    </w:p>
    <w:p>
      <w:pPr>
        <w:spacing w:after="0" w:line="177"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Interest Review Dates Preceding the Final Review Date That Are Not Autocall Review Dates</w:t>
      </w:r>
    </w:p>
    <w:p>
      <w:pPr>
        <w:spacing w:after="0" w:line="125" w:lineRule="exact"/>
        <w:rPr>
          <w:sz w:val="20"/>
          <w:szCs w:val="20"/>
          <w:color w:val="auto"/>
        </w:rPr>
      </w:pPr>
    </w:p>
    <w:p>
      <w:pPr>
        <w:ind w:left="1080" w:right="859"/>
        <w:spacing w:after="0" w:line="259" w:lineRule="auto"/>
        <w:rPr>
          <w:sz w:val="20"/>
          <w:szCs w:val="20"/>
          <w:color w:val="auto"/>
        </w:rPr>
      </w:pPr>
      <w:r>
        <w:rPr>
          <w:rFonts w:ascii="Arial" w:cs="Arial" w:eastAsia="Arial" w:hAnsi="Arial"/>
          <w:sz w:val="11"/>
          <w:szCs w:val="11"/>
          <w:color w:val="auto"/>
        </w:rPr>
        <w:t>Compare the closing level of the Index to the Interest Barrier on each Interest Review Date that is not an Autocall Review Date until the final Review Date or any earlier automatic call. Refer to the second diagram if an Interest Review Date is also an Autocall Review Date.</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Arial" w:cs="Arial" w:eastAsia="Arial" w:hAnsi="Arial"/>
          <w:sz w:val="13"/>
          <w:szCs w:val="13"/>
          <w:color w:val="auto"/>
        </w:rPr>
        <w:t>You will receive a Contingent Interest Payment on the applicable</w:t>
      </w:r>
    </w:p>
    <w:p>
      <w:pPr>
        <w:ind w:left="1120"/>
        <w:spacing w:after="0" w:line="234" w:lineRule="auto"/>
        <w:tabs>
          <w:tab w:leader="none" w:pos="6140" w:val="left"/>
        </w:tabs>
        <w:rPr>
          <w:sz w:val="20"/>
          <w:szCs w:val="20"/>
          <w:color w:val="auto"/>
        </w:rPr>
      </w:pPr>
      <w:r>
        <w:rPr>
          <w:rFonts w:ascii="Arial" w:cs="Arial" w:eastAsia="Arial" w:hAnsi="Arial"/>
          <w:sz w:val="13"/>
          <w:szCs w:val="13"/>
          <w:color w:val="auto"/>
        </w:rPr>
        <w:t xml:space="preserve">The closing level of the Index is </w:t>
      </w:r>
      <w:r>
        <w:rPr>
          <w:rFonts w:ascii="Arial" w:cs="Arial" w:eastAsia="Arial" w:hAnsi="Arial"/>
          <w:sz w:val="13"/>
          <w:szCs w:val="13"/>
          <w:b w:val="1"/>
          <w:bCs w:val="1"/>
          <w:color w:val="auto"/>
        </w:rPr>
        <w:t>greater than or equal</w:t>
      </w:r>
      <w:r>
        <w:rPr>
          <w:sz w:val="20"/>
          <w:szCs w:val="20"/>
          <w:color w:val="auto"/>
        </w:rPr>
        <w:tab/>
      </w:r>
      <w:r>
        <w:rPr>
          <w:rFonts w:ascii="Arial" w:cs="Arial" w:eastAsia="Arial" w:hAnsi="Arial"/>
          <w:sz w:val="12"/>
          <w:szCs w:val="12"/>
          <w:color w:val="auto"/>
        </w:rPr>
        <w:t>Interest Payment Date.</w:t>
      </w:r>
    </w:p>
    <w:p>
      <w:pPr>
        <w:ind w:left="2040"/>
        <w:spacing w:after="0" w:line="217" w:lineRule="auto"/>
        <w:rPr>
          <w:sz w:val="20"/>
          <w:szCs w:val="20"/>
          <w:color w:val="auto"/>
        </w:rPr>
      </w:pPr>
      <w:r>
        <w:rPr>
          <w:rFonts w:ascii="Arial" w:cs="Arial" w:eastAsia="Arial" w:hAnsi="Arial"/>
          <w:sz w:val="13"/>
          <w:szCs w:val="13"/>
          <w:b w:val="1"/>
          <w:bCs w:val="1"/>
          <w:color w:val="auto"/>
        </w:rPr>
        <w:t xml:space="preserve">to </w:t>
      </w:r>
      <w:r>
        <w:rPr>
          <w:rFonts w:ascii="Arial" w:cs="Arial" w:eastAsia="Arial" w:hAnsi="Arial"/>
          <w:sz w:val="13"/>
          <w:szCs w:val="13"/>
          <w:color w:val="auto"/>
        </w:rPr>
        <w:t>the Interest Barrier.</w:t>
      </w:r>
    </w:p>
    <w:p>
      <w:pPr>
        <w:ind w:left="5660"/>
        <w:spacing w:after="0"/>
        <w:rPr>
          <w:sz w:val="20"/>
          <w:szCs w:val="20"/>
          <w:color w:val="auto"/>
        </w:rPr>
      </w:pPr>
      <w:r>
        <w:rPr>
          <w:rFonts w:ascii="Arial" w:cs="Arial" w:eastAsia="Arial" w:hAnsi="Arial"/>
          <w:sz w:val="13"/>
          <w:szCs w:val="13"/>
          <w:color w:val="auto"/>
        </w:rPr>
        <w:t>Proceed to the next Interest Review Date.</w:t>
      </w:r>
    </w:p>
    <w:p>
      <w:pPr>
        <w:spacing w:after="0" w:line="200" w:lineRule="exact"/>
        <w:rPr>
          <w:sz w:val="20"/>
          <w:szCs w:val="20"/>
          <w:color w:val="auto"/>
        </w:rPr>
      </w:pPr>
    </w:p>
    <w:p>
      <w:pPr>
        <w:spacing w:after="0" w:line="318" w:lineRule="exact"/>
        <w:rPr>
          <w:sz w:val="20"/>
          <w:szCs w:val="20"/>
          <w:color w:val="auto"/>
        </w:rPr>
      </w:pPr>
    </w:p>
    <w:tbl>
      <w:tblPr>
        <w:tblLayout w:type="fixed"/>
        <w:tblInd w:w="980" w:type="dxa"/>
        <w:tblCellMar>
          <w:top w:w="0" w:type="dxa"/>
          <w:left w:w="0" w:type="dxa"/>
          <w:bottom w:w="0" w:type="dxa"/>
          <w:right w:w="0" w:type="dxa"/>
        </w:tblCellMar>
      </w:tblPr>
      <w:tr>
        <w:trPr>
          <w:trHeight w:val="346"/>
        </w:trPr>
        <w:tc>
          <w:tcPr>
            <w:tcW w:w="3340" w:type="dxa"/>
            <w:vAlign w:val="bottom"/>
            <w:shd w:val="clear" w:color="auto" w:fill="C6D8F0"/>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shd w:val="clear" w:color="auto" w:fill="C6D8F0"/>
          </w:tcPr>
          <w:p>
            <w:pPr>
              <w:jc w:val="center"/>
              <w:spacing w:after="0"/>
              <w:rPr>
                <w:sz w:val="20"/>
                <w:szCs w:val="20"/>
                <w:color w:val="auto"/>
              </w:rPr>
            </w:pPr>
            <w:r>
              <w:rPr>
                <w:rFonts w:ascii="Arial" w:cs="Arial" w:eastAsia="Arial" w:hAnsi="Arial"/>
                <w:sz w:val="13"/>
                <w:szCs w:val="13"/>
                <w:color w:val="auto"/>
                <w:w w:val="96"/>
              </w:rPr>
              <w:t>No Contingent Interest Payment will be made with respect to the</w:t>
            </w:r>
          </w:p>
        </w:tc>
        <w:tc>
          <w:tcPr>
            <w:tcW w:w="0" w:type="dxa"/>
            <w:vAlign w:val="bottom"/>
          </w:tcPr>
          <w:p>
            <w:pPr>
              <w:spacing w:after="0"/>
              <w:rPr>
                <w:sz w:val="1"/>
                <w:szCs w:val="1"/>
                <w:color w:val="auto"/>
              </w:rPr>
            </w:pPr>
          </w:p>
        </w:tc>
      </w:tr>
      <w:tr>
        <w:trPr>
          <w:trHeight w:val="166"/>
        </w:trPr>
        <w:tc>
          <w:tcPr>
            <w:tcW w:w="3340" w:type="dxa"/>
            <w:vAlign w:val="bottom"/>
            <w:vMerge w:val="restart"/>
            <w:shd w:val="clear" w:color="auto" w:fill="C6D8F0"/>
          </w:tcPr>
          <w:p>
            <w:pPr>
              <w:jc w:val="center"/>
              <w:spacing w:after="0"/>
              <w:rPr>
                <w:sz w:val="20"/>
                <w:szCs w:val="20"/>
                <w:color w:val="auto"/>
              </w:rPr>
            </w:pPr>
            <w:r>
              <w:rPr>
                <w:rFonts w:ascii="Arial" w:cs="Arial" w:eastAsia="Arial" w:hAnsi="Arial"/>
                <w:sz w:val="13"/>
                <w:szCs w:val="13"/>
                <w:color w:val="auto"/>
                <w:w w:val="97"/>
              </w:rPr>
              <w:t xml:space="preserve">The closing level of the Index is </w:t>
            </w:r>
            <w:r>
              <w:rPr>
                <w:rFonts w:ascii="Arial" w:cs="Arial" w:eastAsia="Arial" w:hAnsi="Arial"/>
                <w:sz w:val="13"/>
                <w:szCs w:val="13"/>
                <w:b w:val="1"/>
                <w:bCs w:val="1"/>
                <w:color w:val="auto"/>
                <w:w w:val="97"/>
              </w:rPr>
              <w:t>less than</w:t>
            </w:r>
            <w:r>
              <w:rPr>
                <w:rFonts w:ascii="Arial" w:cs="Arial" w:eastAsia="Arial" w:hAnsi="Arial"/>
                <w:sz w:val="13"/>
                <w:szCs w:val="13"/>
                <w:color w:val="auto"/>
                <w:w w:val="97"/>
              </w:rPr>
              <w:t xml:space="preserve"> the Interest</w:t>
            </w:r>
          </w:p>
        </w:tc>
        <w:tc>
          <w:tcPr>
            <w:tcW w:w="560" w:type="dxa"/>
            <w:vAlign w:val="bottom"/>
          </w:tcPr>
          <w:p>
            <w:pPr>
              <w:spacing w:after="0"/>
              <w:rPr>
                <w:sz w:val="14"/>
                <w:szCs w:val="14"/>
                <w:color w:val="auto"/>
              </w:rPr>
            </w:pPr>
          </w:p>
        </w:tc>
        <w:tc>
          <w:tcPr>
            <w:tcW w:w="3860" w:type="dxa"/>
            <w:vAlign w:val="bottom"/>
            <w:shd w:val="clear" w:color="auto" w:fill="C6D8F0"/>
          </w:tcPr>
          <w:p>
            <w:pPr>
              <w:jc w:val="center"/>
              <w:spacing w:after="0"/>
              <w:rPr>
                <w:sz w:val="20"/>
                <w:szCs w:val="20"/>
                <w:color w:val="auto"/>
              </w:rPr>
            </w:pPr>
            <w:r>
              <w:rPr>
                <w:rFonts w:ascii="Arial" w:cs="Arial" w:eastAsia="Arial" w:hAnsi="Arial"/>
                <w:sz w:val="13"/>
                <w:szCs w:val="13"/>
                <w:color w:val="auto"/>
                <w:w w:val="97"/>
              </w:rPr>
              <w:t>applicable Interest Review Date.</w:t>
            </w:r>
          </w:p>
        </w:tc>
        <w:tc>
          <w:tcPr>
            <w:tcW w:w="0" w:type="dxa"/>
            <w:vAlign w:val="bottom"/>
          </w:tcPr>
          <w:p>
            <w:pPr>
              <w:spacing w:after="0"/>
              <w:rPr>
                <w:sz w:val="1"/>
                <w:szCs w:val="1"/>
                <w:color w:val="auto"/>
              </w:rPr>
            </w:pPr>
          </w:p>
        </w:tc>
      </w:tr>
      <w:tr>
        <w:trPr>
          <w:trHeight w:val="104"/>
        </w:trPr>
        <w:tc>
          <w:tcPr>
            <w:tcW w:w="3340" w:type="dxa"/>
            <w:vAlign w:val="bottom"/>
            <w:vMerge w:val="continue"/>
            <w:shd w:val="clear" w:color="auto" w:fill="C6D8F0"/>
          </w:tcPr>
          <w:p>
            <w:pPr>
              <w:spacing w:after="0"/>
              <w:rPr>
                <w:sz w:val="9"/>
                <w:szCs w:val="9"/>
                <w:color w:val="auto"/>
              </w:rPr>
            </w:pPr>
          </w:p>
        </w:tc>
        <w:tc>
          <w:tcPr>
            <w:tcW w:w="560" w:type="dxa"/>
            <w:vAlign w:val="bottom"/>
          </w:tcPr>
          <w:p>
            <w:pPr>
              <w:spacing w:after="0"/>
              <w:rPr>
                <w:sz w:val="9"/>
                <w:szCs w:val="9"/>
                <w:color w:val="auto"/>
              </w:rPr>
            </w:pPr>
          </w:p>
        </w:tc>
        <w:tc>
          <w:tcPr>
            <w:tcW w:w="3860" w:type="dxa"/>
            <w:vAlign w:val="bottom"/>
            <w:shd w:val="clear" w:color="auto" w:fill="C6D8F0"/>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3340" w:type="dxa"/>
            <w:vAlign w:val="bottom"/>
            <w:shd w:val="clear" w:color="auto" w:fill="C6D8F0"/>
          </w:tcPr>
          <w:p>
            <w:pPr>
              <w:jc w:val="center"/>
              <w:spacing w:after="0"/>
              <w:rPr>
                <w:sz w:val="20"/>
                <w:szCs w:val="20"/>
                <w:color w:val="auto"/>
              </w:rPr>
            </w:pPr>
            <w:r>
              <w:rPr>
                <w:rFonts w:ascii="Arial" w:cs="Arial" w:eastAsia="Arial" w:hAnsi="Arial"/>
                <w:sz w:val="13"/>
                <w:szCs w:val="13"/>
                <w:color w:val="auto"/>
                <w:w w:val="98"/>
              </w:rPr>
              <w:t>Barrier.</w:t>
            </w:r>
          </w:p>
        </w:tc>
        <w:tc>
          <w:tcPr>
            <w:tcW w:w="560" w:type="dxa"/>
            <w:vAlign w:val="bottom"/>
          </w:tcPr>
          <w:p>
            <w:pPr>
              <w:spacing w:after="0"/>
              <w:rPr>
                <w:sz w:val="14"/>
                <w:szCs w:val="14"/>
                <w:color w:val="auto"/>
              </w:rPr>
            </w:pPr>
          </w:p>
        </w:tc>
        <w:tc>
          <w:tcPr>
            <w:tcW w:w="3860" w:type="dxa"/>
            <w:vAlign w:val="bottom"/>
            <w:shd w:val="clear" w:color="auto" w:fill="C6D8F0"/>
          </w:tcPr>
          <w:p>
            <w:pPr>
              <w:ind w:left="780"/>
              <w:spacing w:after="0"/>
              <w:rPr>
                <w:sz w:val="20"/>
                <w:szCs w:val="20"/>
                <w:color w:val="auto"/>
              </w:rPr>
            </w:pPr>
            <w:r>
              <w:rPr>
                <w:rFonts w:ascii="Arial" w:cs="Arial" w:eastAsia="Arial" w:hAnsi="Arial"/>
                <w:sz w:val="13"/>
                <w:szCs w:val="13"/>
                <w:color w:val="auto"/>
              </w:rPr>
              <w:t>Proceed to the next Interest Review Date.</w:t>
            </w:r>
          </w:p>
        </w:tc>
        <w:tc>
          <w:tcPr>
            <w:tcW w:w="0" w:type="dxa"/>
            <w:vAlign w:val="bottom"/>
          </w:tcPr>
          <w:p>
            <w:pPr>
              <w:spacing w:after="0"/>
              <w:rPr>
                <w:sz w:val="1"/>
                <w:szCs w:val="1"/>
                <w:color w:val="auto"/>
              </w:rPr>
            </w:pPr>
          </w:p>
        </w:tc>
      </w:tr>
      <w:tr>
        <w:trPr>
          <w:trHeight w:val="513"/>
        </w:trPr>
        <w:tc>
          <w:tcPr>
            <w:tcW w:w="3340" w:type="dxa"/>
            <w:vAlign w:val="bottom"/>
            <w:shd w:val="clear" w:color="auto" w:fill="C6D8F0"/>
          </w:tcPr>
          <w:p>
            <w:pPr>
              <w:spacing w:after="0"/>
              <w:rPr>
                <w:sz w:val="24"/>
                <w:szCs w:val="24"/>
                <w:color w:val="auto"/>
              </w:rPr>
            </w:pPr>
          </w:p>
        </w:tc>
        <w:tc>
          <w:tcPr>
            <w:tcW w:w="560" w:type="dxa"/>
            <w:vAlign w:val="bottom"/>
          </w:tcPr>
          <w:p>
            <w:pPr>
              <w:spacing w:after="0"/>
              <w:rPr>
                <w:sz w:val="24"/>
                <w:szCs w:val="24"/>
                <w:color w:val="auto"/>
              </w:rPr>
            </w:pPr>
          </w:p>
        </w:tc>
        <w:tc>
          <w:tcPr>
            <w:tcW w:w="3860" w:type="dxa"/>
            <w:vAlign w:val="bottom"/>
            <w:shd w:val="clear" w:color="auto" w:fill="C6D8F0"/>
          </w:tcPr>
          <w:p>
            <w:pPr>
              <w:spacing w:after="0"/>
              <w:rPr>
                <w:sz w:val="24"/>
                <w:szCs w:val="2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620"/>
        <w:spacing w:after="0"/>
        <w:rPr>
          <w:sz w:val="20"/>
          <w:szCs w:val="20"/>
          <w:color w:val="auto"/>
        </w:rPr>
      </w:pPr>
      <w:r>
        <w:rPr>
          <w:rFonts w:ascii="Arial" w:cs="Arial" w:eastAsia="Arial" w:hAnsi="Arial"/>
          <w:sz w:val="13"/>
          <w:szCs w:val="13"/>
          <w:b w:val="1"/>
          <w:bCs w:val="1"/>
          <w:color w:val="auto"/>
        </w:rPr>
        <w:t>Interest Review Dates That Are Also Autocall Review Dates</w:t>
      </w:r>
    </w:p>
    <w:p>
      <w:pPr>
        <w:spacing w:after="0" w:line="78" w:lineRule="exact"/>
        <w:rPr>
          <w:sz w:val="20"/>
          <w:szCs w:val="20"/>
          <w:color w:val="auto"/>
        </w:rPr>
      </w:pPr>
    </w:p>
    <w:p>
      <w:pPr>
        <w:jc w:val="right"/>
        <w:ind w:right="699"/>
        <w:spacing w:after="0"/>
        <w:rPr>
          <w:sz w:val="20"/>
          <w:szCs w:val="20"/>
          <w:color w:val="auto"/>
        </w:rPr>
      </w:pPr>
      <w:r>
        <w:rPr>
          <w:rFonts w:ascii="Arial" w:cs="Arial" w:eastAsia="Arial" w:hAnsi="Arial"/>
          <w:sz w:val="13"/>
          <w:szCs w:val="13"/>
          <w:color w:val="auto"/>
        </w:rPr>
        <w:t>Compare the closing level of the Index to the Initial Value and the Interest Barrier on each Interest Review Date that is</w:t>
      </w:r>
    </w:p>
    <w:p>
      <w:pPr>
        <w:ind w:left="3720"/>
        <w:spacing w:after="0"/>
        <w:rPr>
          <w:sz w:val="20"/>
          <w:szCs w:val="20"/>
          <w:color w:val="auto"/>
        </w:rPr>
      </w:pPr>
      <w:r>
        <w:rPr>
          <w:rFonts w:ascii="Arial" w:cs="Arial" w:eastAsia="Arial" w:hAnsi="Arial"/>
          <w:sz w:val="13"/>
          <w:szCs w:val="13"/>
          <w:color w:val="auto"/>
        </w:rPr>
        <w:t>also an Autocall Review Date until any earlier automatic call.</w:t>
      </w:r>
    </w:p>
    <w:p>
      <w:pPr>
        <w:sectPr>
          <w:pgSz w:w="11900" w:h="16838" w:orient="portrait"/>
          <w:cols w:equalWidth="0" w:num="1">
            <w:col w:w="9379"/>
          </w:cols>
          <w:pgMar w:left="1080" w:top="1322" w:right="1440" w:bottom="1440" w:gutter="0" w:footer="0" w:header="0"/>
        </w:sectPr>
      </w:pPr>
    </w:p>
    <w:p>
      <w:pPr>
        <w:spacing w:after="0" w:line="376"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The closing level of</w:t>
      </w:r>
    </w:p>
    <w:p>
      <w:pPr>
        <w:jc w:val="center"/>
        <w:ind w:left="2000"/>
        <w:spacing w:after="0" w:line="216" w:lineRule="auto"/>
        <w:rPr>
          <w:sz w:val="20"/>
          <w:szCs w:val="20"/>
          <w:color w:val="auto"/>
        </w:rPr>
      </w:pPr>
      <w:r>
        <w:rPr>
          <w:rFonts w:ascii="Arial" w:cs="Arial" w:eastAsia="Arial" w:hAnsi="Arial"/>
          <w:sz w:val="13"/>
          <w:szCs w:val="13"/>
          <w:color w:val="auto"/>
        </w:rPr>
        <w:t xml:space="preserve">the Index is </w:t>
      </w:r>
      <w:r>
        <w:rPr>
          <w:rFonts w:ascii="Arial" w:cs="Arial" w:eastAsia="Arial" w:hAnsi="Arial"/>
          <w:sz w:val="13"/>
          <w:szCs w:val="13"/>
          <w:b w:val="1"/>
          <w:bCs w:val="1"/>
          <w:color w:val="auto"/>
        </w:rPr>
        <w:t>greater</w:t>
      </w:r>
    </w:p>
    <w:p>
      <w:pPr>
        <w:jc w:val="center"/>
        <w:ind w:left="2000"/>
        <w:spacing w:after="0" w:line="235" w:lineRule="auto"/>
        <w:rPr>
          <w:sz w:val="20"/>
          <w:szCs w:val="20"/>
          <w:color w:val="auto"/>
        </w:rPr>
      </w:pPr>
      <w:r>
        <w:rPr>
          <w:rFonts w:ascii="Arial" w:cs="Arial" w:eastAsia="Arial" w:hAnsi="Arial"/>
          <w:sz w:val="12"/>
          <w:szCs w:val="12"/>
          <w:b w:val="1"/>
          <w:bCs w:val="1"/>
          <w:color w:val="auto"/>
        </w:rPr>
        <w:t xml:space="preserve">than or equal to </w:t>
      </w:r>
      <w:r>
        <w:rPr>
          <w:rFonts w:ascii="Arial" w:cs="Arial" w:eastAsia="Arial" w:hAnsi="Arial"/>
          <w:sz w:val="12"/>
          <w:szCs w:val="12"/>
          <w:color w:val="auto"/>
        </w:rPr>
        <w:t>the</w:t>
      </w:r>
    </w:p>
    <w:p>
      <w:pPr>
        <w:jc w:val="center"/>
        <w:ind w:left="2000"/>
        <w:spacing w:after="0"/>
        <w:rPr>
          <w:sz w:val="20"/>
          <w:szCs w:val="20"/>
          <w:color w:val="auto"/>
        </w:rPr>
      </w:pPr>
      <w:r>
        <w:rPr>
          <w:rFonts w:ascii="Arial" w:cs="Arial" w:eastAsia="Arial" w:hAnsi="Arial"/>
          <w:sz w:val="13"/>
          <w:szCs w:val="13"/>
          <w:color w:val="auto"/>
        </w:rPr>
        <w:t>Initial Value.</w:t>
      </w:r>
    </w:p>
    <w:p>
      <w:pPr>
        <w:spacing w:after="0" w:line="390" w:lineRule="exact"/>
        <w:rPr>
          <w:sz w:val="20"/>
          <w:szCs w:val="20"/>
          <w:color w:val="auto"/>
        </w:rPr>
      </w:pPr>
    </w:p>
    <w:p>
      <w:pPr>
        <w:ind w:left="1120"/>
        <w:spacing w:after="0"/>
        <w:rPr>
          <w:sz w:val="20"/>
          <w:szCs w:val="20"/>
          <w:color w:val="auto"/>
        </w:rPr>
      </w:pPr>
      <w:r>
        <w:rPr>
          <w:rFonts w:ascii="Arial" w:cs="Arial" w:eastAsia="Arial" w:hAnsi="Arial"/>
          <w:sz w:val="13"/>
          <w:szCs w:val="13"/>
          <w:color w:val="FFFFFF"/>
        </w:rPr>
        <w:t>Initial</w:t>
      </w:r>
    </w:p>
    <w:p>
      <w:pPr>
        <w:ind w:left="1100"/>
        <w:spacing w:after="0"/>
        <w:rPr>
          <w:sz w:val="20"/>
          <w:szCs w:val="20"/>
          <w:color w:val="auto"/>
        </w:rPr>
      </w:pPr>
      <w:r>
        <w:rPr>
          <w:rFonts w:ascii="Arial" w:cs="Arial" w:eastAsia="Arial" w:hAnsi="Arial"/>
          <w:sz w:val="13"/>
          <w:szCs w:val="13"/>
          <w:color w:val="FFFFFF"/>
        </w:rPr>
        <w:t>Value</w:t>
      </w:r>
    </w:p>
    <w:p>
      <w:pPr>
        <w:spacing w:after="0" w:line="200" w:lineRule="exact"/>
        <w:rPr>
          <w:sz w:val="20"/>
          <w:szCs w:val="20"/>
          <w:color w:val="auto"/>
        </w:rPr>
      </w:pPr>
    </w:p>
    <w:p>
      <w:pPr>
        <w:spacing w:after="0" w:line="217"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The closing level of</w:t>
      </w:r>
    </w:p>
    <w:p>
      <w:pPr>
        <w:jc w:val="center"/>
        <w:ind w:left="2000"/>
        <w:spacing w:after="0" w:line="216" w:lineRule="auto"/>
        <w:rPr>
          <w:sz w:val="20"/>
          <w:szCs w:val="20"/>
          <w:color w:val="auto"/>
        </w:rPr>
      </w:pPr>
      <w:r>
        <w:rPr>
          <w:rFonts w:ascii="Arial" w:cs="Arial" w:eastAsia="Arial" w:hAnsi="Arial"/>
          <w:sz w:val="13"/>
          <w:szCs w:val="13"/>
          <w:color w:val="auto"/>
        </w:rPr>
        <w:t xml:space="preserve">the Index is </w:t>
      </w:r>
      <w:r>
        <w:rPr>
          <w:rFonts w:ascii="Arial" w:cs="Arial" w:eastAsia="Arial" w:hAnsi="Arial"/>
          <w:sz w:val="13"/>
          <w:szCs w:val="13"/>
          <w:b w:val="1"/>
          <w:bCs w:val="1"/>
          <w:color w:val="auto"/>
        </w:rPr>
        <w:t>less</w:t>
      </w:r>
    </w:p>
    <w:p>
      <w:pPr>
        <w:jc w:val="center"/>
        <w:ind w:left="2000"/>
        <w:spacing w:after="0" w:line="217" w:lineRule="auto"/>
        <w:rPr>
          <w:sz w:val="20"/>
          <w:szCs w:val="20"/>
          <w:color w:val="auto"/>
        </w:rPr>
      </w:pPr>
      <w:r>
        <w:rPr>
          <w:rFonts w:ascii="Arial" w:cs="Arial" w:eastAsia="Arial" w:hAnsi="Arial"/>
          <w:sz w:val="13"/>
          <w:szCs w:val="13"/>
          <w:b w:val="1"/>
          <w:bCs w:val="1"/>
          <w:color w:val="auto"/>
        </w:rPr>
        <w:t xml:space="preserve">than </w:t>
      </w:r>
      <w:r>
        <w:rPr>
          <w:rFonts w:ascii="Arial" w:cs="Arial" w:eastAsia="Arial" w:hAnsi="Arial"/>
          <w:sz w:val="13"/>
          <w:szCs w:val="13"/>
          <w:color w:val="auto"/>
        </w:rPr>
        <w:t>the Initial</w:t>
      </w:r>
    </w:p>
    <w:p>
      <w:pPr>
        <w:jc w:val="center"/>
        <w:ind w:left="2000"/>
        <w:spacing w:after="0"/>
        <w:rPr>
          <w:sz w:val="20"/>
          <w:szCs w:val="20"/>
          <w:color w:val="auto"/>
        </w:rPr>
      </w:pPr>
      <w:r>
        <w:rPr>
          <w:rFonts w:ascii="Arial" w:cs="Arial" w:eastAsia="Arial" w:hAnsi="Arial"/>
          <w:sz w:val="13"/>
          <w:szCs w:val="13"/>
          <w:color w:val="auto"/>
        </w:rPr>
        <w:t>Value.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519"/>
        <w:spacing w:after="0"/>
        <w:rPr>
          <w:sz w:val="20"/>
          <w:szCs w:val="20"/>
          <w:color w:val="auto"/>
        </w:rPr>
      </w:pPr>
      <w:r>
        <w:rPr>
          <w:rFonts w:ascii="Arial" w:cs="Arial" w:eastAsia="Arial" w:hAnsi="Arial"/>
          <w:sz w:val="13"/>
          <w:szCs w:val="13"/>
          <w:b w:val="1"/>
          <w:bCs w:val="1"/>
          <w:color w:val="FFFFFF"/>
        </w:rPr>
        <w:t>Automatic Call</w:t>
      </w:r>
    </w:p>
    <w:p>
      <w:pPr>
        <w:spacing w:after="0" w:line="175" w:lineRule="exact"/>
        <w:rPr>
          <w:sz w:val="20"/>
          <w:szCs w:val="20"/>
          <w:color w:val="auto"/>
        </w:rPr>
      </w:pPr>
    </w:p>
    <w:p>
      <w:pPr>
        <w:jc w:val="center"/>
        <w:ind w:left="140" w:right="519"/>
        <w:spacing w:after="0" w:line="233" w:lineRule="auto"/>
        <w:rPr>
          <w:sz w:val="20"/>
          <w:szCs w:val="20"/>
          <w:color w:val="auto"/>
        </w:rPr>
      </w:pPr>
      <w:r>
        <w:rPr>
          <w:rFonts w:ascii="Arial" w:cs="Arial" w:eastAsia="Arial" w:hAnsi="Arial"/>
          <w:sz w:val="13"/>
          <w:szCs w:val="13"/>
          <w:color w:val="auto"/>
        </w:rPr>
        <w:t xml:space="preserve">The notes will be automatically called on the applicable Call Settlement Date, and you will receive (a) $1,000 </w:t>
      </w:r>
      <w:r>
        <w:rPr>
          <w:rFonts w:ascii="Arial" w:cs="Arial" w:eastAsia="Arial" w:hAnsi="Arial"/>
          <w:sz w:val="13"/>
          <w:szCs w:val="13"/>
          <w:i w:val="1"/>
          <w:iCs w:val="1"/>
          <w:color w:val="auto"/>
        </w:rPr>
        <w:t>plus</w:t>
      </w:r>
      <w:r>
        <w:rPr>
          <w:rFonts w:ascii="Arial" w:cs="Arial" w:eastAsia="Arial" w:hAnsi="Arial"/>
          <w:sz w:val="13"/>
          <w:szCs w:val="13"/>
          <w:color w:val="auto"/>
        </w:rPr>
        <w:t xml:space="preserve"> (b) the Contingent Interest Payment applicable to that Interest Review Date.</w:t>
      </w:r>
    </w:p>
    <w:p>
      <w:pPr>
        <w:spacing w:after="0" w:line="107" w:lineRule="exact"/>
        <w:rPr>
          <w:sz w:val="20"/>
          <w:szCs w:val="20"/>
          <w:color w:val="auto"/>
        </w:rPr>
      </w:pPr>
    </w:p>
    <w:p>
      <w:pPr>
        <w:ind w:left="1320"/>
        <w:spacing w:after="0"/>
        <w:rPr>
          <w:sz w:val="20"/>
          <w:szCs w:val="20"/>
          <w:color w:val="auto"/>
        </w:rPr>
      </w:pPr>
      <w:r>
        <w:rPr>
          <w:rFonts w:ascii="Arial" w:cs="Arial" w:eastAsia="Arial" w:hAnsi="Arial"/>
          <w:sz w:val="13"/>
          <w:szCs w:val="13"/>
          <w:i w:val="1"/>
          <w:iCs w:val="1"/>
          <w:color w:val="auto"/>
        </w:rPr>
        <w:t>No further payments will be made on the notes.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shd w:val="clear" w:color="auto" w:fill="C6D8F0"/>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shd w:val="clear" w:color="auto" w:fill="C6D8F0"/>
          </w:tcPr>
          <w:p>
            <w:pPr>
              <w:jc w:val="center"/>
              <w:spacing w:after="0"/>
              <w:rPr>
                <w:sz w:val="20"/>
                <w:szCs w:val="20"/>
                <w:color w:val="auto"/>
              </w:rPr>
            </w:pPr>
            <w:r>
              <w:rPr>
                <w:rFonts w:ascii="Arial" w:cs="Arial" w:eastAsia="Arial" w:hAnsi="Arial"/>
                <w:sz w:val="11"/>
                <w:szCs w:val="11"/>
                <w:color w:val="auto"/>
                <w:w w:val="97"/>
              </w:rPr>
              <w:t>The closing level of the</w:t>
            </w:r>
          </w:p>
        </w:tc>
        <w:tc>
          <w:tcPr>
            <w:tcW w:w="340" w:type="dxa"/>
            <w:vAlign w:val="bottom"/>
          </w:tcPr>
          <w:p>
            <w:pPr>
              <w:spacing w:after="0"/>
              <w:rPr>
                <w:sz w:val="17"/>
                <w:szCs w:val="17"/>
                <w:color w:val="auto"/>
              </w:rPr>
            </w:pPr>
          </w:p>
        </w:tc>
        <w:tc>
          <w:tcPr>
            <w:tcW w:w="2380" w:type="dxa"/>
            <w:vAlign w:val="bottom"/>
            <w:shd w:val="clear" w:color="auto" w:fill="C6D8F0"/>
          </w:tcPr>
          <w:p>
            <w:pPr>
              <w:jc w:val="center"/>
              <w:spacing w:after="0"/>
              <w:rPr>
                <w:sz w:val="20"/>
                <w:szCs w:val="20"/>
                <w:color w:val="auto"/>
              </w:rPr>
            </w:pPr>
            <w:r>
              <w:rPr>
                <w:rFonts w:ascii="Arial" w:cs="Arial" w:eastAsia="Arial" w:hAnsi="Arial"/>
                <w:sz w:val="11"/>
                <w:szCs w:val="11"/>
                <w:color w:val="auto"/>
                <w:w w:val="96"/>
              </w:rPr>
              <w:t>You will receive a Contingent Interest</w:t>
            </w:r>
          </w:p>
        </w:tc>
        <w:tc>
          <w:tcPr>
            <w:tcW w:w="0" w:type="dxa"/>
            <w:vAlign w:val="bottom"/>
          </w:tcPr>
          <w:p>
            <w:pPr>
              <w:spacing w:after="0"/>
              <w:rPr>
                <w:sz w:val="1"/>
                <w:szCs w:val="1"/>
                <w:color w:val="auto"/>
              </w:rPr>
            </w:pPr>
          </w:p>
        </w:tc>
      </w:tr>
      <w:tr>
        <w:trPr>
          <w:trHeight w:val="122"/>
        </w:trPr>
        <w:tc>
          <w:tcPr>
            <w:tcW w:w="800" w:type="dxa"/>
            <w:vAlign w:val="bottom"/>
            <w:shd w:val="clear" w:color="auto" w:fill="C6D8F0"/>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shd w:val="clear" w:color="auto" w:fill="C6D8F0"/>
          </w:tcPr>
          <w:p>
            <w:pPr>
              <w:jc w:val="center"/>
              <w:spacing w:after="0" w:line="122" w:lineRule="exact"/>
              <w:rPr>
                <w:sz w:val="20"/>
                <w:szCs w:val="20"/>
                <w:color w:val="auto"/>
              </w:rPr>
            </w:pPr>
            <w:r>
              <w:rPr>
                <w:rFonts w:ascii="Arial" w:cs="Arial" w:eastAsia="Arial" w:hAnsi="Arial"/>
                <w:sz w:val="11"/>
                <w:szCs w:val="11"/>
                <w:color w:val="auto"/>
                <w:w w:val="97"/>
              </w:rPr>
              <w:t xml:space="preserve">Index is </w:t>
            </w:r>
            <w:r>
              <w:rPr>
                <w:rFonts w:ascii="Arial" w:cs="Arial" w:eastAsia="Arial" w:hAnsi="Arial"/>
                <w:sz w:val="11"/>
                <w:szCs w:val="11"/>
                <w:b w:val="1"/>
                <w:bCs w:val="1"/>
                <w:color w:val="auto"/>
                <w:w w:val="97"/>
              </w:rPr>
              <w:t>greater than or</w:t>
            </w:r>
          </w:p>
        </w:tc>
        <w:tc>
          <w:tcPr>
            <w:tcW w:w="340" w:type="dxa"/>
            <w:vAlign w:val="bottom"/>
          </w:tcPr>
          <w:p>
            <w:pPr>
              <w:spacing w:after="0"/>
              <w:rPr>
                <w:sz w:val="10"/>
                <w:szCs w:val="10"/>
                <w:color w:val="auto"/>
              </w:rPr>
            </w:pPr>
          </w:p>
        </w:tc>
        <w:tc>
          <w:tcPr>
            <w:tcW w:w="2380" w:type="dxa"/>
            <w:vAlign w:val="bottom"/>
            <w:shd w:val="clear" w:color="auto" w:fill="C6D8F0"/>
          </w:tcPr>
          <w:p>
            <w:pPr>
              <w:jc w:val="center"/>
              <w:spacing w:after="0" w:line="122" w:lineRule="exact"/>
              <w:rPr>
                <w:sz w:val="20"/>
                <w:szCs w:val="20"/>
                <w:color w:val="auto"/>
              </w:rPr>
            </w:pPr>
            <w:r>
              <w:rPr>
                <w:rFonts w:ascii="Arial" w:cs="Arial" w:eastAsia="Arial" w:hAnsi="Arial"/>
                <w:sz w:val="11"/>
                <w:szCs w:val="11"/>
                <w:color w:val="auto"/>
                <w:w w:val="98"/>
              </w:rPr>
              <w:t>Payment on the applicable Interest Payment</w:t>
            </w:r>
          </w:p>
        </w:tc>
        <w:tc>
          <w:tcPr>
            <w:tcW w:w="0" w:type="dxa"/>
            <w:vAlign w:val="bottom"/>
          </w:tcPr>
          <w:p>
            <w:pPr>
              <w:spacing w:after="0"/>
              <w:rPr>
                <w:sz w:val="1"/>
                <w:szCs w:val="1"/>
                <w:color w:val="auto"/>
              </w:rPr>
            </w:pPr>
          </w:p>
        </w:tc>
      </w:tr>
      <w:tr>
        <w:trPr>
          <w:trHeight w:val="121"/>
        </w:trPr>
        <w:tc>
          <w:tcPr>
            <w:tcW w:w="800" w:type="dxa"/>
            <w:vAlign w:val="bottom"/>
            <w:shd w:val="clear" w:color="auto" w:fill="C6D8F0"/>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shd w:val="clear" w:color="auto" w:fill="C6D8F0"/>
          </w:tcPr>
          <w:p>
            <w:pPr>
              <w:jc w:val="center"/>
              <w:spacing w:after="0" w:line="122" w:lineRule="exact"/>
              <w:rPr>
                <w:sz w:val="20"/>
                <w:szCs w:val="20"/>
                <w:color w:val="auto"/>
              </w:rPr>
            </w:pPr>
            <w:r>
              <w:rPr>
                <w:rFonts w:ascii="Arial" w:cs="Arial" w:eastAsia="Arial" w:hAnsi="Arial"/>
                <w:sz w:val="11"/>
                <w:szCs w:val="11"/>
                <w:b w:val="1"/>
                <w:bCs w:val="1"/>
                <w:color w:val="auto"/>
                <w:w w:val="97"/>
              </w:rPr>
              <w:t xml:space="preserve">equal to </w:t>
            </w:r>
            <w:r>
              <w:rPr>
                <w:rFonts w:ascii="Arial" w:cs="Arial" w:eastAsia="Arial" w:hAnsi="Arial"/>
                <w:sz w:val="11"/>
                <w:szCs w:val="11"/>
                <w:color w:val="auto"/>
                <w:w w:val="97"/>
              </w:rPr>
              <w:t>the Interest</w:t>
            </w:r>
          </w:p>
        </w:tc>
        <w:tc>
          <w:tcPr>
            <w:tcW w:w="340" w:type="dxa"/>
            <w:vAlign w:val="bottom"/>
          </w:tcPr>
          <w:p>
            <w:pPr>
              <w:spacing w:after="0"/>
              <w:rPr>
                <w:sz w:val="10"/>
                <w:szCs w:val="10"/>
                <w:color w:val="auto"/>
              </w:rPr>
            </w:pPr>
          </w:p>
        </w:tc>
        <w:tc>
          <w:tcPr>
            <w:tcW w:w="2380" w:type="dxa"/>
            <w:vAlign w:val="bottom"/>
            <w:shd w:val="clear" w:color="auto" w:fill="C6D8F0"/>
          </w:tcPr>
          <w:p>
            <w:pPr>
              <w:jc w:val="center"/>
              <w:spacing w:after="0" w:line="122" w:lineRule="exact"/>
              <w:rPr>
                <w:sz w:val="20"/>
                <w:szCs w:val="20"/>
                <w:color w:val="auto"/>
              </w:rPr>
            </w:pPr>
            <w:r>
              <w:rPr>
                <w:rFonts w:ascii="Arial" w:cs="Arial" w:eastAsia="Arial" w:hAnsi="Arial"/>
                <w:sz w:val="11"/>
                <w:szCs w:val="11"/>
                <w:color w:val="auto"/>
                <w:w w:val="98"/>
              </w:rPr>
              <w:t>Date.</w:t>
            </w:r>
          </w:p>
        </w:tc>
        <w:tc>
          <w:tcPr>
            <w:tcW w:w="0" w:type="dxa"/>
            <w:vAlign w:val="bottom"/>
          </w:tcPr>
          <w:p>
            <w:pPr>
              <w:spacing w:after="0"/>
              <w:rPr>
                <w:sz w:val="1"/>
                <w:szCs w:val="1"/>
                <w:color w:val="auto"/>
              </w:rPr>
            </w:pPr>
          </w:p>
        </w:tc>
      </w:tr>
      <w:tr>
        <w:trPr>
          <w:trHeight w:val="142"/>
        </w:trPr>
        <w:tc>
          <w:tcPr>
            <w:tcW w:w="800" w:type="dxa"/>
            <w:vAlign w:val="bottom"/>
            <w:vMerge w:val="restart"/>
            <w:shd w:val="clear" w:color="auto" w:fill="C6D8F0"/>
          </w:tcPr>
          <w:p>
            <w:pPr>
              <w:jc w:val="center"/>
              <w:spacing w:after="0"/>
              <w:rPr>
                <w:sz w:val="20"/>
                <w:szCs w:val="20"/>
                <w:color w:val="auto"/>
              </w:rPr>
            </w:pPr>
            <w:r>
              <w:rPr>
                <w:rFonts w:ascii="Arial" w:cs="Arial" w:eastAsia="Arial" w:hAnsi="Arial"/>
                <w:sz w:val="13"/>
                <w:szCs w:val="13"/>
                <w:color w:val="auto"/>
                <w:w w:val="96"/>
              </w:rPr>
              <w:t>No</w:t>
            </w:r>
          </w:p>
        </w:tc>
        <w:tc>
          <w:tcPr>
            <w:tcW w:w="220" w:type="dxa"/>
            <w:vAlign w:val="bottom"/>
          </w:tcPr>
          <w:p>
            <w:pPr>
              <w:spacing w:after="0"/>
              <w:rPr>
                <w:sz w:val="12"/>
                <w:szCs w:val="12"/>
                <w:color w:val="auto"/>
              </w:rPr>
            </w:pPr>
          </w:p>
        </w:tc>
        <w:tc>
          <w:tcPr>
            <w:tcW w:w="1540" w:type="dxa"/>
            <w:vAlign w:val="bottom"/>
            <w:shd w:val="clear" w:color="auto" w:fill="C6D8F0"/>
          </w:tcPr>
          <w:p>
            <w:pPr>
              <w:jc w:val="center"/>
              <w:spacing w:after="0"/>
              <w:rPr>
                <w:sz w:val="20"/>
                <w:szCs w:val="20"/>
                <w:color w:val="auto"/>
              </w:rPr>
            </w:pPr>
            <w:r>
              <w:rPr>
                <w:rFonts w:ascii="Arial" w:cs="Arial" w:eastAsia="Arial" w:hAnsi="Arial"/>
                <w:sz w:val="11"/>
                <w:szCs w:val="11"/>
                <w:color w:val="auto"/>
                <w:w w:val="99"/>
              </w:rPr>
              <w:t>Barrier.</w:t>
            </w:r>
          </w:p>
        </w:tc>
        <w:tc>
          <w:tcPr>
            <w:tcW w:w="340" w:type="dxa"/>
            <w:vAlign w:val="bottom"/>
          </w:tcPr>
          <w:p>
            <w:pPr>
              <w:spacing w:after="0"/>
              <w:rPr>
                <w:sz w:val="12"/>
                <w:szCs w:val="12"/>
                <w:color w:val="auto"/>
              </w:rPr>
            </w:pPr>
          </w:p>
        </w:tc>
        <w:tc>
          <w:tcPr>
            <w:tcW w:w="2380" w:type="dxa"/>
            <w:vAlign w:val="bottom"/>
            <w:shd w:val="clear" w:color="auto" w:fill="C6D8F0"/>
          </w:tcPr>
          <w:p>
            <w:pPr>
              <w:jc w:val="center"/>
              <w:spacing w:after="0"/>
              <w:rPr>
                <w:sz w:val="20"/>
                <w:szCs w:val="20"/>
                <w:color w:val="auto"/>
              </w:rPr>
            </w:pPr>
            <w:r>
              <w:rPr>
                <w:rFonts w:ascii="Arial" w:cs="Arial" w:eastAsia="Arial" w:hAnsi="Arial"/>
                <w:sz w:val="11"/>
                <w:szCs w:val="11"/>
                <w:color w:val="auto"/>
                <w:w w:val="98"/>
              </w:rPr>
              <w:t>Proceed to the next Interest Review Date.</w:t>
            </w:r>
          </w:p>
        </w:tc>
        <w:tc>
          <w:tcPr>
            <w:tcW w:w="0" w:type="dxa"/>
            <w:vAlign w:val="bottom"/>
          </w:tcPr>
          <w:p>
            <w:pPr>
              <w:spacing w:after="0"/>
              <w:rPr>
                <w:sz w:val="1"/>
                <w:szCs w:val="1"/>
                <w:color w:val="auto"/>
              </w:rPr>
            </w:pPr>
          </w:p>
        </w:tc>
      </w:tr>
      <w:tr>
        <w:trPr>
          <w:trHeight w:val="29"/>
        </w:trPr>
        <w:tc>
          <w:tcPr>
            <w:tcW w:w="800" w:type="dxa"/>
            <w:vAlign w:val="bottom"/>
            <w:vMerge w:val="continue"/>
            <w:shd w:val="clear" w:color="auto" w:fill="C6D8F0"/>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shd w:val="clear" w:color="auto" w:fill="C6D8F0"/>
          </w:tcPr>
          <w:p>
            <w:pPr>
              <w:spacing w:after="0"/>
              <w:rPr>
                <w:sz w:val="2"/>
                <w:szCs w:val="2"/>
                <w:color w:val="auto"/>
              </w:rPr>
            </w:pPr>
          </w:p>
        </w:tc>
        <w:tc>
          <w:tcPr>
            <w:tcW w:w="340" w:type="dxa"/>
            <w:vAlign w:val="bottom"/>
          </w:tcPr>
          <w:p>
            <w:pPr>
              <w:spacing w:after="0"/>
              <w:rPr>
                <w:sz w:val="2"/>
                <w:szCs w:val="2"/>
                <w:color w:val="auto"/>
              </w:rPr>
            </w:pPr>
          </w:p>
        </w:tc>
        <w:tc>
          <w:tcPr>
            <w:tcW w:w="2380" w:type="dxa"/>
            <w:vAlign w:val="bottom"/>
            <w:shd w:val="clear" w:color="auto" w:fill="C6D8F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800" w:type="dxa"/>
            <w:vAlign w:val="bottom"/>
            <w:tcBorders>
              <w:bottom w:val="single" w:sz="8" w:color="C6D8F0"/>
            </w:tcBorders>
            <w:shd w:val="clear" w:color="auto" w:fill="C6D8F0"/>
          </w:tcPr>
          <w:p>
            <w:pPr>
              <w:ind w:left="100"/>
              <w:spacing w:after="0" w:line="135" w:lineRule="exact"/>
              <w:rPr>
                <w:sz w:val="20"/>
                <w:szCs w:val="20"/>
                <w:color w:val="auto"/>
              </w:rPr>
            </w:pPr>
            <w:r>
              <w:rPr>
                <w:rFonts w:ascii="Arial" w:cs="Arial" w:eastAsia="Arial" w:hAnsi="Arial"/>
                <w:sz w:val="13"/>
                <w:szCs w:val="13"/>
                <w:color w:val="auto"/>
              </w:rPr>
              <w:t>Automatic</w:t>
            </w:r>
          </w:p>
        </w:tc>
        <w:tc>
          <w:tcPr>
            <w:tcW w:w="220" w:type="dxa"/>
            <w:vAlign w:val="bottom"/>
          </w:tcPr>
          <w:p>
            <w:pPr>
              <w:spacing w:after="0"/>
              <w:rPr>
                <w:sz w:val="12"/>
                <w:szCs w:val="12"/>
                <w:color w:val="auto"/>
              </w:rPr>
            </w:pPr>
          </w:p>
        </w:tc>
        <w:tc>
          <w:tcPr>
            <w:tcW w:w="1540" w:type="dxa"/>
            <w:vAlign w:val="bottom"/>
            <w:tcBorders>
              <w:bottom w:val="single" w:sz="8" w:color="C6D8F0"/>
            </w:tcBorders>
            <w:shd w:val="clear" w:color="auto" w:fill="C6D8F0"/>
          </w:tcPr>
          <w:p>
            <w:pPr>
              <w:spacing w:after="0"/>
              <w:rPr>
                <w:sz w:val="12"/>
                <w:szCs w:val="12"/>
                <w:color w:val="auto"/>
              </w:rPr>
            </w:pPr>
          </w:p>
        </w:tc>
        <w:tc>
          <w:tcPr>
            <w:tcW w:w="340" w:type="dxa"/>
            <w:vAlign w:val="bottom"/>
          </w:tcPr>
          <w:p>
            <w:pPr>
              <w:spacing w:after="0"/>
              <w:rPr>
                <w:sz w:val="12"/>
                <w:szCs w:val="12"/>
                <w:color w:val="auto"/>
              </w:rPr>
            </w:pPr>
          </w:p>
        </w:tc>
        <w:tc>
          <w:tcPr>
            <w:tcW w:w="2380" w:type="dxa"/>
            <w:vAlign w:val="bottom"/>
            <w:tcBorders>
              <w:bottom w:val="single" w:sz="8" w:color="C6D8F0"/>
            </w:tcBorders>
            <w:shd w:val="clear" w:color="auto" w:fill="C6D8F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shd w:val="clear" w:color="auto" w:fill="C6D8F0"/>
          </w:tcPr>
          <w:p>
            <w:pPr>
              <w:jc w:val="center"/>
              <w:spacing w:after="0" w:line="122" w:lineRule="exact"/>
              <w:rPr>
                <w:sz w:val="20"/>
                <w:szCs w:val="20"/>
                <w:color w:val="auto"/>
              </w:rPr>
            </w:pPr>
            <w:r>
              <w:rPr>
                <w:rFonts w:ascii="Arial" w:cs="Arial" w:eastAsia="Arial" w:hAnsi="Arial"/>
                <w:sz w:val="13"/>
                <w:szCs w:val="13"/>
                <w:color w:val="auto"/>
                <w:w w:val="89"/>
              </w:rPr>
              <w:t>Call</w:t>
            </w: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C6D8F0"/>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shd w:val="clear" w:color="auto" w:fill="C6D8F0"/>
          </w:tcPr>
          <w:p>
            <w:pPr>
              <w:jc w:val="center"/>
              <w:spacing w:after="0"/>
              <w:rPr>
                <w:sz w:val="20"/>
                <w:szCs w:val="20"/>
                <w:color w:val="auto"/>
              </w:rPr>
            </w:pPr>
            <w:r>
              <w:rPr>
                <w:rFonts w:ascii="Arial" w:cs="Arial" w:eastAsia="Arial" w:hAnsi="Arial"/>
                <w:sz w:val="11"/>
                <w:szCs w:val="11"/>
                <w:color w:val="auto"/>
                <w:w w:val="97"/>
              </w:rPr>
              <w:t>The closing level of the</w:t>
            </w:r>
          </w:p>
        </w:tc>
        <w:tc>
          <w:tcPr>
            <w:tcW w:w="340" w:type="dxa"/>
            <w:vAlign w:val="bottom"/>
          </w:tcPr>
          <w:p>
            <w:pPr>
              <w:spacing w:after="0"/>
              <w:rPr>
                <w:sz w:val="17"/>
                <w:szCs w:val="17"/>
                <w:color w:val="auto"/>
              </w:rPr>
            </w:pPr>
          </w:p>
        </w:tc>
        <w:tc>
          <w:tcPr>
            <w:tcW w:w="2380" w:type="dxa"/>
            <w:vAlign w:val="bottom"/>
            <w:shd w:val="clear" w:color="auto" w:fill="C6D8F0"/>
          </w:tcPr>
          <w:p>
            <w:pPr>
              <w:jc w:val="center"/>
              <w:spacing w:after="0"/>
              <w:rPr>
                <w:sz w:val="20"/>
                <w:szCs w:val="20"/>
                <w:color w:val="auto"/>
              </w:rPr>
            </w:pPr>
            <w:r>
              <w:rPr>
                <w:rFonts w:ascii="Arial" w:cs="Arial" w:eastAsia="Arial" w:hAnsi="Arial"/>
                <w:sz w:val="11"/>
                <w:szCs w:val="11"/>
                <w:color w:val="auto"/>
                <w:w w:val="97"/>
              </w:rPr>
              <w:t>No Contingent Interest Payment will be made</w:t>
            </w:r>
          </w:p>
        </w:tc>
        <w:tc>
          <w:tcPr>
            <w:tcW w:w="0" w:type="dxa"/>
            <w:vAlign w:val="bottom"/>
          </w:tcPr>
          <w:p>
            <w:pPr>
              <w:spacing w:after="0"/>
              <w:rPr>
                <w:sz w:val="1"/>
                <w:szCs w:val="1"/>
                <w:color w:val="auto"/>
              </w:rPr>
            </w:pPr>
          </w:p>
        </w:tc>
      </w:tr>
      <w:tr>
        <w:trPr>
          <w:trHeight w:val="121"/>
        </w:trPr>
        <w:tc>
          <w:tcPr>
            <w:tcW w:w="800" w:type="dxa"/>
            <w:vAlign w:val="bottom"/>
            <w:shd w:val="clear" w:color="auto" w:fill="C6D8F0"/>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shd w:val="clear" w:color="auto" w:fill="C6D8F0"/>
          </w:tcPr>
          <w:p>
            <w:pPr>
              <w:jc w:val="center"/>
              <w:spacing w:after="0" w:line="122" w:lineRule="exact"/>
              <w:rPr>
                <w:sz w:val="20"/>
                <w:szCs w:val="20"/>
                <w:color w:val="auto"/>
              </w:rPr>
            </w:pPr>
            <w:r>
              <w:rPr>
                <w:rFonts w:ascii="Arial" w:cs="Arial" w:eastAsia="Arial" w:hAnsi="Arial"/>
                <w:sz w:val="11"/>
                <w:szCs w:val="11"/>
                <w:color w:val="auto"/>
                <w:w w:val="97"/>
              </w:rPr>
              <w:t xml:space="preserve">Index is </w:t>
            </w:r>
            <w:r>
              <w:rPr>
                <w:rFonts w:ascii="Arial" w:cs="Arial" w:eastAsia="Arial" w:hAnsi="Arial"/>
                <w:sz w:val="11"/>
                <w:szCs w:val="11"/>
                <w:b w:val="1"/>
                <w:bCs w:val="1"/>
                <w:color w:val="auto"/>
                <w:w w:val="97"/>
              </w:rPr>
              <w:t>less than</w:t>
            </w:r>
            <w:r>
              <w:rPr>
                <w:rFonts w:ascii="Arial" w:cs="Arial" w:eastAsia="Arial" w:hAnsi="Arial"/>
                <w:sz w:val="11"/>
                <w:szCs w:val="11"/>
                <w:color w:val="auto"/>
                <w:w w:val="97"/>
              </w:rPr>
              <w:t xml:space="preserve"> the</w:t>
            </w:r>
          </w:p>
        </w:tc>
        <w:tc>
          <w:tcPr>
            <w:tcW w:w="340" w:type="dxa"/>
            <w:vAlign w:val="bottom"/>
          </w:tcPr>
          <w:p>
            <w:pPr>
              <w:spacing w:after="0"/>
              <w:rPr>
                <w:sz w:val="10"/>
                <w:szCs w:val="10"/>
                <w:color w:val="auto"/>
              </w:rPr>
            </w:pPr>
          </w:p>
        </w:tc>
        <w:tc>
          <w:tcPr>
            <w:tcW w:w="2380" w:type="dxa"/>
            <w:vAlign w:val="bottom"/>
            <w:shd w:val="clear" w:color="auto" w:fill="C6D8F0"/>
          </w:tcPr>
          <w:p>
            <w:pPr>
              <w:jc w:val="center"/>
              <w:spacing w:after="0" w:line="122" w:lineRule="exact"/>
              <w:rPr>
                <w:sz w:val="20"/>
                <w:szCs w:val="20"/>
                <w:color w:val="auto"/>
              </w:rPr>
            </w:pPr>
            <w:r>
              <w:rPr>
                <w:rFonts w:ascii="Arial" w:cs="Arial" w:eastAsia="Arial" w:hAnsi="Arial"/>
                <w:sz w:val="11"/>
                <w:szCs w:val="11"/>
                <w:color w:val="auto"/>
                <w:w w:val="97"/>
              </w:rPr>
              <w:t>with respect to the applicable Interest Review</w:t>
            </w:r>
          </w:p>
        </w:tc>
        <w:tc>
          <w:tcPr>
            <w:tcW w:w="0" w:type="dxa"/>
            <w:vAlign w:val="bottom"/>
          </w:tcPr>
          <w:p>
            <w:pPr>
              <w:spacing w:after="0"/>
              <w:rPr>
                <w:sz w:val="1"/>
                <w:szCs w:val="1"/>
                <w:color w:val="auto"/>
              </w:rPr>
            </w:pPr>
          </w:p>
        </w:tc>
      </w:tr>
      <w:tr>
        <w:trPr>
          <w:trHeight w:val="122"/>
        </w:trPr>
        <w:tc>
          <w:tcPr>
            <w:tcW w:w="800" w:type="dxa"/>
            <w:vAlign w:val="bottom"/>
            <w:shd w:val="clear" w:color="auto" w:fill="C6D8F0"/>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shd w:val="clear" w:color="auto" w:fill="C6D8F0"/>
          </w:tcPr>
          <w:p>
            <w:pPr>
              <w:jc w:val="center"/>
              <w:spacing w:after="0" w:line="122" w:lineRule="exact"/>
              <w:rPr>
                <w:sz w:val="20"/>
                <w:szCs w:val="20"/>
                <w:color w:val="auto"/>
              </w:rPr>
            </w:pPr>
            <w:r>
              <w:rPr>
                <w:rFonts w:ascii="Arial" w:cs="Arial" w:eastAsia="Arial" w:hAnsi="Arial"/>
                <w:sz w:val="11"/>
                <w:szCs w:val="11"/>
                <w:color w:val="auto"/>
                <w:w w:val="97"/>
              </w:rPr>
              <w:t>Interest Barrier.</w:t>
            </w:r>
          </w:p>
        </w:tc>
        <w:tc>
          <w:tcPr>
            <w:tcW w:w="340" w:type="dxa"/>
            <w:vAlign w:val="bottom"/>
          </w:tcPr>
          <w:p>
            <w:pPr>
              <w:spacing w:after="0"/>
              <w:rPr>
                <w:sz w:val="10"/>
                <w:szCs w:val="10"/>
                <w:color w:val="auto"/>
              </w:rPr>
            </w:pPr>
          </w:p>
        </w:tc>
        <w:tc>
          <w:tcPr>
            <w:tcW w:w="2380" w:type="dxa"/>
            <w:vAlign w:val="bottom"/>
            <w:shd w:val="clear" w:color="auto" w:fill="C6D8F0"/>
          </w:tcPr>
          <w:p>
            <w:pPr>
              <w:jc w:val="center"/>
              <w:spacing w:after="0" w:line="122" w:lineRule="exact"/>
              <w:rPr>
                <w:sz w:val="20"/>
                <w:szCs w:val="20"/>
                <w:color w:val="auto"/>
              </w:rPr>
            </w:pPr>
            <w:r>
              <w:rPr>
                <w:rFonts w:ascii="Arial" w:cs="Arial" w:eastAsia="Arial" w:hAnsi="Arial"/>
                <w:sz w:val="11"/>
                <w:szCs w:val="11"/>
                <w:color w:val="auto"/>
                <w:w w:val="98"/>
              </w:rPr>
              <w:t>Date.</w:t>
            </w:r>
          </w:p>
        </w:tc>
        <w:tc>
          <w:tcPr>
            <w:tcW w:w="0" w:type="dxa"/>
            <w:vAlign w:val="bottom"/>
          </w:tcPr>
          <w:p>
            <w:pPr>
              <w:spacing w:after="0"/>
              <w:rPr>
                <w:sz w:val="1"/>
                <w:szCs w:val="1"/>
                <w:color w:val="auto"/>
              </w:rPr>
            </w:pPr>
          </w:p>
        </w:tc>
      </w:tr>
      <w:tr>
        <w:trPr>
          <w:trHeight w:val="142"/>
        </w:trPr>
        <w:tc>
          <w:tcPr>
            <w:tcW w:w="800" w:type="dxa"/>
            <w:vAlign w:val="bottom"/>
            <w:shd w:val="clear" w:color="auto" w:fill="C6D8F0"/>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shd w:val="clear" w:color="auto" w:fill="C6D8F0"/>
          </w:tcPr>
          <w:p>
            <w:pPr>
              <w:spacing w:after="0"/>
              <w:rPr>
                <w:sz w:val="12"/>
                <w:szCs w:val="12"/>
                <w:color w:val="auto"/>
              </w:rPr>
            </w:pPr>
          </w:p>
        </w:tc>
        <w:tc>
          <w:tcPr>
            <w:tcW w:w="340" w:type="dxa"/>
            <w:vAlign w:val="bottom"/>
          </w:tcPr>
          <w:p>
            <w:pPr>
              <w:spacing w:after="0"/>
              <w:rPr>
                <w:sz w:val="12"/>
                <w:szCs w:val="12"/>
                <w:color w:val="auto"/>
              </w:rPr>
            </w:pPr>
          </w:p>
        </w:tc>
        <w:tc>
          <w:tcPr>
            <w:tcW w:w="2380" w:type="dxa"/>
            <w:vAlign w:val="bottom"/>
            <w:shd w:val="clear" w:color="auto" w:fill="C6D8F0"/>
          </w:tcPr>
          <w:p>
            <w:pPr>
              <w:jc w:val="center"/>
              <w:spacing w:after="0"/>
              <w:rPr>
                <w:sz w:val="20"/>
                <w:szCs w:val="20"/>
                <w:color w:val="auto"/>
              </w:rPr>
            </w:pPr>
            <w:r>
              <w:rPr>
                <w:rFonts w:ascii="Arial" w:cs="Arial" w:eastAsia="Arial" w:hAnsi="Arial"/>
                <w:sz w:val="11"/>
                <w:szCs w:val="11"/>
                <w:color w:val="auto"/>
                <w:w w:val="98"/>
              </w:rPr>
              <w:t>Proceed to the next Interest Review Date.</w:t>
            </w:r>
          </w:p>
        </w:tc>
        <w:tc>
          <w:tcPr>
            <w:tcW w:w="0" w:type="dxa"/>
            <w:vAlign w:val="bottom"/>
          </w:tcPr>
          <w:p>
            <w:pPr>
              <w:spacing w:after="0"/>
              <w:rPr>
                <w:sz w:val="1"/>
                <w:szCs w:val="1"/>
                <w:color w:val="auto"/>
              </w:rPr>
            </w:pPr>
          </w:p>
        </w:tc>
      </w:tr>
      <w:tr>
        <w:trPr>
          <w:trHeight w:val="236"/>
        </w:trPr>
        <w:tc>
          <w:tcPr>
            <w:tcW w:w="800" w:type="dxa"/>
            <w:vAlign w:val="bottom"/>
            <w:shd w:val="clear" w:color="auto" w:fill="C6D8F0"/>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shd w:val="clear" w:color="auto" w:fill="C6D8F0"/>
          </w:tcPr>
          <w:p>
            <w:pPr>
              <w:spacing w:after="0"/>
              <w:rPr>
                <w:sz w:val="20"/>
                <w:szCs w:val="20"/>
                <w:color w:val="auto"/>
              </w:rPr>
            </w:pPr>
          </w:p>
        </w:tc>
        <w:tc>
          <w:tcPr>
            <w:tcW w:w="340" w:type="dxa"/>
            <w:vAlign w:val="bottom"/>
          </w:tcPr>
          <w:p>
            <w:pPr>
              <w:spacing w:after="0"/>
              <w:rPr>
                <w:sz w:val="20"/>
                <w:szCs w:val="20"/>
                <w:color w:val="auto"/>
              </w:rPr>
            </w:pPr>
          </w:p>
        </w:tc>
        <w:tc>
          <w:tcPr>
            <w:tcW w:w="2380" w:type="dxa"/>
            <w:vAlign w:val="bottom"/>
            <w:shd w:val="clear" w:color="auto" w:fill="C6D8F0"/>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160" w:space="440"/>
            <w:col w:w="5779"/>
          </w:cols>
          <w:pgMar w:left="1080" w:top="13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PS-5| Structured Investments</w:t>
      </w:r>
    </w:p>
    <w:p>
      <w:pPr>
        <w:spacing w:after="0" w:line="91" w:lineRule="exact"/>
        <w:rPr>
          <w:sz w:val="20"/>
          <w:szCs w:val="20"/>
          <w:color w:val="auto"/>
        </w:rPr>
      </w:pPr>
    </w:p>
    <w:p>
      <w:pPr>
        <w:ind w:left="20" w:right="4119"/>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379"/>
          </w:cols>
          <w:pgMar w:left="1080" w:top="1322"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54301A"/>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Payment at Maturity If the Notes Have Not Been Automatically Called</w:t>
      </w:r>
    </w:p>
    <w:p>
      <w:pPr>
        <w:spacing w:after="0" w:line="74" w:lineRule="exact"/>
        <w:rPr>
          <w:sz w:val="20"/>
          <w:szCs w:val="20"/>
          <w:color w:val="auto"/>
        </w:rPr>
      </w:pPr>
    </w:p>
    <w:tbl>
      <w:tblPr>
        <w:tblLayout w:type="fixed"/>
        <w:tblInd w:w="720" w:type="dxa"/>
        <w:tblCellMar>
          <w:top w:w="0" w:type="dxa"/>
          <w:left w:w="0" w:type="dxa"/>
          <w:bottom w:w="0" w:type="dxa"/>
          <w:right w:w="0" w:type="dxa"/>
        </w:tblCellMar>
      </w:tblPr>
      <w:tr>
        <w:trPr>
          <w:trHeight w:val="138"/>
        </w:trPr>
        <w:tc>
          <w:tcPr>
            <w:tcW w:w="2000" w:type="dxa"/>
            <w:vAlign w:val="bottom"/>
            <w:gridSpan w:val="2"/>
            <w:shd w:val="clear" w:color="auto" w:fill="8DB1E2"/>
          </w:tcPr>
          <w:p>
            <w:pPr>
              <w:ind w:left="240"/>
              <w:spacing w:after="0"/>
              <w:rPr>
                <w:sz w:val="20"/>
                <w:szCs w:val="20"/>
                <w:color w:val="auto"/>
              </w:rPr>
            </w:pPr>
            <w:r>
              <w:rPr>
                <w:rFonts w:ascii="Arial" w:cs="Arial" w:eastAsia="Arial" w:hAnsi="Arial"/>
                <w:sz w:val="12"/>
                <w:szCs w:val="12"/>
                <w:b w:val="1"/>
                <w:bCs w:val="1"/>
                <w:color w:val="auto"/>
              </w:rPr>
              <w:t>Autocall Review Dates</w:t>
            </w:r>
          </w:p>
        </w:tc>
        <w:tc>
          <w:tcPr>
            <w:tcW w:w="220" w:type="dxa"/>
            <w:vAlign w:val="bottom"/>
          </w:tcPr>
          <w:p>
            <w:pPr>
              <w:spacing w:after="0"/>
              <w:rPr>
                <w:sz w:val="12"/>
                <w:szCs w:val="12"/>
                <w:color w:val="auto"/>
              </w:rPr>
            </w:pPr>
          </w:p>
        </w:tc>
        <w:tc>
          <w:tcPr>
            <w:tcW w:w="3480" w:type="dxa"/>
            <w:vAlign w:val="bottom"/>
            <w:gridSpan w:val="2"/>
            <w:vMerge w:val="restart"/>
            <w:shd w:val="clear" w:color="auto" w:fill="BFBFBF"/>
          </w:tcPr>
          <w:p>
            <w:pPr>
              <w:ind w:left="1060"/>
              <w:spacing w:after="0"/>
              <w:rPr>
                <w:sz w:val="20"/>
                <w:szCs w:val="20"/>
                <w:color w:val="auto"/>
              </w:rPr>
            </w:pPr>
            <w:r>
              <w:rPr>
                <w:rFonts w:ascii="Arial" w:cs="Arial" w:eastAsia="Arial" w:hAnsi="Arial"/>
                <w:sz w:val="13"/>
                <w:szCs w:val="13"/>
                <w:b w:val="1"/>
                <w:bCs w:val="1"/>
                <w:color w:val="auto"/>
              </w:rPr>
              <w:t>Final Review Date</w:t>
            </w:r>
          </w:p>
        </w:tc>
        <w:tc>
          <w:tcPr>
            <w:tcW w:w="220" w:type="dxa"/>
            <w:vAlign w:val="bottom"/>
          </w:tcPr>
          <w:p>
            <w:pPr>
              <w:spacing w:after="0"/>
              <w:rPr>
                <w:sz w:val="12"/>
                <w:szCs w:val="12"/>
                <w:color w:val="auto"/>
              </w:rPr>
            </w:pPr>
          </w:p>
        </w:tc>
        <w:tc>
          <w:tcPr>
            <w:tcW w:w="2360" w:type="dxa"/>
            <w:vAlign w:val="bottom"/>
            <w:vMerge w:val="restart"/>
            <w:shd w:val="clear" w:color="auto" w:fill="8DB1E2"/>
          </w:tcPr>
          <w:p>
            <w:pPr>
              <w:jc w:val="center"/>
              <w:spacing w:after="0"/>
              <w:rPr>
                <w:sz w:val="20"/>
                <w:szCs w:val="20"/>
                <w:color w:val="auto"/>
              </w:rPr>
            </w:pPr>
            <w:r>
              <w:rPr>
                <w:rFonts w:ascii="Arial" w:cs="Arial" w:eastAsia="Arial" w:hAnsi="Arial"/>
                <w:sz w:val="13"/>
                <w:szCs w:val="13"/>
                <w:b w:val="1"/>
                <w:bCs w:val="1"/>
                <w:color w:val="auto"/>
                <w:w w:val="97"/>
              </w:rPr>
              <w:t>Payment at Maturity</w:t>
            </w:r>
          </w:p>
        </w:tc>
        <w:tc>
          <w:tcPr>
            <w:tcW w:w="0" w:type="dxa"/>
            <w:vAlign w:val="bottom"/>
          </w:tcPr>
          <w:p>
            <w:pPr>
              <w:spacing w:after="0"/>
              <w:rPr>
                <w:sz w:val="1"/>
                <w:szCs w:val="1"/>
                <w:color w:val="auto"/>
              </w:rPr>
            </w:pPr>
          </w:p>
        </w:tc>
      </w:tr>
      <w:tr>
        <w:trPr>
          <w:trHeight w:val="135"/>
        </w:trPr>
        <w:tc>
          <w:tcPr>
            <w:tcW w:w="2000" w:type="dxa"/>
            <w:vAlign w:val="bottom"/>
            <w:gridSpan w:val="2"/>
            <w:shd w:val="clear" w:color="auto" w:fill="8DB1E2"/>
          </w:tcPr>
          <w:p>
            <w:pPr>
              <w:ind w:left="100"/>
              <w:spacing w:after="0" w:line="135" w:lineRule="exact"/>
              <w:rPr>
                <w:sz w:val="20"/>
                <w:szCs w:val="20"/>
                <w:color w:val="auto"/>
              </w:rPr>
            </w:pPr>
            <w:r>
              <w:rPr>
                <w:rFonts w:ascii="Arial" w:cs="Arial" w:eastAsia="Arial" w:hAnsi="Arial"/>
                <w:sz w:val="12"/>
                <w:szCs w:val="12"/>
                <w:b w:val="1"/>
                <w:bCs w:val="1"/>
                <w:color w:val="auto"/>
              </w:rPr>
              <w:t>Preceding the Final Review</w:t>
            </w:r>
          </w:p>
        </w:tc>
        <w:tc>
          <w:tcPr>
            <w:tcW w:w="220" w:type="dxa"/>
            <w:vAlign w:val="bottom"/>
          </w:tcPr>
          <w:p>
            <w:pPr>
              <w:spacing w:after="0"/>
              <w:rPr>
                <w:sz w:val="11"/>
                <w:szCs w:val="11"/>
                <w:color w:val="auto"/>
              </w:rPr>
            </w:pPr>
          </w:p>
        </w:tc>
        <w:tc>
          <w:tcPr>
            <w:tcW w:w="3480" w:type="dxa"/>
            <w:vAlign w:val="bottom"/>
            <w:gridSpan w:val="2"/>
            <w:vMerge w:val="continue"/>
            <w:shd w:val="clear" w:color="auto" w:fill="BFBFBF"/>
          </w:tcPr>
          <w:p>
            <w:pPr>
              <w:spacing w:after="0"/>
              <w:rPr>
                <w:sz w:val="11"/>
                <w:szCs w:val="11"/>
                <w:color w:val="auto"/>
              </w:rPr>
            </w:pPr>
          </w:p>
        </w:tc>
        <w:tc>
          <w:tcPr>
            <w:tcW w:w="220" w:type="dxa"/>
            <w:vAlign w:val="bottom"/>
          </w:tcPr>
          <w:p>
            <w:pPr>
              <w:spacing w:after="0"/>
              <w:rPr>
                <w:sz w:val="11"/>
                <w:szCs w:val="11"/>
                <w:color w:val="auto"/>
              </w:rPr>
            </w:pPr>
          </w:p>
        </w:tc>
        <w:tc>
          <w:tcPr>
            <w:tcW w:w="2360" w:type="dxa"/>
            <w:vAlign w:val="bottom"/>
            <w:vMerge w:val="continue"/>
            <w:shd w:val="clear" w:color="auto" w:fill="8DB1E2"/>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00" w:type="dxa"/>
            <w:vAlign w:val="bottom"/>
            <w:gridSpan w:val="2"/>
            <w:shd w:val="clear" w:color="auto" w:fill="8DB1E2"/>
          </w:tcPr>
          <w:p>
            <w:pPr>
              <w:ind w:left="740"/>
              <w:spacing w:after="0"/>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3"/>
                <w:szCs w:val="13"/>
                <w:color w:val="auto"/>
              </w:rPr>
            </w:pPr>
          </w:p>
        </w:tc>
        <w:tc>
          <w:tcPr>
            <w:tcW w:w="2780" w:type="dxa"/>
            <w:vAlign w:val="bottom"/>
            <w:shd w:val="clear" w:color="auto" w:fill="BFBFBF"/>
          </w:tcPr>
          <w:p>
            <w:pPr>
              <w:spacing w:after="0"/>
              <w:rPr>
                <w:sz w:val="13"/>
                <w:szCs w:val="13"/>
                <w:color w:val="auto"/>
              </w:rPr>
            </w:pPr>
          </w:p>
        </w:tc>
        <w:tc>
          <w:tcPr>
            <w:tcW w:w="700" w:type="dxa"/>
            <w:vAlign w:val="bottom"/>
            <w:shd w:val="clear" w:color="auto" w:fill="BFBFBF"/>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shd w:val="clear" w:color="auto" w:fill="8DB1E2"/>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00" w:type="dxa"/>
            <w:vAlign w:val="bottom"/>
            <w:gridSpan w:val="2"/>
            <w:vMerge w:val="restart"/>
          </w:tcPr>
          <w:p>
            <w:pPr>
              <w:ind w:left="100"/>
              <w:spacing w:after="0"/>
              <w:rPr>
                <w:sz w:val="20"/>
                <w:szCs w:val="20"/>
                <w:color w:val="auto"/>
              </w:rPr>
            </w:pPr>
            <w:r>
              <w:rPr>
                <w:rFonts w:ascii="Arial" w:cs="Arial" w:eastAsia="Arial" w:hAnsi="Arial"/>
                <w:sz w:val="13"/>
                <w:szCs w:val="13"/>
                <w:color w:val="auto"/>
              </w:rPr>
              <w:t>The notes are not</w:t>
            </w:r>
          </w:p>
        </w:tc>
        <w:tc>
          <w:tcPr>
            <w:tcW w:w="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780" w:type="dxa"/>
            <w:vAlign w:val="bottom"/>
            <w:shd w:val="clear" w:color="auto" w:fill="BFBFBF"/>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60" w:type="dxa"/>
            <w:vAlign w:val="bottom"/>
            <w:shd w:val="clear" w:color="auto" w:fill="C6D8F0"/>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2000" w:type="dxa"/>
            <w:vAlign w:val="bottom"/>
            <w:gridSpan w:val="2"/>
          </w:tcPr>
          <w:p>
            <w:pPr>
              <w:ind w:left="100"/>
              <w:spacing w:after="0"/>
              <w:rPr>
                <w:sz w:val="20"/>
                <w:szCs w:val="20"/>
                <w:color w:val="auto"/>
              </w:rPr>
            </w:pPr>
            <w:r>
              <w:rPr>
                <w:rFonts w:ascii="Arial" w:cs="Arial" w:eastAsia="Arial" w:hAnsi="Arial"/>
                <w:sz w:val="13"/>
                <w:szCs w:val="13"/>
                <w:color w:val="auto"/>
              </w:rPr>
              <w:t>automatically called.</w:t>
            </w:r>
          </w:p>
        </w:tc>
        <w:tc>
          <w:tcPr>
            <w:tcW w:w="220" w:type="dxa"/>
            <w:vAlign w:val="bottom"/>
          </w:tcPr>
          <w:p>
            <w:pPr>
              <w:spacing w:after="0"/>
              <w:rPr>
                <w:sz w:val="14"/>
                <w:szCs w:val="14"/>
                <w:color w:val="auto"/>
              </w:rPr>
            </w:pPr>
          </w:p>
        </w:tc>
        <w:tc>
          <w:tcPr>
            <w:tcW w:w="2780" w:type="dxa"/>
            <w:vAlign w:val="bottom"/>
            <w:shd w:val="clear" w:color="auto" w:fill="BFBFBF"/>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shd w:val="clear" w:color="auto" w:fill="C6D8F0"/>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78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6"/>
              </w:rPr>
              <w:t xml:space="preserve">The Final Value is </w:t>
            </w:r>
            <w:r>
              <w:rPr>
                <w:rFonts w:ascii="Arial" w:cs="Arial" w:eastAsia="Arial" w:hAnsi="Arial"/>
                <w:sz w:val="13"/>
                <w:szCs w:val="13"/>
                <w:b w:val="1"/>
                <w:bCs w:val="1"/>
                <w:color w:val="auto"/>
                <w:w w:val="96"/>
              </w:rPr>
              <w:t>greater than or equal to</w:t>
            </w: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360" w:type="dxa"/>
            <w:vAlign w:val="bottom"/>
            <w:vMerge w:val="restart"/>
            <w:shd w:val="clear" w:color="auto" w:fill="C6D8F0"/>
          </w:tcPr>
          <w:p>
            <w:pPr>
              <w:jc w:val="center"/>
              <w:spacing w:after="0"/>
              <w:rPr>
                <w:sz w:val="20"/>
                <w:szCs w:val="20"/>
                <w:color w:val="auto"/>
              </w:rPr>
            </w:pPr>
            <w:r>
              <w:rPr>
                <w:rFonts w:ascii="Arial" w:cs="Arial" w:eastAsia="Arial" w:hAnsi="Arial"/>
                <w:sz w:val="13"/>
                <w:szCs w:val="13"/>
                <w:color w:val="auto"/>
                <w:w w:val="96"/>
              </w:rPr>
              <w:t xml:space="preserve">You will receive (a) $1,000 </w:t>
            </w:r>
            <w:r>
              <w:rPr>
                <w:rFonts w:ascii="Arial" w:cs="Arial" w:eastAsia="Arial" w:hAnsi="Arial"/>
                <w:sz w:val="13"/>
                <w:szCs w:val="13"/>
                <w:i w:val="1"/>
                <w:iCs w:val="1"/>
                <w:color w:val="auto"/>
                <w:w w:val="96"/>
              </w:rPr>
              <w:t>plus</w:t>
            </w:r>
            <w:r>
              <w:rPr>
                <w:rFonts w:ascii="Arial" w:cs="Arial" w:eastAsia="Arial" w:hAnsi="Arial"/>
                <w:sz w:val="13"/>
                <w:szCs w:val="13"/>
                <w:color w:val="auto"/>
                <w:w w:val="96"/>
              </w:rPr>
              <w:t xml:space="preserve"> (b) the</w:t>
            </w:r>
          </w:p>
        </w:tc>
        <w:tc>
          <w:tcPr>
            <w:tcW w:w="0" w:type="dxa"/>
            <w:vAlign w:val="bottom"/>
          </w:tcPr>
          <w:p>
            <w:pPr>
              <w:spacing w:after="0"/>
              <w:rPr>
                <w:sz w:val="1"/>
                <w:szCs w:val="1"/>
                <w:color w:val="auto"/>
              </w:rPr>
            </w:pPr>
          </w:p>
        </w:tc>
      </w:tr>
      <w:tr>
        <w:trPr>
          <w:trHeight w:val="333"/>
        </w:trPr>
        <w:tc>
          <w:tcPr>
            <w:tcW w:w="1560" w:type="dxa"/>
            <w:vAlign w:val="bottom"/>
            <w:shd w:val="clear" w:color="auto" w:fill="8DB1E2"/>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vMerge w:val="continue"/>
            <w:shd w:val="clear" w:color="auto" w:fill="BFBFBF"/>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vMerge w:val="continue"/>
            <w:shd w:val="clear" w:color="auto" w:fill="C6D8F0"/>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8DB1E2"/>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shd w:val="clear" w:color="auto" w:fill="BFBFBF"/>
          </w:tcPr>
          <w:p>
            <w:pPr>
              <w:jc w:val="center"/>
              <w:spacing w:after="0" w:line="135" w:lineRule="exact"/>
              <w:rPr>
                <w:sz w:val="20"/>
                <w:szCs w:val="20"/>
                <w:color w:val="auto"/>
              </w:rPr>
            </w:pPr>
            <w:r>
              <w:rPr>
                <w:rFonts w:ascii="Arial" w:cs="Arial" w:eastAsia="Arial" w:hAnsi="Arial"/>
                <w:sz w:val="13"/>
                <w:szCs w:val="13"/>
                <w:color w:val="auto"/>
                <w:w w:val="96"/>
              </w:rPr>
              <w:t>the Trigger Value.</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60" w:type="dxa"/>
            <w:vAlign w:val="bottom"/>
            <w:shd w:val="clear" w:color="auto" w:fill="C6D8F0"/>
          </w:tcPr>
          <w:p>
            <w:pPr>
              <w:jc w:val="center"/>
              <w:spacing w:after="0" w:line="135" w:lineRule="exact"/>
              <w:rPr>
                <w:sz w:val="20"/>
                <w:szCs w:val="20"/>
                <w:color w:val="auto"/>
              </w:rPr>
            </w:pPr>
            <w:r>
              <w:rPr>
                <w:rFonts w:ascii="Arial" w:cs="Arial" w:eastAsia="Arial" w:hAnsi="Arial"/>
                <w:sz w:val="13"/>
                <w:szCs w:val="13"/>
                <w:color w:val="auto"/>
                <w:w w:val="95"/>
              </w:rPr>
              <w:t>Contingent Interest Payment, if any,</w:t>
            </w:r>
          </w:p>
        </w:tc>
        <w:tc>
          <w:tcPr>
            <w:tcW w:w="0" w:type="dxa"/>
            <w:vAlign w:val="bottom"/>
          </w:tcPr>
          <w:p>
            <w:pPr>
              <w:spacing w:after="0"/>
              <w:rPr>
                <w:sz w:val="1"/>
                <w:szCs w:val="1"/>
                <w:color w:val="auto"/>
              </w:rPr>
            </w:pPr>
          </w:p>
        </w:tc>
      </w:tr>
      <w:tr>
        <w:trPr>
          <w:trHeight w:val="166"/>
        </w:trPr>
        <w:tc>
          <w:tcPr>
            <w:tcW w:w="1560" w:type="dxa"/>
            <w:vAlign w:val="bottom"/>
            <w:shd w:val="clear" w:color="auto" w:fill="8DB1E2"/>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shd w:val="clear" w:color="auto" w:fill="BFBFBF"/>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shd w:val="clear" w:color="auto" w:fill="C6D8F0"/>
          </w:tcPr>
          <w:p>
            <w:pPr>
              <w:jc w:val="center"/>
              <w:spacing w:after="0"/>
              <w:rPr>
                <w:sz w:val="20"/>
                <w:szCs w:val="20"/>
                <w:color w:val="auto"/>
              </w:rPr>
            </w:pPr>
            <w:r>
              <w:rPr>
                <w:rFonts w:ascii="Arial" w:cs="Arial" w:eastAsia="Arial" w:hAnsi="Arial"/>
                <w:sz w:val="13"/>
                <w:szCs w:val="13"/>
                <w:color w:val="auto"/>
                <w:w w:val="97"/>
              </w:rPr>
              <w:t>applicable to the final Review Date.</w:t>
            </w:r>
          </w:p>
        </w:tc>
        <w:tc>
          <w:tcPr>
            <w:tcW w:w="0" w:type="dxa"/>
            <w:vAlign w:val="bottom"/>
          </w:tcPr>
          <w:p>
            <w:pPr>
              <w:spacing w:after="0"/>
              <w:rPr>
                <w:sz w:val="1"/>
                <w:szCs w:val="1"/>
                <w:color w:val="auto"/>
              </w:rPr>
            </w:pPr>
          </w:p>
        </w:tc>
      </w:tr>
      <w:tr>
        <w:trPr>
          <w:trHeight w:val="392"/>
        </w:trPr>
        <w:tc>
          <w:tcPr>
            <w:tcW w:w="1560" w:type="dxa"/>
            <w:vAlign w:val="bottom"/>
            <w:vMerge w:val="restart"/>
            <w:shd w:val="clear" w:color="auto" w:fill="8DB1E2"/>
          </w:tcPr>
          <w:p>
            <w:pPr>
              <w:ind w:left="100"/>
              <w:spacing w:after="0"/>
              <w:rPr>
                <w:sz w:val="20"/>
                <w:szCs w:val="20"/>
                <w:color w:val="auto"/>
              </w:rPr>
            </w:pPr>
            <w:r>
              <w:rPr>
                <w:rFonts w:ascii="Arial" w:cs="Arial" w:eastAsia="Arial" w:hAnsi="Arial"/>
                <w:sz w:val="13"/>
                <w:szCs w:val="13"/>
                <w:color w:val="auto"/>
              </w:rPr>
              <w:t>Proceed to maturity</w:t>
            </w:r>
          </w:p>
        </w:tc>
        <w:tc>
          <w:tcPr>
            <w:tcW w:w="44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shd w:val="clear" w:color="auto" w:fill="BFBFBF"/>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shd w:val="clear" w:color="auto" w:fill="C6D8F0"/>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560" w:type="dxa"/>
            <w:vAlign w:val="bottom"/>
            <w:vMerge w:val="continue"/>
            <w:shd w:val="clear" w:color="auto" w:fill="8DB1E2"/>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1560" w:type="dxa"/>
            <w:vAlign w:val="bottom"/>
            <w:shd w:val="clear" w:color="auto" w:fill="8DB1E2"/>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80" w:type="dxa"/>
            <w:vAlign w:val="bottom"/>
            <w:shd w:val="clear" w:color="auto" w:fill="BFBFBF"/>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shd w:val="clear" w:color="auto" w:fill="C6D8F0"/>
          </w:tcPr>
          <w:p>
            <w:pPr>
              <w:jc w:val="center"/>
              <w:spacing w:after="0"/>
              <w:rPr>
                <w:sz w:val="20"/>
                <w:szCs w:val="20"/>
                <w:color w:val="auto"/>
              </w:rPr>
            </w:pPr>
            <w:r>
              <w:rPr>
                <w:rFonts w:ascii="Arial" w:cs="Arial" w:eastAsia="Arial" w:hAnsi="Arial"/>
                <w:sz w:val="13"/>
                <w:szCs w:val="13"/>
                <w:color w:val="auto"/>
                <w:w w:val="95"/>
              </w:rPr>
              <w:t>You will receive:</w:t>
            </w:r>
          </w:p>
        </w:tc>
        <w:tc>
          <w:tcPr>
            <w:tcW w:w="0" w:type="dxa"/>
            <w:vAlign w:val="bottom"/>
          </w:tcPr>
          <w:p>
            <w:pPr>
              <w:spacing w:after="0"/>
              <w:rPr>
                <w:sz w:val="1"/>
                <w:szCs w:val="1"/>
                <w:color w:val="auto"/>
              </w:rPr>
            </w:pPr>
          </w:p>
        </w:tc>
      </w:tr>
      <w:tr>
        <w:trPr>
          <w:trHeight w:val="166"/>
        </w:trPr>
        <w:tc>
          <w:tcPr>
            <w:tcW w:w="1560" w:type="dxa"/>
            <w:vAlign w:val="bottom"/>
            <w:shd w:val="clear" w:color="auto" w:fill="8DB1E2"/>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vMerge w:val="restart"/>
            <w:shd w:val="clear" w:color="auto" w:fill="BFBFBF"/>
          </w:tcPr>
          <w:p>
            <w:pPr>
              <w:jc w:val="center"/>
              <w:spacing w:after="0"/>
              <w:rPr>
                <w:sz w:val="20"/>
                <w:szCs w:val="20"/>
                <w:color w:val="auto"/>
              </w:rPr>
            </w:pPr>
            <w:r>
              <w:rPr>
                <w:rFonts w:ascii="Arial" w:cs="Arial" w:eastAsia="Arial" w:hAnsi="Arial"/>
                <w:sz w:val="13"/>
                <w:szCs w:val="13"/>
                <w:color w:val="auto"/>
                <w:w w:val="96"/>
              </w:rPr>
              <w:t xml:space="preserve">The Final Value is </w:t>
            </w:r>
            <w:r>
              <w:rPr>
                <w:rFonts w:ascii="Arial" w:cs="Arial" w:eastAsia="Arial" w:hAnsi="Arial"/>
                <w:sz w:val="13"/>
                <w:szCs w:val="13"/>
                <w:b w:val="1"/>
                <w:bCs w:val="1"/>
                <w:color w:val="auto"/>
                <w:w w:val="96"/>
              </w:rPr>
              <w:t>less than</w:t>
            </w:r>
            <w:r>
              <w:rPr>
                <w:rFonts w:ascii="Arial" w:cs="Arial" w:eastAsia="Arial" w:hAnsi="Arial"/>
                <w:sz w:val="13"/>
                <w:szCs w:val="13"/>
                <w:color w:val="auto"/>
                <w:w w:val="96"/>
              </w:rPr>
              <w:t xml:space="preserve"> the Trigger</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shd w:val="clear" w:color="auto" w:fill="C6D8F0"/>
          </w:tcPr>
          <w:p>
            <w:pPr>
              <w:jc w:val="center"/>
              <w:spacing w:after="0"/>
              <w:rPr>
                <w:sz w:val="20"/>
                <w:szCs w:val="20"/>
                <w:color w:val="auto"/>
              </w:rPr>
            </w:pPr>
            <w:r>
              <w:rPr>
                <w:rFonts w:ascii="Arial" w:cs="Arial" w:eastAsia="Arial" w:hAnsi="Arial"/>
                <w:sz w:val="13"/>
                <w:szCs w:val="13"/>
                <w:color w:val="auto"/>
                <w:w w:val="96"/>
              </w:rPr>
              <w:t>$1,000 + ($1,000 × Index Return)</w:t>
            </w:r>
          </w:p>
        </w:tc>
        <w:tc>
          <w:tcPr>
            <w:tcW w:w="0" w:type="dxa"/>
            <w:vAlign w:val="bottom"/>
          </w:tcPr>
          <w:p>
            <w:pPr>
              <w:spacing w:after="0"/>
              <w:rPr>
                <w:sz w:val="1"/>
                <w:szCs w:val="1"/>
                <w:color w:val="auto"/>
              </w:rPr>
            </w:pPr>
          </w:p>
        </w:tc>
      </w:tr>
      <w:tr>
        <w:trPr>
          <w:trHeight w:val="90"/>
        </w:trPr>
        <w:tc>
          <w:tcPr>
            <w:tcW w:w="1560" w:type="dxa"/>
            <w:vAlign w:val="bottom"/>
            <w:shd w:val="clear" w:color="auto" w:fill="8DB1E2"/>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780" w:type="dxa"/>
            <w:vAlign w:val="bottom"/>
            <w:vMerge w:val="continue"/>
            <w:shd w:val="clear" w:color="auto" w:fill="BFBFBF"/>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60" w:type="dxa"/>
            <w:vAlign w:val="bottom"/>
            <w:shd w:val="clear" w:color="auto" w:fill="C6D8F0"/>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560" w:type="dxa"/>
            <w:vAlign w:val="bottom"/>
            <w:shd w:val="clear" w:color="auto" w:fill="8DB1E2"/>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80" w:type="dxa"/>
            <w:vAlign w:val="bottom"/>
            <w:shd w:val="clear" w:color="auto" w:fill="BFBFBF"/>
          </w:tcPr>
          <w:p>
            <w:pPr>
              <w:jc w:val="center"/>
              <w:spacing w:after="0"/>
              <w:rPr>
                <w:sz w:val="20"/>
                <w:szCs w:val="20"/>
                <w:color w:val="auto"/>
              </w:rPr>
            </w:pPr>
            <w:r>
              <w:rPr>
                <w:rFonts w:ascii="Arial" w:cs="Arial" w:eastAsia="Arial" w:hAnsi="Arial"/>
                <w:sz w:val="13"/>
                <w:szCs w:val="13"/>
                <w:color w:val="auto"/>
                <w:w w:val="97"/>
              </w:rPr>
              <w:t>Value.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shd w:val="clear" w:color="auto" w:fill="C6D8F0"/>
          </w:tcPr>
          <w:p>
            <w:pPr>
              <w:ind w:left="100"/>
              <w:spacing w:after="0"/>
              <w:rPr>
                <w:sz w:val="20"/>
                <w:szCs w:val="20"/>
                <w:color w:val="auto"/>
              </w:rPr>
            </w:pPr>
            <w:r>
              <w:rPr>
                <w:rFonts w:ascii="Arial" w:cs="Arial" w:eastAsia="Arial" w:hAnsi="Arial"/>
                <w:sz w:val="13"/>
                <w:szCs w:val="13"/>
                <w:color w:val="auto"/>
              </w:rPr>
              <w:t>Under these circumstances, you will</w:t>
            </w:r>
          </w:p>
        </w:tc>
        <w:tc>
          <w:tcPr>
            <w:tcW w:w="0" w:type="dxa"/>
            <w:vAlign w:val="bottom"/>
          </w:tcPr>
          <w:p>
            <w:pPr>
              <w:spacing w:after="0"/>
              <w:rPr>
                <w:sz w:val="1"/>
                <w:szCs w:val="1"/>
                <w:color w:val="auto"/>
              </w:rPr>
            </w:pPr>
          </w:p>
        </w:tc>
      </w:tr>
      <w:tr>
        <w:trPr>
          <w:trHeight w:val="135"/>
        </w:trPr>
        <w:tc>
          <w:tcPr>
            <w:tcW w:w="1560" w:type="dxa"/>
            <w:vAlign w:val="bottom"/>
            <w:shd w:val="clear" w:color="auto" w:fill="8DB1E2"/>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80" w:type="dxa"/>
            <w:vAlign w:val="bottom"/>
            <w:shd w:val="clear" w:color="auto" w:fill="BFBFBF"/>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60" w:type="dxa"/>
            <w:vAlign w:val="bottom"/>
            <w:shd w:val="clear" w:color="auto" w:fill="C6D8F0"/>
          </w:tcPr>
          <w:p>
            <w:pPr>
              <w:ind w:left="100"/>
              <w:spacing w:after="0" w:line="135" w:lineRule="exact"/>
              <w:rPr>
                <w:sz w:val="20"/>
                <w:szCs w:val="20"/>
                <w:color w:val="auto"/>
              </w:rPr>
            </w:pPr>
            <w:r>
              <w:rPr>
                <w:rFonts w:ascii="Arial" w:cs="Arial" w:eastAsia="Arial" w:hAnsi="Arial"/>
                <w:sz w:val="13"/>
                <w:szCs w:val="13"/>
                <w:color w:val="auto"/>
              </w:rPr>
              <w:t>lose some or all of your principal</w:t>
            </w:r>
          </w:p>
        </w:tc>
        <w:tc>
          <w:tcPr>
            <w:tcW w:w="0" w:type="dxa"/>
            <w:vAlign w:val="bottom"/>
          </w:tcPr>
          <w:p>
            <w:pPr>
              <w:spacing w:after="0"/>
              <w:rPr>
                <w:sz w:val="1"/>
                <w:szCs w:val="1"/>
                <w:color w:val="auto"/>
              </w:rPr>
            </w:pPr>
          </w:p>
        </w:tc>
      </w:tr>
      <w:tr>
        <w:trPr>
          <w:trHeight w:val="166"/>
        </w:trPr>
        <w:tc>
          <w:tcPr>
            <w:tcW w:w="1560" w:type="dxa"/>
            <w:vAlign w:val="bottom"/>
            <w:shd w:val="clear" w:color="auto" w:fill="8DB1E2"/>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80" w:type="dxa"/>
            <w:vAlign w:val="bottom"/>
            <w:shd w:val="clear" w:color="auto" w:fill="BFBFBF"/>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shd w:val="clear" w:color="auto" w:fill="C6D8F0"/>
          </w:tcPr>
          <w:p>
            <w:pPr>
              <w:ind w:left="100"/>
              <w:spacing w:after="0"/>
              <w:rPr>
                <w:sz w:val="20"/>
                <w:szCs w:val="20"/>
                <w:color w:val="auto"/>
              </w:rPr>
            </w:pPr>
            <w:r>
              <w:rPr>
                <w:rFonts w:ascii="Arial" w:cs="Arial" w:eastAsia="Arial" w:hAnsi="Arial"/>
                <w:sz w:val="13"/>
                <w:szCs w:val="13"/>
                <w:color w:val="auto"/>
              </w:rPr>
              <w:t>amount at maturity.</w:t>
            </w:r>
          </w:p>
        </w:tc>
        <w:tc>
          <w:tcPr>
            <w:tcW w:w="0" w:type="dxa"/>
            <w:vAlign w:val="bottom"/>
          </w:tcPr>
          <w:p>
            <w:pPr>
              <w:spacing w:after="0"/>
              <w:rPr>
                <w:sz w:val="1"/>
                <w:szCs w:val="1"/>
                <w:color w:val="auto"/>
              </w:rPr>
            </w:pPr>
          </w:p>
        </w:tc>
      </w:tr>
      <w:tr>
        <w:trPr>
          <w:trHeight w:val="351"/>
        </w:trPr>
        <w:tc>
          <w:tcPr>
            <w:tcW w:w="1560" w:type="dxa"/>
            <w:vAlign w:val="bottom"/>
            <w:shd w:val="clear" w:color="auto" w:fill="8DB1E2"/>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shd w:val="clear" w:color="auto" w:fill="BFBFBF"/>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shd w:val="clear" w:color="auto" w:fill="C6D8F0"/>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PS-6| Structured Investments</w:t>
      </w:r>
    </w:p>
    <w:p>
      <w:pPr>
        <w:spacing w:after="0" w:line="91" w:lineRule="exact"/>
        <w:rPr>
          <w:sz w:val="20"/>
          <w:szCs w:val="20"/>
          <w:color w:val="auto"/>
        </w:rPr>
      </w:pPr>
    </w:p>
    <w:p>
      <w:pPr>
        <w:ind w:left="20" w:right="4119"/>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379"/>
          </w:cols>
          <w:pgMar w:left="1080" w:top="1030" w:right="1440"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54301A"/>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Total Contingent Interest Payments</w:t>
      </w:r>
    </w:p>
    <w:p>
      <w:pPr>
        <w:spacing w:after="0" w:line="86" w:lineRule="exact"/>
        <w:rPr>
          <w:sz w:val="20"/>
          <w:szCs w:val="20"/>
          <w:color w:val="auto"/>
        </w:rPr>
      </w:pPr>
    </w:p>
    <w:p>
      <w:pPr>
        <w:spacing w:after="0" w:line="310" w:lineRule="auto"/>
        <w:rPr>
          <w:sz w:val="20"/>
          <w:szCs w:val="20"/>
          <w:color w:val="auto"/>
        </w:rPr>
      </w:pPr>
      <w:r>
        <w:rPr>
          <w:rFonts w:ascii="Arial" w:cs="Arial" w:eastAsia="Arial" w:hAnsi="Arial"/>
          <w:sz w:val="16"/>
          <w:szCs w:val="16"/>
          <w:color w:val="404040"/>
        </w:rPr>
        <w:t>The table below illustrates the hypothetical total Contingent Interest Payments per $1,000 principal amount note over the term of the notes based on the Contingent Interest Rate of 16.65% per annum, depending on how many Contingent Interest Payments are made prior to automatic call or maturity.</w:t>
      </w:r>
    </w:p>
    <w:p>
      <w:pPr>
        <w:spacing w:after="0" w:line="3" w:lineRule="exact"/>
        <w:rPr>
          <w:sz w:val="20"/>
          <w:szCs w:val="20"/>
          <w:color w:val="auto"/>
        </w:rPr>
      </w:pPr>
    </w:p>
    <w:tbl>
      <w:tblPr>
        <w:tblLayout w:type="fixed"/>
        <w:tblInd w:w="2820" w:type="dxa"/>
        <w:tblCellMar>
          <w:top w:w="0" w:type="dxa"/>
          <w:left w:w="0" w:type="dxa"/>
          <w:bottom w:w="0" w:type="dxa"/>
          <w:right w:w="0" w:type="dxa"/>
        </w:tblCellMar>
      </w:tblPr>
      <w:tr>
        <w:trPr>
          <w:trHeight w:val="220"/>
        </w:trPr>
        <w:tc>
          <w:tcPr>
            <w:tcW w:w="194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595959"/>
              </w:rPr>
              <w:t>Number of Contingent</w:t>
            </w:r>
          </w:p>
        </w:tc>
        <w:tc>
          <w:tcPr>
            <w:tcW w:w="2000" w:type="dxa"/>
            <w:vAlign w:val="bottom"/>
            <w:shd w:val="clear" w:color="auto" w:fill="BFBFBF"/>
          </w:tcPr>
          <w:p>
            <w:pPr>
              <w:jc w:val="center"/>
              <w:spacing w:after="0"/>
              <w:rPr>
                <w:sz w:val="20"/>
                <w:szCs w:val="20"/>
                <w:color w:val="auto"/>
              </w:rPr>
            </w:pPr>
            <w:r>
              <w:rPr>
                <w:rFonts w:ascii="Arial" w:cs="Arial" w:eastAsia="Arial" w:hAnsi="Arial"/>
                <w:sz w:val="14"/>
                <w:szCs w:val="14"/>
                <w:b w:val="1"/>
                <w:bCs w:val="1"/>
                <w:color w:val="595959"/>
              </w:rPr>
              <w:t>Total Contingent Interest</w:t>
            </w:r>
          </w:p>
        </w:tc>
      </w:tr>
      <w:tr>
        <w:trPr>
          <w:trHeight w:val="257"/>
        </w:trPr>
        <w:tc>
          <w:tcPr>
            <w:tcW w:w="194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4"/>
                <w:szCs w:val="14"/>
                <w:b w:val="1"/>
                <w:bCs w:val="1"/>
                <w:color w:val="595959"/>
              </w:rPr>
              <w:t>Interest Payments</w:t>
            </w:r>
          </w:p>
        </w:tc>
        <w:tc>
          <w:tcPr>
            <w:tcW w:w="2000" w:type="dxa"/>
            <w:vAlign w:val="bottom"/>
            <w:tcBorders>
              <w:bottom w:val="single" w:sz="8" w:color="BFBFBF"/>
            </w:tcBorders>
            <w:shd w:val="clear" w:color="auto" w:fill="BFBFBF"/>
          </w:tcPr>
          <w:p>
            <w:pPr>
              <w:jc w:val="center"/>
              <w:ind w:left="8"/>
              <w:spacing w:after="0"/>
              <w:rPr>
                <w:sz w:val="20"/>
                <w:szCs w:val="20"/>
                <w:color w:val="auto"/>
              </w:rPr>
            </w:pPr>
            <w:r>
              <w:rPr>
                <w:rFonts w:ascii="Arial" w:cs="Arial" w:eastAsia="Arial" w:hAnsi="Arial"/>
                <w:sz w:val="14"/>
                <w:szCs w:val="14"/>
                <w:b w:val="1"/>
                <w:bCs w:val="1"/>
                <w:color w:val="595959"/>
              </w:rPr>
              <w:t>Payments</w:t>
            </w:r>
          </w:p>
        </w:tc>
      </w:tr>
      <w:tr>
        <w:trPr>
          <w:trHeight w:val="156"/>
        </w:trPr>
        <w:tc>
          <w:tcPr>
            <w:tcW w:w="1940" w:type="dxa"/>
            <w:vAlign w:val="bottom"/>
            <w:tcBorders>
              <w:top w:val="single" w:sz="8" w:color="6D6E71"/>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60</w:t>
            </w:r>
          </w:p>
        </w:tc>
        <w:tc>
          <w:tcPr>
            <w:tcW w:w="2000" w:type="dxa"/>
            <w:vAlign w:val="bottom"/>
            <w:tcBorders>
              <w:top w:val="single" w:sz="8" w:color="6D6E71"/>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$832.500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59</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$818.625</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58</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$804.750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57</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$790.875</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56</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$777.000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55</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$763.125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54</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$749.250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53</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$735.375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52</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$721.500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51</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$707.625</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50</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$693.750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49</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$679.875</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48</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$666.000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47</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$652.125</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46</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$638.250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45</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$624.375</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44</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$610.500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43</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$596.625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42</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$582.750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41</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$568.875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40</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$555.000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39</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$541.125</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38</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$527.250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37</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$513.375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36</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$499.500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35</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$485.625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34</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$471.750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33</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$457.875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32</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$444.000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31</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$430.125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30</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$416.250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29</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$402.375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28</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$388.500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27</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$374.625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26</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$360.750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25</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$346.875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24</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$333.000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23</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$319.125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22</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$305.250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21</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$291.375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20</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$277.500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19</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$263.625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18</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$249.750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17</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$235.875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16</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$222.000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15</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$208.125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14</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$194.250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13</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$180.375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12</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$166.500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w w:val="89"/>
              </w:rPr>
              <w:t>11</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$152.625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10</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$138.750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9</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$124.875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8</w:t>
            </w:r>
          </w:p>
        </w:tc>
        <w:tc>
          <w:tcPr>
            <w:tcW w:w="200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w w:val="99"/>
              </w:rPr>
              <w:t>$111.000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7</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$97.125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6</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$83.250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5</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$69.375</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4</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$55.500</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3</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$41.625</w:t>
            </w:r>
          </w:p>
        </w:tc>
      </w:tr>
      <w:tr>
        <w:trPr>
          <w:trHeight w:val="155"/>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2</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$27.750</w:t>
            </w:r>
          </w:p>
        </w:tc>
      </w:tr>
      <w:tr>
        <w:trPr>
          <w:trHeight w:val="156"/>
        </w:trPr>
        <w:tc>
          <w:tcPr>
            <w:tcW w:w="1940" w:type="dxa"/>
            <w:vAlign w:val="bottom"/>
            <w:tcBorders>
              <w:bottom w:val="single" w:sz="8" w:color="6D6E71"/>
            </w:tcBorders>
          </w:tcPr>
          <w:p>
            <w:pPr>
              <w:jc w:val="center"/>
              <w:spacing w:after="0" w:line="155" w:lineRule="exact"/>
              <w:rPr>
                <w:sz w:val="20"/>
                <w:szCs w:val="20"/>
                <w:color w:val="auto"/>
              </w:rPr>
            </w:pPr>
            <w:r>
              <w:rPr>
                <w:rFonts w:ascii="Arial" w:cs="Arial" w:eastAsia="Arial" w:hAnsi="Arial"/>
                <w:sz w:val="14"/>
                <w:szCs w:val="14"/>
                <w:color w:val="595959"/>
              </w:rPr>
              <w:t>1</w:t>
            </w:r>
          </w:p>
        </w:tc>
        <w:tc>
          <w:tcPr>
            <w:tcW w:w="2000" w:type="dxa"/>
            <w:vAlign w:val="bottom"/>
            <w:tcBorders>
              <w:bottom w:val="single" w:sz="8" w:color="6D6E71"/>
            </w:tcBorders>
          </w:tcPr>
          <w:p>
            <w:pPr>
              <w:jc w:val="center"/>
              <w:ind w:left="8"/>
              <w:spacing w:after="0" w:line="155" w:lineRule="exact"/>
              <w:rPr>
                <w:sz w:val="20"/>
                <w:szCs w:val="20"/>
                <w:color w:val="auto"/>
              </w:rPr>
            </w:pPr>
            <w:r>
              <w:rPr>
                <w:rFonts w:ascii="Arial" w:cs="Arial" w:eastAsia="Arial" w:hAnsi="Arial"/>
                <w:sz w:val="14"/>
                <w:szCs w:val="14"/>
                <w:color w:val="595959"/>
              </w:rPr>
              <w:t>$13.875</w:t>
            </w:r>
          </w:p>
        </w:tc>
      </w:tr>
      <w:tr>
        <w:trPr>
          <w:trHeight w:val="182"/>
        </w:trPr>
        <w:tc>
          <w:tcPr>
            <w:tcW w:w="1940" w:type="dxa"/>
            <w:vAlign w:val="bottom"/>
            <w:tcBorders>
              <w:bottom w:val="single" w:sz="8" w:color="6D6E71"/>
            </w:tcBorders>
          </w:tcPr>
          <w:p>
            <w:pPr>
              <w:jc w:val="center"/>
              <w:spacing w:after="0"/>
              <w:rPr>
                <w:sz w:val="20"/>
                <w:szCs w:val="20"/>
                <w:color w:val="auto"/>
              </w:rPr>
            </w:pPr>
            <w:r>
              <w:rPr>
                <w:rFonts w:ascii="Arial" w:cs="Arial" w:eastAsia="Arial" w:hAnsi="Arial"/>
                <w:sz w:val="14"/>
                <w:szCs w:val="14"/>
                <w:color w:val="595959"/>
              </w:rPr>
              <w:t>0</w:t>
            </w:r>
          </w:p>
        </w:tc>
        <w:tc>
          <w:tcPr>
            <w:tcW w:w="2000" w:type="dxa"/>
            <w:vAlign w:val="bottom"/>
            <w:tcBorders>
              <w:bottom w:val="single" w:sz="8" w:color="6D6E71"/>
            </w:tcBorders>
          </w:tcPr>
          <w:p>
            <w:pPr>
              <w:jc w:val="center"/>
              <w:ind w:left="8"/>
              <w:spacing w:after="0"/>
              <w:rPr>
                <w:sz w:val="20"/>
                <w:szCs w:val="20"/>
                <w:color w:val="auto"/>
              </w:rPr>
            </w:pPr>
            <w:r>
              <w:rPr>
                <w:rFonts w:ascii="Arial" w:cs="Arial" w:eastAsia="Arial" w:hAnsi="Arial"/>
                <w:sz w:val="14"/>
                <w:szCs w:val="14"/>
                <w:color w:val="595959"/>
              </w:rPr>
              <w:t>$0.000</w:t>
            </w:r>
          </w:p>
        </w:tc>
      </w:tr>
    </w:tbl>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PS-7| Structured Investments</w:t>
      </w:r>
    </w:p>
    <w:p>
      <w:pPr>
        <w:spacing w:after="0" w:line="91" w:lineRule="exact"/>
        <w:rPr>
          <w:sz w:val="20"/>
          <w:szCs w:val="20"/>
          <w:color w:val="auto"/>
        </w:rPr>
      </w:pPr>
    </w:p>
    <w:p>
      <w:pPr>
        <w:ind w:left="20" w:right="428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540"/>
          </w:cols>
          <w:pgMar w:left="1080" w:top="1030" w:right="1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Hypothetical Payout Examples</w:t>
      </w:r>
    </w:p>
    <w:p>
      <w:pPr>
        <w:spacing w:after="0" w:line="95"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color w:val="404040"/>
        </w:rPr>
        <w:t>The following examples illustrate payments on the notes linked to a hypothetical Index, assuming a range of performances for the hypothetical Index on the Interest Review Dates and Autocall Review Dates. The hypothetical payments set forth below assume the following:</w:t>
      </w:r>
    </w:p>
    <w:p>
      <w:pPr>
        <w:spacing w:after="0" w:line="3" w:lineRule="exact"/>
        <w:rPr>
          <w:sz w:val="20"/>
          <w:szCs w:val="20"/>
          <w:color w:val="auto"/>
        </w:rPr>
      </w:pPr>
    </w:p>
    <w:p>
      <w:pPr>
        <w:ind w:left="640" w:hanging="313"/>
        <w:spacing w:after="0"/>
        <w:tabs>
          <w:tab w:leader="none" w:pos="64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an Initial Value of 100.00;</w:t>
      </w:r>
    </w:p>
    <w:p>
      <w:pPr>
        <w:spacing w:after="0" w:line="113" w:lineRule="exact"/>
        <w:rPr>
          <w:rFonts w:ascii="Arial" w:cs="Arial" w:eastAsia="Arial" w:hAnsi="Arial"/>
          <w:sz w:val="16"/>
          <w:szCs w:val="16"/>
          <w:color w:val="262626"/>
        </w:rPr>
      </w:pPr>
    </w:p>
    <w:p>
      <w:pPr>
        <w:ind w:left="640" w:hanging="313"/>
        <w:spacing w:after="0"/>
        <w:tabs>
          <w:tab w:leader="none" w:pos="64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an Interest Barrier of 70.00 (equal to 70.00% of the hypothetical Initial Value);</w:t>
      </w:r>
    </w:p>
    <w:p>
      <w:pPr>
        <w:spacing w:after="0" w:line="113" w:lineRule="exact"/>
        <w:rPr>
          <w:rFonts w:ascii="Arial" w:cs="Arial" w:eastAsia="Arial" w:hAnsi="Arial"/>
          <w:sz w:val="16"/>
          <w:szCs w:val="16"/>
          <w:color w:val="262626"/>
        </w:rPr>
      </w:pPr>
    </w:p>
    <w:p>
      <w:pPr>
        <w:ind w:left="640" w:hanging="313"/>
        <w:spacing w:after="0"/>
        <w:tabs>
          <w:tab w:leader="none" w:pos="64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a Trigger Value of 50.00 (equal to 50.00% of the hypothetical Initial Value); and</w:t>
      </w:r>
    </w:p>
    <w:p>
      <w:pPr>
        <w:spacing w:after="0" w:line="99" w:lineRule="exact"/>
        <w:rPr>
          <w:rFonts w:ascii="Arial" w:cs="Arial" w:eastAsia="Arial" w:hAnsi="Arial"/>
          <w:sz w:val="16"/>
          <w:szCs w:val="16"/>
          <w:color w:val="262626"/>
        </w:rPr>
      </w:pPr>
    </w:p>
    <w:p>
      <w:pPr>
        <w:ind w:left="640" w:hanging="313"/>
        <w:spacing w:after="0"/>
        <w:tabs>
          <w:tab w:leader="none" w:pos="640" w:val="left"/>
        </w:tabs>
        <w:numPr>
          <w:ilvl w:val="0"/>
          <w:numId w:val="5"/>
        </w:numPr>
        <w:rPr>
          <w:rFonts w:ascii="Arial" w:cs="Arial" w:eastAsia="Arial" w:hAnsi="Arial"/>
          <w:sz w:val="16"/>
          <w:szCs w:val="16"/>
          <w:color w:val="262626"/>
        </w:rPr>
      </w:pPr>
      <w:r>
        <w:rPr>
          <w:rFonts w:ascii="Arial" w:cs="Arial" w:eastAsia="Arial" w:hAnsi="Arial"/>
          <w:sz w:val="16"/>
          <w:szCs w:val="16"/>
          <w:color w:val="262626"/>
        </w:rPr>
        <w:t>a Contingent Interest Rate of 16.65% per annum (payable at a rate of 1.3875% per month).</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404040"/>
        </w:rPr>
        <w:t>The hypothetical Initial Value of 100.00 has been chosen for illustrative purposes only and does not represent the actual Initial Value.</w:t>
      </w:r>
    </w:p>
    <w:p>
      <w:pPr>
        <w:spacing w:after="0" w:line="73"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404040"/>
        </w:rPr>
        <w:t>The actual Initial Value is the closing level of the Index on the Pricing Date and is specified under "Key Terms - Initial Value" in this pricing supplement. For historical data regarding the actual closing levels of the Index, please see the historical information set forth under “Hypothetical Back-Tested Data and Historical Information” in this pricing supplement.</w:t>
      </w:r>
    </w:p>
    <w:p>
      <w:pPr>
        <w:spacing w:after="0" w:line="23"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404040"/>
        </w:rPr>
        <w:t>Each hypothetical payment set forth below is for illustrative purposes only and may not be the actual payment applicable to a purchaser of the notes. The numbers appearing in the following examples have been rounded for ease of analysis.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54301A"/>
        </w:rPr>
        <w:t>Example 1 — Notes are automatically called on the first Autocall Review Date.</w:t>
      </w:r>
    </w:p>
    <w:p>
      <w:pPr>
        <w:spacing w:after="0" w:line="82"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1980" w:type="dxa"/>
            <w:vAlign w:val="bottom"/>
            <w:tcBorders>
              <w:bottom w:val="single" w:sz="8" w:color="808080"/>
            </w:tcBorders>
            <w:shd w:val="clear" w:color="auto" w:fill="BFBFBF"/>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shd w:val="clear" w:color="auto" w:fill="BFBFBF"/>
          </w:tcPr>
          <w:p>
            <w:pPr>
              <w:ind w:left="180"/>
              <w:spacing w:after="0"/>
              <w:rPr>
                <w:sz w:val="20"/>
                <w:szCs w:val="20"/>
                <w:color w:val="auto"/>
              </w:rPr>
            </w:pPr>
            <w:r>
              <w:rPr>
                <w:rFonts w:ascii="Arial" w:cs="Arial" w:eastAsia="Arial" w:hAnsi="Arial"/>
                <w:sz w:val="16"/>
                <w:szCs w:val="16"/>
                <w:color w:val="595959"/>
              </w:rPr>
              <w:t>Closing Level</w:t>
            </w:r>
          </w:p>
        </w:tc>
        <w:tc>
          <w:tcPr>
            <w:tcW w:w="5200" w:type="dxa"/>
            <w:vAlign w:val="bottom"/>
            <w:tcBorders>
              <w:bottom w:val="single" w:sz="8" w:color="808080"/>
            </w:tcBorders>
            <w:shd w:val="clear" w:color="auto" w:fill="BFBFBF"/>
          </w:tcPr>
          <w:p>
            <w:pPr>
              <w:ind w:left="140"/>
              <w:spacing w:after="0"/>
              <w:rPr>
                <w:sz w:val="20"/>
                <w:szCs w:val="20"/>
                <w:color w:val="auto"/>
              </w:rPr>
            </w:pPr>
            <w:r>
              <w:rPr>
                <w:rFonts w:ascii="Arial" w:cs="Arial" w:eastAsia="Arial" w:hAnsi="Arial"/>
                <w:sz w:val="16"/>
                <w:szCs w:val="16"/>
                <w:color w:val="595959"/>
              </w:rPr>
              <w:t>Payment (per $1,000 principal amount note)</w:t>
            </w:r>
          </w:p>
        </w:tc>
      </w:tr>
      <w:tr>
        <w:trPr>
          <w:trHeight w:val="186"/>
        </w:trPr>
        <w:tc>
          <w:tcPr>
            <w:tcW w:w="1980" w:type="dxa"/>
            <w:vAlign w:val="bottom"/>
          </w:tcPr>
          <w:p>
            <w:pPr>
              <w:ind w:left="100"/>
              <w:spacing w:after="0"/>
              <w:rPr>
                <w:sz w:val="20"/>
                <w:szCs w:val="20"/>
                <w:color w:val="auto"/>
              </w:rPr>
            </w:pPr>
            <w:r>
              <w:rPr>
                <w:rFonts w:ascii="Arial" w:cs="Arial" w:eastAsia="Arial" w:hAnsi="Arial"/>
                <w:sz w:val="16"/>
                <w:szCs w:val="16"/>
                <w:color w:val="595959"/>
              </w:rPr>
              <w:t>First Interest Review</w:t>
            </w:r>
          </w:p>
        </w:tc>
        <w:tc>
          <w:tcPr>
            <w:tcW w:w="2080" w:type="dxa"/>
            <w:vAlign w:val="bottom"/>
          </w:tcPr>
          <w:p>
            <w:pPr>
              <w:ind w:left="180"/>
              <w:spacing w:after="0"/>
              <w:rPr>
                <w:sz w:val="20"/>
                <w:szCs w:val="20"/>
                <w:color w:val="auto"/>
              </w:rPr>
            </w:pPr>
            <w:r>
              <w:rPr>
                <w:rFonts w:ascii="Arial" w:cs="Arial" w:eastAsia="Arial" w:hAnsi="Arial"/>
                <w:sz w:val="16"/>
                <w:szCs w:val="16"/>
                <w:color w:val="595959"/>
              </w:rPr>
              <w:t>105.00</w:t>
            </w:r>
          </w:p>
        </w:tc>
        <w:tc>
          <w:tcPr>
            <w:tcW w:w="5200" w:type="dxa"/>
            <w:vAlign w:val="bottom"/>
          </w:tcPr>
          <w:p>
            <w:pPr>
              <w:ind w:left="140"/>
              <w:spacing w:after="0"/>
              <w:rPr>
                <w:sz w:val="20"/>
                <w:szCs w:val="20"/>
                <w:color w:val="auto"/>
              </w:rPr>
            </w:pPr>
            <w:r>
              <w:rPr>
                <w:rFonts w:ascii="Arial" w:cs="Arial" w:eastAsia="Arial" w:hAnsi="Arial"/>
                <w:sz w:val="16"/>
                <w:szCs w:val="16"/>
                <w:color w:val="595959"/>
              </w:rPr>
              <w:t>$13.875</w:t>
            </w:r>
          </w:p>
        </w:tc>
      </w:tr>
      <w:tr>
        <w:trPr>
          <w:trHeight w:val="224"/>
        </w:trPr>
        <w:tc>
          <w:tcPr>
            <w:tcW w:w="1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r>
      <w:tr>
        <w:trPr>
          <w:trHeight w:val="188"/>
        </w:trPr>
        <w:tc>
          <w:tcPr>
            <w:tcW w:w="1980" w:type="dxa"/>
            <w:vAlign w:val="bottom"/>
          </w:tcPr>
          <w:p>
            <w:pPr>
              <w:ind w:left="100"/>
              <w:spacing w:after="0"/>
              <w:rPr>
                <w:sz w:val="20"/>
                <w:szCs w:val="20"/>
                <w:color w:val="auto"/>
              </w:rPr>
            </w:pPr>
            <w:r>
              <w:rPr>
                <w:rFonts w:ascii="Arial" w:cs="Arial" w:eastAsia="Arial" w:hAnsi="Arial"/>
                <w:sz w:val="16"/>
                <w:szCs w:val="16"/>
                <w:color w:val="595959"/>
              </w:rPr>
              <w:t>Second Interest Review</w:t>
            </w:r>
          </w:p>
        </w:tc>
        <w:tc>
          <w:tcPr>
            <w:tcW w:w="2080" w:type="dxa"/>
            <w:vAlign w:val="bottom"/>
          </w:tcPr>
          <w:p>
            <w:pPr>
              <w:ind w:left="180"/>
              <w:spacing w:after="0"/>
              <w:rPr>
                <w:sz w:val="20"/>
                <w:szCs w:val="20"/>
                <w:color w:val="auto"/>
              </w:rPr>
            </w:pPr>
            <w:r>
              <w:rPr>
                <w:rFonts w:ascii="Arial" w:cs="Arial" w:eastAsia="Arial" w:hAnsi="Arial"/>
                <w:sz w:val="16"/>
                <w:szCs w:val="16"/>
                <w:color w:val="595959"/>
              </w:rPr>
              <w:t>110.00</w:t>
            </w:r>
          </w:p>
        </w:tc>
        <w:tc>
          <w:tcPr>
            <w:tcW w:w="5200" w:type="dxa"/>
            <w:vAlign w:val="bottom"/>
          </w:tcPr>
          <w:p>
            <w:pPr>
              <w:ind w:left="140"/>
              <w:spacing w:after="0"/>
              <w:rPr>
                <w:sz w:val="20"/>
                <w:szCs w:val="20"/>
                <w:color w:val="auto"/>
              </w:rPr>
            </w:pPr>
            <w:r>
              <w:rPr>
                <w:rFonts w:ascii="Arial" w:cs="Arial" w:eastAsia="Arial" w:hAnsi="Arial"/>
                <w:sz w:val="16"/>
                <w:szCs w:val="16"/>
                <w:color w:val="595959"/>
              </w:rPr>
              <w:t>$13.875</w:t>
            </w:r>
          </w:p>
        </w:tc>
      </w:tr>
      <w:tr>
        <w:trPr>
          <w:trHeight w:val="224"/>
        </w:trPr>
        <w:tc>
          <w:tcPr>
            <w:tcW w:w="1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r>
      <w:tr>
        <w:trPr>
          <w:trHeight w:val="188"/>
        </w:trPr>
        <w:tc>
          <w:tcPr>
            <w:tcW w:w="1980" w:type="dxa"/>
            <w:vAlign w:val="bottom"/>
          </w:tcPr>
          <w:p>
            <w:pPr>
              <w:ind w:left="100"/>
              <w:spacing w:after="0"/>
              <w:rPr>
                <w:sz w:val="20"/>
                <w:szCs w:val="20"/>
                <w:color w:val="auto"/>
              </w:rPr>
            </w:pPr>
            <w:r>
              <w:rPr>
                <w:rFonts w:ascii="Arial" w:cs="Arial" w:eastAsia="Arial" w:hAnsi="Arial"/>
                <w:sz w:val="16"/>
                <w:szCs w:val="16"/>
                <w:color w:val="595959"/>
              </w:rPr>
              <w:t>Third through Eleventh</w:t>
            </w:r>
          </w:p>
        </w:tc>
        <w:tc>
          <w:tcPr>
            <w:tcW w:w="2080" w:type="dxa"/>
            <w:vAlign w:val="bottom"/>
          </w:tcPr>
          <w:p>
            <w:pPr>
              <w:ind w:left="180"/>
              <w:spacing w:after="0"/>
              <w:rPr>
                <w:sz w:val="20"/>
                <w:szCs w:val="20"/>
                <w:color w:val="auto"/>
              </w:rPr>
            </w:pPr>
            <w:r>
              <w:rPr>
                <w:rFonts w:ascii="Arial" w:cs="Arial" w:eastAsia="Arial" w:hAnsi="Arial"/>
                <w:sz w:val="16"/>
                <w:szCs w:val="16"/>
                <w:color w:val="595959"/>
              </w:rPr>
              <w:t>Greater than Initial Value</w:t>
            </w:r>
          </w:p>
        </w:tc>
        <w:tc>
          <w:tcPr>
            <w:tcW w:w="5200" w:type="dxa"/>
            <w:vAlign w:val="bottom"/>
          </w:tcPr>
          <w:p>
            <w:pPr>
              <w:ind w:left="140"/>
              <w:spacing w:after="0"/>
              <w:rPr>
                <w:sz w:val="20"/>
                <w:szCs w:val="20"/>
                <w:color w:val="auto"/>
              </w:rPr>
            </w:pPr>
            <w:r>
              <w:rPr>
                <w:rFonts w:ascii="Arial" w:cs="Arial" w:eastAsia="Arial" w:hAnsi="Arial"/>
                <w:sz w:val="16"/>
                <w:szCs w:val="16"/>
                <w:color w:val="595959"/>
              </w:rPr>
              <w:t>$13.875</w:t>
            </w:r>
          </w:p>
        </w:tc>
      </w:tr>
      <w:tr>
        <w:trPr>
          <w:trHeight w:val="224"/>
        </w:trPr>
        <w:tc>
          <w:tcPr>
            <w:tcW w:w="1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Interest Review Dates</w:t>
            </w:r>
          </w:p>
        </w:tc>
        <w:tc>
          <w:tcPr>
            <w:tcW w:w="208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r>
      <w:tr>
        <w:trPr>
          <w:trHeight w:val="188"/>
        </w:trPr>
        <w:tc>
          <w:tcPr>
            <w:tcW w:w="1980" w:type="dxa"/>
            <w:vAlign w:val="bottom"/>
          </w:tcPr>
          <w:p>
            <w:pPr>
              <w:ind w:left="100"/>
              <w:spacing w:after="0"/>
              <w:rPr>
                <w:sz w:val="20"/>
                <w:szCs w:val="20"/>
                <w:color w:val="auto"/>
              </w:rPr>
            </w:pPr>
            <w:r>
              <w:rPr>
                <w:rFonts w:ascii="Arial" w:cs="Arial" w:eastAsia="Arial" w:hAnsi="Arial"/>
                <w:sz w:val="16"/>
                <w:szCs w:val="16"/>
                <w:color w:val="595959"/>
              </w:rPr>
              <w:t>Twelfth Interest Review</w:t>
            </w:r>
          </w:p>
        </w:tc>
        <w:tc>
          <w:tcPr>
            <w:tcW w:w="2080" w:type="dxa"/>
            <w:vAlign w:val="bottom"/>
          </w:tcPr>
          <w:p>
            <w:pPr>
              <w:ind w:left="180"/>
              <w:spacing w:after="0"/>
              <w:rPr>
                <w:sz w:val="20"/>
                <w:szCs w:val="20"/>
                <w:color w:val="auto"/>
              </w:rPr>
            </w:pPr>
            <w:r>
              <w:rPr>
                <w:rFonts w:ascii="Arial" w:cs="Arial" w:eastAsia="Arial" w:hAnsi="Arial"/>
                <w:sz w:val="16"/>
                <w:szCs w:val="16"/>
                <w:color w:val="595959"/>
              </w:rPr>
              <w:t>110.00</w:t>
            </w:r>
          </w:p>
        </w:tc>
        <w:tc>
          <w:tcPr>
            <w:tcW w:w="5200" w:type="dxa"/>
            <w:vAlign w:val="bottom"/>
          </w:tcPr>
          <w:p>
            <w:pPr>
              <w:ind w:left="140"/>
              <w:spacing w:after="0"/>
              <w:rPr>
                <w:sz w:val="20"/>
                <w:szCs w:val="20"/>
                <w:color w:val="auto"/>
              </w:rPr>
            </w:pPr>
            <w:r>
              <w:rPr>
                <w:rFonts w:ascii="Arial" w:cs="Arial" w:eastAsia="Arial" w:hAnsi="Arial"/>
                <w:sz w:val="16"/>
                <w:szCs w:val="16"/>
                <w:color w:val="595959"/>
              </w:rPr>
              <w:t>$1,013.875</w:t>
            </w:r>
          </w:p>
        </w:tc>
      </w:tr>
      <w:tr>
        <w:trPr>
          <w:trHeight w:val="189"/>
        </w:trPr>
        <w:tc>
          <w:tcPr>
            <w:tcW w:w="1980" w:type="dxa"/>
            <w:vAlign w:val="bottom"/>
          </w:tcPr>
          <w:p>
            <w:pPr>
              <w:ind w:left="100"/>
              <w:spacing w:after="0"/>
              <w:rPr>
                <w:sz w:val="20"/>
                <w:szCs w:val="20"/>
                <w:color w:val="auto"/>
              </w:rPr>
            </w:pPr>
            <w:r>
              <w:rPr>
                <w:rFonts w:ascii="Arial" w:cs="Arial" w:eastAsia="Arial" w:hAnsi="Arial"/>
                <w:sz w:val="16"/>
                <w:szCs w:val="16"/>
                <w:color w:val="595959"/>
              </w:rPr>
              <w:t>Date (first Autocall</w:t>
            </w:r>
          </w:p>
        </w:tc>
        <w:tc>
          <w:tcPr>
            <w:tcW w:w="2080" w:type="dxa"/>
            <w:vAlign w:val="bottom"/>
          </w:tcPr>
          <w:p>
            <w:pPr>
              <w:spacing w:after="0"/>
              <w:rPr>
                <w:sz w:val="16"/>
                <w:szCs w:val="16"/>
                <w:color w:val="auto"/>
              </w:rPr>
            </w:pPr>
          </w:p>
        </w:tc>
        <w:tc>
          <w:tcPr>
            <w:tcW w:w="5200" w:type="dxa"/>
            <w:vAlign w:val="bottom"/>
          </w:tcPr>
          <w:p>
            <w:pPr>
              <w:spacing w:after="0"/>
              <w:rPr>
                <w:sz w:val="16"/>
                <w:szCs w:val="16"/>
                <w:color w:val="auto"/>
              </w:rPr>
            </w:pPr>
          </w:p>
        </w:tc>
      </w:tr>
      <w:tr>
        <w:trPr>
          <w:trHeight w:val="224"/>
        </w:trPr>
        <w:tc>
          <w:tcPr>
            <w:tcW w:w="1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Review Date)</w:t>
            </w:r>
          </w:p>
        </w:tc>
        <w:tc>
          <w:tcPr>
            <w:tcW w:w="208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r>
      <w:tr>
        <w:trPr>
          <w:trHeight w:val="215"/>
        </w:trPr>
        <w:tc>
          <w:tcPr>
            <w:tcW w:w="1980" w:type="dxa"/>
            <w:vAlign w:val="bottom"/>
          </w:tcPr>
          <w:p>
            <w:pPr>
              <w:spacing w:after="0"/>
              <w:rPr>
                <w:sz w:val="18"/>
                <w:szCs w:val="18"/>
                <w:color w:val="auto"/>
              </w:rPr>
            </w:pPr>
          </w:p>
        </w:tc>
        <w:tc>
          <w:tcPr>
            <w:tcW w:w="2080" w:type="dxa"/>
            <w:vAlign w:val="bottom"/>
          </w:tcPr>
          <w:p>
            <w:pPr>
              <w:ind w:left="180"/>
              <w:spacing w:after="0"/>
              <w:rPr>
                <w:sz w:val="20"/>
                <w:szCs w:val="20"/>
                <w:color w:val="auto"/>
              </w:rPr>
            </w:pPr>
            <w:r>
              <w:rPr>
                <w:rFonts w:ascii="Arial" w:cs="Arial" w:eastAsia="Arial" w:hAnsi="Arial"/>
                <w:sz w:val="16"/>
                <w:szCs w:val="16"/>
                <w:color w:val="595959"/>
              </w:rPr>
              <w:t>Total Payment</w:t>
            </w:r>
          </w:p>
        </w:tc>
        <w:tc>
          <w:tcPr>
            <w:tcW w:w="5200" w:type="dxa"/>
            <w:vAlign w:val="bottom"/>
          </w:tcPr>
          <w:p>
            <w:pPr>
              <w:ind w:left="140"/>
              <w:spacing w:after="0"/>
              <w:rPr>
                <w:sz w:val="20"/>
                <w:szCs w:val="20"/>
                <w:color w:val="auto"/>
              </w:rPr>
            </w:pPr>
            <w:r>
              <w:rPr>
                <w:rFonts w:ascii="Arial" w:cs="Arial" w:eastAsia="Arial" w:hAnsi="Arial"/>
                <w:sz w:val="16"/>
                <w:szCs w:val="16"/>
                <w:color w:val="595959"/>
              </w:rPr>
              <w:t>$1,166.50 (16.65% return)</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404040"/>
        </w:rPr>
        <w:t>Because the closing level of the Index on the first Autocall Review Date, which is also the twelfth Interest Review Date, is greater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04040"/>
        </w:rPr>
        <w:t>or equal to the Initial Value, the notes will be automatically called for a cash payment, for each $1,000 principal amount note,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404040"/>
        </w:rPr>
        <w:t xml:space="preserve">$1,013.875 (or $1,000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the Contingent Interest Payment applicable to the twelfth Interest Review Date), payable on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04040"/>
        </w:rPr>
        <w:t>Call Settlement Date. When added to the Contingent Interest Payments received with respect to the prior Interest Review Dates,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04040"/>
        </w:rPr>
        <w:t>total amount paid, for each $1,000 principal amount note, is $1,166.50. No further payments will be made on the notes.</w:t>
      </w:r>
    </w:p>
    <w:p>
      <w:pPr>
        <w:spacing w:after="0" w:line="162" w:lineRule="exact"/>
        <w:rPr>
          <w:sz w:val="20"/>
          <w:szCs w:val="20"/>
          <w:color w:val="auto"/>
        </w:rPr>
      </w:pPr>
    </w:p>
    <w:p>
      <w:pPr>
        <w:spacing w:after="0" w:line="281" w:lineRule="auto"/>
        <w:rPr>
          <w:sz w:val="20"/>
          <w:szCs w:val="20"/>
          <w:color w:val="auto"/>
        </w:rPr>
      </w:pPr>
      <w:r>
        <w:rPr>
          <w:rFonts w:ascii="Arial" w:cs="Arial" w:eastAsia="Arial" w:hAnsi="Arial"/>
          <w:sz w:val="18"/>
          <w:szCs w:val="18"/>
          <w:b w:val="1"/>
          <w:bCs w:val="1"/>
          <w:color w:val="54301A"/>
        </w:rPr>
        <w:t>Example 2 — Notes have NOT been automatically called and the Final Value is greater than or equal to the Trigger Value and the Interest Barrier.</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00" w:type="dxa"/>
            <w:vAlign w:val="bottom"/>
            <w:tcBorders>
              <w:bottom w:val="single" w:sz="8" w:color="808080"/>
            </w:tcBorders>
            <w:shd w:val="clear" w:color="auto" w:fill="BFBFBF"/>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shd w:val="clear" w:color="auto" w:fill="BFBFBF"/>
          </w:tcPr>
          <w:p>
            <w:pPr>
              <w:ind w:left="160"/>
              <w:spacing w:after="0"/>
              <w:rPr>
                <w:sz w:val="20"/>
                <w:szCs w:val="20"/>
                <w:color w:val="auto"/>
              </w:rPr>
            </w:pPr>
            <w:r>
              <w:rPr>
                <w:rFonts w:ascii="Arial" w:cs="Arial" w:eastAsia="Arial" w:hAnsi="Arial"/>
                <w:sz w:val="16"/>
                <w:szCs w:val="16"/>
                <w:color w:val="595959"/>
              </w:rPr>
              <w:t>Closing Level</w:t>
            </w:r>
          </w:p>
        </w:tc>
        <w:tc>
          <w:tcPr>
            <w:tcW w:w="5180" w:type="dxa"/>
            <w:vAlign w:val="bottom"/>
            <w:tcBorders>
              <w:bottom w:val="single" w:sz="8" w:color="808080"/>
            </w:tcBorders>
            <w:shd w:val="clear" w:color="auto" w:fill="BFBFBF"/>
          </w:tcPr>
          <w:p>
            <w:pPr>
              <w:ind w:left="120"/>
              <w:spacing w:after="0"/>
              <w:rPr>
                <w:sz w:val="20"/>
                <w:szCs w:val="20"/>
                <w:color w:val="auto"/>
              </w:rPr>
            </w:pPr>
            <w:r>
              <w:rPr>
                <w:rFonts w:ascii="Arial" w:cs="Arial" w:eastAsia="Arial" w:hAnsi="Arial"/>
                <w:sz w:val="16"/>
                <w:szCs w:val="16"/>
                <w:color w:val="595959"/>
              </w:rPr>
              <w:t>Payment (per $1,000 principal amount note)</w:t>
            </w:r>
          </w:p>
        </w:tc>
      </w:tr>
      <w:tr>
        <w:trPr>
          <w:trHeight w:val="186"/>
        </w:trPr>
        <w:tc>
          <w:tcPr>
            <w:tcW w:w="2000" w:type="dxa"/>
            <w:vAlign w:val="bottom"/>
          </w:tcPr>
          <w:p>
            <w:pPr>
              <w:ind w:left="100"/>
              <w:spacing w:after="0"/>
              <w:rPr>
                <w:sz w:val="20"/>
                <w:szCs w:val="20"/>
                <w:color w:val="auto"/>
              </w:rPr>
            </w:pPr>
            <w:r>
              <w:rPr>
                <w:rFonts w:ascii="Arial" w:cs="Arial" w:eastAsia="Arial" w:hAnsi="Arial"/>
                <w:sz w:val="16"/>
                <w:szCs w:val="16"/>
                <w:color w:val="595959"/>
              </w:rPr>
              <w:t>First Interest Review</w:t>
            </w:r>
          </w:p>
        </w:tc>
        <w:tc>
          <w:tcPr>
            <w:tcW w:w="2080" w:type="dxa"/>
            <w:vAlign w:val="bottom"/>
          </w:tcPr>
          <w:p>
            <w:pPr>
              <w:ind w:left="160"/>
              <w:spacing w:after="0"/>
              <w:rPr>
                <w:sz w:val="20"/>
                <w:szCs w:val="20"/>
                <w:color w:val="auto"/>
              </w:rPr>
            </w:pPr>
            <w:r>
              <w:rPr>
                <w:rFonts w:ascii="Arial" w:cs="Arial" w:eastAsia="Arial" w:hAnsi="Arial"/>
                <w:sz w:val="16"/>
                <w:szCs w:val="16"/>
                <w:color w:val="595959"/>
              </w:rPr>
              <w:t>95.00</w:t>
            </w:r>
          </w:p>
        </w:tc>
        <w:tc>
          <w:tcPr>
            <w:tcW w:w="5180" w:type="dxa"/>
            <w:vAlign w:val="bottom"/>
          </w:tcPr>
          <w:p>
            <w:pPr>
              <w:ind w:left="120"/>
              <w:spacing w:after="0"/>
              <w:rPr>
                <w:sz w:val="20"/>
                <w:szCs w:val="20"/>
                <w:color w:val="auto"/>
              </w:rPr>
            </w:pPr>
            <w:r>
              <w:rPr>
                <w:rFonts w:ascii="Arial" w:cs="Arial" w:eastAsia="Arial" w:hAnsi="Arial"/>
                <w:sz w:val="16"/>
                <w:szCs w:val="16"/>
                <w:color w:val="595959"/>
              </w:rPr>
              <w:t>$13.875</w:t>
            </w:r>
          </w:p>
        </w:tc>
      </w:tr>
      <w:tr>
        <w:trPr>
          <w:trHeight w:val="224"/>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r>
      <w:tr>
        <w:trPr>
          <w:trHeight w:val="188"/>
        </w:trPr>
        <w:tc>
          <w:tcPr>
            <w:tcW w:w="2000" w:type="dxa"/>
            <w:vAlign w:val="bottom"/>
          </w:tcPr>
          <w:p>
            <w:pPr>
              <w:ind w:left="100"/>
              <w:spacing w:after="0"/>
              <w:rPr>
                <w:sz w:val="20"/>
                <w:szCs w:val="20"/>
                <w:color w:val="auto"/>
              </w:rPr>
            </w:pPr>
            <w:r>
              <w:rPr>
                <w:rFonts w:ascii="Arial" w:cs="Arial" w:eastAsia="Arial" w:hAnsi="Arial"/>
                <w:sz w:val="16"/>
                <w:szCs w:val="16"/>
                <w:color w:val="595959"/>
              </w:rPr>
              <w:t>Second Interest Review</w:t>
            </w:r>
          </w:p>
        </w:tc>
        <w:tc>
          <w:tcPr>
            <w:tcW w:w="2080" w:type="dxa"/>
            <w:vAlign w:val="bottom"/>
          </w:tcPr>
          <w:p>
            <w:pPr>
              <w:ind w:left="160"/>
              <w:spacing w:after="0"/>
              <w:rPr>
                <w:sz w:val="20"/>
                <w:szCs w:val="20"/>
                <w:color w:val="auto"/>
              </w:rPr>
            </w:pPr>
            <w:r>
              <w:rPr>
                <w:rFonts w:ascii="Arial" w:cs="Arial" w:eastAsia="Arial" w:hAnsi="Arial"/>
                <w:sz w:val="16"/>
                <w:szCs w:val="16"/>
                <w:color w:val="595959"/>
              </w:rPr>
              <w:t>85.00</w:t>
            </w:r>
          </w:p>
        </w:tc>
        <w:tc>
          <w:tcPr>
            <w:tcW w:w="5180" w:type="dxa"/>
            <w:vAlign w:val="bottom"/>
          </w:tcPr>
          <w:p>
            <w:pPr>
              <w:ind w:left="120"/>
              <w:spacing w:after="0"/>
              <w:rPr>
                <w:sz w:val="20"/>
                <w:szCs w:val="20"/>
                <w:color w:val="auto"/>
              </w:rPr>
            </w:pPr>
            <w:r>
              <w:rPr>
                <w:rFonts w:ascii="Arial" w:cs="Arial" w:eastAsia="Arial" w:hAnsi="Arial"/>
                <w:sz w:val="16"/>
                <w:szCs w:val="16"/>
                <w:color w:val="595959"/>
              </w:rPr>
              <w:t>$13.875</w:t>
            </w:r>
          </w:p>
        </w:tc>
      </w:tr>
      <w:tr>
        <w:trPr>
          <w:trHeight w:val="224"/>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r>
      <w:tr>
        <w:trPr>
          <w:trHeight w:val="188"/>
        </w:trPr>
        <w:tc>
          <w:tcPr>
            <w:tcW w:w="2000" w:type="dxa"/>
            <w:vAlign w:val="bottom"/>
          </w:tcPr>
          <w:p>
            <w:pPr>
              <w:ind w:left="100"/>
              <w:spacing w:after="0"/>
              <w:rPr>
                <w:sz w:val="20"/>
                <w:szCs w:val="20"/>
                <w:color w:val="auto"/>
              </w:rPr>
            </w:pPr>
            <w:r>
              <w:rPr>
                <w:rFonts w:ascii="Arial" w:cs="Arial" w:eastAsia="Arial" w:hAnsi="Arial"/>
                <w:sz w:val="16"/>
                <w:szCs w:val="16"/>
                <w:color w:val="595959"/>
              </w:rPr>
              <w:t>Third through Fifty-Ninth</w:t>
            </w:r>
          </w:p>
        </w:tc>
        <w:tc>
          <w:tcPr>
            <w:tcW w:w="2080" w:type="dxa"/>
            <w:vAlign w:val="bottom"/>
          </w:tcPr>
          <w:p>
            <w:pPr>
              <w:ind w:left="160"/>
              <w:spacing w:after="0"/>
              <w:rPr>
                <w:sz w:val="20"/>
                <w:szCs w:val="20"/>
                <w:color w:val="auto"/>
              </w:rPr>
            </w:pPr>
            <w:r>
              <w:rPr>
                <w:rFonts w:ascii="Arial" w:cs="Arial" w:eastAsia="Arial" w:hAnsi="Arial"/>
                <w:sz w:val="16"/>
                <w:szCs w:val="16"/>
                <w:color w:val="595959"/>
              </w:rPr>
              <w:t>Less than Interest Barrier</w:t>
            </w:r>
          </w:p>
        </w:tc>
        <w:tc>
          <w:tcPr>
            <w:tcW w:w="5180" w:type="dxa"/>
            <w:vAlign w:val="bottom"/>
          </w:tcPr>
          <w:p>
            <w:pPr>
              <w:ind w:left="120"/>
              <w:spacing w:after="0"/>
              <w:rPr>
                <w:sz w:val="20"/>
                <w:szCs w:val="20"/>
                <w:color w:val="auto"/>
              </w:rPr>
            </w:pPr>
            <w:r>
              <w:rPr>
                <w:rFonts w:ascii="Arial" w:cs="Arial" w:eastAsia="Arial" w:hAnsi="Arial"/>
                <w:sz w:val="16"/>
                <w:szCs w:val="16"/>
                <w:color w:val="595959"/>
              </w:rPr>
              <w:t>$0</w:t>
            </w:r>
          </w:p>
        </w:tc>
      </w:tr>
      <w:tr>
        <w:trPr>
          <w:trHeight w:val="224"/>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Interest Review Dates</w:t>
            </w:r>
          </w:p>
        </w:tc>
        <w:tc>
          <w:tcPr>
            <w:tcW w:w="208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r>
      <w:tr>
        <w:trPr>
          <w:trHeight w:val="215"/>
        </w:trPr>
        <w:tc>
          <w:tcPr>
            <w:tcW w:w="2000" w:type="dxa"/>
            <w:vAlign w:val="bottom"/>
          </w:tcPr>
          <w:p>
            <w:pPr>
              <w:ind w:left="100"/>
              <w:spacing w:after="0"/>
              <w:rPr>
                <w:sz w:val="20"/>
                <w:szCs w:val="20"/>
                <w:color w:val="auto"/>
              </w:rPr>
            </w:pPr>
            <w:r>
              <w:rPr>
                <w:rFonts w:ascii="Arial" w:cs="Arial" w:eastAsia="Arial" w:hAnsi="Arial"/>
                <w:sz w:val="16"/>
                <w:szCs w:val="16"/>
                <w:color w:val="595959"/>
              </w:rPr>
              <w:t>Final Review Date</w:t>
            </w:r>
          </w:p>
        </w:tc>
        <w:tc>
          <w:tcPr>
            <w:tcW w:w="2080" w:type="dxa"/>
            <w:vAlign w:val="bottom"/>
          </w:tcPr>
          <w:p>
            <w:pPr>
              <w:ind w:left="160"/>
              <w:spacing w:after="0"/>
              <w:rPr>
                <w:sz w:val="20"/>
                <w:szCs w:val="20"/>
                <w:color w:val="auto"/>
              </w:rPr>
            </w:pPr>
            <w:r>
              <w:rPr>
                <w:rFonts w:ascii="Arial" w:cs="Arial" w:eastAsia="Arial" w:hAnsi="Arial"/>
                <w:sz w:val="16"/>
                <w:szCs w:val="16"/>
                <w:color w:val="595959"/>
              </w:rPr>
              <w:t>90.00</w:t>
            </w:r>
          </w:p>
        </w:tc>
        <w:tc>
          <w:tcPr>
            <w:tcW w:w="5180" w:type="dxa"/>
            <w:vAlign w:val="bottom"/>
          </w:tcPr>
          <w:p>
            <w:pPr>
              <w:ind w:left="120"/>
              <w:spacing w:after="0"/>
              <w:rPr>
                <w:sz w:val="20"/>
                <w:szCs w:val="20"/>
                <w:color w:val="auto"/>
              </w:rPr>
            </w:pPr>
            <w:r>
              <w:rPr>
                <w:rFonts w:ascii="Arial" w:cs="Arial" w:eastAsia="Arial" w:hAnsi="Arial"/>
                <w:sz w:val="16"/>
                <w:szCs w:val="16"/>
                <w:color w:val="595959"/>
              </w:rPr>
              <w:t>$1,013.875</w:t>
            </w:r>
          </w:p>
        </w:tc>
      </w:tr>
      <w:tr>
        <w:trPr>
          <w:trHeight w:val="109"/>
        </w:trPr>
        <w:tc>
          <w:tcPr>
            <w:tcW w:w="20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r>
      <w:tr>
        <w:trPr>
          <w:trHeight w:val="208"/>
        </w:trPr>
        <w:tc>
          <w:tcPr>
            <w:tcW w:w="2000" w:type="dxa"/>
            <w:vAlign w:val="bottom"/>
          </w:tcPr>
          <w:p>
            <w:pPr>
              <w:spacing w:after="0"/>
              <w:rPr>
                <w:sz w:val="18"/>
                <w:szCs w:val="18"/>
                <w:color w:val="auto"/>
              </w:rPr>
            </w:pPr>
          </w:p>
        </w:tc>
        <w:tc>
          <w:tcPr>
            <w:tcW w:w="2080" w:type="dxa"/>
            <w:vAlign w:val="bottom"/>
          </w:tcPr>
          <w:p>
            <w:pPr>
              <w:ind w:left="160"/>
              <w:spacing w:after="0"/>
              <w:rPr>
                <w:sz w:val="20"/>
                <w:szCs w:val="20"/>
                <w:color w:val="auto"/>
              </w:rPr>
            </w:pPr>
            <w:r>
              <w:rPr>
                <w:rFonts w:ascii="Arial" w:cs="Arial" w:eastAsia="Arial" w:hAnsi="Arial"/>
                <w:sz w:val="16"/>
                <w:szCs w:val="16"/>
                <w:color w:val="595959"/>
              </w:rPr>
              <w:t>Total Payment</w:t>
            </w:r>
          </w:p>
        </w:tc>
        <w:tc>
          <w:tcPr>
            <w:tcW w:w="5180" w:type="dxa"/>
            <w:vAlign w:val="bottom"/>
          </w:tcPr>
          <w:p>
            <w:pPr>
              <w:ind w:left="120"/>
              <w:spacing w:after="0"/>
              <w:rPr>
                <w:sz w:val="20"/>
                <w:szCs w:val="20"/>
                <w:color w:val="auto"/>
              </w:rPr>
            </w:pPr>
            <w:r>
              <w:rPr>
                <w:rFonts w:ascii="Arial" w:cs="Arial" w:eastAsia="Arial" w:hAnsi="Arial"/>
                <w:sz w:val="16"/>
                <w:szCs w:val="16"/>
                <w:color w:val="595959"/>
              </w:rPr>
              <w:t>$1,041.625 (4.1625% return)</w:t>
            </w:r>
          </w:p>
        </w:tc>
      </w:tr>
    </w:tbl>
    <w:p>
      <w:pPr>
        <w:spacing w:after="0" w:line="176"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404040"/>
        </w:rPr>
        <w:t xml:space="preserve">Because the notes have not been automatically called and the Final Value is greater than or equal to the Trigger Value and the Interest Barrier, the payment at maturity, for each $1,000 principal amount note, will be $1,013.875 (or $1,000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the Contingent Interest Payment applicable to the final Review Date). When added to the Contingent Interest Payments received with respect to the prior Interest Review Dates, the total amount paid, for each $1,000 principal amount note, is $1,041.625.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PS-8| Structured Investments</w:t>
      </w:r>
    </w:p>
    <w:p>
      <w:pPr>
        <w:spacing w:after="0" w:line="91" w:lineRule="exact"/>
        <w:rPr>
          <w:sz w:val="20"/>
          <w:szCs w:val="20"/>
          <w:color w:val="auto"/>
        </w:rPr>
      </w:pPr>
    </w:p>
    <w:p>
      <w:pPr>
        <w:ind w:left="20"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20"/>
          </w:cols>
          <w:pgMar w:left="1080" w:top="1039" w:right="1099" w:bottom="1440" w:gutter="0" w:footer="0" w:header="0"/>
        </w:sectPr>
      </w:pPr>
    </w:p>
    <w:bookmarkStart w:id="9" w:name="page10"/>
    <w:bookmarkEnd w:id="9"/>
    <w:p>
      <w:pPr>
        <w:ind w:right="20"/>
        <w:spacing w:after="0" w:line="281" w:lineRule="auto"/>
        <w:rPr>
          <w:sz w:val="20"/>
          <w:szCs w:val="20"/>
          <w:color w:val="auto"/>
        </w:rPr>
      </w:pPr>
      <w:r>
        <w:rPr>
          <w:rFonts w:ascii="Arial" w:cs="Arial" w:eastAsia="Arial" w:hAnsi="Arial"/>
          <w:sz w:val="18"/>
          <w:szCs w:val="18"/>
          <w:b w:val="1"/>
          <w:bCs w:val="1"/>
          <w:color w:val="54301A"/>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Example 3 — Notes have NOT been automatically called and the Final Value is less than the Interest Barrier but is greater than or equal to the Trigger Value.</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00" w:type="dxa"/>
            <w:vAlign w:val="bottom"/>
            <w:tcBorders>
              <w:bottom w:val="single" w:sz="8" w:color="808080"/>
            </w:tcBorders>
            <w:shd w:val="clear" w:color="auto" w:fill="BFBFBF"/>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shd w:val="clear" w:color="auto" w:fill="BFBFBF"/>
          </w:tcPr>
          <w:p>
            <w:pPr>
              <w:ind w:left="160"/>
              <w:spacing w:after="0"/>
              <w:rPr>
                <w:sz w:val="20"/>
                <w:szCs w:val="20"/>
                <w:color w:val="auto"/>
              </w:rPr>
            </w:pPr>
            <w:r>
              <w:rPr>
                <w:rFonts w:ascii="Arial" w:cs="Arial" w:eastAsia="Arial" w:hAnsi="Arial"/>
                <w:sz w:val="16"/>
                <w:szCs w:val="16"/>
                <w:color w:val="595959"/>
              </w:rPr>
              <w:t>Closing Level</w:t>
            </w:r>
          </w:p>
        </w:tc>
        <w:tc>
          <w:tcPr>
            <w:tcW w:w="5180" w:type="dxa"/>
            <w:vAlign w:val="bottom"/>
            <w:tcBorders>
              <w:bottom w:val="single" w:sz="8" w:color="808080"/>
            </w:tcBorders>
            <w:shd w:val="clear" w:color="auto" w:fill="BFBFBF"/>
          </w:tcPr>
          <w:p>
            <w:pPr>
              <w:ind w:left="120"/>
              <w:spacing w:after="0"/>
              <w:rPr>
                <w:sz w:val="20"/>
                <w:szCs w:val="20"/>
                <w:color w:val="auto"/>
              </w:rPr>
            </w:pPr>
            <w:r>
              <w:rPr>
                <w:rFonts w:ascii="Arial" w:cs="Arial" w:eastAsia="Arial" w:hAnsi="Arial"/>
                <w:sz w:val="16"/>
                <w:szCs w:val="16"/>
                <w:color w:val="595959"/>
              </w:rPr>
              <w:t>Payment (per $1,000 principal amount note)</w:t>
            </w:r>
          </w:p>
        </w:tc>
      </w:tr>
      <w:tr>
        <w:trPr>
          <w:trHeight w:val="200"/>
        </w:trPr>
        <w:tc>
          <w:tcPr>
            <w:tcW w:w="2000" w:type="dxa"/>
            <w:vAlign w:val="bottom"/>
          </w:tcPr>
          <w:p>
            <w:pPr>
              <w:ind w:left="100"/>
              <w:spacing w:after="0"/>
              <w:rPr>
                <w:sz w:val="20"/>
                <w:szCs w:val="20"/>
                <w:color w:val="auto"/>
              </w:rPr>
            </w:pPr>
            <w:r>
              <w:rPr>
                <w:rFonts w:ascii="Arial" w:cs="Arial" w:eastAsia="Arial" w:hAnsi="Arial"/>
                <w:sz w:val="16"/>
                <w:szCs w:val="16"/>
                <w:color w:val="595959"/>
              </w:rPr>
              <w:t>First Interest Review</w:t>
            </w:r>
          </w:p>
        </w:tc>
        <w:tc>
          <w:tcPr>
            <w:tcW w:w="2080" w:type="dxa"/>
            <w:vAlign w:val="bottom"/>
          </w:tcPr>
          <w:p>
            <w:pPr>
              <w:ind w:left="160"/>
              <w:spacing w:after="0"/>
              <w:rPr>
                <w:sz w:val="20"/>
                <w:szCs w:val="20"/>
                <w:color w:val="auto"/>
              </w:rPr>
            </w:pPr>
            <w:r>
              <w:rPr>
                <w:rFonts w:ascii="Arial" w:cs="Arial" w:eastAsia="Arial" w:hAnsi="Arial"/>
                <w:sz w:val="16"/>
                <w:szCs w:val="16"/>
                <w:color w:val="595959"/>
              </w:rPr>
              <w:t>80.00</w:t>
            </w:r>
          </w:p>
        </w:tc>
        <w:tc>
          <w:tcPr>
            <w:tcW w:w="5180" w:type="dxa"/>
            <w:vAlign w:val="bottom"/>
          </w:tcPr>
          <w:p>
            <w:pPr>
              <w:ind w:left="120"/>
              <w:spacing w:after="0"/>
              <w:rPr>
                <w:sz w:val="20"/>
                <w:szCs w:val="20"/>
                <w:color w:val="auto"/>
              </w:rPr>
            </w:pPr>
            <w:r>
              <w:rPr>
                <w:rFonts w:ascii="Arial" w:cs="Arial" w:eastAsia="Arial" w:hAnsi="Arial"/>
                <w:sz w:val="16"/>
                <w:szCs w:val="16"/>
                <w:color w:val="595959"/>
              </w:rPr>
              <w:t>$13.875</w:t>
            </w:r>
          </w:p>
        </w:tc>
      </w:tr>
      <w:tr>
        <w:trPr>
          <w:trHeight w:val="216"/>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tcPr>
          <w:p>
            <w:pPr>
              <w:spacing w:after="0"/>
              <w:rPr>
                <w:sz w:val="18"/>
                <w:szCs w:val="18"/>
                <w:color w:val="auto"/>
              </w:rPr>
            </w:pPr>
          </w:p>
        </w:tc>
        <w:tc>
          <w:tcPr>
            <w:tcW w:w="5180" w:type="dxa"/>
            <w:vAlign w:val="bottom"/>
            <w:tcBorders>
              <w:bottom w:val="single" w:sz="8" w:color="808080"/>
            </w:tcBorders>
          </w:tcPr>
          <w:p>
            <w:pPr>
              <w:spacing w:after="0"/>
              <w:rPr>
                <w:sz w:val="18"/>
                <w:szCs w:val="18"/>
                <w:color w:val="auto"/>
              </w:rPr>
            </w:pPr>
          </w:p>
        </w:tc>
      </w:tr>
      <w:tr>
        <w:trPr>
          <w:trHeight w:val="196"/>
        </w:trPr>
        <w:tc>
          <w:tcPr>
            <w:tcW w:w="2000" w:type="dxa"/>
            <w:vAlign w:val="bottom"/>
          </w:tcPr>
          <w:p>
            <w:pPr>
              <w:ind w:left="100"/>
              <w:spacing w:after="0"/>
              <w:rPr>
                <w:sz w:val="20"/>
                <w:szCs w:val="20"/>
                <w:color w:val="auto"/>
              </w:rPr>
            </w:pPr>
            <w:r>
              <w:rPr>
                <w:rFonts w:ascii="Arial" w:cs="Arial" w:eastAsia="Arial" w:hAnsi="Arial"/>
                <w:sz w:val="16"/>
                <w:szCs w:val="16"/>
                <w:color w:val="595959"/>
              </w:rPr>
              <w:t>Second Interest Review</w:t>
            </w:r>
          </w:p>
        </w:tc>
        <w:tc>
          <w:tcPr>
            <w:tcW w:w="2080" w:type="dxa"/>
            <w:vAlign w:val="bottom"/>
          </w:tcPr>
          <w:p>
            <w:pPr>
              <w:ind w:left="160"/>
              <w:spacing w:after="0"/>
              <w:rPr>
                <w:sz w:val="20"/>
                <w:szCs w:val="20"/>
                <w:color w:val="auto"/>
              </w:rPr>
            </w:pPr>
            <w:r>
              <w:rPr>
                <w:rFonts w:ascii="Arial" w:cs="Arial" w:eastAsia="Arial" w:hAnsi="Arial"/>
                <w:sz w:val="16"/>
                <w:szCs w:val="16"/>
                <w:color w:val="595959"/>
              </w:rPr>
              <w:t>75.00</w:t>
            </w:r>
          </w:p>
        </w:tc>
        <w:tc>
          <w:tcPr>
            <w:tcW w:w="5180" w:type="dxa"/>
            <w:vAlign w:val="bottom"/>
          </w:tcPr>
          <w:p>
            <w:pPr>
              <w:ind w:left="120"/>
              <w:spacing w:after="0"/>
              <w:rPr>
                <w:sz w:val="20"/>
                <w:szCs w:val="20"/>
                <w:color w:val="auto"/>
              </w:rPr>
            </w:pPr>
            <w:r>
              <w:rPr>
                <w:rFonts w:ascii="Arial" w:cs="Arial" w:eastAsia="Arial" w:hAnsi="Arial"/>
                <w:sz w:val="16"/>
                <w:szCs w:val="16"/>
                <w:color w:val="595959"/>
              </w:rPr>
              <w:t>$13.875</w:t>
            </w:r>
          </w:p>
        </w:tc>
      </w:tr>
      <w:tr>
        <w:trPr>
          <w:trHeight w:val="216"/>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tcPr>
          <w:p>
            <w:pPr>
              <w:spacing w:after="0"/>
              <w:rPr>
                <w:sz w:val="18"/>
                <w:szCs w:val="18"/>
                <w:color w:val="auto"/>
              </w:rPr>
            </w:pPr>
          </w:p>
        </w:tc>
        <w:tc>
          <w:tcPr>
            <w:tcW w:w="5180" w:type="dxa"/>
            <w:vAlign w:val="bottom"/>
            <w:tcBorders>
              <w:bottom w:val="single" w:sz="8" w:color="808080"/>
            </w:tcBorders>
          </w:tcPr>
          <w:p>
            <w:pPr>
              <w:spacing w:after="0"/>
              <w:rPr>
                <w:sz w:val="18"/>
                <w:szCs w:val="18"/>
                <w:color w:val="auto"/>
              </w:rPr>
            </w:pPr>
          </w:p>
        </w:tc>
      </w:tr>
      <w:tr>
        <w:trPr>
          <w:trHeight w:val="196"/>
        </w:trPr>
        <w:tc>
          <w:tcPr>
            <w:tcW w:w="2000" w:type="dxa"/>
            <w:vAlign w:val="bottom"/>
          </w:tcPr>
          <w:p>
            <w:pPr>
              <w:ind w:left="100"/>
              <w:spacing w:after="0"/>
              <w:rPr>
                <w:sz w:val="20"/>
                <w:szCs w:val="20"/>
                <w:color w:val="auto"/>
              </w:rPr>
            </w:pPr>
            <w:r>
              <w:rPr>
                <w:rFonts w:ascii="Arial" w:cs="Arial" w:eastAsia="Arial" w:hAnsi="Arial"/>
                <w:sz w:val="16"/>
                <w:szCs w:val="16"/>
                <w:color w:val="595959"/>
              </w:rPr>
              <w:t>Third through Fifty-Ninth</w:t>
            </w:r>
          </w:p>
        </w:tc>
        <w:tc>
          <w:tcPr>
            <w:tcW w:w="2080" w:type="dxa"/>
            <w:vAlign w:val="bottom"/>
          </w:tcPr>
          <w:p>
            <w:pPr>
              <w:ind w:left="160"/>
              <w:spacing w:after="0"/>
              <w:rPr>
                <w:sz w:val="20"/>
                <w:szCs w:val="20"/>
                <w:color w:val="auto"/>
              </w:rPr>
            </w:pPr>
            <w:r>
              <w:rPr>
                <w:rFonts w:ascii="Arial" w:cs="Arial" w:eastAsia="Arial" w:hAnsi="Arial"/>
                <w:sz w:val="16"/>
                <w:szCs w:val="16"/>
                <w:color w:val="595959"/>
              </w:rPr>
              <w:t>Less than Interest Barrier</w:t>
            </w:r>
          </w:p>
        </w:tc>
        <w:tc>
          <w:tcPr>
            <w:tcW w:w="5180" w:type="dxa"/>
            <w:vAlign w:val="bottom"/>
          </w:tcPr>
          <w:p>
            <w:pPr>
              <w:ind w:left="120"/>
              <w:spacing w:after="0"/>
              <w:rPr>
                <w:sz w:val="20"/>
                <w:szCs w:val="20"/>
                <w:color w:val="auto"/>
              </w:rPr>
            </w:pPr>
            <w:r>
              <w:rPr>
                <w:rFonts w:ascii="Arial" w:cs="Arial" w:eastAsia="Arial" w:hAnsi="Arial"/>
                <w:sz w:val="16"/>
                <w:szCs w:val="16"/>
                <w:color w:val="595959"/>
              </w:rPr>
              <w:t>$0</w:t>
            </w:r>
          </w:p>
        </w:tc>
      </w:tr>
      <w:tr>
        <w:trPr>
          <w:trHeight w:val="216"/>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Interest Review Dates</w:t>
            </w:r>
          </w:p>
        </w:tc>
        <w:tc>
          <w:tcPr>
            <w:tcW w:w="2080" w:type="dxa"/>
            <w:vAlign w:val="bottom"/>
            <w:tcBorders>
              <w:bottom w:val="single" w:sz="8" w:color="808080"/>
            </w:tcBorders>
          </w:tcPr>
          <w:p>
            <w:pPr>
              <w:spacing w:after="0"/>
              <w:rPr>
                <w:sz w:val="18"/>
                <w:szCs w:val="18"/>
                <w:color w:val="auto"/>
              </w:rPr>
            </w:pPr>
          </w:p>
        </w:tc>
        <w:tc>
          <w:tcPr>
            <w:tcW w:w="5180" w:type="dxa"/>
            <w:vAlign w:val="bottom"/>
            <w:tcBorders>
              <w:bottom w:val="single" w:sz="8" w:color="808080"/>
            </w:tcBorders>
          </w:tcPr>
          <w:p>
            <w:pPr>
              <w:spacing w:after="0"/>
              <w:rPr>
                <w:sz w:val="18"/>
                <w:szCs w:val="18"/>
                <w:color w:val="auto"/>
              </w:rPr>
            </w:pPr>
          </w:p>
        </w:tc>
      </w:tr>
      <w:tr>
        <w:trPr>
          <w:trHeight w:val="222"/>
        </w:trPr>
        <w:tc>
          <w:tcPr>
            <w:tcW w:w="2000" w:type="dxa"/>
            <w:vAlign w:val="bottom"/>
          </w:tcPr>
          <w:p>
            <w:pPr>
              <w:ind w:left="100"/>
              <w:spacing w:after="0"/>
              <w:rPr>
                <w:sz w:val="20"/>
                <w:szCs w:val="20"/>
                <w:color w:val="auto"/>
              </w:rPr>
            </w:pPr>
            <w:r>
              <w:rPr>
                <w:rFonts w:ascii="Arial" w:cs="Arial" w:eastAsia="Arial" w:hAnsi="Arial"/>
                <w:sz w:val="16"/>
                <w:szCs w:val="16"/>
                <w:color w:val="595959"/>
              </w:rPr>
              <w:t>Final Review Date</w:t>
            </w:r>
          </w:p>
        </w:tc>
        <w:tc>
          <w:tcPr>
            <w:tcW w:w="2080" w:type="dxa"/>
            <w:vAlign w:val="bottom"/>
          </w:tcPr>
          <w:p>
            <w:pPr>
              <w:ind w:left="160"/>
              <w:spacing w:after="0"/>
              <w:rPr>
                <w:sz w:val="20"/>
                <w:szCs w:val="20"/>
                <w:color w:val="auto"/>
              </w:rPr>
            </w:pPr>
            <w:r>
              <w:rPr>
                <w:rFonts w:ascii="Arial" w:cs="Arial" w:eastAsia="Arial" w:hAnsi="Arial"/>
                <w:sz w:val="16"/>
                <w:szCs w:val="16"/>
                <w:color w:val="595959"/>
              </w:rPr>
              <w:t>50.00</w:t>
            </w:r>
          </w:p>
        </w:tc>
        <w:tc>
          <w:tcPr>
            <w:tcW w:w="5180" w:type="dxa"/>
            <w:vAlign w:val="bottom"/>
          </w:tcPr>
          <w:p>
            <w:pPr>
              <w:ind w:left="120"/>
              <w:spacing w:after="0"/>
              <w:rPr>
                <w:sz w:val="20"/>
                <w:szCs w:val="20"/>
                <w:color w:val="auto"/>
              </w:rPr>
            </w:pPr>
            <w:r>
              <w:rPr>
                <w:rFonts w:ascii="Arial" w:cs="Arial" w:eastAsia="Arial" w:hAnsi="Arial"/>
                <w:sz w:val="16"/>
                <w:szCs w:val="16"/>
                <w:color w:val="595959"/>
              </w:rPr>
              <w:t>$1,000.00</w:t>
            </w:r>
          </w:p>
        </w:tc>
      </w:tr>
      <w:tr>
        <w:trPr>
          <w:trHeight w:val="97"/>
        </w:trPr>
        <w:tc>
          <w:tcPr>
            <w:tcW w:w="2000" w:type="dxa"/>
            <w:vAlign w:val="bottom"/>
            <w:tcBorders>
              <w:bottom w:val="single" w:sz="8" w:color="808080"/>
            </w:tcBorders>
          </w:tcPr>
          <w:p>
            <w:pPr>
              <w:spacing w:after="0"/>
              <w:rPr>
                <w:sz w:val="8"/>
                <w:szCs w:val="8"/>
                <w:color w:val="auto"/>
              </w:rPr>
            </w:pPr>
          </w:p>
        </w:tc>
        <w:tc>
          <w:tcPr>
            <w:tcW w:w="2080" w:type="dxa"/>
            <w:vAlign w:val="bottom"/>
            <w:tcBorders>
              <w:bottom w:val="single" w:sz="8" w:color="808080"/>
            </w:tcBorders>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r>
      <w:tr>
        <w:trPr>
          <w:trHeight w:val="221"/>
        </w:trPr>
        <w:tc>
          <w:tcPr>
            <w:tcW w:w="2000" w:type="dxa"/>
            <w:vAlign w:val="bottom"/>
          </w:tcPr>
          <w:p>
            <w:pPr>
              <w:spacing w:after="0"/>
              <w:rPr>
                <w:sz w:val="19"/>
                <w:szCs w:val="19"/>
                <w:color w:val="auto"/>
              </w:rPr>
            </w:pPr>
          </w:p>
        </w:tc>
        <w:tc>
          <w:tcPr>
            <w:tcW w:w="2080" w:type="dxa"/>
            <w:vAlign w:val="bottom"/>
          </w:tcPr>
          <w:p>
            <w:pPr>
              <w:ind w:left="160"/>
              <w:spacing w:after="0"/>
              <w:rPr>
                <w:sz w:val="20"/>
                <w:szCs w:val="20"/>
                <w:color w:val="auto"/>
              </w:rPr>
            </w:pPr>
            <w:r>
              <w:rPr>
                <w:rFonts w:ascii="Arial" w:cs="Arial" w:eastAsia="Arial" w:hAnsi="Arial"/>
                <w:sz w:val="16"/>
                <w:szCs w:val="16"/>
                <w:color w:val="595959"/>
              </w:rPr>
              <w:t>Total Payment</w:t>
            </w:r>
          </w:p>
        </w:tc>
        <w:tc>
          <w:tcPr>
            <w:tcW w:w="5180" w:type="dxa"/>
            <w:vAlign w:val="bottom"/>
          </w:tcPr>
          <w:p>
            <w:pPr>
              <w:ind w:left="120"/>
              <w:spacing w:after="0"/>
              <w:rPr>
                <w:sz w:val="20"/>
                <w:szCs w:val="20"/>
                <w:color w:val="auto"/>
              </w:rPr>
            </w:pPr>
            <w:r>
              <w:rPr>
                <w:rFonts w:ascii="Arial" w:cs="Arial" w:eastAsia="Arial" w:hAnsi="Arial"/>
                <w:sz w:val="16"/>
                <w:szCs w:val="16"/>
                <w:color w:val="595959"/>
              </w:rPr>
              <w:t>$1,027.75 (2.775% return)</w:t>
            </w:r>
          </w:p>
        </w:tc>
      </w:tr>
    </w:tbl>
    <w:p>
      <w:pPr>
        <w:spacing w:after="0" w:line="163" w:lineRule="exact"/>
        <w:rPr>
          <w:sz w:val="20"/>
          <w:szCs w:val="20"/>
          <w:color w:val="auto"/>
        </w:rPr>
      </w:pPr>
    </w:p>
    <w:p>
      <w:pPr>
        <w:spacing w:after="0" w:line="300" w:lineRule="auto"/>
        <w:rPr>
          <w:sz w:val="20"/>
          <w:szCs w:val="20"/>
          <w:color w:val="auto"/>
        </w:rPr>
      </w:pPr>
      <w:r>
        <w:rPr>
          <w:rFonts w:ascii="Arial" w:cs="Arial" w:eastAsia="Arial" w:hAnsi="Arial"/>
          <w:sz w:val="16"/>
          <w:szCs w:val="16"/>
          <w:color w:val="404040"/>
        </w:rPr>
        <w:t>Because the notes have not been automatically called and the Final Value is less than the Interest Barrier but is greater than or equal to the Trigger Value, the payment at maturity, for each $1,000 principal amount note, will be $1,000.00. When added to the Contingent Interest Payments received with respect to the prior Interest Review Dates, the total amount paid, for each $1,000 principal amount note, is $1,027.75.</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54301A"/>
        </w:rPr>
        <w:t>Example 4 — Notes have NOT been automatically called and the Final Value is less than the Trigger Value.</w:t>
      </w:r>
    </w:p>
    <w:p>
      <w:pPr>
        <w:spacing w:after="0" w:line="95"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000" w:type="dxa"/>
            <w:vAlign w:val="bottom"/>
            <w:tcBorders>
              <w:bottom w:val="single" w:sz="8" w:color="808080"/>
            </w:tcBorders>
            <w:shd w:val="clear" w:color="auto" w:fill="BFBFBF"/>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shd w:val="clear" w:color="auto" w:fill="BFBFBF"/>
          </w:tcPr>
          <w:p>
            <w:pPr>
              <w:ind w:left="160"/>
              <w:spacing w:after="0"/>
              <w:rPr>
                <w:sz w:val="20"/>
                <w:szCs w:val="20"/>
                <w:color w:val="auto"/>
              </w:rPr>
            </w:pPr>
            <w:r>
              <w:rPr>
                <w:rFonts w:ascii="Arial" w:cs="Arial" w:eastAsia="Arial" w:hAnsi="Arial"/>
                <w:sz w:val="16"/>
                <w:szCs w:val="16"/>
                <w:color w:val="595959"/>
              </w:rPr>
              <w:t>Closing Level</w:t>
            </w:r>
          </w:p>
        </w:tc>
        <w:tc>
          <w:tcPr>
            <w:tcW w:w="5180" w:type="dxa"/>
            <w:vAlign w:val="bottom"/>
            <w:tcBorders>
              <w:bottom w:val="single" w:sz="8" w:color="808080"/>
            </w:tcBorders>
            <w:shd w:val="clear" w:color="auto" w:fill="BFBFBF"/>
          </w:tcPr>
          <w:p>
            <w:pPr>
              <w:ind w:left="120"/>
              <w:spacing w:after="0"/>
              <w:rPr>
                <w:sz w:val="20"/>
                <w:szCs w:val="20"/>
                <w:color w:val="auto"/>
              </w:rPr>
            </w:pPr>
            <w:r>
              <w:rPr>
                <w:rFonts w:ascii="Arial" w:cs="Arial" w:eastAsia="Arial" w:hAnsi="Arial"/>
                <w:sz w:val="16"/>
                <w:szCs w:val="16"/>
                <w:color w:val="595959"/>
              </w:rPr>
              <w:t>Payment (per $1,000 principal amount note)</w:t>
            </w:r>
          </w:p>
        </w:tc>
      </w:tr>
      <w:tr>
        <w:trPr>
          <w:trHeight w:val="186"/>
        </w:trPr>
        <w:tc>
          <w:tcPr>
            <w:tcW w:w="2000" w:type="dxa"/>
            <w:vAlign w:val="bottom"/>
          </w:tcPr>
          <w:p>
            <w:pPr>
              <w:ind w:left="100"/>
              <w:spacing w:after="0"/>
              <w:rPr>
                <w:sz w:val="20"/>
                <w:szCs w:val="20"/>
                <w:color w:val="auto"/>
              </w:rPr>
            </w:pPr>
            <w:r>
              <w:rPr>
                <w:rFonts w:ascii="Arial" w:cs="Arial" w:eastAsia="Arial" w:hAnsi="Arial"/>
                <w:sz w:val="16"/>
                <w:szCs w:val="16"/>
                <w:color w:val="595959"/>
              </w:rPr>
              <w:t>First Interest Review</w:t>
            </w:r>
          </w:p>
        </w:tc>
        <w:tc>
          <w:tcPr>
            <w:tcW w:w="2080" w:type="dxa"/>
            <w:vAlign w:val="bottom"/>
          </w:tcPr>
          <w:p>
            <w:pPr>
              <w:ind w:left="160"/>
              <w:spacing w:after="0"/>
              <w:rPr>
                <w:sz w:val="20"/>
                <w:szCs w:val="20"/>
                <w:color w:val="auto"/>
              </w:rPr>
            </w:pPr>
            <w:r>
              <w:rPr>
                <w:rFonts w:ascii="Arial" w:cs="Arial" w:eastAsia="Arial" w:hAnsi="Arial"/>
                <w:sz w:val="16"/>
                <w:szCs w:val="16"/>
                <w:color w:val="595959"/>
              </w:rPr>
              <w:t>40.00</w:t>
            </w:r>
          </w:p>
        </w:tc>
        <w:tc>
          <w:tcPr>
            <w:tcW w:w="5180" w:type="dxa"/>
            <w:vAlign w:val="bottom"/>
          </w:tcPr>
          <w:p>
            <w:pPr>
              <w:ind w:left="120"/>
              <w:spacing w:after="0"/>
              <w:rPr>
                <w:sz w:val="20"/>
                <w:szCs w:val="20"/>
                <w:color w:val="auto"/>
              </w:rPr>
            </w:pPr>
            <w:r>
              <w:rPr>
                <w:rFonts w:ascii="Arial" w:cs="Arial" w:eastAsia="Arial" w:hAnsi="Arial"/>
                <w:sz w:val="16"/>
                <w:szCs w:val="16"/>
                <w:color w:val="595959"/>
              </w:rPr>
              <w:t>$0</w:t>
            </w:r>
          </w:p>
        </w:tc>
      </w:tr>
      <w:tr>
        <w:trPr>
          <w:trHeight w:val="224"/>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r>
      <w:tr>
        <w:trPr>
          <w:trHeight w:val="188"/>
        </w:trPr>
        <w:tc>
          <w:tcPr>
            <w:tcW w:w="2000" w:type="dxa"/>
            <w:vAlign w:val="bottom"/>
          </w:tcPr>
          <w:p>
            <w:pPr>
              <w:ind w:left="100"/>
              <w:spacing w:after="0"/>
              <w:rPr>
                <w:sz w:val="20"/>
                <w:szCs w:val="20"/>
                <w:color w:val="auto"/>
              </w:rPr>
            </w:pPr>
            <w:r>
              <w:rPr>
                <w:rFonts w:ascii="Arial" w:cs="Arial" w:eastAsia="Arial" w:hAnsi="Arial"/>
                <w:sz w:val="16"/>
                <w:szCs w:val="16"/>
                <w:color w:val="595959"/>
              </w:rPr>
              <w:t>Second Interest Review</w:t>
            </w:r>
          </w:p>
        </w:tc>
        <w:tc>
          <w:tcPr>
            <w:tcW w:w="2080" w:type="dxa"/>
            <w:vAlign w:val="bottom"/>
          </w:tcPr>
          <w:p>
            <w:pPr>
              <w:ind w:left="160"/>
              <w:spacing w:after="0"/>
              <w:rPr>
                <w:sz w:val="20"/>
                <w:szCs w:val="20"/>
                <w:color w:val="auto"/>
              </w:rPr>
            </w:pPr>
            <w:r>
              <w:rPr>
                <w:rFonts w:ascii="Arial" w:cs="Arial" w:eastAsia="Arial" w:hAnsi="Arial"/>
                <w:sz w:val="16"/>
                <w:szCs w:val="16"/>
                <w:color w:val="595959"/>
              </w:rPr>
              <w:t>45.00</w:t>
            </w:r>
          </w:p>
        </w:tc>
        <w:tc>
          <w:tcPr>
            <w:tcW w:w="5180" w:type="dxa"/>
            <w:vAlign w:val="bottom"/>
          </w:tcPr>
          <w:p>
            <w:pPr>
              <w:ind w:left="120"/>
              <w:spacing w:after="0"/>
              <w:rPr>
                <w:sz w:val="20"/>
                <w:szCs w:val="20"/>
                <w:color w:val="auto"/>
              </w:rPr>
            </w:pPr>
            <w:r>
              <w:rPr>
                <w:rFonts w:ascii="Arial" w:cs="Arial" w:eastAsia="Arial" w:hAnsi="Arial"/>
                <w:sz w:val="16"/>
                <w:szCs w:val="16"/>
                <w:color w:val="595959"/>
              </w:rPr>
              <w:t>$0</w:t>
            </w:r>
          </w:p>
        </w:tc>
      </w:tr>
      <w:tr>
        <w:trPr>
          <w:trHeight w:val="224"/>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Date</w:t>
            </w:r>
          </w:p>
        </w:tc>
        <w:tc>
          <w:tcPr>
            <w:tcW w:w="208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r>
      <w:tr>
        <w:trPr>
          <w:trHeight w:val="188"/>
        </w:trPr>
        <w:tc>
          <w:tcPr>
            <w:tcW w:w="2000" w:type="dxa"/>
            <w:vAlign w:val="bottom"/>
          </w:tcPr>
          <w:p>
            <w:pPr>
              <w:ind w:left="100"/>
              <w:spacing w:after="0"/>
              <w:rPr>
                <w:sz w:val="20"/>
                <w:szCs w:val="20"/>
                <w:color w:val="auto"/>
              </w:rPr>
            </w:pPr>
            <w:r>
              <w:rPr>
                <w:rFonts w:ascii="Arial" w:cs="Arial" w:eastAsia="Arial" w:hAnsi="Arial"/>
                <w:sz w:val="16"/>
                <w:szCs w:val="16"/>
                <w:color w:val="595959"/>
              </w:rPr>
              <w:t>Third through Fifty-Ninth</w:t>
            </w:r>
          </w:p>
        </w:tc>
        <w:tc>
          <w:tcPr>
            <w:tcW w:w="2080" w:type="dxa"/>
            <w:vAlign w:val="bottom"/>
          </w:tcPr>
          <w:p>
            <w:pPr>
              <w:ind w:left="160"/>
              <w:spacing w:after="0"/>
              <w:rPr>
                <w:sz w:val="20"/>
                <w:szCs w:val="20"/>
                <w:color w:val="auto"/>
              </w:rPr>
            </w:pPr>
            <w:r>
              <w:rPr>
                <w:rFonts w:ascii="Arial" w:cs="Arial" w:eastAsia="Arial" w:hAnsi="Arial"/>
                <w:sz w:val="16"/>
                <w:szCs w:val="16"/>
                <w:color w:val="595959"/>
              </w:rPr>
              <w:t>Less than Interest Barrier</w:t>
            </w:r>
          </w:p>
        </w:tc>
        <w:tc>
          <w:tcPr>
            <w:tcW w:w="5180" w:type="dxa"/>
            <w:vAlign w:val="bottom"/>
          </w:tcPr>
          <w:p>
            <w:pPr>
              <w:ind w:left="120"/>
              <w:spacing w:after="0"/>
              <w:rPr>
                <w:sz w:val="20"/>
                <w:szCs w:val="20"/>
                <w:color w:val="auto"/>
              </w:rPr>
            </w:pPr>
            <w:r>
              <w:rPr>
                <w:rFonts w:ascii="Arial" w:cs="Arial" w:eastAsia="Arial" w:hAnsi="Arial"/>
                <w:sz w:val="16"/>
                <w:szCs w:val="16"/>
                <w:color w:val="595959"/>
              </w:rPr>
              <w:t>$0</w:t>
            </w:r>
          </w:p>
        </w:tc>
      </w:tr>
      <w:tr>
        <w:trPr>
          <w:trHeight w:val="224"/>
        </w:trPr>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595959"/>
              </w:rPr>
              <w:t>Interest Review Dates</w:t>
            </w:r>
          </w:p>
        </w:tc>
        <w:tc>
          <w:tcPr>
            <w:tcW w:w="208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r>
      <w:tr>
        <w:trPr>
          <w:trHeight w:val="215"/>
        </w:trPr>
        <w:tc>
          <w:tcPr>
            <w:tcW w:w="2000" w:type="dxa"/>
            <w:vAlign w:val="bottom"/>
          </w:tcPr>
          <w:p>
            <w:pPr>
              <w:ind w:left="100"/>
              <w:spacing w:after="0"/>
              <w:rPr>
                <w:sz w:val="20"/>
                <w:szCs w:val="20"/>
                <w:color w:val="auto"/>
              </w:rPr>
            </w:pPr>
            <w:r>
              <w:rPr>
                <w:rFonts w:ascii="Arial" w:cs="Arial" w:eastAsia="Arial" w:hAnsi="Arial"/>
                <w:sz w:val="16"/>
                <w:szCs w:val="16"/>
                <w:color w:val="595959"/>
              </w:rPr>
              <w:t>Final Review Date</w:t>
            </w:r>
          </w:p>
        </w:tc>
        <w:tc>
          <w:tcPr>
            <w:tcW w:w="2080" w:type="dxa"/>
            <w:vAlign w:val="bottom"/>
          </w:tcPr>
          <w:p>
            <w:pPr>
              <w:ind w:left="160"/>
              <w:spacing w:after="0"/>
              <w:rPr>
                <w:sz w:val="20"/>
                <w:szCs w:val="20"/>
                <w:color w:val="auto"/>
              </w:rPr>
            </w:pPr>
            <w:r>
              <w:rPr>
                <w:rFonts w:ascii="Arial" w:cs="Arial" w:eastAsia="Arial" w:hAnsi="Arial"/>
                <w:sz w:val="16"/>
                <w:szCs w:val="16"/>
                <w:color w:val="595959"/>
              </w:rPr>
              <w:t>40.00</w:t>
            </w:r>
          </w:p>
        </w:tc>
        <w:tc>
          <w:tcPr>
            <w:tcW w:w="5180" w:type="dxa"/>
            <w:vAlign w:val="bottom"/>
          </w:tcPr>
          <w:p>
            <w:pPr>
              <w:ind w:left="120"/>
              <w:spacing w:after="0"/>
              <w:rPr>
                <w:sz w:val="20"/>
                <w:szCs w:val="20"/>
                <w:color w:val="auto"/>
              </w:rPr>
            </w:pPr>
            <w:r>
              <w:rPr>
                <w:rFonts w:ascii="Arial" w:cs="Arial" w:eastAsia="Arial" w:hAnsi="Arial"/>
                <w:sz w:val="16"/>
                <w:szCs w:val="16"/>
                <w:color w:val="595959"/>
              </w:rPr>
              <w:t>$400.00</w:t>
            </w:r>
          </w:p>
        </w:tc>
      </w:tr>
      <w:tr>
        <w:trPr>
          <w:trHeight w:val="109"/>
        </w:trPr>
        <w:tc>
          <w:tcPr>
            <w:tcW w:w="200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r>
      <w:tr>
        <w:trPr>
          <w:trHeight w:val="208"/>
        </w:trPr>
        <w:tc>
          <w:tcPr>
            <w:tcW w:w="2000" w:type="dxa"/>
            <w:vAlign w:val="bottom"/>
          </w:tcPr>
          <w:p>
            <w:pPr>
              <w:spacing w:after="0"/>
              <w:rPr>
                <w:sz w:val="18"/>
                <w:szCs w:val="18"/>
                <w:color w:val="auto"/>
              </w:rPr>
            </w:pPr>
          </w:p>
        </w:tc>
        <w:tc>
          <w:tcPr>
            <w:tcW w:w="2080" w:type="dxa"/>
            <w:vAlign w:val="bottom"/>
          </w:tcPr>
          <w:p>
            <w:pPr>
              <w:ind w:left="160"/>
              <w:spacing w:after="0"/>
              <w:rPr>
                <w:sz w:val="20"/>
                <w:szCs w:val="20"/>
                <w:color w:val="auto"/>
              </w:rPr>
            </w:pPr>
            <w:r>
              <w:rPr>
                <w:rFonts w:ascii="Arial" w:cs="Arial" w:eastAsia="Arial" w:hAnsi="Arial"/>
                <w:sz w:val="16"/>
                <w:szCs w:val="16"/>
                <w:color w:val="595959"/>
              </w:rPr>
              <w:t>Total Payment</w:t>
            </w:r>
          </w:p>
        </w:tc>
        <w:tc>
          <w:tcPr>
            <w:tcW w:w="5180" w:type="dxa"/>
            <w:vAlign w:val="bottom"/>
          </w:tcPr>
          <w:p>
            <w:pPr>
              <w:ind w:left="120"/>
              <w:spacing w:after="0"/>
              <w:rPr>
                <w:sz w:val="20"/>
                <w:szCs w:val="20"/>
                <w:color w:val="auto"/>
              </w:rPr>
            </w:pPr>
            <w:r>
              <w:rPr>
                <w:rFonts w:ascii="Arial" w:cs="Arial" w:eastAsia="Arial" w:hAnsi="Arial"/>
                <w:sz w:val="16"/>
                <w:szCs w:val="16"/>
                <w:color w:val="595959"/>
              </w:rPr>
              <w:t>$400.00 (-60.00% return)</w:t>
            </w:r>
          </w:p>
        </w:tc>
      </w:tr>
    </w:tbl>
    <w:p>
      <w:pPr>
        <w:spacing w:after="0" w:line="176" w:lineRule="exact"/>
        <w:rPr>
          <w:sz w:val="20"/>
          <w:szCs w:val="20"/>
          <w:color w:val="auto"/>
        </w:rPr>
      </w:pPr>
    </w:p>
    <w:p>
      <w:pPr>
        <w:ind w:right="140"/>
        <w:spacing w:after="0" w:line="316" w:lineRule="auto"/>
        <w:rPr>
          <w:sz w:val="20"/>
          <w:szCs w:val="20"/>
          <w:color w:val="auto"/>
        </w:rPr>
      </w:pPr>
      <w:r>
        <w:rPr>
          <w:rFonts w:ascii="Arial" w:cs="Arial" w:eastAsia="Arial" w:hAnsi="Arial"/>
          <w:sz w:val="16"/>
          <w:szCs w:val="16"/>
          <w:color w:val="404040"/>
        </w:rPr>
        <w:t xml:space="preserve">Because the notes have not been automatically called, the Final Value is less than the Trigger Value and the Index Return </w:t>
      </w:r>
      <w:r>
        <w:rPr>
          <w:rFonts w:ascii="Arial" w:cs="Arial" w:eastAsia="Arial" w:hAnsi="Arial"/>
          <w:sz w:val="16"/>
          <w:szCs w:val="16"/>
          <w:color w:val="000000"/>
        </w:rPr>
        <w:t>is -</w:t>
      </w:r>
      <w:r>
        <w:rPr>
          <w:rFonts w:ascii="Arial" w:cs="Arial" w:eastAsia="Arial" w:hAnsi="Arial"/>
          <w:sz w:val="16"/>
          <w:szCs w:val="16"/>
          <w:color w:val="404040"/>
        </w:rPr>
        <w:t>60.00%, the payment at maturity will be $400.00 per $1,000 principal amount note, calculated as follows: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404040"/>
        </w:rPr>
        <w:t>$1,000 + [$1,000 × (-60.00%)] = $400.00</w:t>
      </w:r>
    </w:p>
    <w:p>
      <w:pPr>
        <w:spacing w:after="0" w:line="100"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404040"/>
        </w:rPr>
        <w:t xml:space="preserve">The hypothetical returns and hypothetical payments on the notes shown above apply </w:t>
      </w:r>
      <w:r>
        <w:rPr>
          <w:rFonts w:ascii="Arial" w:cs="Arial" w:eastAsia="Arial" w:hAnsi="Arial"/>
          <w:sz w:val="16"/>
          <w:szCs w:val="16"/>
          <w:b w:val="1"/>
          <w:bCs w:val="1"/>
          <w:color w:val="404040"/>
        </w:rPr>
        <w:t>only if you hold the notes for their entire term</w:t>
      </w:r>
      <w:r>
        <w:rPr>
          <w:rFonts w:ascii="Arial" w:cs="Arial" w:eastAsia="Arial" w:hAnsi="Arial"/>
          <w:sz w:val="16"/>
          <w:szCs w:val="16"/>
          <w:color w:val="404040"/>
        </w:rPr>
        <w:t xml:space="preserve"> </w:t>
      </w:r>
      <w:r>
        <w:rPr>
          <w:rFonts w:ascii="Arial" w:cs="Arial" w:eastAsia="Arial" w:hAnsi="Arial"/>
          <w:sz w:val="16"/>
          <w:szCs w:val="16"/>
          <w:b w:val="1"/>
          <w:bCs w:val="1"/>
          <w:color w:val="404040"/>
        </w:rPr>
        <w:t>or until automatically called</w:t>
      </w:r>
      <w:r>
        <w:rPr>
          <w:rFonts w:ascii="Arial" w:cs="Arial" w:eastAsia="Arial" w:hAnsi="Arial"/>
          <w:sz w:val="16"/>
          <w:szCs w:val="16"/>
          <w:color w:val="404040"/>
        </w:rPr>
        <w:t>. These hypotheticals do not reflect the fees or expenses that would be associated with any sale in the</w:t>
      </w:r>
      <w:r>
        <w:rPr>
          <w:rFonts w:ascii="Arial" w:cs="Arial" w:eastAsia="Arial" w:hAnsi="Arial"/>
          <w:sz w:val="16"/>
          <w:szCs w:val="16"/>
          <w:b w:val="1"/>
          <w:bCs w:val="1"/>
          <w:color w:val="404040"/>
        </w:rPr>
        <w:t xml:space="preserve"> </w:t>
      </w:r>
      <w:r>
        <w:rPr>
          <w:rFonts w:ascii="Arial" w:cs="Arial" w:eastAsia="Arial" w:hAnsi="Arial"/>
          <w:sz w:val="16"/>
          <w:szCs w:val="16"/>
          <w:color w:val="404040"/>
        </w:rPr>
        <w:t>secondary market. If these fees and expenses were included, the hypothetical returns and hypothetical payments shown above would likely be lower.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81"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404040"/>
        </w:rPr>
        <w:t>An investment in the notes involves significant risks. These risks are explained in more detail in the “Risk Factors” sections of the accompanying prospectus supplement, product supplement and underlying supplement.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Notes Generally</w:t>
      </w:r>
    </w:p>
    <w:p>
      <w:pPr>
        <w:spacing w:after="0" w:line="154" w:lineRule="exact"/>
        <w:rPr>
          <w:sz w:val="20"/>
          <w:szCs w:val="20"/>
          <w:color w:val="auto"/>
        </w:rPr>
      </w:pPr>
    </w:p>
    <w:p>
      <w:pPr>
        <w:ind w:left="320" w:hanging="314"/>
        <w:spacing w:after="0"/>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YOUR INVESTMENT IN THE NOTES MAY RESULT IN A LOSS —</w:t>
      </w:r>
    </w:p>
    <w:p>
      <w:pPr>
        <w:spacing w:after="0" w:line="7" w:lineRule="exact"/>
        <w:rPr>
          <w:rFonts w:ascii="Arial" w:cs="Arial" w:eastAsia="Arial" w:hAnsi="Arial"/>
          <w:sz w:val="16"/>
          <w:szCs w:val="16"/>
          <w:color w:val="404040"/>
        </w:rPr>
      </w:pPr>
    </w:p>
    <w:p>
      <w:pPr>
        <w:ind w:left="320" w:right="100"/>
        <w:spacing w:after="0" w:line="232" w:lineRule="auto"/>
        <w:rPr>
          <w:rFonts w:ascii="Arial" w:cs="Arial" w:eastAsia="Arial" w:hAnsi="Arial"/>
          <w:sz w:val="16"/>
          <w:szCs w:val="16"/>
          <w:color w:val="404040"/>
        </w:rPr>
      </w:pPr>
      <w:r>
        <w:rPr>
          <w:rFonts w:ascii="Arial" w:cs="Arial" w:eastAsia="Arial" w:hAnsi="Arial"/>
          <w:sz w:val="16"/>
          <w:szCs w:val="16"/>
          <w:color w:val="404040"/>
        </w:rPr>
        <w:t>The notes do not guarantee any return of principal. If the notes have not been automatically called and the Final Value is less than the Trigger Value, you will lose 1% of the principal amount of your notes for every 1% that the Final Value is less than the Initial Value. In no event, however, will the payment at maturity be less than $0. Accordingly, under these circumstances, you will lose more than 50.00% of your principal amount at maturity and could lose all of your principal amount at maturity.</w:t>
      </w:r>
    </w:p>
    <w:p>
      <w:pPr>
        <w:spacing w:after="0" w:line="90" w:lineRule="exact"/>
        <w:rPr>
          <w:rFonts w:ascii="Arial" w:cs="Arial" w:eastAsia="Arial" w:hAnsi="Arial"/>
          <w:sz w:val="16"/>
          <w:szCs w:val="16"/>
          <w:color w:val="404040"/>
        </w:rPr>
      </w:pPr>
    </w:p>
    <w:p>
      <w:pPr>
        <w:ind w:left="320" w:hanging="314"/>
        <w:spacing w:after="0"/>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THE NOTES DO NOT GUARANTEE THE PAYMENT OF INTEREST AND MAY NOT PAY ANY INTEREST AT ALL —</w:t>
      </w:r>
    </w:p>
    <w:p>
      <w:pPr>
        <w:ind w:left="320" w:right="140"/>
        <w:spacing w:after="0" w:line="231" w:lineRule="auto"/>
        <w:rPr>
          <w:rFonts w:ascii="Arial" w:cs="Arial" w:eastAsia="Arial" w:hAnsi="Arial"/>
          <w:sz w:val="16"/>
          <w:szCs w:val="16"/>
          <w:color w:val="404040"/>
        </w:rPr>
      </w:pPr>
      <w:r>
        <w:rPr>
          <w:rFonts w:ascii="Arial" w:cs="Arial" w:eastAsia="Arial" w:hAnsi="Arial"/>
          <w:sz w:val="16"/>
          <w:szCs w:val="16"/>
          <w:color w:val="404040"/>
        </w:rPr>
        <w:t>If the notes have not been automatically called, we will make a Contingent Interest Payment with respect to an Interest Review Date only if the closing level of the Index on that Interest Review Date is greater than or equal to the Interest Barrier. If the closing level of the Index on that Interest Review Date is less than the Interest Barrier, no Contingent Interest Payment will be made with respect to that Interest Review Date. Accordingly, if the closing level of the Index on each Interest Review Date is less than the Interest Barrier, you will not receive any interest payments over the term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PS-9| Structured Investments</w:t>
      </w:r>
    </w:p>
    <w:p>
      <w:pPr>
        <w:spacing w:after="0" w:line="91" w:lineRule="exact"/>
        <w:rPr>
          <w:sz w:val="20"/>
          <w:szCs w:val="20"/>
          <w:color w:val="auto"/>
        </w:rPr>
      </w:pPr>
    </w:p>
    <w:p>
      <w:pPr>
        <w:ind w:left="20"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20"/>
          </w:cols>
          <w:pgMar w:left="1080" w:top="1039" w:right="1099" w:bottom="1440" w:gutter="0" w:footer="0" w:header="0"/>
        </w:sectPr>
      </w:pPr>
    </w:p>
    <w:bookmarkStart w:id="10" w:name="page11"/>
    <w:bookmarkEnd w:id="10"/>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LEVEL OF THE INDEX WILL INCLUDE A 6.0% PER ANNUM DAILY DEDUCTION —</w:t>
      </w:r>
    </w:p>
    <w:p>
      <w:pPr>
        <w:spacing w:after="0" w:line="7" w:lineRule="exact"/>
        <w:rPr>
          <w:rFonts w:ascii="Arial" w:cs="Arial" w:eastAsia="Arial" w:hAnsi="Arial"/>
          <w:sz w:val="16"/>
          <w:szCs w:val="16"/>
          <w:color w:val="404040"/>
        </w:rPr>
      </w:pPr>
    </w:p>
    <w:p>
      <w:pPr>
        <w:ind w:left="320" w:right="360"/>
        <w:spacing w:after="0" w:line="220" w:lineRule="auto"/>
        <w:rPr>
          <w:rFonts w:ascii="Arial" w:cs="Arial" w:eastAsia="Arial" w:hAnsi="Arial"/>
          <w:sz w:val="16"/>
          <w:szCs w:val="16"/>
          <w:color w:val="404040"/>
        </w:rPr>
      </w:pPr>
      <w:r>
        <w:rPr>
          <w:rFonts w:ascii="Arial" w:cs="Arial" w:eastAsia="Arial" w:hAnsi="Arial"/>
          <w:sz w:val="16"/>
          <w:szCs w:val="16"/>
          <w:color w:val="404040"/>
        </w:rPr>
        <w:t>The Index is subject to a 6.0% per annum daily deduction. The level of the Index will trail the value of an identically constituted synthetic portfolio that is not subject to any such deduction.</w:t>
      </w:r>
    </w:p>
    <w:p>
      <w:pPr>
        <w:ind w:left="320"/>
        <w:spacing w:after="0" w:line="223" w:lineRule="auto"/>
        <w:rPr>
          <w:rFonts w:ascii="Arial" w:cs="Arial" w:eastAsia="Arial" w:hAnsi="Arial"/>
          <w:sz w:val="16"/>
          <w:szCs w:val="16"/>
          <w:color w:val="404040"/>
        </w:rPr>
      </w:pPr>
      <w:r>
        <w:rPr>
          <w:rFonts w:ascii="Arial" w:cs="Arial" w:eastAsia="Arial" w:hAnsi="Arial"/>
          <w:sz w:val="16"/>
          <w:szCs w:val="16"/>
          <w:color w:val="404040"/>
        </w:rPr>
        <w:t>The index deduction will place a significant drag on the performance of the Index, potentially offsetting positive returns on the Index’s investment strategy, exacerbating negative returns of its investment strategy and causing the level of the Index to decline steadily if the return of its investment strategy is relatively flat. The Index will not appreciate unless the return of its investment strategy is sufficient to offset the negative effects of the index deduction, and then only to the extent that the return of its investment strategy is greater than the index deduction. As a result of the index deduction, the level of the Index may decline even if the return of its investment strategy is positive.</w:t>
      </w:r>
    </w:p>
    <w:p>
      <w:pPr>
        <w:ind w:left="320" w:right="120"/>
        <w:spacing w:after="0" w:line="231" w:lineRule="auto"/>
        <w:rPr>
          <w:rFonts w:ascii="Arial" w:cs="Arial" w:eastAsia="Arial" w:hAnsi="Arial"/>
          <w:sz w:val="16"/>
          <w:szCs w:val="16"/>
          <w:color w:val="404040"/>
        </w:rPr>
      </w:pPr>
      <w:r>
        <w:rPr>
          <w:rFonts w:ascii="Arial" w:cs="Arial" w:eastAsia="Arial" w:hAnsi="Arial"/>
          <w:sz w:val="16"/>
          <w:szCs w:val="16"/>
          <w:color w:val="404040"/>
        </w:rPr>
        <w:t>The daily deduction is one of the inputs our affiliates’ internal pricing models use to value the derivative or derivatives underlying the economic terms of the notes for purposes of determining the estimated value of the notes set forth on the cover of this pricing supplement. The daily deduction will effectively reduce the value of the derivative or derivatives underlying the economic terms of the notes. See “The Estimated Value of the Notes” and “— Risks Relating to the Estimated Value and Secondary Market Prices of the Notes” in this pricing supplement.</w:t>
      </w:r>
    </w:p>
    <w:p>
      <w:pPr>
        <w:spacing w:after="0" w:line="91"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CREDIT RISKS OF JPMORGAN FINANCIAL AND JPMORGAN CHASE &amp; CO. —</w:t>
      </w:r>
    </w:p>
    <w:p>
      <w:pPr>
        <w:ind w:left="320" w:right="200"/>
        <w:spacing w:after="0" w:line="232" w:lineRule="auto"/>
        <w:rPr>
          <w:rFonts w:ascii="Arial" w:cs="Arial" w:eastAsia="Arial" w:hAnsi="Arial"/>
          <w:sz w:val="16"/>
          <w:szCs w:val="16"/>
          <w:color w:val="404040"/>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109" w:lineRule="exact"/>
        <w:rPr>
          <w:rFonts w:ascii="Arial" w:cs="Arial" w:eastAsia="Arial" w:hAnsi="Arial"/>
          <w:sz w:val="16"/>
          <w:szCs w:val="16"/>
          <w:color w:val="404040"/>
        </w:rPr>
      </w:pPr>
    </w:p>
    <w:p>
      <w:pPr>
        <w:ind w:left="320" w:hanging="314"/>
        <w:spacing w:after="0" w:line="227" w:lineRule="auto"/>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 xml:space="preserve">AS A FINANCE SUBSIDIARY, JPMORGAN FINANCIAL HAS NO INDEPENDENT ACTIVITIES AND HAS LIMITED ASSETS — </w:t>
      </w:r>
      <w:r>
        <w:rPr>
          <w:rFonts w:ascii="Arial" w:cs="Arial" w:eastAsia="Arial" w:hAnsi="Arial"/>
          <w:sz w:val="16"/>
          <w:szCs w:val="16"/>
          <w:color w:val="404040"/>
        </w:rPr>
        <w:t xml:space="preserve">As a finance subsidiary of JPMorgan Chase &amp; Co., we have no independent activities beyond the issuance and administration of our securities and the collection of intercompany obligations. Aside from the initial capital contribution from JPMorgan Chase &amp; Co., substantially all of our assets relate to obligations of JPMorgan Chase &amp; Co. to make payments under loans made by us to JPMorgan Chase &amp; Co. or under other intercompany agreements. As a result, we are dependent upon payments from JPMorgan Chase &amp; Co. to meet our obligations under the notes. We are not an operating subsidiary of JPMorgan Chase &amp; Co. and in a bankruptcy or resolution of JPMorgan Chase &amp; Co. we are not expected to have sufficient resources to meet our obligations in respect of the notes as they come due. If JPMorgan Chase &amp; Co. does not make payments to us and we are unable to make payments on the notes, you may have to seek payment under the related guarantee by JPMorgan Chase &amp; Co., and that guarantee will rank </w:t>
      </w:r>
      <w:r>
        <w:rPr>
          <w:rFonts w:ascii="Arial" w:cs="Arial" w:eastAsia="Arial" w:hAnsi="Arial"/>
          <w:sz w:val="16"/>
          <w:szCs w:val="16"/>
          <w:i w:val="1"/>
          <w:iCs w:val="1"/>
          <w:color w:val="404040"/>
        </w:rPr>
        <w:t>pari passu</w:t>
      </w:r>
      <w:r>
        <w:rPr>
          <w:rFonts w:ascii="Arial" w:cs="Arial" w:eastAsia="Arial" w:hAnsi="Arial"/>
          <w:sz w:val="16"/>
          <w:szCs w:val="16"/>
          <w:color w:val="404040"/>
        </w:rPr>
        <w:t xml:space="preserve"> with all other unsecured and unsubordinated obligations of JPMorgan Chase &amp; Co. For more information, see “Risk Factors — Holders of securities issued by JPMorgan Financial may be subject to losses if JPMorgan Chase &amp; Co. were to enter into a resolution” in the accompanying prospectus supplement.</w:t>
      </w:r>
    </w:p>
    <w:p>
      <w:pPr>
        <w:spacing w:after="0" w:line="98" w:lineRule="exact"/>
        <w:rPr>
          <w:rFonts w:ascii="Arial" w:cs="Arial" w:eastAsia="Arial" w:hAnsi="Arial"/>
          <w:sz w:val="16"/>
          <w:szCs w:val="16"/>
          <w:color w:val="404040"/>
        </w:rPr>
      </w:pPr>
    </w:p>
    <w:p>
      <w:pPr>
        <w:ind w:left="320" w:right="140" w:hanging="314"/>
        <w:spacing w:after="0" w:line="239" w:lineRule="auto"/>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APPRECIATION POTENTIAL OF THE NOTES IS LIMITED TO THE SUM OF ANY CONTINGENT INTEREST PAYMENTS THAT MAY BE PAID OVER THE TERM OF THE NOTES,</w:t>
      </w:r>
    </w:p>
    <w:p>
      <w:pPr>
        <w:ind w:left="320"/>
        <w:spacing w:after="0"/>
        <w:rPr>
          <w:rFonts w:ascii="Arial" w:cs="Arial" w:eastAsia="Arial" w:hAnsi="Arial"/>
          <w:sz w:val="16"/>
          <w:szCs w:val="16"/>
          <w:color w:val="404040"/>
        </w:rPr>
      </w:pPr>
      <w:r>
        <w:rPr>
          <w:rFonts w:ascii="Arial" w:cs="Arial" w:eastAsia="Arial" w:hAnsi="Arial"/>
          <w:sz w:val="16"/>
          <w:szCs w:val="16"/>
          <w:color w:val="404040"/>
        </w:rPr>
        <w:t>regardless of any appreciation of the Index, which may be significant. You will not participate in any appreciation of the Index.</w:t>
      </w:r>
    </w:p>
    <w:p>
      <w:pPr>
        <w:spacing w:after="0" w:line="110"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BENEFIT PROVIDED BY THE TRIGGER VALUE MAY TERMINATE ON THE FINAL REVIEW DATE—</w:t>
      </w:r>
    </w:p>
    <w:p>
      <w:pPr>
        <w:spacing w:after="0" w:line="7" w:lineRule="exact"/>
        <w:rPr>
          <w:rFonts w:ascii="Arial" w:cs="Arial" w:eastAsia="Arial" w:hAnsi="Arial"/>
          <w:sz w:val="16"/>
          <w:szCs w:val="16"/>
          <w:color w:val="404040"/>
        </w:rPr>
      </w:pPr>
    </w:p>
    <w:p>
      <w:pPr>
        <w:ind w:left="320" w:right="500"/>
        <w:spacing w:after="0" w:line="235" w:lineRule="auto"/>
        <w:rPr>
          <w:rFonts w:ascii="Arial" w:cs="Arial" w:eastAsia="Arial" w:hAnsi="Arial"/>
          <w:sz w:val="16"/>
          <w:szCs w:val="16"/>
          <w:color w:val="404040"/>
        </w:rPr>
      </w:pPr>
      <w:r>
        <w:rPr>
          <w:rFonts w:ascii="Arial" w:cs="Arial" w:eastAsia="Arial" w:hAnsi="Arial"/>
          <w:sz w:val="16"/>
          <w:szCs w:val="16"/>
          <w:color w:val="404040"/>
        </w:rPr>
        <w:t>If the Final Value is less than the Trigger Value and the notes have not been automatically called, the benefit provided by the Trigger Value will terminate and you will be fully exposed to any depreciation of the Index.</w:t>
      </w:r>
    </w:p>
    <w:p>
      <w:pPr>
        <w:spacing w:after="0" w:line="103"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AUTOMATIC CALL FEATURE MAY FORCE A POTENTIAL EARLY EXIT —</w:t>
      </w:r>
    </w:p>
    <w:p>
      <w:pPr>
        <w:ind w:left="320" w:right="40"/>
        <w:spacing w:after="0" w:line="231" w:lineRule="auto"/>
        <w:rPr>
          <w:rFonts w:ascii="Arial" w:cs="Arial" w:eastAsia="Arial" w:hAnsi="Arial"/>
          <w:sz w:val="16"/>
          <w:szCs w:val="16"/>
          <w:color w:val="404040"/>
        </w:rPr>
      </w:pPr>
      <w:r>
        <w:rPr>
          <w:rFonts w:ascii="Arial" w:cs="Arial" w:eastAsia="Arial" w:hAnsi="Arial"/>
          <w:sz w:val="16"/>
          <w:szCs w:val="16"/>
          <w:color w:val="404040"/>
        </w:rPr>
        <w:t>If your notes are automatically called, the term of the notes may be reduced to as short as approximately one year and you will not receive any Contingent Interest Payments after the applicable Call Settlement Date. There is no guarantee that you would be able to reinvest the proceeds from an investment in the notes at a comparable return and/or with a comparable interest rate for a similar level of risk. Even in cases where the notes are called before maturity, you are not entitled to any fees and commissions described on the front cover of this pricing supplement.</w:t>
      </w:r>
    </w:p>
    <w:p>
      <w:pPr>
        <w:spacing w:after="0" w:line="13"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YOU WILL NOT RECEIVE DIVIDENDS OR OTHER DISTRIBUTIONS ON THE SECURITIES UNDERLYING THE S&amp;P 500</w:t>
      </w:r>
      <w:r>
        <w:rPr>
          <w:rFonts w:ascii="Arial" w:cs="Arial" w:eastAsia="Arial" w:hAnsi="Arial"/>
          <w:sz w:val="24"/>
          <w:szCs w:val="24"/>
          <w:color w:val="404040"/>
          <w:vertAlign w:val="superscript"/>
        </w:rPr>
        <w:t>®</w:t>
      </w:r>
    </w:p>
    <w:p>
      <w:pPr>
        <w:ind w:left="320" w:right="300"/>
        <w:spacing w:after="0"/>
        <w:rPr>
          <w:rFonts w:ascii="Arial" w:cs="Arial" w:eastAsia="Arial" w:hAnsi="Arial"/>
          <w:sz w:val="16"/>
          <w:szCs w:val="16"/>
          <w:color w:val="404040"/>
        </w:rPr>
      </w:pPr>
      <w:r>
        <w:rPr>
          <w:rFonts w:ascii="Arial" w:cs="Arial" w:eastAsia="Arial" w:hAnsi="Arial"/>
          <w:sz w:val="16"/>
          <w:szCs w:val="16"/>
          <w:b w:val="1"/>
          <w:bCs w:val="1"/>
          <w:color w:val="404040"/>
        </w:rPr>
        <w:t>INDEX OR HAVE ANY RIGHTS WITH RESPECT TO THOSE SECURITIES OR THE FUTURES CONTRACTS UNDERLYING THE INDEX.</w:t>
      </w:r>
    </w:p>
    <w:p>
      <w:pPr>
        <w:spacing w:after="0" w:line="102" w:lineRule="exact"/>
        <w:rPr>
          <w:rFonts w:ascii="Arial" w:cs="Arial" w:eastAsia="Arial" w:hAnsi="Arial"/>
          <w:sz w:val="16"/>
          <w:szCs w:val="16"/>
          <w:color w:val="404040"/>
        </w:rPr>
      </w:pPr>
    </w:p>
    <w:p>
      <w:pPr>
        <w:ind w:left="320" w:right="60" w:hanging="314"/>
        <w:spacing w:after="0" w:line="261" w:lineRule="auto"/>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THE RISK OF THE CLOSING LEVEL OF THE INDEX FALLING BELOW THE INTEREST BARRIER OR THE TRIGGER VALUE IS GREATER IF THE LEVEL OF THE INDEX IS VOLATILE.</w:t>
      </w:r>
    </w:p>
    <w:p>
      <w:pPr>
        <w:spacing w:after="0" w:line="85" w:lineRule="exact"/>
        <w:rPr>
          <w:rFonts w:ascii="Arial" w:cs="Arial" w:eastAsia="Arial" w:hAnsi="Arial"/>
          <w:sz w:val="16"/>
          <w:szCs w:val="16"/>
          <w:color w:val="404040"/>
        </w:rPr>
      </w:pPr>
    </w:p>
    <w:p>
      <w:pPr>
        <w:ind w:left="320" w:right="360" w:hanging="314"/>
        <w:spacing w:after="0" w:line="230" w:lineRule="auto"/>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JPMS AND ITS AFFILIATES MAY HAVE PUBLISHED RESEARCH, EXPRESSED OPINIONS OR PROVIDED RECOMMENDATIONS THAT ARE INCONSISTENT WITH INVESTING IN OR HOLDING THE NOTES, AND MAY DO SO IN THE FUTURE —</w:t>
      </w:r>
    </w:p>
    <w:p>
      <w:pPr>
        <w:ind w:left="320" w:right="480"/>
        <w:spacing w:after="0" w:line="235" w:lineRule="auto"/>
        <w:rPr>
          <w:rFonts w:ascii="Arial" w:cs="Arial" w:eastAsia="Arial" w:hAnsi="Arial"/>
          <w:sz w:val="16"/>
          <w:szCs w:val="16"/>
          <w:color w:val="404040"/>
        </w:rPr>
      </w:pPr>
      <w:r>
        <w:rPr>
          <w:rFonts w:ascii="Arial" w:cs="Arial" w:eastAsia="Arial" w:hAnsi="Arial"/>
          <w:sz w:val="16"/>
          <w:szCs w:val="16"/>
          <w:color w:val="404040"/>
        </w:rPr>
        <w:t>Any research, opinions or recommendations could affect the market value of the notes. Investors should undertake their own independent investigation of the merits of investing in the notes, the Index and the futures contracts composing the Index.</w:t>
      </w:r>
    </w:p>
    <w:p>
      <w:pPr>
        <w:spacing w:after="0" w:line="103" w:lineRule="exact"/>
        <w:rPr>
          <w:rFonts w:ascii="Arial" w:cs="Arial" w:eastAsia="Arial" w:hAnsi="Arial"/>
          <w:sz w:val="16"/>
          <w:szCs w:val="16"/>
          <w:color w:val="404040"/>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LACK OF LIQUIDITY—</w:t>
      </w:r>
    </w:p>
    <w:p>
      <w:pPr>
        <w:ind w:left="320" w:right="20"/>
        <w:spacing w:after="0" w:line="238" w:lineRule="auto"/>
        <w:rPr>
          <w:rFonts w:ascii="Arial" w:cs="Arial" w:eastAsia="Arial" w:hAnsi="Arial"/>
          <w:sz w:val="16"/>
          <w:szCs w:val="16"/>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Conflicts of Interest</w:t>
      </w:r>
    </w:p>
    <w:p>
      <w:pPr>
        <w:spacing w:after="0" w:line="148"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POTENTIAL CONFLICTS —</w:t>
      </w:r>
    </w:p>
    <w:p>
      <w:pPr>
        <w:ind w:left="320" w:right="180"/>
        <w:spacing w:after="0" w:line="231" w:lineRule="auto"/>
        <w:rPr>
          <w:rFonts w:ascii="Arial" w:cs="Arial" w:eastAsia="Arial" w:hAnsi="Arial"/>
          <w:sz w:val="16"/>
          <w:szCs w:val="16"/>
          <w:color w:val="404040"/>
        </w:rPr>
      </w:pPr>
      <w:r>
        <w:rPr>
          <w:rFonts w:ascii="Arial" w:cs="Arial" w:eastAsia="Arial" w:hAnsi="Arial"/>
          <w:sz w:val="16"/>
          <w:szCs w:val="16"/>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PS-10| Structured Investments</w:t>
      </w:r>
    </w:p>
    <w:p>
      <w:pPr>
        <w:spacing w:after="0" w:line="91" w:lineRule="exact"/>
        <w:rPr>
          <w:sz w:val="20"/>
          <w:szCs w:val="20"/>
          <w:color w:val="auto"/>
        </w:rPr>
      </w:pPr>
    </w:p>
    <w:p>
      <w:pPr>
        <w:ind w:left="20"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20"/>
          </w:cols>
          <w:pgMar w:left="1080" w:top="1030" w:right="1099" w:bottom="1440" w:gutter="0" w:footer="0" w:header="0"/>
        </w:sectPr>
      </w:pPr>
    </w:p>
    <w:bookmarkStart w:id="11" w:name="page12"/>
    <w:bookmarkEnd w:id="11"/>
    <w:p>
      <w:pPr>
        <w:ind w:left="320"/>
        <w:spacing w:after="0"/>
        <w:rPr>
          <w:sz w:val="20"/>
          <w:szCs w:val="20"/>
          <w:color w:val="auto"/>
        </w:rPr>
      </w:pPr>
      <w:r>
        <w:rPr>
          <w:rFonts w:ascii="Arial" w:cs="Arial" w:eastAsia="Arial" w:hAnsi="Arial"/>
          <w:sz w:val="16"/>
          <w:szCs w:val="16"/>
          <w:color w:val="40404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An affiliate of ours currently has an approximately 10% equity interest in the Index Sponsor, and an employee of JPMS, another of</w:t>
      </w:r>
    </w:p>
    <w:p>
      <w:pPr>
        <w:spacing w:after="0" w:line="8" w:lineRule="exact"/>
        <w:rPr>
          <w:sz w:val="20"/>
          <w:szCs w:val="20"/>
          <w:color w:val="auto"/>
        </w:rPr>
      </w:pPr>
    </w:p>
    <w:p>
      <w:pPr>
        <w:ind w:left="320" w:right="600"/>
        <w:spacing w:after="0" w:line="220" w:lineRule="auto"/>
        <w:rPr>
          <w:sz w:val="20"/>
          <w:szCs w:val="20"/>
          <w:color w:val="auto"/>
        </w:rPr>
      </w:pPr>
      <w:r>
        <w:rPr>
          <w:rFonts w:ascii="Arial" w:cs="Arial" w:eastAsia="Arial" w:hAnsi="Arial"/>
          <w:sz w:val="16"/>
          <w:szCs w:val="16"/>
          <w:color w:val="404040"/>
        </w:rPr>
        <w:t>our affiliates, is a member of the board of directors of the Index Sponsor. The Index Sponsor can implement policies, make judgments or enact changes to the Index methodology that could negatively affect the performance of the Index. The Index</w:t>
      </w:r>
    </w:p>
    <w:p>
      <w:pPr>
        <w:ind w:left="320"/>
        <w:spacing w:after="0" w:line="229" w:lineRule="auto"/>
        <w:rPr>
          <w:sz w:val="20"/>
          <w:szCs w:val="20"/>
          <w:color w:val="auto"/>
        </w:rPr>
      </w:pPr>
      <w:r>
        <w:rPr>
          <w:rFonts w:ascii="Arial" w:cs="Arial" w:eastAsia="Arial" w:hAnsi="Arial"/>
          <w:sz w:val="16"/>
          <w:szCs w:val="16"/>
          <w:color w:val="404040"/>
        </w:rPr>
        <w:t>Sponsor can also alter, discontinue or suspend calculation or dissemination of the Index. Any of these actions could adversely</w:t>
      </w:r>
    </w:p>
    <w:p>
      <w:pPr>
        <w:ind w:left="320" w:right="20"/>
        <w:spacing w:after="0" w:line="220" w:lineRule="auto"/>
        <w:rPr>
          <w:sz w:val="20"/>
          <w:szCs w:val="20"/>
          <w:color w:val="auto"/>
        </w:rPr>
      </w:pPr>
      <w:r>
        <w:rPr>
          <w:rFonts w:ascii="Arial" w:cs="Arial" w:eastAsia="Arial" w:hAnsi="Arial"/>
          <w:sz w:val="16"/>
          <w:szCs w:val="16"/>
          <w:color w:val="404040"/>
        </w:rPr>
        <w:t>affect the value of the notes. The Index Sponsor has no obligation to consider your interests in calculating, maintaining or revising the Index, and we, JPMS, our other affiliates and our respective employees are under no obligation to consider your interests as an</w:t>
      </w:r>
    </w:p>
    <w:p>
      <w:pPr>
        <w:ind w:left="320" w:right="140"/>
        <w:spacing w:after="0" w:line="248" w:lineRule="auto"/>
        <w:rPr>
          <w:sz w:val="20"/>
          <w:szCs w:val="20"/>
          <w:color w:val="auto"/>
        </w:rPr>
      </w:pPr>
      <w:r>
        <w:rPr>
          <w:rFonts w:ascii="Arial" w:cs="Arial" w:eastAsia="Arial" w:hAnsi="Arial"/>
          <w:sz w:val="16"/>
          <w:szCs w:val="16"/>
          <w:color w:val="404040"/>
        </w:rPr>
        <w:t>investor in the notes in connection with the role of our affiliate as an owner of an equity interest in the Index Sponsor or the role of an employee of JPMS as a member of the board of directors of the Index Sponsor.</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6"/>
          <w:szCs w:val="16"/>
          <w:color w:val="404040"/>
        </w:rPr>
        <w:t>In addition, JPMS worked with the Index Sponsor in developing the guidelines and policies governing the composition and</w:t>
      </w:r>
    </w:p>
    <w:p>
      <w:pPr>
        <w:spacing w:after="0" w:line="8" w:lineRule="exact"/>
        <w:rPr>
          <w:sz w:val="20"/>
          <w:szCs w:val="20"/>
          <w:color w:val="auto"/>
        </w:rPr>
      </w:pPr>
    </w:p>
    <w:p>
      <w:pPr>
        <w:ind w:left="320" w:right="240"/>
        <w:spacing w:after="0" w:line="220" w:lineRule="auto"/>
        <w:rPr>
          <w:sz w:val="20"/>
          <w:szCs w:val="20"/>
          <w:color w:val="auto"/>
        </w:rPr>
      </w:pPr>
      <w:r>
        <w:rPr>
          <w:rFonts w:ascii="Arial" w:cs="Arial" w:eastAsia="Arial" w:hAnsi="Arial"/>
          <w:sz w:val="16"/>
          <w:szCs w:val="16"/>
          <w:color w:val="404040"/>
        </w:rPr>
        <w:t>calculation of the Index. Although judgments, policies and determinations concerning the Index were made by JPMS, JPMorgan Chase &amp; Co., as the parent company of JPMS, ultimately controls JPMS. The policies and judgments for which JPMS was</w:t>
      </w:r>
    </w:p>
    <w:p>
      <w:pPr>
        <w:ind w:left="320"/>
        <w:spacing w:after="0" w:line="229" w:lineRule="auto"/>
        <w:rPr>
          <w:sz w:val="20"/>
          <w:szCs w:val="20"/>
          <w:color w:val="auto"/>
        </w:rPr>
      </w:pPr>
      <w:r>
        <w:rPr>
          <w:rFonts w:ascii="Arial" w:cs="Arial" w:eastAsia="Arial" w:hAnsi="Arial"/>
          <w:sz w:val="16"/>
          <w:szCs w:val="16"/>
          <w:color w:val="404040"/>
        </w:rPr>
        <w:t>responsible could have an impact, positive or negative, on the level of the Index and the value of your notes. JPMS is under no</w:t>
      </w:r>
    </w:p>
    <w:p>
      <w:pPr>
        <w:ind w:left="320" w:right="240"/>
        <w:spacing w:after="0" w:line="235" w:lineRule="auto"/>
        <w:rPr>
          <w:sz w:val="20"/>
          <w:szCs w:val="20"/>
          <w:color w:val="auto"/>
        </w:rPr>
      </w:pPr>
      <w:r>
        <w:rPr>
          <w:rFonts w:ascii="Arial" w:cs="Arial" w:eastAsia="Arial" w:hAnsi="Arial"/>
          <w:sz w:val="16"/>
          <w:szCs w:val="16"/>
          <w:color w:val="404040"/>
        </w:rPr>
        <w:t>obligation to consider your interests as an investor in the notes in its role in developing the guidelines and policies governing the Index or making judgments that may affect the level of the Index.</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Estimated Value and Secondary Market Prices of the Notes</w:t>
      </w:r>
    </w:p>
    <w:p>
      <w:pPr>
        <w:spacing w:after="0" w:line="154" w:lineRule="exact"/>
        <w:rPr>
          <w:sz w:val="20"/>
          <w:szCs w:val="20"/>
          <w:color w:val="auto"/>
        </w:rPr>
      </w:pPr>
    </w:p>
    <w:p>
      <w:pPr>
        <w:ind w:left="320" w:right="460" w:hanging="314"/>
        <w:spacing w:after="0" w:line="230" w:lineRule="auto"/>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IS LOWER THAN THE ORIGINAL ISSUE PRICE (PRICE TO PUBLIC) OF THE NOTES —</w:t>
      </w:r>
    </w:p>
    <w:p>
      <w:pPr>
        <w:ind w:left="320" w:right="40"/>
        <w:spacing w:after="0" w:line="231" w:lineRule="auto"/>
        <w:rPr>
          <w:rFonts w:ascii="Arial" w:cs="Arial" w:eastAsia="Arial" w:hAnsi="Arial"/>
          <w:sz w:val="16"/>
          <w:szCs w:val="16"/>
          <w:color w:val="404040"/>
        </w:rPr>
      </w:pPr>
      <w:r>
        <w:rPr>
          <w:rFonts w:ascii="Arial" w:cs="Arial" w:eastAsia="Arial" w:hAnsi="Arial"/>
          <w:sz w:val="16"/>
          <w:szCs w:val="16"/>
          <w:color w:val="404040"/>
        </w:rPr>
        <w:t>The estimated value of the notes is only an estimate determined by reference to several factors. The original issue price of the notes exceeds the estimated value of the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the estimated cost of hedging our obligations under the notes and the fees, if any, paid for third-party data analytics and/or electronic platform services. See “The Estimated Value of the Notes” in this pricing supplement.</w:t>
      </w:r>
    </w:p>
    <w:p>
      <w:pPr>
        <w:spacing w:after="0" w:line="95" w:lineRule="exact"/>
        <w:rPr>
          <w:rFonts w:ascii="Arial" w:cs="Arial" w:eastAsia="Arial" w:hAnsi="Arial"/>
          <w:sz w:val="16"/>
          <w:szCs w:val="16"/>
          <w:color w:val="404040"/>
        </w:rPr>
      </w:pPr>
    </w:p>
    <w:p>
      <w:pPr>
        <w:ind w:left="320" w:right="300" w:hanging="314"/>
        <w:spacing w:after="0" w:line="230" w:lineRule="auto"/>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DOES NOT REPRESENT FUTURE VALUES OF THE NOTES AND MAY DIFFER FROM OTHERS’ ESTIMATES —</w:t>
      </w:r>
    </w:p>
    <w:p>
      <w:pPr>
        <w:ind w:left="320"/>
        <w:spacing w:after="0"/>
        <w:rPr>
          <w:rFonts w:ascii="Arial" w:cs="Arial" w:eastAsia="Arial" w:hAnsi="Arial"/>
          <w:sz w:val="16"/>
          <w:szCs w:val="16"/>
          <w:color w:val="404040"/>
        </w:rPr>
      </w:pPr>
      <w:r>
        <w:rPr>
          <w:rFonts w:ascii="Arial" w:cs="Arial" w:eastAsia="Arial" w:hAnsi="Arial"/>
          <w:sz w:val="16"/>
          <w:szCs w:val="16"/>
          <w:color w:val="404040"/>
        </w:rPr>
        <w:t>See “The Estimated Value of the Notes” in this pricing supplement.</w:t>
      </w:r>
    </w:p>
    <w:p>
      <w:pPr>
        <w:spacing w:after="0" w:line="118" w:lineRule="exact"/>
        <w:rPr>
          <w:rFonts w:ascii="Arial" w:cs="Arial" w:eastAsia="Arial" w:hAnsi="Arial"/>
          <w:sz w:val="16"/>
          <w:szCs w:val="16"/>
          <w:color w:val="404040"/>
        </w:rPr>
      </w:pPr>
    </w:p>
    <w:p>
      <w:pPr>
        <w:ind w:left="320" w:hanging="314"/>
        <w:spacing w:after="0"/>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IS DERIVED BY REFERENCE TO AN INTERNAL FUNDING RATE —</w:t>
      </w:r>
    </w:p>
    <w:p>
      <w:pPr>
        <w:ind w:left="320" w:right="100"/>
        <w:spacing w:after="0" w:line="228" w:lineRule="auto"/>
        <w:rPr>
          <w:rFonts w:ascii="Arial" w:cs="Arial" w:eastAsia="Arial" w:hAnsi="Arial"/>
          <w:sz w:val="16"/>
          <w:szCs w:val="16"/>
          <w:color w:val="404040"/>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See “The Estimated Value of the Notes” in this pricing supplement.</w:t>
      </w:r>
    </w:p>
    <w:p>
      <w:pPr>
        <w:spacing w:after="0" w:line="97" w:lineRule="exact"/>
        <w:rPr>
          <w:rFonts w:ascii="Arial" w:cs="Arial" w:eastAsia="Arial" w:hAnsi="Arial"/>
          <w:sz w:val="16"/>
          <w:szCs w:val="16"/>
          <w:color w:val="404040"/>
        </w:rPr>
      </w:pPr>
    </w:p>
    <w:p>
      <w:pPr>
        <w:ind w:left="320" w:right="260" w:hanging="314"/>
        <w:spacing w:after="0" w:line="230" w:lineRule="auto"/>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VALUE OF THE NOTES AS PUBLISHED BY JPMS (AND WHICH MAY BE REFLECTED ON CUSTOMER ACCOUNT STATEMENTS) MAY BE HIGHER THAN THE THEN-CURRENT ESTIMATED VALUE OF THE NOTES FOR A LIMITED TIME PERIOD —</w:t>
      </w:r>
    </w:p>
    <w:p>
      <w:pPr>
        <w:ind w:left="320" w:right="60"/>
        <w:spacing w:after="0" w:line="231" w:lineRule="auto"/>
        <w:rPr>
          <w:rFonts w:ascii="Arial" w:cs="Arial" w:eastAsia="Arial" w:hAnsi="Arial"/>
          <w:sz w:val="16"/>
          <w:szCs w:val="16"/>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97" w:lineRule="exact"/>
        <w:rPr>
          <w:rFonts w:ascii="Arial" w:cs="Arial" w:eastAsia="Arial" w:hAnsi="Arial"/>
          <w:sz w:val="16"/>
          <w:szCs w:val="16"/>
          <w:color w:val="404040"/>
        </w:rPr>
      </w:pPr>
    </w:p>
    <w:p>
      <w:pPr>
        <w:ind w:left="320" w:right="360" w:hanging="314"/>
        <w:spacing w:after="0" w:line="230" w:lineRule="auto"/>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LIKELY BE LOWER THAN THE ORIGINAL ISSUE PRICE OF THE NOTES —</w:t>
      </w:r>
    </w:p>
    <w:p>
      <w:pPr>
        <w:ind w:left="320" w:right="40"/>
        <w:spacing w:after="0" w:line="228" w:lineRule="auto"/>
        <w:rPr>
          <w:rFonts w:ascii="Arial" w:cs="Arial" w:eastAsia="Arial" w:hAnsi="Arial"/>
          <w:sz w:val="16"/>
          <w:szCs w:val="16"/>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and estimated hedging costs and fees, if any, paid for third-party data analytics and/or electronic platform services that are included in the original issue price of the notes. As a result, the price, if any, at which JPMS will be willing to buy the notes from you in secondary market transactions, if at all, is likely to be lower than the original issue price. Furthermore, if you sell your notes, you will likely be charged a commission for secondary market transactions, or the price will likely reflect a dealer discount and/or fees for use of an electronic platform to facilitate secondary market activity. Any sale by you prior to the Maturity Date could result in a substantial loss to you.</w:t>
      </w:r>
    </w:p>
    <w:p>
      <w:pPr>
        <w:spacing w:after="0" w:line="97" w:lineRule="exact"/>
        <w:rPr>
          <w:rFonts w:ascii="Arial" w:cs="Arial" w:eastAsia="Arial" w:hAnsi="Arial"/>
          <w:sz w:val="16"/>
          <w:szCs w:val="16"/>
          <w:color w:val="404040"/>
        </w:rPr>
      </w:pPr>
    </w:p>
    <w:p>
      <w:pPr>
        <w:ind w:left="320" w:hanging="314"/>
        <w:spacing w:after="0" w:line="230" w:lineRule="auto"/>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 xml:space="preserve">SECONDARY MARKET PRICES OF THE NOTES WILL BE IMPACTED BY MANY ECONOMIC AND MARKET FACTORS — </w:t>
      </w: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level of the Index.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Index</w:t>
      </w:r>
    </w:p>
    <w:p>
      <w:pPr>
        <w:spacing w:after="0" w:line="69"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6"/>
          <w:szCs w:val="16"/>
          <w:color w:val="404040"/>
        </w:rPr>
      </w:pPr>
      <w:r>
        <w:rPr>
          <w:rFonts w:ascii="Arial" w:cs="Arial" w:eastAsia="Arial" w:hAnsi="Arial"/>
          <w:sz w:val="16"/>
          <w:szCs w:val="16"/>
          <w:b w:val="1"/>
          <w:bCs w:val="1"/>
          <w:color w:val="404040"/>
        </w:rPr>
        <w:t>JPMORGAN CHASE &amp; CO. IS CURRENTLY ONE OF THE COMPANIES THAT MAKE UP THE S&amp;P 500</w:t>
      </w:r>
      <w:r>
        <w:rPr>
          <w:rFonts w:ascii="Arial" w:cs="Arial" w:eastAsia="Arial" w:hAnsi="Arial"/>
          <w:sz w:val="24"/>
          <w:szCs w:val="24"/>
          <w:color w:val="404040"/>
          <w:vertAlign w:val="superscript"/>
        </w:rPr>
        <w:t>®</w:t>
      </w:r>
      <w:r>
        <w:rPr>
          <w:rFonts w:ascii="Arial" w:cs="Arial" w:eastAsia="Arial" w:hAnsi="Arial"/>
          <w:sz w:val="16"/>
          <w:szCs w:val="16"/>
          <w:b w:val="1"/>
          <w:bCs w:val="1"/>
          <w:color w:val="404040"/>
        </w:rPr>
        <w:t xml:space="preserve"> INDEX,</w:t>
      </w:r>
    </w:p>
    <w:p>
      <w:pPr>
        <w:ind w:left="320" w:right="220"/>
        <w:spacing w:after="0" w:line="249" w:lineRule="auto"/>
        <w:rPr>
          <w:rFonts w:ascii="Arial" w:cs="Arial" w:eastAsia="Arial" w:hAnsi="Arial"/>
          <w:sz w:val="16"/>
          <w:szCs w:val="16"/>
          <w:color w:val="404040"/>
        </w:rPr>
      </w:pPr>
      <w:r>
        <w:rPr>
          <w:rFonts w:ascii="Arial" w:cs="Arial" w:eastAsia="Arial" w:hAnsi="Arial"/>
          <w:sz w:val="16"/>
          <w:szCs w:val="16"/>
          <w:color w:val="404040"/>
        </w:rPr>
        <w:t>but JPMorgan Chase &amp; Co. will not have any obligation to consider your interests in taking any corporate action that might affect the level of the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Index.</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PS-11| Structured Investments</w:t>
      </w:r>
    </w:p>
    <w:p>
      <w:pPr>
        <w:spacing w:after="0" w:line="91" w:lineRule="exact"/>
        <w:rPr>
          <w:sz w:val="20"/>
          <w:szCs w:val="20"/>
          <w:color w:val="auto"/>
        </w:rPr>
      </w:pPr>
    </w:p>
    <w:p>
      <w:pPr>
        <w:ind w:left="20"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20"/>
          </w:cols>
          <w:pgMar w:left="1080" w:top="1030" w:right="1099" w:bottom="1440" w:gutter="0" w:footer="0" w:header="0"/>
        </w:sectPr>
      </w:pPr>
    </w:p>
    <w:bookmarkStart w:id="12" w:name="page13"/>
    <w:bookmarkEnd w:id="12"/>
    <w:p>
      <w:pPr>
        <w:ind w:left="314" w:right="200" w:hanging="314"/>
        <w:spacing w:after="0" w:line="230" w:lineRule="auto"/>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INDEX SPONSOR MAY ADJUST THE INDEX IN A WAY THAT AFFECTS ITS LEVEL, AND THE INDEX SPONSOR HAS NO OBLIGATION TO CONSIDER YOUR INTERESTS —</w:t>
      </w:r>
    </w:p>
    <w:p>
      <w:pPr>
        <w:jc w:val="both"/>
        <w:ind w:left="314" w:right="260"/>
        <w:spacing w:after="0" w:line="238" w:lineRule="auto"/>
        <w:rPr>
          <w:rFonts w:ascii="Arial" w:cs="Arial" w:eastAsia="Arial" w:hAnsi="Arial"/>
          <w:sz w:val="16"/>
          <w:szCs w:val="16"/>
          <w:color w:val="404040"/>
        </w:rPr>
      </w:pPr>
      <w:r>
        <w:rPr>
          <w:rFonts w:ascii="Arial" w:cs="Arial" w:eastAsia="Arial" w:hAnsi="Arial"/>
          <w:sz w:val="16"/>
          <w:szCs w:val="16"/>
          <w:color w:val="404040"/>
        </w:rPr>
        <w:t>The Index Sponsor is responsible for maintaining the Index. The Index Sponsor can add, delete or substitute the components of the Index or make other methodological changes that could affect the level of the Index. The Index Sponsor has no obligation to consider your interests in calculating or revising the Index.</w:t>
      </w:r>
    </w:p>
    <w:p>
      <w:pPr>
        <w:spacing w:after="0" w:line="98" w:lineRule="exact"/>
        <w:rPr>
          <w:rFonts w:ascii="Arial" w:cs="Arial" w:eastAsia="Arial" w:hAnsi="Arial"/>
          <w:sz w:val="16"/>
          <w:szCs w:val="16"/>
          <w:color w:val="404040"/>
        </w:rPr>
      </w:pPr>
    </w:p>
    <w:p>
      <w:pPr>
        <w:ind w:left="314" w:right="140" w:hanging="314"/>
        <w:spacing w:after="0" w:line="230" w:lineRule="auto"/>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MAY NOT BE SUCCESSFUL OR OUTPERFORM ANY ALTERNATIVE STRATEGY THAT MIGHT BE EMPLOYED IN RESPECT OF THE FUTURES CONTRACTS —</w:t>
      </w:r>
    </w:p>
    <w:p>
      <w:pPr>
        <w:ind w:left="314" w:right="560"/>
        <w:spacing w:after="0" w:line="248" w:lineRule="auto"/>
        <w:rPr>
          <w:rFonts w:ascii="Arial" w:cs="Arial" w:eastAsia="Arial" w:hAnsi="Arial"/>
          <w:sz w:val="16"/>
          <w:szCs w:val="16"/>
          <w:color w:val="404040"/>
        </w:rPr>
      </w:pPr>
      <w:r>
        <w:rPr>
          <w:rFonts w:ascii="Arial" w:cs="Arial" w:eastAsia="Arial" w:hAnsi="Arial"/>
          <w:sz w:val="16"/>
          <w:szCs w:val="16"/>
          <w:color w:val="404040"/>
        </w:rPr>
        <w:t>No assurance can be given that the investment strategy on which the Index is based will be successful or that the Index will outperform any alternative strategy that might be employed with respect to the Futures Contracts.</w:t>
      </w:r>
    </w:p>
    <w:p>
      <w:pPr>
        <w:spacing w:after="0" w:line="89"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MAY NOT APPROXIMATE ITS TARGET VOLATILITY —</w:t>
      </w:r>
    </w:p>
    <w:p>
      <w:pPr>
        <w:spacing w:after="0" w:line="7" w:lineRule="exact"/>
        <w:rPr>
          <w:rFonts w:ascii="Arial" w:cs="Arial" w:eastAsia="Arial" w:hAnsi="Arial"/>
          <w:sz w:val="16"/>
          <w:szCs w:val="16"/>
          <w:color w:val="404040"/>
        </w:rPr>
      </w:pPr>
    </w:p>
    <w:p>
      <w:pPr>
        <w:ind w:left="314"/>
        <w:spacing w:after="0" w:line="228" w:lineRule="auto"/>
        <w:rPr>
          <w:rFonts w:ascii="Arial" w:cs="Arial" w:eastAsia="Arial" w:hAnsi="Arial"/>
          <w:sz w:val="16"/>
          <w:szCs w:val="16"/>
          <w:color w:val="404040"/>
        </w:rPr>
      </w:pPr>
      <w:r>
        <w:rPr>
          <w:rFonts w:ascii="Arial" w:cs="Arial" w:eastAsia="Arial" w:hAnsi="Arial"/>
          <w:sz w:val="16"/>
          <w:szCs w:val="16"/>
          <w:color w:val="404040"/>
        </w:rPr>
        <w:t>No assurance can be given that the Index will maintain an annualized realized volatility that approximates its target volatility of</w:t>
      </w:r>
    </w:p>
    <w:p>
      <w:pPr>
        <w:ind w:left="314" w:right="20"/>
        <w:spacing w:after="0" w:line="220" w:lineRule="auto"/>
        <w:rPr>
          <w:rFonts w:ascii="Arial" w:cs="Arial" w:eastAsia="Arial" w:hAnsi="Arial"/>
          <w:sz w:val="16"/>
          <w:szCs w:val="16"/>
          <w:color w:val="404040"/>
        </w:rPr>
      </w:pPr>
      <w:r>
        <w:rPr>
          <w:rFonts w:ascii="Arial" w:cs="Arial" w:eastAsia="Arial" w:hAnsi="Arial"/>
          <w:sz w:val="16"/>
          <w:szCs w:val="16"/>
          <w:color w:val="404040"/>
        </w:rPr>
        <w:t>35%. The Index’s target volatility is a level of implied volatility and therefore the actual realized volatility of the Index may be greater or less than the target volatility. On each weekly Index rebalance day, the Index’s exposure to the Futures Contracts is set equal to</w:t>
      </w:r>
    </w:p>
    <w:p>
      <w:pPr>
        <w:ind w:left="314" w:right="20"/>
        <w:spacing w:after="0" w:line="226" w:lineRule="auto"/>
        <w:rPr>
          <w:rFonts w:ascii="Arial" w:cs="Arial" w:eastAsia="Arial" w:hAnsi="Arial"/>
          <w:sz w:val="16"/>
          <w:szCs w:val="16"/>
          <w:color w:val="404040"/>
        </w:rPr>
      </w:pPr>
      <w:r>
        <w:rPr>
          <w:rFonts w:ascii="Arial" w:cs="Arial" w:eastAsia="Arial" w:hAnsi="Arial"/>
          <w:sz w:val="16"/>
          <w:szCs w:val="16"/>
          <w:color w:val="404040"/>
        </w:rPr>
        <w:t>(a) the 35% implied volatility target divided by (b) the one-week implied volatility of the SPY Fund, subject to a maximum exposure of 500%. The Index uses the implied volatility of the SPY Fund as a proxy for the volatility of the Futures Contracts. However, there is no guarantee that the methodology used by the Index to determine the implied volatility of the SPY Fund will be representative of the implied or realized volatility of the Futures Contracts. The performance of the SPY Fund may not correlate with the performance of the Futures Contracts, particularly during periods of market volatility. In addition, the volatility of the Futures Contracts on any day may change quickly and unexpectedly and realized volatility may differ significantly from implied volatility. In general, over time, the realized volatilities of the SPY Fund and the Futures Contracts have tended to be lower than their respective implied volatilities; however, at any time those realized volatilities may exceed their respective implied volatilities, particularly during periods of market volatility. Accordingly, the actual annualized realized volatility of the Index may be greater than or less than the target volatility, which may adversely affect the level of the Index and the value of the notes.</w:t>
      </w:r>
    </w:p>
    <w:p>
      <w:pPr>
        <w:spacing w:after="0" w:line="100"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IS SUBJECT TO RISKS ASSOCIATED WITH THE USE OF SIGNIFICANT LEVERAGE —</w:t>
      </w:r>
    </w:p>
    <w:p>
      <w:pPr>
        <w:spacing w:after="0" w:line="7" w:lineRule="exact"/>
        <w:rPr>
          <w:rFonts w:ascii="Arial" w:cs="Arial" w:eastAsia="Arial" w:hAnsi="Arial"/>
          <w:sz w:val="16"/>
          <w:szCs w:val="16"/>
          <w:color w:val="404040"/>
        </w:rPr>
      </w:pPr>
    </w:p>
    <w:p>
      <w:pPr>
        <w:ind w:left="314" w:right="20"/>
        <w:spacing w:after="0" w:line="226" w:lineRule="auto"/>
        <w:rPr>
          <w:rFonts w:ascii="Arial" w:cs="Arial" w:eastAsia="Arial" w:hAnsi="Arial"/>
          <w:sz w:val="16"/>
          <w:szCs w:val="16"/>
          <w:color w:val="404040"/>
        </w:rPr>
      </w:pPr>
      <w:r>
        <w:rPr>
          <w:rFonts w:ascii="Arial" w:cs="Arial" w:eastAsia="Arial" w:hAnsi="Arial"/>
          <w:sz w:val="16"/>
          <w:szCs w:val="16"/>
          <w:color w:val="404040"/>
        </w:rPr>
        <w:t>On a weekly Index rebalance day, the Index will employ leverage to increase the exposure of the Index to the Futures Contracts if the implied volatility of the SPY Fund is below 35%, subject to a maximum exposure of 500%. Under normal market conditions in the past, the SPY Fund has tended to exhibit an implied volatility below 35%. Accordingly, the Index has generally employed leverage in the past, except during periods of elevated volatility. When leverage is employed, any movements in the prices of the Futures Contracts will result in greater changes in the level of the Index than if leverage were not used. In particular, the use of leverage will magnify any negative performance of the Futures Contracts, which, in turn, would negatively affect the performance of the Index. Because the Index’s leverage is adjusted only on a weekly basis, in situations where a significant increase in volatility is accompanied by a significant decline in the value of the Futures Contracts, the level of the Index may decline significantly before the following Index rebalance day when the Index’s exposure to the Futures Contracts would be reduced.</w:t>
      </w:r>
    </w:p>
    <w:p>
      <w:pPr>
        <w:spacing w:after="0" w:line="98"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MAY BE ADVERSELY AFFECTED BY A “VOLATILITY DRAG” EFFECT —</w:t>
      </w:r>
    </w:p>
    <w:p>
      <w:pPr>
        <w:spacing w:after="0" w:line="7" w:lineRule="exact"/>
        <w:rPr>
          <w:rFonts w:ascii="Arial" w:cs="Arial" w:eastAsia="Arial" w:hAnsi="Arial"/>
          <w:sz w:val="16"/>
          <w:szCs w:val="16"/>
          <w:color w:val="404040"/>
        </w:rPr>
      </w:pPr>
    </w:p>
    <w:p>
      <w:pPr>
        <w:ind w:left="314"/>
        <w:spacing w:after="0" w:line="225" w:lineRule="auto"/>
        <w:rPr>
          <w:rFonts w:ascii="Arial" w:cs="Arial" w:eastAsia="Arial" w:hAnsi="Arial"/>
          <w:sz w:val="16"/>
          <w:szCs w:val="16"/>
          <w:color w:val="404040"/>
        </w:rPr>
      </w:pPr>
      <w:r>
        <w:rPr>
          <w:rFonts w:ascii="Arial" w:cs="Arial" w:eastAsia="Arial" w:hAnsi="Arial"/>
          <w:sz w:val="16"/>
          <w:szCs w:val="16"/>
          <w:color w:val="404040"/>
        </w:rPr>
        <w:t>If the Index is not consistently successful in increasing exposure to the Futures Contracts in advance of increases in the value of the Futures Contracts and reducing exposure to the Futures Contracts in advance of declines in the value of the Futures Contracts, then the Index is also expected to be subject to a “volatility drag” effect, which will exacerbate the decline that results from having highly leveraged exposure to the declines in the value of the Futures Contracts. The decay effect would result from the fact that the Index resets the leveraged exposure to the Futures Contracts on a weekly basis and would manifest any time the value of the Futures Contracts moves in one direction prior to a reset and another direction following the reset. The decay effect would result because resetting leverage after an increase but in advance of a decline would cause the Index to have increased exposure to that decline, and resetting leverage following a decline but in advance of an increase would cause the Index to have decreased exposure to that increase. The more this fact pattern repeats, the lower the performance of the Index would be relative to the performance of the Futures Contracts. As a consequence of this effect, if the value of the Futures Contracts falls but later returns to its original value, the Index may not fully recover from the loss at the same time. Under these circumstances, the Futures Contracts may need to appreciate, perhaps significantly, above its original value in order for the Index to fully recover from the loss.</w:t>
      </w:r>
    </w:p>
    <w:p>
      <w:pPr>
        <w:spacing w:after="0" w:line="101" w:lineRule="exact"/>
        <w:rPr>
          <w:rFonts w:ascii="Arial" w:cs="Arial" w:eastAsia="Arial" w:hAnsi="Arial"/>
          <w:sz w:val="16"/>
          <w:szCs w:val="16"/>
          <w:color w:val="404040"/>
        </w:rPr>
      </w:pPr>
    </w:p>
    <w:p>
      <w:pPr>
        <w:ind w:left="314" w:hanging="314"/>
        <w:spacing w:after="0"/>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MAY BE SIGNIFICANTLY UNINVESTED —</w:t>
      </w:r>
    </w:p>
    <w:p>
      <w:pPr>
        <w:spacing w:after="0" w:line="7" w:lineRule="exact"/>
        <w:rPr>
          <w:rFonts w:ascii="Arial" w:cs="Arial" w:eastAsia="Arial" w:hAnsi="Arial"/>
          <w:sz w:val="16"/>
          <w:szCs w:val="16"/>
          <w:color w:val="404040"/>
        </w:rPr>
      </w:pPr>
    </w:p>
    <w:p>
      <w:pPr>
        <w:ind w:left="314" w:right="40"/>
        <w:spacing w:after="0" w:line="231" w:lineRule="auto"/>
        <w:rPr>
          <w:rFonts w:ascii="Arial" w:cs="Arial" w:eastAsia="Arial" w:hAnsi="Arial"/>
          <w:sz w:val="16"/>
          <w:szCs w:val="16"/>
          <w:color w:val="404040"/>
        </w:rPr>
      </w:pPr>
      <w:r>
        <w:rPr>
          <w:rFonts w:ascii="Arial" w:cs="Arial" w:eastAsia="Arial" w:hAnsi="Arial"/>
          <w:sz w:val="16"/>
          <w:szCs w:val="16"/>
          <w:color w:val="404040"/>
        </w:rPr>
        <w:t>On a weekly Index rebalance day, the Index’s exposure to the Futures Contracts will be less than 100% when the implied volatility of the SPY Fund is above 35%. If the Index’s exposure to the Futures Contracts is less than 100%, the Index will not be fully invested, and any uninvested portion will earn no return. The Index may be significantly uninvested on any given day, and will realize only a portion of any gains due to appreciation of the Futures Contracts on any such day. The 6.0% per annum deduction is deducted daily, even when the Index is not fully invested.</w:t>
      </w:r>
    </w:p>
    <w:p>
      <w:pPr>
        <w:spacing w:after="0" w:line="97" w:lineRule="exact"/>
        <w:rPr>
          <w:rFonts w:ascii="Arial" w:cs="Arial" w:eastAsia="Arial" w:hAnsi="Arial"/>
          <w:sz w:val="16"/>
          <w:szCs w:val="16"/>
          <w:color w:val="404040"/>
        </w:rPr>
      </w:pPr>
    </w:p>
    <w:p>
      <w:pPr>
        <w:ind w:left="314" w:right="720" w:hanging="314"/>
        <w:spacing w:after="0" w:line="230" w:lineRule="auto"/>
        <w:tabs>
          <w:tab w:leader="none" w:pos="314"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INDEX MAY BE ADVERSELY AFFECTED IF LATER FUTURES CONTRACTS HAVE HIGHER PRICES THAN AN EXPIRING FUTURES CONTRACT INCLUDED IN THE INDEX —</w:t>
      </w:r>
    </w:p>
    <w:p>
      <w:pPr>
        <w:ind w:left="314" w:right="20"/>
        <w:spacing w:after="0" w:line="226" w:lineRule="auto"/>
        <w:rPr>
          <w:rFonts w:ascii="Arial" w:cs="Arial" w:eastAsia="Arial" w:hAnsi="Arial"/>
          <w:sz w:val="16"/>
          <w:szCs w:val="16"/>
          <w:color w:val="404040"/>
        </w:rPr>
      </w:pPr>
      <w:r>
        <w:rPr>
          <w:rFonts w:ascii="Arial" w:cs="Arial" w:eastAsia="Arial" w:hAnsi="Arial"/>
          <w:sz w:val="16"/>
          <w:szCs w:val="16"/>
          <w:color w:val="404040"/>
        </w:rPr>
        <w:t>As the Futures Contracts included in the Index come to expiration, they are replaced by Futures Contracts that expire three months later. This is accomplished by synthetically selling the expiring Futures Contract and synthetically purchasing the Futures Contract that expires three months from that time. This process is referred to as “rolling.” Excluding other considerations, if the market for the Futures Contracts is in “contango,” where the prices are higher in the distant delivery months than in the nearer delivery months, the purchase of the later Futures Contract would take place at a price that is higher than the price of the expiring Futures Contract, thereby creating a negative “roll yield.” In addition, excluding other considerations, if the market for the Futures Contracts is in “backwardation,” where the prices are lower in the distant delivery months than in the nearer delivery months, the purchase of the later Futures Contract would take place at a price that is lower than the price of the expiring Futures Contract, thereby creating a positive “roll yield.” The presence of contango in the market for the Futures Contracts could adversely affect the level of the Index and, accordingly, any payment on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4"/>
        <w:spacing w:after="0"/>
        <w:rPr>
          <w:sz w:val="20"/>
          <w:szCs w:val="20"/>
          <w:color w:val="auto"/>
        </w:rPr>
      </w:pPr>
      <w:r>
        <w:rPr>
          <w:rFonts w:ascii="Arial" w:cs="Arial" w:eastAsia="Arial" w:hAnsi="Arial"/>
          <w:sz w:val="16"/>
          <w:szCs w:val="16"/>
          <w:color w:val="6D6E71"/>
        </w:rPr>
        <w:t>PS-12| Structured Investments</w:t>
      </w:r>
    </w:p>
    <w:p>
      <w:pPr>
        <w:spacing w:after="0" w:line="91" w:lineRule="exact"/>
        <w:rPr>
          <w:sz w:val="20"/>
          <w:szCs w:val="20"/>
          <w:color w:val="auto"/>
        </w:rPr>
      </w:pPr>
    </w:p>
    <w:p>
      <w:pPr>
        <w:ind w:left="14"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14"/>
          </w:cols>
          <w:pgMar w:left="1086" w:top="1030" w:right="1099" w:bottom="1440" w:gutter="0" w:footer="0" w:header="0"/>
        </w:sectPr>
      </w:pPr>
    </w:p>
    <w:bookmarkStart w:id="13" w:name="page14"/>
    <w:bookmarkEnd w:id="13"/>
    <w:p>
      <w:pPr>
        <w:ind w:left="320" w:hanging="314"/>
        <w:spacing w:after="0"/>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INDEX IS AN EXCESS RETURN INDEX THAT DOES NOT REFLECT “TOTAL RETURNS” —</w:t>
      </w:r>
    </w:p>
    <w:p>
      <w:pPr>
        <w:spacing w:after="0" w:line="7" w:lineRule="exact"/>
        <w:rPr>
          <w:rFonts w:ascii="Arial" w:cs="Arial" w:eastAsia="Arial" w:hAnsi="Arial"/>
          <w:sz w:val="16"/>
          <w:szCs w:val="16"/>
          <w:color w:val="404040"/>
        </w:rPr>
      </w:pPr>
    </w:p>
    <w:p>
      <w:pPr>
        <w:ind w:left="320" w:right="80"/>
        <w:spacing w:after="0" w:line="220" w:lineRule="auto"/>
        <w:rPr>
          <w:rFonts w:ascii="Arial" w:cs="Arial" w:eastAsia="Arial" w:hAnsi="Arial"/>
          <w:sz w:val="16"/>
          <w:szCs w:val="16"/>
          <w:color w:val="404040"/>
        </w:rPr>
      </w:pPr>
      <w:r>
        <w:rPr>
          <w:rFonts w:ascii="Arial" w:cs="Arial" w:eastAsia="Arial" w:hAnsi="Arial"/>
          <w:sz w:val="16"/>
          <w:szCs w:val="16"/>
          <w:color w:val="404040"/>
        </w:rPr>
        <w:t>The Index is an excess return index that does not reflect total returns. The return from investing in futures contracts derives from three sources: (a) changes in the price of the relevant futures contracts (which is known as the “price return”); (b) any profit or loss realized when rolling the relevant futures contracts (which is known as the “roll return”); and (c) any interest earned on the cash deposited as collateral for the purchase of the relevant futures contracts (which is known as the “collateral return”).</w:t>
      </w:r>
    </w:p>
    <w:p>
      <w:pPr>
        <w:ind w:left="320"/>
        <w:spacing w:after="0" w:line="231" w:lineRule="auto"/>
        <w:rPr>
          <w:rFonts w:ascii="Arial" w:cs="Arial" w:eastAsia="Arial" w:hAnsi="Arial"/>
          <w:sz w:val="16"/>
          <w:szCs w:val="16"/>
          <w:color w:val="404040"/>
        </w:rPr>
      </w:pPr>
      <w:r>
        <w:rPr>
          <w:rFonts w:ascii="Arial" w:cs="Arial" w:eastAsia="Arial" w:hAnsi="Arial"/>
          <w:sz w:val="16"/>
          <w:szCs w:val="16"/>
          <w:color w:val="404040"/>
        </w:rPr>
        <w:t>The Index measures the returns accrued from investing in uncollateralized futures contracts (i.e., the sum of the price return and the roll return associated with an investment in the Futures Contracts). By contrast, a total return index, in addition to reflecting those returns, would also reflect interest that could be earned on funds committed to the trading of the Futures Contracts (i.e., the collateral return associated with an investment in the Futures Contracts). Investing in the notes will not generate the same return as would be generated from investing in a total return index related to the Futures Contracts.</w:t>
      </w:r>
    </w:p>
    <w:p>
      <w:pPr>
        <w:spacing w:after="0" w:line="97" w:lineRule="exact"/>
        <w:rPr>
          <w:rFonts w:ascii="Arial" w:cs="Arial" w:eastAsia="Arial" w:hAnsi="Arial"/>
          <w:sz w:val="16"/>
          <w:szCs w:val="16"/>
          <w:color w:val="404040"/>
        </w:rPr>
      </w:pPr>
    </w:p>
    <w:p>
      <w:pPr>
        <w:ind w:left="320" w:right="120" w:hanging="314"/>
        <w:spacing w:after="0" w:line="213"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 xml:space="preserve">CONCENTRATION RISKS ASSOCIATED WITH THE INDEX MAY ADVERSELY AFFECT THE VALUE OF YOUR NOTES — </w:t>
      </w:r>
      <w:r>
        <w:rPr>
          <w:rFonts w:ascii="Arial" w:cs="Arial" w:eastAsia="Arial" w:hAnsi="Arial"/>
          <w:sz w:val="16"/>
          <w:szCs w:val="16"/>
          <w:color w:val="404040"/>
        </w:rPr>
        <w:t>The Index generally provides exposure to a single futures contract on the S&amp;P 500</w:t>
      </w:r>
      <w:r>
        <w:rPr>
          <w:rFonts w:ascii="Arial" w:cs="Arial" w:eastAsia="Arial" w:hAnsi="Arial"/>
          <w:sz w:val="24"/>
          <w:szCs w:val="24"/>
          <w:color w:val="404040"/>
          <w:vertAlign w:val="superscript"/>
        </w:rPr>
        <w:t>®</w:t>
      </w:r>
      <w:r>
        <w:rPr>
          <w:rFonts w:ascii="Arial" w:cs="Arial" w:eastAsia="Arial" w:hAnsi="Arial"/>
          <w:sz w:val="16"/>
          <w:szCs w:val="16"/>
          <w:color w:val="404040"/>
        </w:rPr>
        <w:t xml:space="preserve"> Index that trades on the Chicago Mercantile Exchange. Accordingly, the notes are less diversified than other funds, investment portfolios or indices investing in or tracking a broader range of products and, therefore, could experience greater volatility. You should be aware that other indices may be more diversified than the Index in terms of both the number and variety of futures contracts. You will not benefit, with respect to the notes, from any of the advantages of a diversified investment and will bear the risks of a highly concentrated investment.</w:t>
      </w:r>
    </w:p>
    <w:p>
      <w:pPr>
        <w:spacing w:after="0" w:line="113" w:lineRule="exact"/>
        <w:rPr>
          <w:rFonts w:ascii="Arial" w:cs="Arial" w:eastAsia="Arial" w:hAnsi="Arial"/>
          <w:sz w:val="16"/>
          <w:szCs w:val="16"/>
          <w:color w:val="404040"/>
        </w:rPr>
      </w:pPr>
    </w:p>
    <w:p>
      <w:pPr>
        <w:ind w:left="320" w:right="40" w:hanging="314"/>
        <w:spacing w:after="0" w:line="231"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 xml:space="preserve">THE INDEX IS SUBJECT TO SIGNIFICANT RISKS ASSOCIATED WITH FUTURES CONTRACTS, INCLUDING VOLATILITY — </w:t>
      </w:r>
      <w:r>
        <w:rPr>
          <w:rFonts w:ascii="Arial" w:cs="Arial" w:eastAsia="Arial" w:hAnsi="Arial"/>
          <w:sz w:val="16"/>
          <w:szCs w:val="16"/>
          <w:color w:val="404040"/>
        </w:rPr>
        <w:t>The Index tracks the returns of futures contracts. The price of a futures contract depends not only on the price of the underlying asset referenced by the futures contract, but also on a range of other factors, including but not limited to changing supply and demand relationships, interest rates, governmental and regulatory policies and the policies of the exchanges on which the futures contracts trade. In addition, the futures markets are subject to temporary distortions or other disruptions due to various factors, including the lack of liquidity in the markets, the participation of speculators and government regulation and intervention. These factors and others can cause the prices of futures contracts to be volatile.</w:t>
      </w:r>
    </w:p>
    <w:p>
      <w:pPr>
        <w:spacing w:after="0" w:line="96" w:lineRule="exact"/>
        <w:rPr>
          <w:rFonts w:ascii="Arial" w:cs="Arial" w:eastAsia="Arial" w:hAnsi="Arial"/>
          <w:sz w:val="16"/>
          <w:szCs w:val="16"/>
          <w:color w:val="404040"/>
        </w:rPr>
      </w:pPr>
    </w:p>
    <w:p>
      <w:pPr>
        <w:ind w:left="320" w:right="560" w:hanging="314"/>
        <w:spacing w:after="0" w:line="230"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SUSPENSION OR DISRUPTIONS OF MARKET TRADING IN FUTURES CONTRACTS MAY ADVERSELY AFFECT THE VALUE OF YOUR NOTES —</w:t>
      </w:r>
    </w:p>
    <w:p>
      <w:pPr>
        <w:ind w:left="320" w:right="20"/>
        <w:spacing w:after="0" w:line="228" w:lineRule="auto"/>
        <w:rPr>
          <w:rFonts w:ascii="Arial" w:cs="Arial" w:eastAsia="Arial" w:hAnsi="Arial"/>
          <w:sz w:val="16"/>
          <w:szCs w:val="16"/>
          <w:color w:val="404040"/>
        </w:rPr>
      </w:pPr>
      <w:r>
        <w:rPr>
          <w:rFonts w:ascii="Arial" w:cs="Arial" w:eastAsia="Arial" w:hAnsi="Arial"/>
          <w:sz w:val="16"/>
          <w:szCs w:val="16"/>
          <w:color w:val="404040"/>
        </w:rPr>
        <w:t>Futures markets like the Chicago Mercantile Exchange, the market for the Futures Contracts, are subject to temporary distortions or other disruptions due to various factors, including the lack of liquidity in the markets, the participation of speculators, and government regulation and intervention. In addition, futures exchanges have regulations that limit the amount of fluctuation in some futures contract prices that may occur during a single day. These limits are generally referred to as “daily price fluctuation limits” and the maximum or minimum price of a contract on any given day as a result of these limits is referred to as a “limit price.” Once the limit price has been reached in a particular contract, no trades may be made at a price beyond the limit, or trading may be limited for a set period of time. Limit prices have the effect of precluding trading in a particular contract or forcing the liquidation of contracts at potentially disadvantageous times or prices. These circumstances could affect the level of the Index and therefore could affect adversely the value of your notes.</w:t>
      </w:r>
    </w:p>
    <w:p>
      <w:pPr>
        <w:spacing w:after="0" w:line="98" w:lineRule="exact"/>
        <w:rPr>
          <w:rFonts w:ascii="Arial" w:cs="Arial" w:eastAsia="Arial" w:hAnsi="Arial"/>
          <w:sz w:val="16"/>
          <w:szCs w:val="16"/>
          <w:color w:val="404040"/>
        </w:rPr>
      </w:pPr>
    </w:p>
    <w:p>
      <w:pPr>
        <w:ind w:left="320" w:right="100" w:hanging="314"/>
        <w:spacing w:after="0" w:line="230"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THE OFFICIAL SETTLEMENT PRICE AND INTRADAY TRADING PRICES OF THE RELEVANT FUTURES CONTRACTS MAY NOT BE READILY AVAILABLE —</w:t>
      </w:r>
    </w:p>
    <w:p>
      <w:pPr>
        <w:ind w:left="320" w:right="120"/>
        <w:spacing w:after="0" w:line="232" w:lineRule="auto"/>
        <w:rPr>
          <w:rFonts w:ascii="Arial" w:cs="Arial" w:eastAsia="Arial" w:hAnsi="Arial"/>
          <w:sz w:val="16"/>
          <w:szCs w:val="16"/>
          <w:color w:val="404040"/>
        </w:rPr>
      </w:pPr>
      <w:r>
        <w:rPr>
          <w:rFonts w:ascii="Arial" w:cs="Arial" w:eastAsia="Arial" w:hAnsi="Arial"/>
          <w:sz w:val="16"/>
          <w:szCs w:val="16"/>
          <w:color w:val="404040"/>
        </w:rPr>
        <w:t>The official settlement price and intraday trading prices of the Futures Contracts are calculated and published by the Chicago Mercantile Exchange and are used to calculate the levels of the Index. Any disruption in trading of the Futures Contracts could delay the release or availability of the official settlement price and intraday trading prices and may delay or prevent the calculation of the Index.</w:t>
      </w:r>
    </w:p>
    <w:p>
      <w:pPr>
        <w:spacing w:after="0" w:line="109" w:lineRule="exact"/>
        <w:rPr>
          <w:rFonts w:ascii="Arial" w:cs="Arial" w:eastAsia="Arial" w:hAnsi="Arial"/>
          <w:sz w:val="16"/>
          <w:szCs w:val="16"/>
          <w:color w:val="404040"/>
        </w:rPr>
      </w:pPr>
    </w:p>
    <w:p>
      <w:pPr>
        <w:ind w:left="320" w:right="940" w:hanging="314"/>
        <w:spacing w:after="0" w:line="230"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CHANGES IN THE MARGIN REQUIREMENTS FOR THE FUTURES CONTRACTS INCLUDED IN THE INDEX MAY ADVERSELY AFFECT THE VALUE OF THE NOTES —</w:t>
      </w:r>
    </w:p>
    <w:p>
      <w:pPr>
        <w:jc w:val="both"/>
        <w:ind w:left="320" w:right="60"/>
        <w:spacing w:after="0" w:line="232" w:lineRule="auto"/>
        <w:rPr>
          <w:rFonts w:ascii="Arial" w:cs="Arial" w:eastAsia="Arial" w:hAnsi="Arial"/>
          <w:sz w:val="16"/>
          <w:szCs w:val="16"/>
          <w:color w:val="404040"/>
        </w:rPr>
      </w:pPr>
      <w:r>
        <w:rPr>
          <w:rFonts w:ascii="Arial" w:cs="Arial" w:eastAsia="Arial" w:hAnsi="Arial"/>
          <w:sz w:val="16"/>
          <w:szCs w:val="16"/>
          <w:color w:val="404040"/>
        </w:rPr>
        <w:t>Futures exchanges require market participants to post collateral in order to open and to keep open positions in futures contracts. If an exchange changes the amount of collateral required to be posted to hold positions in the Futures Contracts, market participants may adjust their positions, which may affect the prices of the Futures Contracts. As a result, the level of the Index may be affected, which may adversely affect the value of the notes.</w:t>
      </w:r>
    </w:p>
    <w:p>
      <w:pPr>
        <w:spacing w:after="0" w:line="96" w:lineRule="exact"/>
        <w:rPr>
          <w:rFonts w:ascii="Arial" w:cs="Arial" w:eastAsia="Arial" w:hAnsi="Arial"/>
          <w:sz w:val="16"/>
          <w:szCs w:val="16"/>
          <w:color w:val="404040"/>
        </w:rPr>
      </w:pPr>
    </w:p>
    <w:p>
      <w:pPr>
        <w:ind w:left="320" w:right="100" w:hanging="314"/>
        <w:spacing w:after="0" w:line="230"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HYPOTHETICAL BACK-TESTED DATA RELATING TO THE INDEX DO NOT REPRESENT ACTUAL HISTORICAL DATA AND ARE SUBJECT TO INHERENT LIMITATIONS —</w:t>
      </w:r>
    </w:p>
    <w:p>
      <w:pPr>
        <w:ind w:left="320" w:right="40"/>
        <w:spacing w:after="0"/>
        <w:rPr>
          <w:rFonts w:ascii="Arial" w:cs="Arial" w:eastAsia="Arial" w:hAnsi="Arial"/>
          <w:sz w:val="16"/>
          <w:szCs w:val="16"/>
          <w:color w:val="404040"/>
        </w:rPr>
      </w:pPr>
      <w:r>
        <w:rPr>
          <w:rFonts w:ascii="Arial" w:cs="Arial" w:eastAsia="Arial" w:hAnsi="Arial"/>
          <w:sz w:val="16"/>
          <w:szCs w:val="16"/>
          <w:color w:val="404040"/>
        </w:rPr>
        <w:t>The hypothetical back-tested performance of the Index set forth under “Hypothetical Back-Tested Data and Historical Information” in this pricing supplement is purely theoretical and does not represent the actual historical performance of the Index and has not been verified by an independent third party. Hypothetical back-tested performance measures have inherent limitations. Hypothetical back-tested performance is derived by means of the retroactive application of a back-tested model that has been designed with the benefit of hindsight. Alternative modelling techniques might produce significantly different results and may prove to be more appropriate. Past performance, and especially hypothetical back-tested performance, is not indicative of future results. This type of information has inherent limitations and you should carefully consider these limitations before placing reliance on such information.</w:t>
      </w:r>
    </w:p>
    <w:p>
      <w:pPr>
        <w:spacing w:after="0" w:line="208" w:lineRule="exact"/>
        <w:rPr>
          <w:rFonts w:ascii="Arial" w:cs="Arial" w:eastAsia="Arial" w:hAnsi="Arial"/>
          <w:sz w:val="16"/>
          <w:szCs w:val="16"/>
          <w:color w:val="404040"/>
        </w:rPr>
      </w:pPr>
    </w:p>
    <w:p>
      <w:pPr>
        <w:ind w:left="320" w:hanging="314"/>
        <w:spacing w:after="0"/>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OTHER KEY RISKS:</w:t>
      </w:r>
    </w:p>
    <w:p>
      <w:pPr>
        <w:spacing w:after="0" w:line="86" w:lineRule="exact"/>
        <w:rPr>
          <w:rFonts w:ascii="Arial" w:cs="Arial" w:eastAsia="Arial" w:hAnsi="Arial"/>
          <w:sz w:val="16"/>
          <w:szCs w:val="16"/>
          <w:color w:val="404040"/>
        </w:rPr>
      </w:pPr>
    </w:p>
    <w:p>
      <w:pPr>
        <w:ind w:left="320"/>
        <w:spacing w:after="0"/>
        <w:rPr>
          <w:rFonts w:ascii="Arial" w:cs="Arial" w:eastAsia="Arial" w:hAnsi="Arial"/>
          <w:sz w:val="16"/>
          <w:szCs w:val="16"/>
          <w:color w:val="404040"/>
        </w:rPr>
      </w:pPr>
      <w:r>
        <w:rPr>
          <w:rFonts w:ascii="Arial" w:cs="Arial" w:eastAsia="Arial" w:hAnsi="Arial"/>
          <w:sz w:val="16"/>
          <w:szCs w:val="16"/>
          <w:color w:val="262626"/>
        </w:rPr>
        <w:t>o   THE INDEX WAS ESTABLISHED ON FEBRUARY 11, 2022 AND MAY PERFORM IN UNANTICIPATED WAYS.</w:t>
      </w:r>
    </w:p>
    <w:p>
      <w:pPr>
        <w:spacing w:after="0" w:line="113" w:lineRule="exact"/>
        <w:rPr>
          <w:sz w:val="20"/>
          <w:szCs w:val="20"/>
          <w:color w:val="auto"/>
        </w:rPr>
      </w:pPr>
    </w:p>
    <w:p>
      <w:pPr>
        <w:ind w:left="640" w:right="840" w:hanging="313"/>
        <w:spacing w:after="0" w:line="321" w:lineRule="auto"/>
        <w:tabs>
          <w:tab w:leader="none" w:pos="640" w:val="left"/>
        </w:tabs>
        <w:numPr>
          <w:ilvl w:val="0"/>
          <w:numId w:val="13"/>
        </w:numPr>
        <w:rPr>
          <w:rFonts w:ascii="Arial" w:cs="Arial" w:eastAsia="Arial" w:hAnsi="Arial"/>
          <w:sz w:val="16"/>
          <w:szCs w:val="16"/>
          <w:color w:val="262626"/>
        </w:rPr>
      </w:pPr>
      <w:r>
        <w:rPr>
          <w:rFonts w:ascii="Arial" w:cs="Arial" w:eastAsia="Arial" w:hAnsi="Arial"/>
          <w:sz w:val="16"/>
          <w:szCs w:val="16"/>
          <w:color w:val="262626"/>
        </w:rPr>
        <w:t>HISTORICAL PERFORMANCE OF THE INDEX SHOULD NOT BE TAKEN AS AN INDICATION OF THE FUTURE PERFORMANCE OF THE INDEX DURING THE TERM OF THE NOTES.</w:t>
      </w:r>
    </w:p>
    <w:p>
      <w:pPr>
        <w:spacing w:after="0" w:line="23" w:lineRule="exact"/>
        <w:rPr>
          <w:sz w:val="20"/>
          <w:szCs w:val="20"/>
          <w:color w:val="auto"/>
        </w:rPr>
      </w:pPr>
    </w:p>
    <w:p>
      <w:pPr>
        <w:ind w:right="180"/>
        <w:spacing w:after="0" w:line="319" w:lineRule="auto"/>
        <w:rPr>
          <w:sz w:val="20"/>
          <w:szCs w:val="20"/>
          <w:color w:val="auto"/>
        </w:rPr>
      </w:pPr>
      <w:r>
        <w:rPr>
          <w:rFonts w:ascii="Arial" w:cs="Arial" w:eastAsia="Arial" w:hAnsi="Arial"/>
          <w:sz w:val="16"/>
          <w:szCs w:val="16"/>
          <w:i w:val="1"/>
          <w:iCs w:val="1"/>
          <w:color w:val="404040"/>
        </w:rPr>
        <w:t>Please refer to the “Risk Factors” section of the accompanying underlying supplement for more details regarding the above-listed and other risks.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PS-13| Structured Investments</w:t>
      </w:r>
    </w:p>
    <w:p>
      <w:pPr>
        <w:spacing w:after="0" w:line="91" w:lineRule="exact"/>
        <w:rPr>
          <w:sz w:val="20"/>
          <w:szCs w:val="20"/>
          <w:color w:val="auto"/>
        </w:rPr>
      </w:pPr>
    </w:p>
    <w:p>
      <w:pPr>
        <w:ind w:left="20"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20"/>
          </w:cols>
          <w:pgMar w:left="1080" w:top="1030" w:right="10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Hypothetical Back-Tested Data and Historical Information</w:t>
      </w:r>
    </w:p>
    <w:p>
      <w:pPr>
        <w:spacing w:after="0" w:line="9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404040"/>
        </w:rPr>
        <w:t>The following graph sets forth the hypothetical back-tested performance of the Index based on the hypothetical back-tested weekly closing levels of the Index from January 8, 2021 through February 4, 2022, and the historical performance of the Index based on the weekly historical closing levels of the Index from February 11, 2022 through May 15, 2026. The Index was established on February 11, 2022, as represented by the vertical line in the following graph. All data to the left of that vertical line reflect hypothetical back-tested performance of the Index. All data to the right of that vertical line reflect actual historical performance of the Index. The closing level of the Index on May 15, 2026 was 4,336.56. We obtained the closing levels above and below from the Bloomberg Professional</w:t>
      </w:r>
      <w:r>
        <w:rPr>
          <w:rFonts w:ascii="Arial" w:cs="Arial" w:eastAsia="Arial" w:hAnsi="Arial"/>
          <w:sz w:val="24"/>
          <w:szCs w:val="24"/>
          <w:color w:val="000000"/>
          <w:vertAlign w:val="superscript"/>
        </w:rPr>
        <w:t>®</w:t>
      </w:r>
      <w:r>
        <w:rPr>
          <w:rFonts w:ascii="Arial" w:cs="Arial" w:eastAsia="Arial" w:hAnsi="Arial"/>
          <w:sz w:val="16"/>
          <w:szCs w:val="16"/>
          <w:color w:val="404040"/>
        </w:rPr>
        <w:t xml:space="preserve"> service ("Bloomberg"), without independent verification.</w:t>
      </w:r>
    </w:p>
    <w:p>
      <w:pPr>
        <w:spacing w:after="0" w:line="31"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404040"/>
        </w:rPr>
        <w:t>The data for the hypothetical back-tested performance of the Index set forth in the following graph are purely theoretical and do not represent the actual historical performance of the Index. See “Selected Risk Considerations — Risks Relating to the Index — Hypothetical Back-Tested Data Relating to the Index Do Not Represent Actual Historical Data and Are Subject to Inherent Limitations” above.</w:t>
      </w:r>
    </w:p>
    <w:p>
      <w:pPr>
        <w:spacing w:after="0" w:line="1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404040"/>
        </w:rPr>
        <w:t>The hypothetical back-tested and historical closing levels of the Index should not be taken as an indication of future performance, and no assurance can be given as to the closing level of the Index on any Interest Review Date or any Autocall Review Date. There can be no assurance that the performance of the Index will result in the return of any of your principal amount or the payment of any interest.</w:t>
      </w:r>
    </w:p>
    <w:p>
      <w:pPr>
        <w:spacing w:after="0" w:line="31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404040"/>
        </w:rPr>
        <w:t>Hypothetical Back-Tested and Historical Performance of the</w:t>
      </w:r>
    </w:p>
    <w:p>
      <w:pPr>
        <w:spacing w:after="0" w:line="3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404040"/>
        </w:rPr>
        <w:t>MerQube US Large-Cap Vol Advantage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404040"/>
        </w:rPr>
        <w:t>Source: Bloomberg</w:t>
      </w:r>
    </w:p>
    <w:p>
      <w:pPr>
        <w:spacing w:after="0" w:line="200" w:lineRule="exact"/>
        <w:rPr>
          <w:sz w:val="20"/>
          <w:szCs w:val="20"/>
          <w:color w:val="auto"/>
        </w:rPr>
      </w:pPr>
    </w:p>
    <w:p>
      <w:pPr>
        <w:spacing w:after="0" w:line="22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404040"/>
        </w:rPr>
        <w:t>The hypothetical back-tested closing levels of the Index have inherent limitations and have not been verified by an independent third party. These hypothetical back-tested closing levels are determined by means of a retroactive application of a back-tested model designed with the benefit of hindsight. Hypothetical back-tested results are neither an indicator nor a guarantee of future returns. No representation is made that an investment in the notes will or is likely to achieve returns similar to those shown. Alternative modeling techniques or assumptions would produce different hypothetical back-tested closing levels of the Index that might prove to be more appropriate and that might differ significantly from the hypothetical back-tested closing levels of the Index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PS-14| Structured Investments</w:t>
      </w:r>
    </w:p>
    <w:p>
      <w:pPr>
        <w:spacing w:after="0" w:line="91" w:lineRule="exact"/>
        <w:rPr>
          <w:sz w:val="20"/>
          <w:szCs w:val="20"/>
          <w:color w:val="auto"/>
        </w:rPr>
      </w:pPr>
    </w:p>
    <w:p>
      <w:pPr>
        <w:ind w:left="20" w:right="438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640"/>
          </w:cols>
          <w:pgMar w:left="1080" w:top="1039" w:right="11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Tax Treatment</w:t>
      </w:r>
    </w:p>
    <w:p>
      <w:pPr>
        <w:spacing w:after="0" w:line="95" w:lineRule="exact"/>
        <w:rPr>
          <w:sz w:val="20"/>
          <w:szCs w:val="20"/>
          <w:color w:val="auto"/>
        </w:rPr>
      </w:pPr>
    </w:p>
    <w:p>
      <w:pPr>
        <w:spacing w:after="0" w:line="290" w:lineRule="auto"/>
        <w:rPr>
          <w:sz w:val="20"/>
          <w:szCs w:val="20"/>
          <w:color w:val="auto"/>
        </w:rPr>
      </w:pPr>
      <w:r>
        <w:rPr>
          <w:rFonts w:ascii="Arial" w:cs="Arial" w:eastAsia="Arial" w:hAnsi="Arial"/>
          <w:sz w:val="16"/>
          <w:szCs w:val="16"/>
          <w:color w:val="404040"/>
        </w:rPr>
        <w:t>You should review carefully the section entitled “United States Federal Taxation” in the accompanying prospectus supplement. In determining our reporting responsibilities we intend to treat (i) the notes for U.S. federal income tax purposes as prepaid forward contracts with associated contingent coupons and (ii) any Contingent Interest Payments as ordinary income, as described in the section entitled “United States Federal Taxation — Tax Consequences to U.S. Holders — Program Securities Treated as Prepaid Financial Contracts with Associated Coupons” in the accompanying prospectus supplement. Based on the advice of Davis Polk &amp; Wardwell LLP, our special tax counsel, we believe that this is a reasonable treatment, but that there are other reasonable treatments that the IRS or a court may adopt, in which case the timing and character of any income or loss on the notes could be materially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and the relevance of factors such as the nature of the underlying property to which the instruments are linked. While the notice requests comments on appropriate transition rules and effective dates, any Treasury regulations or other guidance promulgated after consideration of these issues could materially affect the tax consequences of an investment in the notes, possibly with retroactive effect. The discussions above and in the accompanying prospectus supplement do not address the consequences to taxpayers subject to special tax accounting rules under Section 451(b) of the Code. You should consult your tax adviser regarding the U.S. federal income tax consequences of an investment in the notes, including possible alternative treatments and the issues presented by the notice described above.</w:t>
      </w:r>
    </w:p>
    <w:p>
      <w:pPr>
        <w:spacing w:after="0" w:line="28"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404040"/>
        </w:rPr>
        <w:t>Non-U.S. Holders — Tax Considerations</w:t>
      </w:r>
      <w:r>
        <w:rPr>
          <w:rFonts w:ascii="Arial" w:cs="Arial" w:eastAsia="Arial" w:hAnsi="Arial"/>
          <w:sz w:val="16"/>
          <w:szCs w:val="16"/>
          <w:color w:val="404040"/>
        </w:rPr>
        <w:t>. The U.S. federal income tax treatment of Contingent Interest Payments is uncertain, and</w:t>
      </w:r>
      <w:r>
        <w:rPr>
          <w:rFonts w:ascii="Arial" w:cs="Arial" w:eastAsia="Arial" w:hAnsi="Arial"/>
          <w:sz w:val="16"/>
          <w:szCs w:val="16"/>
          <w:i w:val="1"/>
          <w:iCs w:val="1"/>
          <w:color w:val="404040"/>
        </w:rPr>
        <w:t xml:space="preserve"> </w:t>
      </w:r>
      <w:r>
        <w:rPr>
          <w:rFonts w:ascii="Arial" w:cs="Arial" w:eastAsia="Arial" w:hAnsi="Arial"/>
          <w:sz w:val="16"/>
          <w:szCs w:val="16"/>
          <w:color w:val="404040"/>
        </w:rPr>
        <w:t>although we believe it is reasonable to take a position that Contingent Interest Payments are not subject to U.S. withholding tax (at least if an applicable Form W-8 is provided), it is expected that withholding agents will (and we, if we are the withholding agent, intend to) withhold on any Contingent Interest Payment paid to a Non-U.S. Holder generally at a rate of 30% or at a reduced rate specified by an applicable income tax treaty under an “other income” or similar provision. We will not be required to pay any additional amounts with respect to amounts withheld. In order to claim an exemption from, or a reduction in, the 30% withholding tax, a Non-U.S. Holder of the notes must comply with certification requirements to establish that it is not a U.S. person and is eligible for such an exemption or reduction under an applicable tax treaty. If you are a Non-U.S. Holder, you should consult your tax adviser regarding the tax treatment of the notes, including the possibility of obtaining a refund of any withholding tax and the certification requirement described above.</w:t>
      </w:r>
    </w:p>
    <w:p>
      <w:pPr>
        <w:spacing w:after="0" w:line="17" w:lineRule="exact"/>
        <w:rPr>
          <w:sz w:val="20"/>
          <w:szCs w:val="20"/>
          <w:color w:val="auto"/>
        </w:rPr>
      </w:pPr>
    </w:p>
    <w:p>
      <w:pPr>
        <w:spacing w:after="0" w:line="291" w:lineRule="auto"/>
        <w:rPr>
          <w:sz w:val="20"/>
          <w:szCs w:val="20"/>
          <w:color w:val="auto"/>
        </w:rPr>
      </w:pPr>
      <w:r>
        <w:rPr>
          <w:rFonts w:ascii="Arial" w:cs="Arial" w:eastAsia="Arial" w:hAnsi="Arial"/>
          <w:sz w:val="16"/>
          <w:szCs w:val="16"/>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2027 that do not have a delta of one with respect to underlying securities that could pay U.S.-source dividends for U.S. federal income tax purposes (each an “Underlying Security”). Based on certain determinations made by us, our special tax counsel is of the opinion that Section 871(m) should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You should consult your tax adviser regarding the potential application of Section 871(m) to the notes.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404040"/>
        </w:rPr>
        <w:t>In the event of any withholding on the notes, we will not be required to pay any additional amounts with respect to amounts so withheld.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Estimated Value of the Notes</w:t>
      </w:r>
    </w:p>
    <w:p>
      <w:pPr>
        <w:spacing w:after="0" w:line="10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PS-15| Structured Investments</w:t>
      </w:r>
    </w:p>
    <w:p>
      <w:pPr>
        <w:spacing w:after="0" w:line="91" w:lineRule="exact"/>
        <w:rPr>
          <w:sz w:val="20"/>
          <w:szCs w:val="20"/>
          <w:color w:val="auto"/>
        </w:rPr>
      </w:pPr>
    </w:p>
    <w:p>
      <w:pPr>
        <w:ind w:left="20"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20"/>
          </w:cols>
          <w:pgMar w:left="1080" w:top="1039" w:right="1099" w:bottom="1440" w:gutter="0" w:footer="0" w:header="0"/>
        </w:sectPr>
      </w:pPr>
    </w:p>
    <w:bookmarkStart w:id="16" w:name="page17"/>
    <w:bookmarkEnd w:id="16"/>
    <w:p>
      <w:pPr>
        <w:spacing w:after="0" w:line="296" w:lineRule="auto"/>
        <w:rPr>
          <w:sz w:val="20"/>
          <w:szCs w:val="20"/>
          <w:color w:val="auto"/>
        </w:rPr>
      </w:pPr>
      <w:r>
        <w:rPr>
          <w:rFonts w:ascii="Arial" w:cs="Arial" w:eastAsia="Arial" w:hAnsi="Arial"/>
          <w:sz w:val="16"/>
          <w:szCs w:val="16"/>
          <w:color w:val="404040"/>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notes is determined when the terms of the notes are set based on market conditions and other relevant factors and assumptions existing at that time.</w:t>
      </w:r>
    </w:p>
    <w:p>
      <w:pPr>
        <w:spacing w:after="0" w:line="26"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29"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404040"/>
        </w:rPr>
        <w:t>The estimated value of the notes is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the estimated cost of hedging our obligations under the notes and the fees, if any, paid for third-party data analytics and/or electronic platform services.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 — Risks Relating to the Estimated Value and Secondary Market Prices of the Notes — The Estimated Value of the Notes Is Lower Than the Original Issue Price (Price to Public) of the Notes” in this pricing supplement.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9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our internal secondary market funding rates for structured debt issuances and the fees paid for third-party data analytics and/or electronic platform services.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95" w:lineRule="exact"/>
        <w:rPr>
          <w:sz w:val="20"/>
          <w:szCs w:val="20"/>
          <w:color w:val="auto"/>
        </w:rPr>
      </w:pPr>
    </w:p>
    <w:p>
      <w:pPr>
        <w:jc w:val="both"/>
        <w:ind w:right="220"/>
        <w:spacing w:after="0" w:line="300"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“How the Notes Work” and “Hypothetical Payout Examples” in this pricing supplement for an illustration of the risk-return profile of the notes and “The MerQube US Large-Cap Vol Advantage Index” in this pricing supplement for a description of the market exposure provided by the notes.</w:t>
      </w:r>
    </w:p>
    <w:p>
      <w:pPr>
        <w:spacing w:after="0" w:line="12"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 and plus the fees, if any, paid for third-party data analytics and/or electronic platform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PS-16| Structured Investments</w:t>
      </w:r>
    </w:p>
    <w:p>
      <w:pPr>
        <w:spacing w:after="0" w:line="91" w:lineRule="exact"/>
        <w:rPr>
          <w:sz w:val="20"/>
          <w:szCs w:val="20"/>
          <w:color w:val="auto"/>
        </w:rPr>
      </w:pPr>
    </w:p>
    <w:p>
      <w:pPr>
        <w:ind w:left="20" w:right="444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00"/>
          </w:cols>
          <w:pgMar w:left="1080" w:top="1057" w:right="11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4E8AB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41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412605"/>
                    </a:xfrm>
                    <a:prstGeom prst="rect">
                      <a:avLst/>
                    </a:prstGeom>
                    <a:noFill/>
                  </pic:spPr>
                </pic:pic>
              </a:graphicData>
            </a:graphic>
          </wp:anchor>
        </w:drawing>
        <w:t>Validity of the Notes and the Guarantee</w:t>
      </w:r>
    </w:p>
    <w:p>
      <w:pPr>
        <w:spacing w:after="0" w:line="95" w:lineRule="exact"/>
        <w:rPr>
          <w:sz w:val="20"/>
          <w:szCs w:val="20"/>
          <w:color w:val="auto"/>
        </w:rPr>
      </w:pPr>
    </w:p>
    <w:p>
      <w:pPr>
        <w:spacing w:after="0" w:line="290" w:lineRule="auto"/>
        <w:rPr>
          <w:sz w:val="20"/>
          <w:szCs w:val="20"/>
          <w:color w:val="auto"/>
        </w:rPr>
      </w:pPr>
      <w:r>
        <w:rPr>
          <w:rFonts w:ascii="Arial" w:cs="Arial" w:eastAsia="Arial" w:hAnsi="Arial"/>
          <w:sz w:val="16"/>
          <w:szCs w:val="16"/>
          <w:color w:val="404040"/>
        </w:rPr>
        <w:t xml:space="preserve">In the opinion of Davis Polk &amp; Wardwell LLP, as special products counsel to JPMorgan Financial and JPMorgan Chase &amp; Co., when the notes offered by this pricing supplement have been issued by JPMorgan Financial pursuant to the indenture, the trustee and/or paying agent has made, in accordance with the instructions from JPMorgan Financial, the appropriate entries or notations in its records relating to the master global note that represents such notes (the “master note”), and such notes have been delivered against payment as contemplated herein, such notes will be valid and binding obligations of JPMorgan Financial and the related guarantee will constitute a valid and binding obligation of JPMorgan Chase &amp; Co.,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6"/>
          <w:szCs w:val="16"/>
          <w:i w:val="1"/>
          <w:iCs w:val="1"/>
          <w:color w:val="404040"/>
        </w:rPr>
        <w:t>provided</w:t>
      </w:r>
      <w:r>
        <w:rPr>
          <w:rFonts w:ascii="Arial" w:cs="Arial" w:eastAsia="Arial" w:hAnsi="Arial"/>
          <w:sz w:val="16"/>
          <w:szCs w:val="16"/>
          <w:color w:val="404040"/>
        </w:rPr>
        <w:t xml:space="preserve"> that such counsel expresses no opinion as to (x)(i)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JPMorgan Chase &amp; Co.’s obligation under the related guarantee or (y) the validity, legally binding effect or enforceability of any provision that permits holders to collect any portion of the stated principal amount upon acceleration of the notes to the extent determined to constitute unearned interest. This opinion is given as of the date hereof and is limited to the laws of the State of New York, the General Corporation Law of the State of Delaware and the Delaware Limited Liability Company Act, except that such counsel expresses no opinion as to (i) any law, rule or regulation that is applicable to JPMorgan Financial or JPMorgan Chase &amp; Co., the indenture, the notes, the related guarantee (together with the indenture and the notes,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 In addition, this opinion is subject to customary assumptions about the trustee’s authorization, execution and delivery of the indenture and its authentication of the master note and the validity, binding nature and enforceability of the indenture with respect to the trustee, all as stated in the letter of such counsel dated February 24, 2026, which was filed as an exhibit to the Registration Statement on Form S-3 by JPMorgan Financial and JPMorgan Chase &amp; Co. on February 24, 2026.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9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404040"/>
        </w:rPr>
        <w:t>You should read this pricing supplement together with the accompanying prospectus, as supplemented by the accompanying prospectus supplement relating to our Series A medium-term notes of which these notes are a part,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the accompanying product supplement and the accompanying underlying supplement, as the notes involve risks not associated with conventional debt securities. We urge you to consult your investment, legal, tax, accounting and other advisers before you invest in the notes.</w:t>
      </w:r>
    </w:p>
    <w:p>
      <w:pPr>
        <w:spacing w:after="0" w:line="44" w:lineRule="exact"/>
        <w:rPr>
          <w:sz w:val="20"/>
          <w:szCs w:val="20"/>
          <w:color w:val="auto"/>
        </w:rPr>
      </w:pPr>
    </w:p>
    <w:p>
      <w:pPr>
        <w:spacing w:after="0" w:line="325" w:lineRule="auto"/>
        <w:rPr>
          <w:sz w:val="20"/>
          <w:szCs w:val="20"/>
          <w:color w:val="auto"/>
        </w:rPr>
      </w:pPr>
      <w:r>
        <w:rPr>
          <w:rFonts w:ascii="Arial" w:cs="Arial" w:eastAsia="Arial" w:hAnsi="Arial"/>
          <w:sz w:val="16"/>
          <w:szCs w:val="16"/>
          <w:b w:val="1"/>
          <w:bCs w:val="1"/>
          <w:color w:val="404040"/>
        </w:rPr>
        <w:t>You may access these documents on the SEC website at www.sec.gov as follows (or if such address has changed, by reviewing our filings for the relevant date on the SEC website):</w:t>
      </w:r>
    </w:p>
    <w:p>
      <w:pPr>
        <w:spacing w:after="0" w:line="1" w:lineRule="exact"/>
        <w:rPr>
          <w:sz w:val="20"/>
          <w:szCs w:val="20"/>
          <w:color w:val="auto"/>
        </w:rPr>
      </w:pPr>
    </w:p>
    <w:p>
      <w:pPr>
        <w:ind w:left="320" w:right="2500" w:hanging="314"/>
        <w:spacing w:after="0" w:line="286" w:lineRule="auto"/>
        <w:tabs>
          <w:tab w:leader="none" w:pos="320" w:val="left"/>
        </w:tabs>
        <w:numPr>
          <w:ilvl w:val="0"/>
          <w:numId w:val="14"/>
        </w:numPr>
        <w:rPr>
          <w:rFonts w:ascii="Arial" w:cs="Arial" w:eastAsia="Arial" w:hAnsi="Arial"/>
          <w:sz w:val="16"/>
          <w:szCs w:val="16"/>
          <w:color w:val="0000FF"/>
        </w:rPr>
      </w:pPr>
      <w:r>
        <w:rPr>
          <w:rFonts w:ascii="Arial" w:cs="Arial" w:eastAsia="Arial" w:hAnsi="Arial"/>
          <w:sz w:val="16"/>
          <w:szCs w:val="16"/>
          <w:color w:val="404040"/>
        </w:rPr>
        <w:t xml:space="preserve">Product supplement no. 3-I dated April 17, 2026: </w:t>
      </w:r>
      <w:hyperlink r:id="rId26">
        <w:r>
          <w:rPr>
            <w:rFonts w:ascii="Arial" w:cs="Arial" w:eastAsia="Arial" w:hAnsi="Arial"/>
            <w:sz w:val="16"/>
            <w:szCs w:val="16"/>
            <w:color w:val="0000FF"/>
          </w:rPr>
          <w:t>http://www.sec.gov/Archives/edgar/data/19617/000121390026045198/ea0285802-20_424b2.pdf</w:t>
        </w:r>
      </w:hyperlink>
    </w:p>
    <w:p>
      <w:pPr>
        <w:spacing w:after="0" w:line="155" w:lineRule="exact"/>
        <w:rPr>
          <w:rFonts w:ascii="Arial" w:cs="Arial" w:eastAsia="Arial" w:hAnsi="Arial"/>
          <w:sz w:val="16"/>
          <w:szCs w:val="16"/>
          <w:color w:val="0000FF"/>
        </w:rPr>
      </w:pPr>
    </w:p>
    <w:p>
      <w:pPr>
        <w:ind w:left="320" w:right="2500" w:hanging="314"/>
        <w:spacing w:after="0" w:line="286" w:lineRule="auto"/>
        <w:tabs>
          <w:tab w:leader="none" w:pos="320" w:val="left"/>
        </w:tabs>
        <w:numPr>
          <w:ilvl w:val="0"/>
          <w:numId w:val="14"/>
        </w:numPr>
        <w:rPr>
          <w:rFonts w:ascii="Arial" w:cs="Arial" w:eastAsia="Arial" w:hAnsi="Arial"/>
          <w:sz w:val="16"/>
          <w:szCs w:val="16"/>
          <w:color w:val="0000FF"/>
        </w:rPr>
      </w:pPr>
      <w:r>
        <w:rPr>
          <w:rFonts w:ascii="Arial" w:cs="Arial" w:eastAsia="Arial" w:hAnsi="Arial"/>
          <w:sz w:val="16"/>
          <w:szCs w:val="16"/>
          <w:color w:val="404040"/>
        </w:rPr>
        <w:t xml:space="preserve">Underlying supplement no. 5-I dated April 17, 2026: </w:t>
      </w:r>
      <w:hyperlink r:id="rId27">
        <w:r>
          <w:rPr>
            <w:rFonts w:ascii="Arial" w:cs="Arial" w:eastAsia="Arial" w:hAnsi="Arial"/>
            <w:sz w:val="16"/>
            <w:szCs w:val="16"/>
            <w:color w:val="0000FF"/>
          </w:rPr>
          <w:t>http://www.sec.gov/Archives/edgar/data/19617/000121390026045223/ea0285802-19_424b2.pdf</w:t>
        </w:r>
      </w:hyperlink>
    </w:p>
    <w:p>
      <w:pPr>
        <w:spacing w:after="0" w:line="155" w:lineRule="exact"/>
        <w:rPr>
          <w:rFonts w:ascii="Arial" w:cs="Arial" w:eastAsia="Arial" w:hAnsi="Arial"/>
          <w:sz w:val="16"/>
          <w:szCs w:val="16"/>
          <w:color w:val="0000FF"/>
        </w:rPr>
      </w:pPr>
    </w:p>
    <w:p>
      <w:pPr>
        <w:ind w:left="320" w:right="2580" w:hanging="314"/>
        <w:spacing w:after="0" w:line="286" w:lineRule="auto"/>
        <w:tabs>
          <w:tab w:leader="none" w:pos="320" w:val="left"/>
        </w:tabs>
        <w:numPr>
          <w:ilvl w:val="0"/>
          <w:numId w:val="14"/>
        </w:numPr>
        <w:rPr>
          <w:rFonts w:ascii="Arial" w:cs="Arial" w:eastAsia="Arial" w:hAnsi="Arial"/>
          <w:sz w:val="16"/>
          <w:szCs w:val="16"/>
          <w:color w:val="0000FF"/>
        </w:rPr>
      </w:pPr>
      <w:r>
        <w:rPr>
          <w:rFonts w:ascii="Arial" w:cs="Arial" w:eastAsia="Arial" w:hAnsi="Arial"/>
          <w:sz w:val="16"/>
          <w:szCs w:val="16"/>
          <w:color w:val="404040"/>
        </w:rPr>
        <w:t xml:space="preserve">Prospectus supplement and prospectus, each dated April 17, 2026: </w:t>
      </w:r>
      <w:hyperlink r:id="rId28">
        <w:r>
          <w:rPr>
            <w:rFonts w:ascii="Arial" w:cs="Arial" w:eastAsia="Arial" w:hAnsi="Arial"/>
            <w:sz w:val="16"/>
            <w:szCs w:val="16"/>
            <w:color w:val="0000FF"/>
          </w:rPr>
          <w:t>http://www.sec.gov/Archives/edgar/data/19617/000095010326005889/crt_dp245141-424b2.pdf</w:t>
        </w:r>
      </w:hyperlink>
    </w:p>
    <w:p>
      <w:pPr>
        <w:spacing w:after="0" w:line="169" w:lineRule="exact"/>
        <w:rPr>
          <w:rFonts w:ascii="Arial" w:cs="Arial" w:eastAsia="Arial" w:hAnsi="Arial"/>
          <w:sz w:val="14"/>
          <w:szCs w:val="14"/>
          <w:color w:val="404040"/>
        </w:rPr>
      </w:pPr>
    </w:p>
    <w:p>
      <w:pPr>
        <w:spacing w:after="0" w:line="321" w:lineRule="auto"/>
        <w:rPr>
          <w:sz w:val="20"/>
          <w:szCs w:val="20"/>
          <w:color w:val="auto"/>
        </w:rPr>
      </w:pPr>
      <w:r>
        <w:rPr>
          <w:rFonts w:ascii="Arial" w:cs="Arial" w:eastAsia="Arial" w:hAnsi="Arial"/>
          <w:sz w:val="16"/>
          <w:szCs w:val="16"/>
          <w:color w:val="404040"/>
        </w:rPr>
        <w:t>Our Central Index Key, or CIK, on the SEC website is 1665650, and JPMorgan Chase &amp; Co.’s CIK is 19617. As used in this pricing supplement, “we,” “us” and “our” refer to JPMorgan Financial.</w:t>
      </w: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200" w:lineRule="exact"/>
        <w:rPr>
          <w:rFonts w:ascii="Arial" w:cs="Arial" w:eastAsia="Arial" w:hAnsi="Arial"/>
          <w:sz w:val="14"/>
          <w:szCs w:val="14"/>
          <w:color w:val="404040"/>
        </w:rPr>
      </w:pPr>
    </w:p>
    <w:p>
      <w:pPr>
        <w:spacing w:after="0" w:line="327" w:lineRule="exact"/>
        <w:rPr>
          <w:rFonts w:ascii="Arial" w:cs="Arial" w:eastAsia="Arial" w:hAnsi="Arial"/>
          <w:sz w:val="14"/>
          <w:szCs w:val="14"/>
          <w:color w:val="404040"/>
        </w:rPr>
      </w:pPr>
    </w:p>
    <w:p>
      <w:pPr>
        <w:ind w:left="20"/>
        <w:spacing w:after="0"/>
        <w:rPr>
          <w:sz w:val="20"/>
          <w:szCs w:val="20"/>
          <w:color w:val="auto"/>
        </w:rPr>
      </w:pPr>
      <w:r>
        <w:rPr>
          <w:rFonts w:ascii="Arial" w:cs="Arial" w:eastAsia="Arial" w:hAnsi="Arial"/>
          <w:sz w:val="16"/>
          <w:szCs w:val="16"/>
          <w:color w:val="6D6E71"/>
        </w:rPr>
        <w:t>PS-17| Structured Investments</w:t>
      </w:r>
    </w:p>
    <w:p>
      <w:pPr>
        <w:spacing w:after="0" w:line="91" w:lineRule="exact"/>
        <w:rPr>
          <w:rFonts w:ascii="Arial" w:cs="Arial" w:eastAsia="Arial" w:hAnsi="Arial"/>
          <w:sz w:val="14"/>
          <w:szCs w:val="14"/>
          <w:color w:val="404040"/>
        </w:rPr>
      </w:pPr>
    </w:p>
    <w:p>
      <w:pPr>
        <w:ind w:left="20" w:right="4460"/>
        <w:spacing w:after="0" w:line="285" w:lineRule="auto"/>
        <w:rPr>
          <w:sz w:val="20"/>
          <w:szCs w:val="20"/>
          <w:color w:val="auto"/>
        </w:rPr>
      </w:pPr>
      <w:r>
        <w:rPr>
          <w:rFonts w:ascii="Arial" w:cs="Arial" w:eastAsia="Arial" w:hAnsi="Arial"/>
          <w:sz w:val="14"/>
          <w:szCs w:val="14"/>
          <w:color w:val="6D6E71"/>
        </w:rPr>
        <w:t>Auto Callable Contingent Interest Notes Linked to the MerQube US Large-Cap Vol Advantage Index</w:t>
      </w:r>
    </w:p>
    <w:p>
      <w:pPr>
        <w:sectPr>
          <w:pgSz w:w="11900" w:h="16838" w:orient="portrait"/>
          <w:cols w:equalWidth="0" w:num="1">
            <w:col w:w="9720"/>
          </w:cols>
          <w:pgMar w:left="1080" w:top="1039" w:right="1099" w:bottom="1440" w:gutter="0" w:footer="0" w:header="0"/>
        </w:sectPr>
      </w:pPr>
    </w:p>
    <w:bookmarkStart w:id="18" w:name="page19"/>
    <w:bookmarkEnd w:id="18"/>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798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9798050"/>
                    </a:xfrm>
                    <a:prstGeom prst="rect">
                      <a:avLst/>
                    </a:prstGeom>
                    <a:noFill/>
                  </pic:spPr>
                </pic:pic>
              </a:graphicData>
            </a:graphic>
          </wp:anchor>
        </w:drawing>
      </w:r>
    </w:p>
    <w:p>
      <w:pPr>
        <w:jc w:val="center"/>
        <w:ind w:right="19"/>
        <w:spacing w:after="0"/>
        <w:rPr>
          <w:sz w:val="20"/>
          <w:szCs w:val="20"/>
          <w:color w:val="auto"/>
        </w:rPr>
      </w:pPr>
      <w:r>
        <w:rPr>
          <w:rFonts w:ascii="Calibri" w:cs="Calibri" w:eastAsia="Calibri" w:hAnsi="Calibri"/>
          <w:sz w:val="32"/>
          <w:szCs w:val="32"/>
          <w:b w:val="1"/>
          <w:bCs w:val="1"/>
          <w:color w:val="auto"/>
        </w:rPr>
        <w:t>Calculaton of Filing Fee Tables</w:t>
      </w:r>
    </w:p>
    <w:p>
      <w:pPr>
        <w:spacing w:after="0" w:line="149" w:lineRule="exact"/>
        <w:rPr>
          <w:sz w:val="20"/>
          <w:szCs w:val="20"/>
          <w:color w:val="auto"/>
        </w:rPr>
      </w:pPr>
    </w:p>
    <w:p>
      <w:pPr>
        <w:jc w:val="center"/>
        <w:ind w:right="19"/>
        <w:spacing w:after="0"/>
        <w:rPr>
          <w:sz w:val="20"/>
          <w:szCs w:val="20"/>
          <w:color w:val="auto"/>
        </w:rPr>
      </w:pPr>
      <w:r>
        <w:rPr>
          <w:rFonts w:ascii="Calibri" w:cs="Calibri" w:eastAsia="Calibri" w:hAnsi="Calibri"/>
          <w:sz w:val="32"/>
          <w:szCs w:val="32"/>
          <w:b w:val="1"/>
          <w:bCs w:val="1"/>
          <w:color w:val="auto"/>
        </w:rPr>
        <w:t>S-3</w:t>
      </w:r>
    </w:p>
    <w:p>
      <w:pPr>
        <w:spacing w:after="0" w:line="136" w:lineRule="exact"/>
        <w:rPr>
          <w:sz w:val="20"/>
          <w:szCs w:val="20"/>
          <w:color w:val="auto"/>
        </w:rPr>
      </w:pPr>
    </w:p>
    <w:p>
      <w:pPr>
        <w:jc w:val="center"/>
        <w:ind w:right="19"/>
        <w:spacing w:after="0"/>
        <w:rPr>
          <w:sz w:val="20"/>
          <w:szCs w:val="20"/>
          <w:color w:val="auto"/>
        </w:rPr>
      </w:pPr>
      <w:r>
        <w:rPr>
          <w:rFonts w:ascii="Calibri" w:cs="Calibri" w:eastAsia="Calibri" w:hAnsi="Calibri"/>
          <w:sz w:val="32"/>
          <w:szCs w:val="32"/>
          <w:b w:val="1"/>
          <w:bCs w:val="1"/>
          <w:color w:val="auto"/>
        </w:rPr>
        <w:t>JPMORGAN CHASE &amp; CO</w:t>
      </w:r>
    </w:p>
    <w:p>
      <w:pPr>
        <w:spacing w:after="0" w:line="156"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Narratve Disclosure</w:t>
      </w:r>
    </w:p>
    <w:p>
      <w:pPr>
        <w:spacing w:after="0" w:line="155" w:lineRule="exact"/>
        <w:rPr>
          <w:sz w:val="20"/>
          <w:szCs w:val="20"/>
          <w:color w:val="auto"/>
        </w:rPr>
      </w:pPr>
    </w:p>
    <w:p>
      <w:pPr>
        <w:jc w:val="center"/>
        <w:ind w:left="840" w:right="859"/>
        <w:spacing w:after="0" w:line="235" w:lineRule="auto"/>
        <w:rPr>
          <w:sz w:val="20"/>
          <w:szCs w:val="20"/>
          <w:color w:val="auto"/>
        </w:rPr>
      </w:pPr>
      <w:r>
        <w:rPr>
          <w:rFonts w:ascii="Calibri" w:cs="Calibri" w:eastAsia="Calibri" w:hAnsi="Calibri"/>
          <w:sz w:val="20"/>
          <w:szCs w:val="20"/>
          <w:color w:val="auto"/>
        </w:rPr>
        <w:t>The maximum aggregate ofering price of the securites to which the prospectus relates is $1,219,000. The prospectus is a fnal prospectus for the related ofering.</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o"/>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9" Type="http://schemas.openxmlformats.org/officeDocument/2006/relationships/image" Target="media/image19.png"/><Relationship Id="rId26" Type="http://schemas.openxmlformats.org/officeDocument/2006/relationships/hyperlink" Target="http://www.sec.gov/Archives/edgar/data/19617/000121390026045198/ea0285802-20_424b2.pdf" TargetMode="External"/><Relationship Id="rId27" Type="http://schemas.openxmlformats.org/officeDocument/2006/relationships/hyperlink" Target="http://www.sec.gov/Archives/edgar/data/19617/000121390026045223/ea0285802-19_424b2.pdf" TargetMode="External"/><Relationship Id="rId28" Type="http://schemas.openxmlformats.org/officeDocument/2006/relationships/hyperlink" Target="http://www.sec.gov/Archives/edgar/data/19617/000095010326005889/crt_dp24514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2026-05-19T08:29:55Z</dcterms:created>
  <dcterms:modified xsi:type="dcterms:W3CDTF">2026-05-19T08:29:55Z</dcterms:modified>
</cp:coreProperties>
</file>